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B02E" w14:textId="77777777" w:rsidR="006E0EC7" w:rsidRPr="00C90260" w:rsidRDefault="006E0EC7" w:rsidP="006E0EC7">
      <w:r>
        <w:rPr>
          <w:noProof/>
        </w:rPr>
        <w:drawing>
          <wp:inline distT="0" distB="0" distL="0" distR="0" wp14:anchorId="4ED4CA17" wp14:editId="5459C319">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129E81C2" wp14:editId="65E4A3A0">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1CCFF3C9" w14:textId="77777777" w:rsidR="006E0EC7" w:rsidRDefault="006E0EC7" w:rsidP="006E0EC7">
      <w:pPr>
        <w:pStyle w:val="Subtitle"/>
        <w:spacing w:before="240"/>
        <w:ind w:left="1276"/>
        <w:rPr>
          <w:rFonts w:ascii="Aptos SemiBold" w:eastAsia="Times New Roman" w:hAnsi="Aptos SemiBold" w:cs="Times New Roman"/>
          <w:b/>
          <w:noProof/>
          <w:color w:val="404246"/>
          <w:spacing w:val="-10"/>
          <w:kern w:val="28"/>
          <w:sz w:val="72"/>
          <w:szCs w:val="56"/>
          <w:lang w:eastAsia="en-AU"/>
        </w:rPr>
      </w:pPr>
    </w:p>
    <w:p w14:paraId="49D4344C" w14:textId="77777777" w:rsidR="006E0EC7" w:rsidRDefault="006E0EC7" w:rsidP="006E0EC7">
      <w:pPr>
        <w:pStyle w:val="Subtitle"/>
        <w:spacing w:before="240"/>
        <w:ind w:left="1276"/>
        <w:rPr>
          <w:rFonts w:ascii="Aptos SemiBold" w:eastAsia="Times New Roman" w:hAnsi="Aptos SemiBold" w:cs="Times New Roman"/>
          <w:b/>
          <w:noProof/>
          <w:color w:val="404246"/>
          <w:spacing w:val="-10"/>
          <w:kern w:val="28"/>
          <w:sz w:val="72"/>
          <w:szCs w:val="56"/>
          <w:lang w:eastAsia="en-AU"/>
        </w:rPr>
      </w:pPr>
    </w:p>
    <w:p w14:paraId="14A135A5" w14:textId="0E656291" w:rsidR="006E0EC7" w:rsidRPr="0095636C" w:rsidRDefault="006E0EC7" w:rsidP="006E0EC7">
      <w:pPr>
        <w:pStyle w:val="Subtitle"/>
        <w:spacing w:before="240"/>
        <w:ind w:left="1276"/>
        <w:rPr>
          <w:noProof/>
          <w:lang w:eastAsia="en-AU"/>
        </w:rPr>
      </w:pPr>
      <w:r w:rsidRPr="006E0EC7">
        <w:rPr>
          <w:rFonts w:ascii="Aptos SemiBold" w:eastAsia="Times New Roman" w:hAnsi="Aptos SemiBold" w:cs="Times New Roman"/>
          <w:b/>
          <w:noProof/>
          <w:color w:val="404246"/>
          <w:spacing w:val="-10"/>
          <w:kern w:val="28"/>
          <w:sz w:val="72"/>
          <w:szCs w:val="56"/>
          <w:lang w:eastAsia="en-AU"/>
        </w:rPr>
        <w:t>Review of the Fair Work Act Small Claims Procedure</w:t>
      </w:r>
      <w:r>
        <w:rPr>
          <w:rFonts w:ascii="Aptos SemiBold" w:eastAsia="Times New Roman" w:hAnsi="Aptos SemiBold" w:cs="Times New Roman"/>
          <w:b/>
          <w:noProof/>
          <w:color w:val="404246"/>
          <w:spacing w:val="-10"/>
          <w:kern w:val="28"/>
          <w:sz w:val="72"/>
          <w:szCs w:val="56"/>
          <w:lang w:eastAsia="en-AU"/>
        </w:rPr>
        <w:br/>
      </w:r>
      <w:r w:rsidRPr="006E0EC7">
        <w:rPr>
          <w:rFonts w:ascii="Aptos" w:hAnsi="Aptos"/>
          <w:noProof/>
          <w:lang w:eastAsia="en-AU"/>
        </w:rPr>
        <w:t>Report – February 2024</w:t>
      </w:r>
    </w:p>
    <w:p w14:paraId="214FAE43" w14:textId="0793B05E" w:rsidR="006E0EC7" w:rsidRPr="006E0EC7" w:rsidRDefault="006E0EC7" w:rsidP="006E0EC7">
      <w:pPr>
        <w:spacing w:before="2040" w:after="0" w:line="240" w:lineRule="auto"/>
        <w:ind w:left="1276"/>
        <w:rPr>
          <w:rFonts w:ascii="Aptos SemiBold" w:eastAsia="Times New Roman" w:hAnsi="Aptos SemiBold" w:cs="Times New Roman"/>
          <w:b/>
          <w:noProof/>
          <w:color w:val="404246"/>
          <w:spacing w:val="-10"/>
          <w:kern w:val="28"/>
          <w:sz w:val="72"/>
          <w:szCs w:val="56"/>
          <w:lang w:eastAsia="en-AU"/>
        </w:rPr>
      </w:pPr>
    </w:p>
    <w:p w14:paraId="15277A78" w14:textId="669680DE" w:rsidR="00930CDA" w:rsidRPr="0095636C" w:rsidRDefault="00930CDA" w:rsidP="260F70A0">
      <w:r>
        <w:rPr>
          <w:noProof/>
          <w:lang w:eastAsia="en-AU"/>
        </w:rPr>
        <w:br w:type="page"/>
      </w:r>
    </w:p>
    <w:p w14:paraId="26921407" w14:textId="2A1A7506" w:rsidR="002B1CE5" w:rsidRPr="00AA1846" w:rsidRDefault="002B1CE5" w:rsidP="002B1CE5">
      <w:pPr>
        <w:pStyle w:val="Title"/>
        <w:rPr>
          <w:color w:val="526800"/>
        </w:rPr>
      </w:pPr>
    </w:p>
    <w:p w14:paraId="377CCBFE" w14:textId="50C67FFE" w:rsidR="00707E76" w:rsidRDefault="00707E76" w:rsidP="0CD524A3">
      <w:pPr>
        <w:tabs>
          <w:tab w:val="left" w:pos="5856"/>
        </w:tabs>
        <w:spacing w:before="8040"/>
        <w:contextualSpacing/>
      </w:pPr>
      <w:bookmarkStart w:id="0" w:name="_Toc30065222"/>
    </w:p>
    <w:p w14:paraId="32C4D39B" w14:textId="77777777" w:rsidR="00707E76" w:rsidRDefault="00707E76" w:rsidP="00707E76">
      <w:pPr>
        <w:tabs>
          <w:tab w:val="left" w:pos="5856"/>
        </w:tabs>
        <w:spacing w:before="8040"/>
        <w:contextualSpacing/>
      </w:pPr>
    </w:p>
    <w:p w14:paraId="56C08523" w14:textId="49AAA691" w:rsidR="003B00B7" w:rsidRDefault="003B00B7" w:rsidP="00707E76">
      <w:pPr>
        <w:tabs>
          <w:tab w:val="left" w:pos="5856"/>
        </w:tabs>
        <w:spacing w:before="8040"/>
        <w:contextualSpacing/>
      </w:pPr>
      <w:r>
        <w:rPr>
          <w:noProof/>
        </w:rPr>
        <w:drawing>
          <wp:inline distT="0" distB="0" distL="0" distR="0" wp14:anchorId="15220FB0" wp14:editId="38F2515E">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2C08461" w14:textId="5179CFFF"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1EA34FF6"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2BBCB76E" w14:textId="4FD75064" w:rsidR="00F64834" w:rsidRDefault="003B00B7" w:rsidP="007855CC">
      <w:r>
        <w:t>The document must be attributed as the (</w:t>
      </w:r>
      <w:r w:rsidR="000C5A74" w:rsidRPr="001226F7">
        <w:rPr>
          <w:i/>
          <w:iCs/>
        </w:rPr>
        <w:t>Review of the Fair Work Act Small Claims Procedure</w:t>
      </w:r>
      <w:r>
        <w:t>).</w:t>
      </w:r>
    </w:p>
    <w:p w14:paraId="1233E69F" w14:textId="77777777" w:rsidR="00F64834" w:rsidRDefault="00F64834">
      <w:pPr>
        <w:spacing w:after="160" w:line="259" w:lineRule="auto"/>
      </w:pPr>
      <w:r>
        <w:br w:type="page"/>
      </w:r>
    </w:p>
    <w:p w14:paraId="02DF694D" w14:textId="77777777" w:rsidR="007855CC" w:rsidRDefault="007855CC" w:rsidP="007855CC">
      <w:pPr>
        <w:sectPr w:rsidR="007855CC" w:rsidSect="00EA67FC">
          <w:footerReference w:type="default" r:id="rId15"/>
          <w:type w:val="continuous"/>
          <w:pgSz w:w="11906" w:h="16838"/>
          <w:pgMar w:top="1418" w:right="1440" w:bottom="1560" w:left="1276" w:header="708" w:footer="708" w:gutter="0"/>
          <w:cols w:space="708"/>
          <w:titlePg/>
          <w:docGrid w:linePitch="360"/>
        </w:sectPr>
      </w:pPr>
    </w:p>
    <w:bookmarkEnd w:id="0" w:displacedByCustomXml="next"/>
    <w:sdt>
      <w:sdtPr>
        <w:rPr>
          <w:rFonts w:ascii="Calibri" w:eastAsia="Yu Mincho" w:hAnsi="Calibri" w:cs="Arial"/>
        </w:rPr>
        <w:id w:val="122515003"/>
        <w:docPartObj>
          <w:docPartGallery w:val="Table of Contents"/>
          <w:docPartUnique/>
        </w:docPartObj>
      </w:sdtPr>
      <w:sdtEndPr>
        <w:rPr>
          <w:noProof/>
        </w:rPr>
      </w:sdtEndPr>
      <w:sdtContent>
        <w:p w14:paraId="5DC89CA6" w14:textId="77777777" w:rsidR="00921D71" w:rsidRPr="00921D71" w:rsidRDefault="00921D71" w:rsidP="00921D71">
          <w:pPr>
            <w:spacing w:before="120" w:after="120" w:line="240" w:lineRule="auto"/>
            <w:textAlignment w:val="baseline"/>
            <w:rPr>
              <w:rFonts w:ascii="Calibri" w:eastAsia="Times New Roman" w:hAnsi="Calibri" w:cs="Calibri"/>
              <w:b/>
              <w:bCs/>
              <w:sz w:val="48"/>
              <w:szCs w:val="48"/>
              <w:lang w:val="en-GB" w:eastAsia="en-AU"/>
            </w:rPr>
          </w:pPr>
          <w:r w:rsidRPr="00921D71">
            <w:rPr>
              <w:rFonts w:ascii="Calibri" w:eastAsia="Times New Roman" w:hAnsi="Calibri" w:cs="Calibri"/>
              <w:b/>
              <w:bCs/>
              <w:sz w:val="48"/>
              <w:szCs w:val="48"/>
              <w:lang w:val="en-GB" w:eastAsia="en-AU"/>
            </w:rPr>
            <w:t>Contents</w:t>
          </w:r>
        </w:p>
        <w:p w14:paraId="2C6253FD" w14:textId="05C33288" w:rsidR="003F6926" w:rsidRDefault="00921D71">
          <w:pPr>
            <w:pStyle w:val="TOC1"/>
            <w:tabs>
              <w:tab w:val="right" w:leader="dot" w:pos="9016"/>
            </w:tabs>
            <w:rPr>
              <w:rFonts w:eastAsiaTheme="minorEastAsia"/>
              <w:b w:val="0"/>
              <w:noProof/>
              <w:kern w:val="2"/>
              <w:sz w:val="24"/>
              <w:szCs w:val="24"/>
              <w:lang w:eastAsia="en-AU"/>
              <w14:ligatures w14:val="standardContextual"/>
            </w:rPr>
          </w:pPr>
          <w:r w:rsidRPr="00921D71">
            <w:rPr>
              <w:rFonts w:ascii="Calibri" w:eastAsia="Yu Mincho" w:hAnsi="Calibri" w:cs="Arial"/>
              <w:b w:val="0"/>
            </w:rPr>
            <w:fldChar w:fldCharType="begin"/>
          </w:r>
          <w:r w:rsidRPr="00921D71">
            <w:rPr>
              <w:rFonts w:ascii="Calibri" w:eastAsia="Yu Mincho" w:hAnsi="Calibri" w:cs="Arial"/>
            </w:rPr>
            <w:instrText xml:space="preserve"> TOC \o "1-3" \h \z \u </w:instrText>
          </w:r>
          <w:r w:rsidRPr="00921D71">
            <w:rPr>
              <w:rFonts w:ascii="Calibri" w:eastAsia="Yu Mincho" w:hAnsi="Calibri" w:cs="Arial"/>
              <w:b w:val="0"/>
            </w:rPr>
            <w:fldChar w:fldCharType="separate"/>
          </w:r>
          <w:hyperlink w:anchor="_Toc183777392" w:history="1">
            <w:r w:rsidR="003F6926" w:rsidRPr="00DB3B91">
              <w:rPr>
                <w:rStyle w:val="Hyperlink"/>
                <w:rFonts w:eastAsia="Times New Roman"/>
                <w:noProof/>
                <w:lang w:val="en-GB" w:eastAsia="en-AU"/>
              </w:rPr>
              <w:t>Introduction</w:t>
            </w:r>
            <w:r w:rsidR="003F6926">
              <w:rPr>
                <w:noProof/>
                <w:webHidden/>
              </w:rPr>
              <w:tab/>
            </w:r>
            <w:r w:rsidR="003F6926">
              <w:rPr>
                <w:noProof/>
                <w:webHidden/>
              </w:rPr>
              <w:fldChar w:fldCharType="begin"/>
            </w:r>
            <w:r w:rsidR="003F6926">
              <w:rPr>
                <w:noProof/>
                <w:webHidden/>
              </w:rPr>
              <w:instrText xml:space="preserve"> PAGEREF _Toc183777392 \h </w:instrText>
            </w:r>
            <w:r w:rsidR="003F6926">
              <w:rPr>
                <w:noProof/>
                <w:webHidden/>
              </w:rPr>
            </w:r>
            <w:r w:rsidR="003F6926">
              <w:rPr>
                <w:noProof/>
                <w:webHidden/>
              </w:rPr>
              <w:fldChar w:fldCharType="separate"/>
            </w:r>
            <w:r w:rsidR="00F61AA3">
              <w:rPr>
                <w:noProof/>
                <w:webHidden/>
              </w:rPr>
              <w:t>5</w:t>
            </w:r>
            <w:r w:rsidR="003F6926">
              <w:rPr>
                <w:noProof/>
                <w:webHidden/>
              </w:rPr>
              <w:fldChar w:fldCharType="end"/>
            </w:r>
          </w:hyperlink>
        </w:p>
        <w:p w14:paraId="533CED4C" w14:textId="56F7E932"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393" w:history="1">
            <w:r w:rsidRPr="00DB3B91">
              <w:rPr>
                <w:rStyle w:val="Hyperlink"/>
                <w:rFonts w:eastAsia="Times New Roman"/>
                <w:noProof/>
                <w:lang w:eastAsia="en-AU"/>
              </w:rPr>
              <w:t>Purpose and scope</w:t>
            </w:r>
            <w:r>
              <w:rPr>
                <w:noProof/>
                <w:webHidden/>
              </w:rPr>
              <w:tab/>
            </w:r>
            <w:r>
              <w:rPr>
                <w:noProof/>
                <w:webHidden/>
              </w:rPr>
              <w:fldChar w:fldCharType="begin"/>
            </w:r>
            <w:r>
              <w:rPr>
                <w:noProof/>
                <w:webHidden/>
              </w:rPr>
              <w:instrText xml:space="preserve"> PAGEREF _Toc183777393 \h </w:instrText>
            </w:r>
            <w:r>
              <w:rPr>
                <w:noProof/>
                <w:webHidden/>
              </w:rPr>
            </w:r>
            <w:r>
              <w:rPr>
                <w:noProof/>
                <w:webHidden/>
              </w:rPr>
              <w:fldChar w:fldCharType="separate"/>
            </w:r>
            <w:r w:rsidR="00F61AA3">
              <w:rPr>
                <w:noProof/>
                <w:webHidden/>
              </w:rPr>
              <w:t>5</w:t>
            </w:r>
            <w:r>
              <w:rPr>
                <w:noProof/>
                <w:webHidden/>
              </w:rPr>
              <w:fldChar w:fldCharType="end"/>
            </w:r>
          </w:hyperlink>
        </w:p>
        <w:p w14:paraId="63685506" w14:textId="1F7EE644"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394" w:history="1">
            <w:r w:rsidRPr="00DB3B91">
              <w:rPr>
                <w:rStyle w:val="Hyperlink"/>
                <w:rFonts w:eastAsia="Times New Roman"/>
                <w:noProof/>
                <w:lang w:eastAsia="en-AU"/>
              </w:rPr>
              <w:t>Governance </w:t>
            </w:r>
            <w:r>
              <w:rPr>
                <w:noProof/>
                <w:webHidden/>
              </w:rPr>
              <w:tab/>
            </w:r>
            <w:r>
              <w:rPr>
                <w:noProof/>
                <w:webHidden/>
              </w:rPr>
              <w:fldChar w:fldCharType="begin"/>
            </w:r>
            <w:r>
              <w:rPr>
                <w:noProof/>
                <w:webHidden/>
              </w:rPr>
              <w:instrText xml:space="preserve"> PAGEREF _Toc183777394 \h </w:instrText>
            </w:r>
            <w:r>
              <w:rPr>
                <w:noProof/>
                <w:webHidden/>
              </w:rPr>
            </w:r>
            <w:r>
              <w:rPr>
                <w:noProof/>
                <w:webHidden/>
              </w:rPr>
              <w:fldChar w:fldCharType="separate"/>
            </w:r>
            <w:r w:rsidR="00F61AA3">
              <w:rPr>
                <w:noProof/>
                <w:webHidden/>
              </w:rPr>
              <w:t>5</w:t>
            </w:r>
            <w:r>
              <w:rPr>
                <w:noProof/>
                <w:webHidden/>
              </w:rPr>
              <w:fldChar w:fldCharType="end"/>
            </w:r>
          </w:hyperlink>
        </w:p>
        <w:p w14:paraId="3492ADE8" w14:textId="6102AE76"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395" w:history="1">
            <w:r w:rsidRPr="00DB3B91">
              <w:rPr>
                <w:rStyle w:val="Hyperlink"/>
                <w:rFonts w:eastAsia="Times New Roman"/>
                <w:noProof/>
                <w:lang w:eastAsia="en-AU"/>
              </w:rPr>
              <w:t>Consultation process </w:t>
            </w:r>
            <w:r>
              <w:rPr>
                <w:noProof/>
                <w:webHidden/>
              </w:rPr>
              <w:tab/>
            </w:r>
            <w:r>
              <w:rPr>
                <w:noProof/>
                <w:webHidden/>
              </w:rPr>
              <w:fldChar w:fldCharType="begin"/>
            </w:r>
            <w:r>
              <w:rPr>
                <w:noProof/>
                <w:webHidden/>
              </w:rPr>
              <w:instrText xml:space="preserve"> PAGEREF _Toc183777395 \h </w:instrText>
            </w:r>
            <w:r>
              <w:rPr>
                <w:noProof/>
                <w:webHidden/>
              </w:rPr>
            </w:r>
            <w:r>
              <w:rPr>
                <w:noProof/>
                <w:webHidden/>
              </w:rPr>
              <w:fldChar w:fldCharType="separate"/>
            </w:r>
            <w:r w:rsidR="00F61AA3">
              <w:rPr>
                <w:noProof/>
                <w:webHidden/>
              </w:rPr>
              <w:t>6</w:t>
            </w:r>
            <w:r>
              <w:rPr>
                <w:noProof/>
                <w:webHidden/>
              </w:rPr>
              <w:fldChar w:fldCharType="end"/>
            </w:r>
          </w:hyperlink>
        </w:p>
        <w:p w14:paraId="7A26783E" w14:textId="780254C3"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396" w:history="1">
            <w:r w:rsidRPr="00DB3B91">
              <w:rPr>
                <w:rStyle w:val="Hyperlink"/>
                <w:rFonts w:eastAsia="Times New Roman"/>
                <w:noProof/>
                <w:lang w:val="en-GB" w:eastAsia="en-AU"/>
              </w:rPr>
              <w:t>Recommendations</w:t>
            </w:r>
            <w:r>
              <w:rPr>
                <w:noProof/>
                <w:webHidden/>
              </w:rPr>
              <w:tab/>
            </w:r>
            <w:r>
              <w:rPr>
                <w:noProof/>
                <w:webHidden/>
              </w:rPr>
              <w:fldChar w:fldCharType="begin"/>
            </w:r>
            <w:r>
              <w:rPr>
                <w:noProof/>
                <w:webHidden/>
              </w:rPr>
              <w:instrText xml:space="preserve"> PAGEREF _Toc183777396 \h </w:instrText>
            </w:r>
            <w:r>
              <w:rPr>
                <w:noProof/>
                <w:webHidden/>
              </w:rPr>
            </w:r>
            <w:r>
              <w:rPr>
                <w:noProof/>
                <w:webHidden/>
              </w:rPr>
              <w:fldChar w:fldCharType="separate"/>
            </w:r>
            <w:r w:rsidR="00F61AA3">
              <w:rPr>
                <w:noProof/>
                <w:webHidden/>
              </w:rPr>
              <w:t>7</w:t>
            </w:r>
            <w:r>
              <w:rPr>
                <w:noProof/>
                <w:webHidden/>
              </w:rPr>
              <w:fldChar w:fldCharType="end"/>
            </w:r>
          </w:hyperlink>
        </w:p>
        <w:p w14:paraId="30DFCFFF" w14:textId="5CD8538D"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397" w:history="1">
            <w:r w:rsidRPr="00DB3B91">
              <w:rPr>
                <w:rStyle w:val="Hyperlink"/>
                <w:rFonts w:eastAsia="Times New Roman"/>
                <w:noProof/>
                <w:lang w:val="en-GB" w:eastAsia="en-AU"/>
              </w:rPr>
              <w:t>Background</w:t>
            </w:r>
            <w:r>
              <w:rPr>
                <w:noProof/>
                <w:webHidden/>
              </w:rPr>
              <w:tab/>
            </w:r>
            <w:r>
              <w:rPr>
                <w:noProof/>
                <w:webHidden/>
              </w:rPr>
              <w:fldChar w:fldCharType="begin"/>
            </w:r>
            <w:r>
              <w:rPr>
                <w:noProof/>
                <w:webHidden/>
              </w:rPr>
              <w:instrText xml:space="preserve"> PAGEREF _Toc183777397 \h </w:instrText>
            </w:r>
            <w:r>
              <w:rPr>
                <w:noProof/>
                <w:webHidden/>
              </w:rPr>
            </w:r>
            <w:r>
              <w:rPr>
                <w:noProof/>
                <w:webHidden/>
              </w:rPr>
              <w:fldChar w:fldCharType="separate"/>
            </w:r>
            <w:r w:rsidR="00F61AA3">
              <w:rPr>
                <w:noProof/>
                <w:webHidden/>
              </w:rPr>
              <w:t>9</w:t>
            </w:r>
            <w:r>
              <w:rPr>
                <w:noProof/>
                <w:webHidden/>
              </w:rPr>
              <w:fldChar w:fldCharType="end"/>
            </w:r>
          </w:hyperlink>
        </w:p>
        <w:p w14:paraId="153B2BA7" w14:textId="0B02E364"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398" w:history="1">
            <w:r w:rsidRPr="00DB3B91">
              <w:rPr>
                <w:rStyle w:val="Hyperlink"/>
                <w:rFonts w:eastAsia="Times New Roman"/>
                <w:noProof/>
                <w:lang w:eastAsia="en-AU"/>
              </w:rPr>
              <w:t>The small claims procedure</w:t>
            </w:r>
            <w:r>
              <w:rPr>
                <w:noProof/>
                <w:webHidden/>
              </w:rPr>
              <w:tab/>
            </w:r>
            <w:r>
              <w:rPr>
                <w:noProof/>
                <w:webHidden/>
              </w:rPr>
              <w:fldChar w:fldCharType="begin"/>
            </w:r>
            <w:r>
              <w:rPr>
                <w:noProof/>
                <w:webHidden/>
              </w:rPr>
              <w:instrText xml:space="preserve"> PAGEREF _Toc183777398 \h </w:instrText>
            </w:r>
            <w:r>
              <w:rPr>
                <w:noProof/>
                <w:webHidden/>
              </w:rPr>
            </w:r>
            <w:r>
              <w:rPr>
                <w:noProof/>
                <w:webHidden/>
              </w:rPr>
              <w:fldChar w:fldCharType="separate"/>
            </w:r>
            <w:r w:rsidR="00F61AA3">
              <w:rPr>
                <w:noProof/>
                <w:webHidden/>
              </w:rPr>
              <w:t>9</w:t>
            </w:r>
            <w:r>
              <w:rPr>
                <w:noProof/>
                <w:webHidden/>
              </w:rPr>
              <w:fldChar w:fldCharType="end"/>
            </w:r>
          </w:hyperlink>
        </w:p>
        <w:p w14:paraId="1A065A1F" w14:textId="35AD6BE3"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399" w:history="1">
            <w:r w:rsidRPr="00DB3B91">
              <w:rPr>
                <w:rStyle w:val="Hyperlink"/>
                <w:rFonts w:eastAsia="Times New Roman"/>
                <w:noProof/>
                <w:lang w:eastAsia="en-AU"/>
              </w:rPr>
              <w:t>Previous reports and inquiries</w:t>
            </w:r>
            <w:r>
              <w:rPr>
                <w:noProof/>
                <w:webHidden/>
              </w:rPr>
              <w:tab/>
            </w:r>
            <w:r>
              <w:rPr>
                <w:noProof/>
                <w:webHidden/>
              </w:rPr>
              <w:fldChar w:fldCharType="begin"/>
            </w:r>
            <w:r>
              <w:rPr>
                <w:noProof/>
                <w:webHidden/>
              </w:rPr>
              <w:instrText xml:space="preserve"> PAGEREF _Toc183777399 \h </w:instrText>
            </w:r>
            <w:r>
              <w:rPr>
                <w:noProof/>
                <w:webHidden/>
              </w:rPr>
            </w:r>
            <w:r>
              <w:rPr>
                <w:noProof/>
                <w:webHidden/>
              </w:rPr>
              <w:fldChar w:fldCharType="separate"/>
            </w:r>
            <w:r w:rsidR="00F61AA3">
              <w:rPr>
                <w:noProof/>
                <w:webHidden/>
              </w:rPr>
              <w:t>9</w:t>
            </w:r>
            <w:r>
              <w:rPr>
                <w:noProof/>
                <w:webHidden/>
              </w:rPr>
              <w:fldChar w:fldCharType="end"/>
            </w:r>
          </w:hyperlink>
        </w:p>
        <w:p w14:paraId="00BC1070" w14:textId="6F780AD2"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00" w:history="1">
            <w:r w:rsidRPr="00DB3B91">
              <w:rPr>
                <w:rStyle w:val="Hyperlink"/>
                <w:rFonts w:eastAsia="Times New Roman"/>
                <w:noProof/>
                <w:lang w:eastAsia="en-AU"/>
              </w:rPr>
              <w:t>Migrant Workers’ Taskforce Report</w:t>
            </w:r>
            <w:r>
              <w:rPr>
                <w:noProof/>
                <w:webHidden/>
              </w:rPr>
              <w:tab/>
            </w:r>
            <w:r>
              <w:rPr>
                <w:noProof/>
                <w:webHidden/>
              </w:rPr>
              <w:fldChar w:fldCharType="begin"/>
            </w:r>
            <w:r>
              <w:rPr>
                <w:noProof/>
                <w:webHidden/>
              </w:rPr>
              <w:instrText xml:space="preserve"> PAGEREF _Toc183777400 \h </w:instrText>
            </w:r>
            <w:r>
              <w:rPr>
                <w:noProof/>
                <w:webHidden/>
              </w:rPr>
            </w:r>
            <w:r>
              <w:rPr>
                <w:noProof/>
                <w:webHidden/>
              </w:rPr>
              <w:fldChar w:fldCharType="separate"/>
            </w:r>
            <w:r w:rsidR="00F61AA3">
              <w:rPr>
                <w:noProof/>
                <w:webHidden/>
              </w:rPr>
              <w:t>9</w:t>
            </w:r>
            <w:r>
              <w:rPr>
                <w:noProof/>
                <w:webHidden/>
              </w:rPr>
              <w:fldChar w:fldCharType="end"/>
            </w:r>
          </w:hyperlink>
        </w:p>
        <w:p w14:paraId="49CF3C81" w14:textId="42371EDC"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01" w:history="1">
            <w:r w:rsidRPr="00DB3B91">
              <w:rPr>
                <w:rStyle w:val="Hyperlink"/>
                <w:rFonts w:eastAsia="Times New Roman"/>
                <w:noProof/>
                <w:lang w:eastAsia="en-AU"/>
              </w:rPr>
              <w:t>Senate Economics References Committee inquiry into the unlawful underpayment of employees</w:t>
            </w:r>
            <w:r w:rsidR="003F094B">
              <w:rPr>
                <w:rStyle w:val="Hyperlink"/>
                <w:rFonts w:eastAsia="Times New Roman"/>
                <w:noProof/>
                <w:lang w:eastAsia="en-AU"/>
              </w:rPr>
              <w:t>’</w:t>
            </w:r>
            <w:r w:rsidRPr="00DB3B91">
              <w:rPr>
                <w:rStyle w:val="Hyperlink"/>
                <w:rFonts w:eastAsia="Times New Roman"/>
                <w:noProof/>
                <w:lang w:eastAsia="en-AU"/>
              </w:rPr>
              <w:t xml:space="preserve"> remuneration </w:t>
            </w:r>
            <w:r>
              <w:rPr>
                <w:noProof/>
                <w:webHidden/>
              </w:rPr>
              <w:tab/>
            </w:r>
            <w:r>
              <w:rPr>
                <w:noProof/>
                <w:webHidden/>
              </w:rPr>
              <w:fldChar w:fldCharType="begin"/>
            </w:r>
            <w:r>
              <w:rPr>
                <w:noProof/>
                <w:webHidden/>
              </w:rPr>
              <w:instrText xml:space="preserve"> PAGEREF _Toc183777401 \h </w:instrText>
            </w:r>
            <w:r>
              <w:rPr>
                <w:noProof/>
                <w:webHidden/>
              </w:rPr>
            </w:r>
            <w:r>
              <w:rPr>
                <w:noProof/>
                <w:webHidden/>
              </w:rPr>
              <w:fldChar w:fldCharType="separate"/>
            </w:r>
            <w:r w:rsidR="00F61AA3">
              <w:rPr>
                <w:noProof/>
                <w:webHidden/>
              </w:rPr>
              <w:t>10</w:t>
            </w:r>
            <w:r>
              <w:rPr>
                <w:noProof/>
                <w:webHidden/>
              </w:rPr>
              <w:fldChar w:fldCharType="end"/>
            </w:r>
          </w:hyperlink>
        </w:p>
        <w:p w14:paraId="2E50F3F6" w14:textId="71E97CFD"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02" w:history="1">
            <w:r w:rsidRPr="00DB3B91">
              <w:rPr>
                <w:rStyle w:val="Hyperlink"/>
                <w:rFonts w:eastAsia="Times New Roman"/>
                <w:noProof/>
                <w:lang w:eastAsia="en-AU"/>
              </w:rPr>
              <w:t>Changes to the court-based small claims procedure since 2019 </w:t>
            </w:r>
            <w:r>
              <w:rPr>
                <w:noProof/>
                <w:webHidden/>
              </w:rPr>
              <w:tab/>
            </w:r>
            <w:r>
              <w:rPr>
                <w:noProof/>
                <w:webHidden/>
              </w:rPr>
              <w:fldChar w:fldCharType="begin"/>
            </w:r>
            <w:r>
              <w:rPr>
                <w:noProof/>
                <w:webHidden/>
              </w:rPr>
              <w:instrText xml:space="preserve"> PAGEREF _Toc183777402 \h </w:instrText>
            </w:r>
            <w:r>
              <w:rPr>
                <w:noProof/>
                <w:webHidden/>
              </w:rPr>
            </w:r>
            <w:r>
              <w:rPr>
                <w:noProof/>
                <w:webHidden/>
              </w:rPr>
              <w:fldChar w:fldCharType="separate"/>
            </w:r>
            <w:r w:rsidR="00F61AA3">
              <w:rPr>
                <w:noProof/>
                <w:webHidden/>
              </w:rPr>
              <w:t>10</w:t>
            </w:r>
            <w:r>
              <w:rPr>
                <w:noProof/>
                <w:webHidden/>
              </w:rPr>
              <w:fldChar w:fldCharType="end"/>
            </w:r>
          </w:hyperlink>
        </w:p>
        <w:p w14:paraId="72ABF42A" w14:textId="6097C35E"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03" w:history="1">
            <w:r w:rsidRPr="00DB3B91">
              <w:rPr>
                <w:rStyle w:val="Hyperlink"/>
                <w:rFonts w:eastAsia="Times New Roman"/>
                <w:noProof/>
                <w:lang w:eastAsia="en-AU"/>
              </w:rPr>
              <w:t>Changes to FCFCOA practice</w:t>
            </w:r>
            <w:r>
              <w:rPr>
                <w:noProof/>
                <w:webHidden/>
              </w:rPr>
              <w:tab/>
            </w:r>
            <w:r>
              <w:rPr>
                <w:noProof/>
                <w:webHidden/>
              </w:rPr>
              <w:fldChar w:fldCharType="begin"/>
            </w:r>
            <w:r>
              <w:rPr>
                <w:noProof/>
                <w:webHidden/>
              </w:rPr>
              <w:instrText xml:space="preserve"> PAGEREF _Toc183777403 \h </w:instrText>
            </w:r>
            <w:r>
              <w:rPr>
                <w:noProof/>
                <w:webHidden/>
              </w:rPr>
            </w:r>
            <w:r>
              <w:rPr>
                <w:noProof/>
                <w:webHidden/>
              </w:rPr>
              <w:fldChar w:fldCharType="separate"/>
            </w:r>
            <w:r w:rsidR="00F61AA3">
              <w:rPr>
                <w:noProof/>
                <w:webHidden/>
              </w:rPr>
              <w:t>10</w:t>
            </w:r>
            <w:r>
              <w:rPr>
                <w:noProof/>
                <w:webHidden/>
              </w:rPr>
              <w:fldChar w:fldCharType="end"/>
            </w:r>
          </w:hyperlink>
        </w:p>
        <w:p w14:paraId="49C2DA41" w14:textId="531603C3"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04" w:history="1">
            <w:r w:rsidRPr="00DB3B91">
              <w:rPr>
                <w:rStyle w:val="Hyperlink"/>
                <w:rFonts w:eastAsia="Times New Roman"/>
                <w:noProof/>
                <w:lang w:eastAsia="en-AU"/>
              </w:rPr>
              <w:t>Legislative amendments and current reform</w:t>
            </w:r>
            <w:r>
              <w:rPr>
                <w:noProof/>
                <w:webHidden/>
              </w:rPr>
              <w:tab/>
            </w:r>
            <w:r>
              <w:rPr>
                <w:noProof/>
                <w:webHidden/>
              </w:rPr>
              <w:fldChar w:fldCharType="begin"/>
            </w:r>
            <w:r>
              <w:rPr>
                <w:noProof/>
                <w:webHidden/>
              </w:rPr>
              <w:instrText xml:space="preserve"> PAGEREF _Toc183777404 \h </w:instrText>
            </w:r>
            <w:r>
              <w:rPr>
                <w:noProof/>
                <w:webHidden/>
              </w:rPr>
            </w:r>
            <w:r>
              <w:rPr>
                <w:noProof/>
                <w:webHidden/>
              </w:rPr>
              <w:fldChar w:fldCharType="separate"/>
            </w:r>
            <w:r w:rsidR="00F61AA3">
              <w:rPr>
                <w:noProof/>
                <w:webHidden/>
              </w:rPr>
              <w:t>11</w:t>
            </w:r>
            <w:r>
              <w:rPr>
                <w:noProof/>
                <w:webHidden/>
              </w:rPr>
              <w:fldChar w:fldCharType="end"/>
            </w:r>
          </w:hyperlink>
        </w:p>
        <w:p w14:paraId="533BD823" w14:textId="727DDFAA"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405" w:history="1">
            <w:r w:rsidRPr="00DB3B91">
              <w:rPr>
                <w:rStyle w:val="Hyperlink"/>
                <w:rFonts w:eastAsia="Times New Roman"/>
                <w:noProof/>
                <w:lang w:val="en-GB" w:eastAsia="en-AU"/>
              </w:rPr>
              <w:t>Issue 1: The effectiveness of the current court-based small claims procedure</w:t>
            </w:r>
            <w:r>
              <w:rPr>
                <w:noProof/>
                <w:webHidden/>
              </w:rPr>
              <w:tab/>
            </w:r>
            <w:r>
              <w:rPr>
                <w:noProof/>
                <w:webHidden/>
              </w:rPr>
              <w:fldChar w:fldCharType="begin"/>
            </w:r>
            <w:r>
              <w:rPr>
                <w:noProof/>
                <w:webHidden/>
              </w:rPr>
              <w:instrText xml:space="preserve"> PAGEREF _Toc183777405 \h </w:instrText>
            </w:r>
            <w:r>
              <w:rPr>
                <w:noProof/>
                <w:webHidden/>
              </w:rPr>
            </w:r>
            <w:r>
              <w:rPr>
                <w:noProof/>
                <w:webHidden/>
              </w:rPr>
              <w:fldChar w:fldCharType="separate"/>
            </w:r>
            <w:r w:rsidR="00F61AA3">
              <w:rPr>
                <w:noProof/>
                <w:webHidden/>
              </w:rPr>
              <w:t>13</w:t>
            </w:r>
            <w:r>
              <w:rPr>
                <w:noProof/>
                <w:webHidden/>
              </w:rPr>
              <w:fldChar w:fldCharType="end"/>
            </w:r>
          </w:hyperlink>
        </w:p>
        <w:p w14:paraId="39DF9F77" w14:textId="5EBBBC04"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06" w:history="1">
            <w:r w:rsidRPr="00DB3B91">
              <w:rPr>
                <w:rStyle w:val="Hyperlink"/>
                <w:rFonts w:eastAsia="Times New Roman"/>
                <w:noProof/>
                <w:lang w:eastAsia="en-AU"/>
              </w:rPr>
              <w:t>Stakeholder feedback</w:t>
            </w:r>
            <w:r>
              <w:rPr>
                <w:noProof/>
                <w:webHidden/>
              </w:rPr>
              <w:tab/>
            </w:r>
            <w:r>
              <w:rPr>
                <w:noProof/>
                <w:webHidden/>
              </w:rPr>
              <w:fldChar w:fldCharType="begin"/>
            </w:r>
            <w:r>
              <w:rPr>
                <w:noProof/>
                <w:webHidden/>
              </w:rPr>
              <w:instrText xml:space="preserve"> PAGEREF _Toc183777406 \h </w:instrText>
            </w:r>
            <w:r>
              <w:rPr>
                <w:noProof/>
                <w:webHidden/>
              </w:rPr>
            </w:r>
            <w:r>
              <w:rPr>
                <w:noProof/>
                <w:webHidden/>
              </w:rPr>
              <w:fldChar w:fldCharType="separate"/>
            </w:r>
            <w:r w:rsidR="00F61AA3">
              <w:rPr>
                <w:noProof/>
                <w:webHidden/>
              </w:rPr>
              <w:t>13</w:t>
            </w:r>
            <w:r>
              <w:rPr>
                <w:noProof/>
                <w:webHidden/>
              </w:rPr>
              <w:fldChar w:fldCharType="end"/>
            </w:r>
          </w:hyperlink>
        </w:p>
        <w:p w14:paraId="52F56F85" w14:textId="2F6FF8B3"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07" w:history="1">
            <w:r w:rsidRPr="00DB3B91">
              <w:rPr>
                <w:rStyle w:val="Hyperlink"/>
                <w:rFonts w:eastAsia="Times New Roman"/>
                <w:noProof/>
                <w:lang w:eastAsia="en-AU"/>
              </w:rPr>
              <w:t>Barriers to access</w:t>
            </w:r>
            <w:r>
              <w:rPr>
                <w:noProof/>
                <w:webHidden/>
              </w:rPr>
              <w:tab/>
            </w:r>
            <w:r>
              <w:rPr>
                <w:noProof/>
                <w:webHidden/>
              </w:rPr>
              <w:fldChar w:fldCharType="begin"/>
            </w:r>
            <w:r>
              <w:rPr>
                <w:noProof/>
                <w:webHidden/>
              </w:rPr>
              <w:instrText xml:space="preserve"> PAGEREF _Toc183777407 \h </w:instrText>
            </w:r>
            <w:r>
              <w:rPr>
                <w:noProof/>
                <w:webHidden/>
              </w:rPr>
            </w:r>
            <w:r>
              <w:rPr>
                <w:noProof/>
                <w:webHidden/>
              </w:rPr>
              <w:fldChar w:fldCharType="separate"/>
            </w:r>
            <w:r w:rsidR="00F61AA3">
              <w:rPr>
                <w:noProof/>
                <w:webHidden/>
              </w:rPr>
              <w:t>13</w:t>
            </w:r>
            <w:r>
              <w:rPr>
                <w:noProof/>
                <w:webHidden/>
              </w:rPr>
              <w:fldChar w:fldCharType="end"/>
            </w:r>
          </w:hyperlink>
        </w:p>
        <w:p w14:paraId="2CC4329C" w14:textId="4D5DA79B"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08" w:history="1">
            <w:r w:rsidRPr="00DB3B91">
              <w:rPr>
                <w:rStyle w:val="Hyperlink"/>
                <w:rFonts w:eastAsia="Times New Roman"/>
                <w:noProof/>
                <w:lang w:eastAsia="en-AU"/>
              </w:rPr>
              <w:t>Findings and recommendations to Government</w:t>
            </w:r>
            <w:r>
              <w:rPr>
                <w:noProof/>
                <w:webHidden/>
              </w:rPr>
              <w:tab/>
            </w:r>
            <w:r>
              <w:rPr>
                <w:noProof/>
                <w:webHidden/>
              </w:rPr>
              <w:fldChar w:fldCharType="begin"/>
            </w:r>
            <w:r>
              <w:rPr>
                <w:noProof/>
                <w:webHidden/>
              </w:rPr>
              <w:instrText xml:space="preserve"> PAGEREF _Toc183777408 \h </w:instrText>
            </w:r>
            <w:r>
              <w:rPr>
                <w:noProof/>
                <w:webHidden/>
              </w:rPr>
            </w:r>
            <w:r>
              <w:rPr>
                <w:noProof/>
                <w:webHidden/>
              </w:rPr>
              <w:fldChar w:fldCharType="separate"/>
            </w:r>
            <w:r w:rsidR="00F61AA3">
              <w:rPr>
                <w:noProof/>
                <w:webHidden/>
              </w:rPr>
              <w:t>17</w:t>
            </w:r>
            <w:r>
              <w:rPr>
                <w:noProof/>
                <w:webHidden/>
              </w:rPr>
              <w:fldChar w:fldCharType="end"/>
            </w:r>
          </w:hyperlink>
        </w:p>
        <w:p w14:paraId="7DD656B8" w14:textId="4C71F810"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09" w:history="1">
            <w:r w:rsidRPr="00DB3B91">
              <w:rPr>
                <w:rStyle w:val="Hyperlink"/>
                <w:rFonts w:eastAsia="Times New Roman"/>
                <w:noProof/>
                <w:lang w:eastAsia="en-AU"/>
              </w:rPr>
              <w:t>Finding 1: Filing fees are an initial cost barrier to wage recovery</w:t>
            </w:r>
            <w:r>
              <w:rPr>
                <w:noProof/>
                <w:webHidden/>
              </w:rPr>
              <w:tab/>
            </w:r>
            <w:r>
              <w:rPr>
                <w:noProof/>
                <w:webHidden/>
              </w:rPr>
              <w:fldChar w:fldCharType="begin"/>
            </w:r>
            <w:r>
              <w:rPr>
                <w:noProof/>
                <w:webHidden/>
              </w:rPr>
              <w:instrText xml:space="preserve"> PAGEREF _Toc183777409 \h </w:instrText>
            </w:r>
            <w:r>
              <w:rPr>
                <w:noProof/>
                <w:webHidden/>
              </w:rPr>
            </w:r>
            <w:r>
              <w:rPr>
                <w:noProof/>
                <w:webHidden/>
              </w:rPr>
              <w:fldChar w:fldCharType="separate"/>
            </w:r>
            <w:r w:rsidR="00F61AA3">
              <w:rPr>
                <w:noProof/>
                <w:webHidden/>
              </w:rPr>
              <w:t>18</w:t>
            </w:r>
            <w:r>
              <w:rPr>
                <w:noProof/>
                <w:webHidden/>
              </w:rPr>
              <w:fldChar w:fldCharType="end"/>
            </w:r>
          </w:hyperlink>
        </w:p>
        <w:p w14:paraId="22C9DF0F" w14:textId="680D0BC4"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0" w:history="1">
            <w:r w:rsidRPr="00DB3B91">
              <w:rPr>
                <w:rStyle w:val="Hyperlink"/>
                <w:rFonts w:eastAsia="Times New Roman"/>
                <w:noProof/>
                <w:lang w:eastAsia="en-AU"/>
              </w:rPr>
              <w:t>Finding 2: Increased deterrents for employers are needed</w:t>
            </w:r>
            <w:r>
              <w:rPr>
                <w:noProof/>
                <w:webHidden/>
              </w:rPr>
              <w:tab/>
            </w:r>
            <w:r>
              <w:rPr>
                <w:noProof/>
                <w:webHidden/>
              </w:rPr>
              <w:fldChar w:fldCharType="begin"/>
            </w:r>
            <w:r>
              <w:rPr>
                <w:noProof/>
                <w:webHidden/>
              </w:rPr>
              <w:instrText xml:space="preserve"> PAGEREF _Toc183777410 \h </w:instrText>
            </w:r>
            <w:r>
              <w:rPr>
                <w:noProof/>
                <w:webHidden/>
              </w:rPr>
            </w:r>
            <w:r>
              <w:rPr>
                <w:noProof/>
                <w:webHidden/>
              </w:rPr>
              <w:fldChar w:fldCharType="separate"/>
            </w:r>
            <w:r w:rsidR="00F61AA3">
              <w:rPr>
                <w:noProof/>
                <w:webHidden/>
              </w:rPr>
              <w:t>20</w:t>
            </w:r>
            <w:r>
              <w:rPr>
                <w:noProof/>
                <w:webHidden/>
              </w:rPr>
              <w:fldChar w:fldCharType="end"/>
            </w:r>
          </w:hyperlink>
        </w:p>
        <w:p w14:paraId="357F1300" w14:textId="46E447E9"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1" w:history="1">
            <w:r w:rsidRPr="00DB3B91">
              <w:rPr>
                <w:rStyle w:val="Hyperlink"/>
                <w:rFonts w:eastAsia="Times New Roman"/>
                <w:noProof/>
                <w:lang w:eastAsia="en-AU"/>
              </w:rPr>
              <w:t>Finding 3: Further simplification to court procedure is needed</w:t>
            </w:r>
            <w:r>
              <w:rPr>
                <w:noProof/>
                <w:webHidden/>
              </w:rPr>
              <w:tab/>
            </w:r>
            <w:r>
              <w:rPr>
                <w:noProof/>
                <w:webHidden/>
              </w:rPr>
              <w:fldChar w:fldCharType="begin"/>
            </w:r>
            <w:r>
              <w:rPr>
                <w:noProof/>
                <w:webHidden/>
              </w:rPr>
              <w:instrText xml:space="preserve"> PAGEREF _Toc183777411 \h </w:instrText>
            </w:r>
            <w:r>
              <w:rPr>
                <w:noProof/>
                <w:webHidden/>
              </w:rPr>
            </w:r>
            <w:r>
              <w:rPr>
                <w:noProof/>
                <w:webHidden/>
              </w:rPr>
              <w:fldChar w:fldCharType="separate"/>
            </w:r>
            <w:r w:rsidR="00F61AA3">
              <w:rPr>
                <w:noProof/>
                <w:webHidden/>
              </w:rPr>
              <w:t>21</w:t>
            </w:r>
            <w:r>
              <w:rPr>
                <w:noProof/>
                <w:webHidden/>
              </w:rPr>
              <w:fldChar w:fldCharType="end"/>
            </w:r>
          </w:hyperlink>
        </w:p>
        <w:p w14:paraId="6708A497" w14:textId="3A97B7FB"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2" w:history="1">
            <w:r w:rsidRPr="00DB3B91">
              <w:rPr>
                <w:rStyle w:val="Hyperlink"/>
                <w:rFonts w:eastAsia="Times New Roman"/>
                <w:noProof/>
                <w:lang w:eastAsia="en-AU"/>
              </w:rPr>
              <w:t>Finding 4: Migrant workers require effective visa protections and additional safeguards to encourage bringing a small claim</w:t>
            </w:r>
            <w:r>
              <w:rPr>
                <w:noProof/>
                <w:webHidden/>
              </w:rPr>
              <w:tab/>
            </w:r>
            <w:r>
              <w:rPr>
                <w:noProof/>
                <w:webHidden/>
              </w:rPr>
              <w:fldChar w:fldCharType="begin"/>
            </w:r>
            <w:r>
              <w:rPr>
                <w:noProof/>
                <w:webHidden/>
              </w:rPr>
              <w:instrText xml:space="preserve"> PAGEREF _Toc183777412 \h </w:instrText>
            </w:r>
            <w:r>
              <w:rPr>
                <w:noProof/>
                <w:webHidden/>
              </w:rPr>
            </w:r>
            <w:r>
              <w:rPr>
                <w:noProof/>
                <w:webHidden/>
              </w:rPr>
              <w:fldChar w:fldCharType="separate"/>
            </w:r>
            <w:r w:rsidR="00F61AA3">
              <w:rPr>
                <w:noProof/>
                <w:webHidden/>
              </w:rPr>
              <w:t>22</w:t>
            </w:r>
            <w:r>
              <w:rPr>
                <w:noProof/>
                <w:webHidden/>
              </w:rPr>
              <w:fldChar w:fldCharType="end"/>
            </w:r>
          </w:hyperlink>
        </w:p>
        <w:p w14:paraId="519F1A88" w14:textId="06FE9994"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3" w:history="1">
            <w:r w:rsidRPr="00DB3B91">
              <w:rPr>
                <w:rStyle w:val="Hyperlink"/>
                <w:rFonts w:eastAsia="Times New Roman"/>
                <w:noProof/>
                <w:lang w:eastAsia="en-AU"/>
              </w:rPr>
              <w:t>Finding 5: The small claims jurisdiction requires multilingual resources and materials</w:t>
            </w:r>
            <w:r>
              <w:rPr>
                <w:noProof/>
                <w:webHidden/>
              </w:rPr>
              <w:tab/>
            </w:r>
            <w:r>
              <w:rPr>
                <w:noProof/>
                <w:webHidden/>
              </w:rPr>
              <w:fldChar w:fldCharType="begin"/>
            </w:r>
            <w:r>
              <w:rPr>
                <w:noProof/>
                <w:webHidden/>
              </w:rPr>
              <w:instrText xml:space="preserve"> PAGEREF _Toc183777413 \h </w:instrText>
            </w:r>
            <w:r>
              <w:rPr>
                <w:noProof/>
                <w:webHidden/>
              </w:rPr>
            </w:r>
            <w:r>
              <w:rPr>
                <w:noProof/>
                <w:webHidden/>
              </w:rPr>
              <w:fldChar w:fldCharType="separate"/>
            </w:r>
            <w:r w:rsidR="00F61AA3">
              <w:rPr>
                <w:noProof/>
                <w:webHidden/>
              </w:rPr>
              <w:t>23</w:t>
            </w:r>
            <w:r>
              <w:rPr>
                <w:noProof/>
                <w:webHidden/>
              </w:rPr>
              <w:fldChar w:fldCharType="end"/>
            </w:r>
          </w:hyperlink>
        </w:p>
        <w:p w14:paraId="5FC9BFE7" w14:textId="40A9B2B2"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4" w:history="1">
            <w:r w:rsidRPr="00DB3B91">
              <w:rPr>
                <w:rStyle w:val="Hyperlink"/>
                <w:rFonts w:eastAsia="Times New Roman"/>
                <w:noProof/>
                <w:lang w:eastAsia="en-AU"/>
              </w:rPr>
              <w:t>Finding 6: Additional funding is required to enable CLCs, WWCs and migrant worker centres to represent and assist vulnerable workers</w:t>
            </w:r>
            <w:r>
              <w:rPr>
                <w:noProof/>
                <w:webHidden/>
              </w:rPr>
              <w:tab/>
            </w:r>
            <w:r>
              <w:rPr>
                <w:noProof/>
                <w:webHidden/>
              </w:rPr>
              <w:fldChar w:fldCharType="begin"/>
            </w:r>
            <w:r>
              <w:rPr>
                <w:noProof/>
                <w:webHidden/>
              </w:rPr>
              <w:instrText xml:space="preserve"> PAGEREF _Toc183777414 \h </w:instrText>
            </w:r>
            <w:r>
              <w:rPr>
                <w:noProof/>
                <w:webHidden/>
              </w:rPr>
            </w:r>
            <w:r>
              <w:rPr>
                <w:noProof/>
                <w:webHidden/>
              </w:rPr>
              <w:fldChar w:fldCharType="separate"/>
            </w:r>
            <w:r w:rsidR="00F61AA3">
              <w:rPr>
                <w:noProof/>
                <w:webHidden/>
              </w:rPr>
              <w:t>23</w:t>
            </w:r>
            <w:r>
              <w:rPr>
                <w:noProof/>
                <w:webHidden/>
              </w:rPr>
              <w:fldChar w:fldCharType="end"/>
            </w:r>
          </w:hyperlink>
        </w:p>
        <w:p w14:paraId="59D3DB5B" w14:textId="30A22693"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5" w:history="1">
            <w:r w:rsidRPr="00DB3B91">
              <w:rPr>
                <w:rStyle w:val="Hyperlink"/>
                <w:rFonts w:eastAsia="Times New Roman"/>
                <w:noProof/>
                <w:lang w:eastAsia="en-AU"/>
              </w:rPr>
              <w:t>Finding 7: The effect of the raised monetary cap should be examined and reviewed</w:t>
            </w:r>
            <w:r>
              <w:rPr>
                <w:noProof/>
                <w:webHidden/>
              </w:rPr>
              <w:tab/>
            </w:r>
            <w:r>
              <w:rPr>
                <w:noProof/>
                <w:webHidden/>
              </w:rPr>
              <w:fldChar w:fldCharType="begin"/>
            </w:r>
            <w:r>
              <w:rPr>
                <w:noProof/>
                <w:webHidden/>
              </w:rPr>
              <w:instrText xml:space="preserve"> PAGEREF _Toc183777415 \h </w:instrText>
            </w:r>
            <w:r>
              <w:rPr>
                <w:noProof/>
                <w:webHidden/>
              </w:rPr>
            </w:r>
            <w:r>
              <w:rPr>
                <w:noProof/>
                <w:webHidden/>
              </w:rPr>
              <w:fldChar w:fldCharType="separate"/>
            </w:r>
            <w:r w:rsidR="00F61AA3">
              <w:rPr>
                <w:noProof/>
                <w:webHidden/>
              </w:rPr>
              <w:t>24</w:t>
            </w:r>
            <w:r>
              <w:rPr>
                <w:noProof/>
                <w:webHidden/>
              </w:rPr>
              <w:fldChar w:fldCharType="end"/>
            </w:r>
          </w:hyperlink>
        </w:p>
        <w:p w14:paraId="2F93151D" w14:textId="5F8C1CFA"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416" w:history="1">
            <w:r w:rsidRPr="00DB3B91">
              <w:rPr>
                <w:rStyle w:val="Hyperlink"/>
                <w:rFonts w:eastAsia="Times New Roman"/>
                <w:noProof/>
                <w:lang w:val="en-GB" w:eastAsia="en-AU"/>
              </w:rPr>
              <w:t>Issue 2: Use of alternative dispute resolution in a tribunal</w:t>
            </w:r>
            <w:r>
              <w:rPr>
                <w:noProof/>
                <w:webHidden/>
              </w:rPr>
              <w:tab/>
            </w:r>
            <w:r>
              <w:rPr>
                <w:noProof/>
                <w:webHidden/>
              </w:rPr>
              <w:fldChar w:fldCharType="begin"/>
            </w:r>
            <w:r>
              <w:rPr>
                <w:noProof/>
                <w:webHidden/>
              </w:rPr>
              <w:instrText xml:space="preserve"> PAGEREF _Toc183777416 \h </w:instrText>
            </w:r>
            <w:r>
              <w:rPr>
                <w:noProof/>
                <w:webHidden/>
              </w:rPr>
            </w:r>
            <w:r>
              <w:rPr>
                <w:noProof/>
                <w:webHidden/>
              </w:rPr>
              <w:fldChar w:fldCharType="separate"/>
            </w:r>
            <w:r w:rsidR="00F61AA3">
              <w:rPr>
                <w:noProof/>
                <w:webHidden/>
              </w:rPr>
              <w:t>25</w:t>
            </w:r>
            <w:r>
              <w:rPr>
                <w:noProof/>
                <w:webHidden/>
              </w:rPr>
              <w:fldChar w:fldCharType="end"/>
            </w:r>
          </w:hyperlink>
        </w:p>
        <w:p w14:paraId="389DD852" w14:textId="4E123008"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17" w:history="1">
            <w:r w:rsidRPr="00DB3B91">
              <w:rPr>
                <w:rStyle w:val="Hyperlink"/>
                <w:rFonts w:eastAsia="Times New Roman"/>
                <w:noProof/>
                <w:lang w:eastAsia="en-AU"/>
              </w:rPr>
              <w:t>Stakeholder feedback</w:t>
            </w:r>
            <w:r>
              <w:rPr>
                <w:noProof/>
                <w:webHidden/>
              </w:rPr>
              <w:tab/>
            </w:r>
            <w:r>
              <w:rPr>
                <w:noProof/>
                <w:webHidden/>
              </w:rPr>
              <w:fldChar w:fldCharType="begin"/>
            </w:r>
            <w:r>
              <w:rPr>
                <w:noProof/>
                <w:webHidden/>
              </w:rPr>
              <w:instrText xml:space="preserve"> PAGEREF _Toc183777417 \h </w:instrText>
            </w:r>
            <w:r>
              <w:rPr>
                <w:noProof/>
                <w:webHidden/>
              </w:rPr>
            </w:r>
            <w:r>
              <w:rPr>
                <w:noProof/>
                <w:webHidden/>
              </w:rPr>
              <w:fldChar w:fldCharType="separate"/>
            </w:r>
            <w:r w:rsidR="00F61AA3">
              <w:rPr>
                <w:noProof/>
                <w:webHidden/>
              </w:rPr>
              <w:t>25</w:t>
            </w:r>
            <w:r>
              <w:rPr>
                <w:noProof/>
                <w:webHidden/>
              </w:rPr>
              <w:fldChar w:fldCharType="end"/>
            </w:r>
          </w:hyperlink>
        </w:p>
        <w:p w14:paraId="1A809304" w14:textId="0F813487"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8" w:history="1">
            <w:r w:rsidRPr="00DB3B91">
              <w:rPr>
                <w:rStyle w:val="Hyperlink"/>
                <w:rFonts w:eastAsia="Times New Roman"/>
                <w:noProof/>
                <w:lang w:eastAsia="en-AU"/>
              </w:rPr>
              <w:t>Simplified procedure</w:t>
            </w:r>
            <w:r>
              <w:rPr>
                <w:noProof/>
                <w:webHidden/>
              </w:rPr>
              <w:tab/>
            </w:r>
            <w:r>
              <w:rPr>
                <w:noProof/>
                <w:webHidden/>
              </w:rPr>
              <w:fldChar w:fldCharType="begin"/>
            </w:r>
            <w:r>
              <w:rPr>
                <w:noProof/>
                <w:webHidden/>
              </w:rPr>
              <w:instrText xml:space="preserve"> PAGEREF _Toc183777418 \h </w:instrText>
            </w:r>
            <w:r>
              <w:rPr>
                <w:noProof/>
                <w:webHidden/>
              </w:rPr>
            </w:r>
            <w:r>
              <w:rPr>
                <w:noProof/>
                <w:webHidden/>
              </w:rPr>
              <w:fldChar w:fldCharType="separate"/>
            </w:r>
            <w:r w:rsidR="00F61AA3">
              <w:rPr>
                <w:noProof/>
                <w:webHidden/>
              </w:rPr>
              <w:t>25</w:t>
            </w:r>
            <w:r>
              <w:rPr>
                <w:noProof/>
                <w:webHidden/>
              </w:rPr>
              <w:fldChar w:fldCharType="end"/>
            </w:r>
          </w:hyperlink>
        </w:p>
        <w:p w14:paraId="5194B008" w14:textId="34AB90B7"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19" w:history="1">
            <w:r w:rsidRPr="00DB3B91">
              <w:rPr>
                <w:rStyle w:val="Hyperlink"/>
                <w:rFonts w:eastAsia="Times New Roman"/>
                <w:noProof/>
                <w:lang w:eastAsia="en-AU"/>
              </w:rPr>
              <w:t>Timely resolution of matters</w:t>
            </w:r>
            <w:r>
              <w:rPr>
                <w:noProof/>
                <w:webHidden/>
              </w:rPr>
              <w:tab/>
            </w:r>
            <w:r>
              <w:rPr>
                <w:noProof/>
                <w:webHidden/>
              </w:rPr>
              <w:fldChar w:fldCharType="begin"/>
            </w:r>
            <w:r>
              <w:rPr>
                <w:noProof/>
                <w:webHidden/>
              </w:rPr>
              <w:instrText xml:space="preserve"> PAGEREF _Toc183777419 \h </w:instrText>
            </w:r>
            <w:r>
              <w:rPr>
                <w:noProof/>
                <w:webHidden/>
              </w:rPr>
            </w:r>
            <w:r>
              <w:rPr>
                <w:noProof/>
                <w:webHidden/>
              </w:rPr>
              <w:fldChar w:fldCharType="separate"/>
            </w:r>
            <w:r w:rsidR="00F61AA3">
              <w:rPr>
                <w:noProof/>
                <w:webHidden/>
              </w:rPr>
              <w:t>25</w:t>
            </w:r>
            <w:r>
              <w:rPr>
                <w:noProof/>
                <w:webHidden/>
              </w:rPr>
              <w:fldChar w:fldCharType="end"/>
            </w:r>
          </w:hyperlink>
        </w:p>
        <w:p w14:paraId="503209DB" w14:textId="64B5B565"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20" w:history="1">
            <w:r w:rsidRPr="00DB3B91">
              <w:rPr>
                <w:rStyle w:val="Hyperlink"/>
                <w:rFonts w:eastAsia="Times New Roman"/>
                <w:noProof/>
                <w:lang w:eastAsia="en-AU"/>
              </w:rPr>
              <w:t>Enforcement of orders</w:t>
            </w:r>
            <w:r>
              <w:rPr>
                <w:noProof/>
                <w:webHidden/>
              </w:rPr>
              <w:tab/>
            </w:r>
            <w:r>
              <w:rPr>
                <w:noProof/>
                <w:webHidden/>
              </w:rPr>
              <w:fldChar w:fldCharType="begin"/>
            </w:r>
            <w:r>
              <w:rPr>
                <w:noProof/>
                <w:webHidden/>
              </w:rPr>
              <w:instrText xml:space="preserve"> PAGEREF _Toc183777420 \h </w:instrText>
            </w:r>
            <w:r>
              <w:rPr>
                <w:noProof/>
                <w:webHidden/>
              </w:rPr>
            </w:r>
            <w:r>
              <w:rPr>
                <w:noProof/>
                <w:webHidden/>
              </w:rPr>
              <w:fldChar w:fldCharType="separate"/>
            </w:r>
            <w:r w:rsidR="00F61AA3">
              <w:rPr>
                <w:noProof/>
                <w:webHidden/>
              </w:rPr>
              <w:t>25</w:t>
            </w:r>
            <w:r>
              <w:rPr>
                <w:noProof/>
                <w:webHidden/>
              </w:rPr>
              <w:fldChar w:fldCharType="end"/>
            </w:r>
          </w:hyperlink>
        </w:p>
        <w:p w14:paraId="2AB1066E" w14:textId="61198F67"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21" w:history="1">
            <w:r w:rsidRPr="00DB3B91">
              <w:rPr>
                <w:rStyle w:val="Hyperlink"/>
                <w:rFonts w:eastAsia="Times New Roman"/>
                <w:noProof/>
                <w:lang w:eastAsia="en-AU"/>
              </w:rPr>
              <w:t>Increased accessibility for migrant workers</w:t>
            </w:r>
            <w:r>
              <w:rPr>
                <w:noProof/>
                <w:webHidden/>
              </w:rPr>
              <w:tab/>
            </w:r>
            <w:r>
              <w:rPr>
                <w:noProof/>
                <w:webHidden/>
              </w:rPr>
              <w:fldChar w:fldCharType="begin"/>
            </w:r>
            <w:r>
              <w:rPr>
                <w:noProof/>
                <w:webHidden/>
              </w:rPr>
              <w:instrText xml:space="preserve"> PAGEREF _Toc183777421 \h </w:instrText>
            </w:r>
            <w:r>
              <w:rPr>
                <w:noProof/>
                <w:webHidden/>
              </w:rPr>
            </w:r>
            <w:r>
              <w:rPr>
                <w:noProof/>
                <w:webHidden/>
              </w:rPr>
              <w:fldChar w:fldCharType="separate"/>
            </w:r>
            <w:r w:rsidR="00F61AA3">
              <w:rPr>
                <w:noProof/>
                <w:webHidden/>
              </w:rPr>
              <w:t>26</w:t>
            </w:r>
            <w:r>
              <w:rPr>
                <w:noProof/>
                <w:webHidden/>
              </w:rPr>
              <w:fldChar w:fldCharType="end"/>
            </w:r>
          </w:hyperlink>
        </w:p>
        <w:p w14:paraId="645064B4" w14:textId="767DE320"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22" w:history="1">
            <w:r w:rsidRPr="00DB3B91">
              <w:rPr>
                <w:rStyle w:val="Hyperlink"/>
                <w:rFonts w:eastAsia="Times New Roman"/>
                <w:noProof/>
                <w:lang w:eastAsia="en-AU"/>
              </w:rPr>
              <w:t>Establishment of an industrial court</w:t>
            </w:r>
            <w:r>
              <w:rPr>
                <w:noProof/>
                <w:webHidden/>
              </w:rPr>
              <w:tab/>
            </w:r>
            <w:r>
              <w:rPr>
                <w:noProof/>
                <w:webHidden/>
              </w:rPr>
              <w:fldChar w:fldCharType="begin"/>
            </w:r>
            <w:r>
              <w:rPr>
                <w:noProof/>
                <w:webHidden/>
              </w:rPr>
              <w:instrText xml:space="preserve"> PAGEREF _Toc183777422 \h </w:instrText>
            </w:r>
            <w:r>
              <w:rPr>
                <w:noProof/>
                <w:webHidden/>
              </w:rPr>
            </w:r>
            <w:r>
              <w:rPr>
                <w:noProof/>
                <w:webHidden/>
              </w:rPr>
              <w:fldChar w:fldCharType="separate"/>
            </w:r>
            <w:r w:rsidR="00F61AA3">
              <w:rPr>
                <w:noProof/>
                <w:webHidden/>
              </w:rPr>
              <w:t>26</w:t>
            </w:r>
            <w:r>
              <w:rPr>
                <w:noProof/>
                <w:webHidden/>
              </w:rPr>
              <w:fldChar w:fldCharType="end"/>
            </w:r>
          </w:hyperlink>
        </w:p>
        <w:p w14:paraId="7B3436D0" w14:textId="691CE8D1"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23" w:history="1">
            <w:r w:rsidRPr="00DB3B91">
              <w:rPr>
                <w:rStyle w:val="Hyperlink"/>
                <w:rFonts w:eastAsia="Times New Roman"/>
                <w:noProof/>
                <w:lang w:eastAsia="en-AU"/>
              </w:rPr>
              <w:t>Recommendations to Government</w:t>
            </w:r>
            <w:r>
              <w:rPr>
                <w:noProof/>
                <w:webHidden/>
              </w:rPr>
              <w:tab/>
            </w:r>
            <w:r>
              <w:rPr>
                <w:noProof/>
                <w:webHidden/>
              </w:rPr>
              <w:fldChar w:fldCharType="begin"/>
            </w:r>
            <w:r>
              <w:rPr>
                <w:noProof/>
                <w:webHidden/>
              </w:rPr>
              <w:instrText xml:space="preserve"> PAGEREF _Toc183777423 \h </w:instrText>
            </w:r>
            <w:r>
              <w:rPr>
                <w:noProof/>
                <w:webHidden/>
              </w:rPr>
            </w:r>
            <w:r>
              <w:rPr>
                <w:noProof/>
                <w:webHidden/>
              </w:rPr>
              <w:fldChar w:fldCharType="separate"/>
            </w:r>
            <w:r w:rsidR="00F61AA3">
              <w:rPr>
                <w:noProof/>
                <w:webHidden/>
              </w:rPr>
              <w:t>27</w:t>
            </w:r>
            <w:r>
              <w:rPr>
                <w:noProof/>
                <w:webHidden/>
              </w:rPr>
              <w:fldChar w:fldCharType="end"/>
            </w:r>
          </w:hyperlink>
        </w:p>
        <w:p w14:paraId="1D27B935" w14:textId="006F4DEC"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424" w:history="1">
            <w:r w:rsidRPr="00DB3B91">
              <w:rPr>
                <w:rStyle w:val="Hyperlink"/>
                <w:bCs/>
                <w:noProof/>
              </w:rPr>
              <w:t>Issue 3: Use of tripartite approaches to prevent, detect and resolve underpayment matters</w:t>
            </w:r>
            <w:r>
              <w:rPr>
                <w:noProof/>
                <w:webHidden/>
              </w:rPr>
              <w:tab/>
            </w:r>
            <w:r>
              <w:rPr>
                <w:noProof/>
                <w:webHidden/>
              </w:rPr>
              <w:fldChar w:fldCharType="begin"/>
            </w:r>
            <w:r>
              <w:rPr>
                <w:noProof/>
                <w:webHidden/>
              </w:rPr>
              <w:instrText xml:space="preserve"> PAGEREF _Toc183777424 \h </w:instrText>
            </w:r>
            <w:r>
              <w:rPr>
                <w:noProof/>
                <w:webHidden/>
              </w:rPr>
            </w:r>
            <w:r>
              <w:rPr>
                <w:noProof/>
                <w:webHidden/>
              </w:rPr>
              <w:fldChar w:fldCharType="separate"/>
            </w:r>
            <w:r w:rsidR="00F61AA3">
              <w:rPr>
                <w:noProof/>
                <w:webHidden/>
              </w:rPr>
              <w:t>28</w:t>
            </w:r>
            <w:r>
              <w:rPr>
                <w:noProof/>
                <w:webHidden/>
              </w:rPr>
              <w:fldChar w:fldCharType="end"/>
            </w:r>
          </w:hyperlink>
        </w:p>
        <w:p w14:paraId="17F8F29C" w14:textId="12ACBE0C"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25" w:history="1">
            <w:r w:rsidRPr="00DB3B91">
              <w:rPr>
                <w:rStyle w:val="Hyperlink"/>
                <w:rFonts w:eastAsia="Times New Roman"/>
                <w:noProof/>
                <w:lang w:eastAsia="en-AU"/>
              </w:rPr>
              <w:t>Stakeholder feedback</w:t>
            </w:r>
            <w:r>
              <w:rPr>
                <w:noProof/>
                <w:webHidden/>
              </w:rPr>
              <w:tab/>
            </w:r>
            <w:r>
              <w:rPr>
                <w:noProof/>
                <w:webHidden/>
              </w:rPr>
              <w:fldChar w:fldCharType="begin"/>
            </w:r>
            <w:r>
              <w:rPr>
                <w:noProof/>
                <w:webHidden/>
              </w:rPr>
              <w:instrText xml:space="preserve"> PAGEREF _Toc183777425 \h </w:instrText>
            </w:r>
            <w:r>
              <w:rPr>
                <w:noProof/>
                <w:webHidden/>
              </w:rPr>
            </w:r>
            <w:r>
              <w:rPr>
                <w:noProof/>
                <w:webHidden/>
              </w:rPr>
              <w:fldChar w:fldCharType="separate"/>
            </w:r>
            <w:r w:rsidR="00F61AA3">
              <w:rPr>
                <w:noProof/>
                <w:webHidden/>
              </w:rPr>
              <w:t>28</w:t>
            </w:r>
            <w:r>
              <w:rPr>
                <w:noProof/>
                <w:webHidden/>
              </w:rPr>
              <w:fldChar w:fldCharType="end"/>
            </w:r>
          </w:hyperlink>
        </w:p>
        <w:p w14:paraId="448001AB" w14:textId="0968FD78"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26" w:history="1">
            <w:r w:rsidRPr="00DB3B91">
              <w:rPr>
                <w:rStyle w:val="Hyperlink"/>
                <w:rFonts w:eastAsia="Times New Roman"/>
                <w:noProof/>
                <w:lang w:eastAsia="en-AU"/>
              </w:rPr>
              <w:t>Education and information</w:t>
            </w:r>
            <w:r>
              <w:rPr>
                <w:noProof/>
                <w:webHidden/>
              </w:rPr>
              <w:tab/>
            </w:r>
            <w:r>
              <w:rPr>
                <w:noProof/>
                <w:webHidden/>
              </w:rPr>
              <w:fldChar w:fldCharType="begin"/>
            </w:r>
            <w:r>
              <w:rPr>
                <w:noProof/>
                <w:webHidden/>
              </w:rPr>
              <w:instrText xml:space="preserve"> PAGEREF _Toc183777426 \h </w:instrText>
            </w:r>
            <w:r>
              <w:rPr>
                <w:noProof/>
                <w:webHidden/>
              </w:rPr>
            </w:r>
            <w:r>
              <w:rPr>
                <w:noProof/>
                <w:webHidden/>
              </w:rPr>
              <w:fldChar w:fldCharType="separate"/>
            </w:r>
            <w:r w:rsidR="00F61AA3">
              <w:rPr>
                <w:noProof/>
                <w:webHidden/>
              </w:rPr>
              <w:t>28</w:t>
            </w:r>
            <w:r>
              <w:rPr>
                <w:noProof/>
                <w:webHidden/>
              </w:rPr>
              <w:fldChar w:fldCharType="end"/>
            </w:r>
          </w:hyperlink>
        </w:p>
        <w:p w14:paraId="7DCCE365" w14:textId="2F521A96"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27" w:history="1">
            <w:r w:rsidRPr="00DB3B91">
              <w:rPr>
                <w:rStyle w:val="Hyperlink"/>
                <w:rFonts w:eastAsia="Times New Roman"/>
                <w:noProof/>
                <w:lang w:eastAsia="en-AU"/>
              </w:rPr>
              <w:t>Collaboration between employers and workers’ representatives</w:t>
            </w:r>
            <w:r>
              <w:rPr>
                <w:noProof/>
                <w:webHidden/>
              </w:rPr>
              <w:tab/>
            </w:r>
            <w:r>
              <w:rPr>
                <w:noProof/>
                <w:webHidden/>
              </w:rPr>
              <w:fldChar w:fldCharType="begin"/>
            </w:r>
            <w:r>
              <w:rPr>
                <w:noProof/>
                <w:webHidden/>
              </w:rPr>
              <w:instrText xml:space="preserve"> PAGEREF _Toc183777427 \h </w:instrText>
            </w:r>
            <w:r>
              <w:rPr>
                <w:noProof/>
                <w:webHidden/>
              </w:rPr>
            </w:r>
            <w:r>
              <w:rPr>
                <w:noProof/>
                <w:webHidden/>
              </w:rPr>
              <w:fldChar w:fldCharType="separate"/>
            </w:r>
            <w:r w:rsidR="00F61AA3">
              <w:rPr>
                <w:noProof/>
                <w:webHidden/>
              </w:rPr>
              <w:t>29</w:t>
            </w:r>
            <w:r>
              <w:rPr>
                <w:noProof/>
                <w:webHidden/>
              </w:rPr>
              <w:fldChar w:fldCharType="end"/>
            </w:r>
          </w:hyperlink>
        </w:p>
        <w:p w14:paraId="383C9792" w14:textId="6065B8AB"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28" w:history="1">
            <w:r w:rsidRPr="00DB3B91">
              <w:rPr>
                <w:rStyle w:val="Hyperlink"/>
                <w:rFonts w:eastAsia="Times New Roman"/>
                <w:noProof/>
                <w:lang w:eastAsia="en-AU"/>
              </w:rPr>
              <w:t>Recommendations to Government</w:t>
            </w:r>
            <w:r>
              <w:rPr>
                <w:noProof/>
                <w:webHidden/>
              </w:rPr>
              <w:tab/>
            </w:r>
            <w:r>
              <w:rPr>
                <w:noProof/>
                <w:webHidden/>
              </w:rPr>
              <w:fldChar w:fldCharType="begin"/>
            </w:r>
            <w:r>
              <w:rPr>
                <w:noProof/>
                <w:webHidden/>
              </w:rPr>
              <w:instrText xml:space="preserve"> PAGEREF _Toc183777428 \h </w:instrText>
            </w:r>
            <w:r>
              <w:rPr>
                <w:noProof/>
                <w:webHidden/>
              </w:rPr>
            </w:r>
            <w:r>
              <w:rPr>
                <w:noProof/>
                <w:webHidden/>
              </w:rPr>
              <w:fldChar w:fldCharType="separate"/>
            </w:r>
            <w:r w:rsidR="00F61AA3">
              <w:rPr>
                <w:noProof/>
                <w:webHidden/>
              </w:rPr>
              <w:t>29</w:t>
            </w:r>
            <w:r>
              <w:rPr>
                <w:noProof/>
                <w:webHidden/>
              </w:rPr>
              <w:fldChar w:fldCharType="end"/>
            </w:r>
          </w:hyperlink>
        </w:p>
        <w:p w14:paraId="078F9BE0" w14:textId="3E33AF5A"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29" w:history="1">
            <w:r w:rsidRPr="00DB3B91">
              <w:rPr>
                <w:rStyle w:val="Hyperlink"/>
                <w:rFonts w:eastAsia="Times New Roman"/>
                <w:noProof/>
                <w:lang w:eastAsia="en-AU"/>
              </w:rPr>
              <w:t xml:space="preserve">Post-Jobs and Skills Summit </w:t>
            </w:r>
            <w:r w:rsidR="004947D6">
              <w:rPr>
                <w:rStyle w:val="Hyperlink"/>
                <w:rFonts w:eastAsia="Times New Roman"/>
                <w:noProof/>
                <w:lang w:eastAsia="en-AU"/>
              </w:rPr>
              <w:t>i</w:t>
            </w:r>
            <w:r w:rsidRPr="00DB3B91">
              <w:rPr>
                <w:rStyle w:val="Hyperlink"/>
                <w:rFonts w:eastAsia="Times New Roman"/>
                <w:noProof/>
                <w:lang w:eastAsia="en-AU"/>
              </w:rPr>
              <w:t>nitiatives</w:t>
            </w:r>
            <w:r>
              <w:rPr>
                <w:noProof/>
                <w:webHidden/>
              </w:rPr>
              <w:tab/>
            </w:r>
            <w:r>
              <w:rPr>
                <w:noProof/>
                <w:webHidden/>
              </w:rPr>
              <w:fldChar w:fldCharType="begin"/>
            </w:r>
            <w:r>
              <w:rPr>
                <w:noProof/>
                <w:webHidden/>
              </w:rPr>
              <w:instrText xml:space="preserve"> PAGEREF _Toc183777429 \h </w:instrText>
            </w:r>
            <w:r>
              <w:rPr>
                <w:noProof/>
                <w:webHidden/>
              </w:rPr>
            </w:r>
            <w:r>
              <w:rPr>
                <w:noProof/>
                <w:webHidden/>
              </w:rPr>
              <w:fldChar w:fldCharType="separate"/>
            </w:r>
            <w:r w:rsidR="00F61AA3">
              <w:rPr>
                <w:noProof/>
                <w:webHidden/>
              </w:rPr>
              <w:t>29</w:t>
            </w:r>
            <w:r>
              <w:rPr>
                <w:noProof/>
                <w:webHidden/>
              </w:rPr>
              <w:fldChar w:fldCharType="end"/>
            </w:r>
          </w:hyperlink>
        </w:p>
        <w:p w14:paraId="2B5BA011" w14:textId="7DFAADAD" w:rsidR="003F6926" w:rsidRDefault="003F6926">
          <w:pPr>
            <w:pStyle w:val="TOC3"/>
            <w:tabs>
              <w:tab w:val="right" w:leader="dot" w:pos="9016"/>
            </w:tabs>
            <w:rPr>
              <w:rFonts w:eastAsiaTheme="minorEastAsia"/>
              <w:noProof/>
              <w:kern w:val="2"/>
              <w:sz w:val="24"/>
              <w:szCs w:val="24"/>
              <w:lang w:eastAsia="en-AU"/>
              <w14:ligatures w14:val="standardContextual"/>
            </w:rPr>
          </w:pPr>
          <w:hyperlink w:anchor="_Toc183777430" w:history="1">
            <w:r w:rsidRPr="00DB3B91">
              <w:rPr>
                <w:rStyle w:val="Hyperlink"/>
                <w:rFonts w:eastAsia="Times New Roman"/>
                <w:noProof/>
                <w:lang w:eastAsia="en-AU"/>
              </w:rPr>
              <w:t xml:space="preserve">Long-Standing </w:t>
            </w:r>
            <w:r w:rsidR="004947D6">
              <w:rPr>
                <w:rStyle w:val="Hyperlink"/>
                <w:rFonts w:eastAsia="Times New Roman"/>
                <w:noProof/>
                <w:lang w:eastAsia="en-AU"/>
              </w:rPr>
              <w:t>t</w:t>
            </w:r>
            <w:r w:rsidRPr="00DB3B91">
              <w:rPr>
                <w:rStyle w:val="Hyperlink"/>
                <w:rFonts w:eastAsia="Times New Roman"/>
                <w:noProof/>
                <w:lang w:eastAsia="en-AU"/>
              </w:rPr>
              <w:t xml:space="preserve">ripartite </w:t>
            </w:r>
            <w:r w:rsidR="004947D6">
              <w:rPr>
                <w:rStyle w:val="Hyperlink"/>
                <w:rFonts w:eastAsia="Times New Roman"/>
                <w:noProof/>
                <w:lang w:eastAsia="en-AU"/>
              </w:rPr>
              <w:t>i</w:t>
            </w:r>
            <w:r w:rsidRPr="00DB3B91">
              <w:rPr>
                <w:rStyle w:val="Hyperlink"/>
                <w:rFonts w:eastAsia="Times New Roman"/>
                <w:noProof/>
                <w:lang w:eastAsia="en-AU"/>
              </w:rPr>
              <w:t xml:space="preserve">nitiatives in </w:t>
            </w:r>
            <w:r w:rsidR="004947D6">
              <w:rPr>
                <w:rStyle w:val="Hyperlink"/>
                <w:rFonts w:eastAsia="Times New Roman"/>
                <w:noProof/>
                <w:lang w:eastAsia="en-AU"/>
              </w:rPr>
              <w:t>w</w:t>
            </w:r>
            <w:r w:rsidRPr="00DB3B91">
              <w:rPr>
                <w:rStyle w:val="Hyperlink"/>
                <w:rFonts w:eastAsia="Times New Roman"/>
                <w:noProof/>
                <w:lang w:eastAsia="en-AU"/>
              </w:rPr>
              <w:t xml:space="preserve">orkplace </w:t>
            </w:r>
            <w:r w:rsidR="004947D6">
              <w:rPr>
                <w:rStyle w:val="Hyperlink"/>
                <w:rFonts w:eastAsia="Times New Roman"/>
                <w:noProof/>
                <w:lang w:eastAsia="en-AU"/>
              </w:rPr>
              <w:t>r</w:t>
            </w:r>
            <w:r w:rsidRPr="00DB3B91">
              <w:rPr>
                <w:rStyle w:val="Hyperlink"/>
                <w:rFonts w:eastAsia="Times New Roman"/>
                <w:noProof/>
                <w:lang w:eastAsia="en-AU"/>
              </w:rPr>
              <w:t>elations</w:t>
            </w:r>
            <w:r>
              <w:rPr>
                <w:noProof/>
                <w:webHidden/>
              </w:rPr>
              <w:tab/>
            </w:r>
            <w:r>
              <w:rPr>
                <w:noProof/>
                <w:webHidden/>
              </w:rPr>
              <w:fldChar w:fldCharType="begin"/>
            </w:r>
            <w:r>
              <w:rPr>
                <w:noProof/>
                <w:webHidden/>
              </w:rPr>
              <w:instrText xml:space="preserve"> PAGEREF _Toc183777430 \h </w:instrText>
            </w:r>
            <w:r>
              <w:rPr>
                <w:noProof/>
                <w:webHidden/>
              </w:rPr>
            </w:r>
            <w:r>
              <w:rPr>
                <w:noProof/>
                <w:webHidden/>
              </w:rPr>
              <w:fldChar w:fldCharType="separate"/>
            </w:r>
            <w:r w:rsidR="00F61AA3">
              <w:rPr>
                <w:noProof/>
                <w:webHidden/>
              </w:rPr>
              <w:t>29</w:t>
            </w:r>
            <w:r>
              <w:rPr>
                <w:noProof/>
                <w:webHidden/>
              </w:rPr>
              <w:fldChar w:fldCharType="end"/>
            </w:r>
          </w:hyperlink>
        </w:p>
        <w:p w14:paraId="75186EC9" w14:textId="20C4F113"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431" w:history="1">
            <w:r w:rsidRPr="00DB3B91">
              <w:rPr>
                <w:rStyle w:val="Hyperlink"/>
                <w:rFonts w:eastAsia="Times New Roman"/>
                <w:noProof/>
                <w:lang w:val="en-GB" w:eastAsia="en-AU"/>
              </w:rPr>
              <w:t>Additional stakeholder feedback</w:t>
            </w:r>
            <w:r>
              <w:rPr>
                <w:noProof/>
                <w:webHidden/>
              </w:rPr>
              <w:tab/>
            </w:r>
            <w:r>
              <w:rPr>
                <w:noProof/>
                <w:webHidden/>
              </w:rPr>
              <w:fldChar w:fldCharType="begin"/>
            </w:r>
            <w:r>
              <w:rPr>
                <w:noProof/>
                <w:webHidden/>
              </w:rPr>
              <w:instrText xml:space="preserve"> PAGEREF _Toc183777431 \h </w:instrText>
            </w:r>
            <w:r>
              <w:rPr>
                <w:noProof/>
                <w:webHidden/>
              </w:rPr>
            </w:r>
            <w:r>
              <w:rPr>
                <w:noProof/>
                <w:webHidden/>
              </w:rPr>
              <w:fldChar w:fldCharType="separate"/>
            </w:r>
            <w:r w:rsidR="00F61AA3">
              <w:rPr>
                <w:noProof/>
                <w:webHidden/>
              </w:rPr>
              <w:t>31</w:t>
            </w:r>
            <w:r>
              <w:rPr>
                <w:noProof/>
                <w:webHidden/>
              </w:rPr>
              <w:fldChar w:fldCharType="end"/>
            </w:r>
          </w:hyperlink>
        </w:p>
        <w:p w14:paraId="455F0137" w14:textId="2FF49A71"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32" w:history="1">
            <w:r w:rsidRPr="00DB3B91">
              <w:rPr>
                <w:rStyle w:val="Hyperlink"/>
                <w:rFonts w:eastAsia="Times New Roman"/>
                <w:noProof/>
                <w:lang w:eastAsia="en-AU"/>
              </w:rPr>
              <w:t>Wraparound services</w:t>
            </w:r>
            <w:r>
              <w:rPr>
                <w:noProof/>
                <w:webHidden/>
              </w:rPr>
              <w:tab/>
            </w:r>
            <w:r>
              <w:rPr>
                <w:noProof/>
                <w:webHidden/>
              </w:rPr>
              <w:fldChar w:fldCharType="begin"/>
            </w:r>
            <w:r>
              <w:rPr>
                <w:noProof/>
                <w:webHidden/>
              </w:rPr>
              <w:instrText xml:space="preserve"> PAGEREF _Toc183777432 \h </w:instrText>
            </w:r>
            <w:r>
              <w:rPr>
                <w:noProof/>
                <w:webHidden/>
              </w:rPr>
            </w:r>
            <w:r>
              <w:rPr>
                <w:noProof/>
                <w:webHidden/>
              </w:rPr>
              <w:fldChar w:fldCharType="separate"/>
            </w:r>
            <w:r w:rsidR="00F61AA3">
              <w:rPr>
                <w:noProof/>
                <w:webHidden/>
              </w:rPr>
              <w:t>31</w:t>
            </w:r>
            <w:r>
              <w:rPr>
                <w:noProof/>
                <w:webHidden/>
              </w:rPr>
              <w:fldChar w:fldCharType="end"/>
            </w:r>
          </w:hyperlink>
        </w:p>
        <w:p w14:paraId="68BE7FE8" w14:textId="04558428"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33" w:history="1">
            <w:r w:rsidRPr="00DB3B91">
              <w:rPr>
                <w:rStyle w:val="Hyperlink"/>
                <w:rFonts w:eastAsia="Times New Roman"/>
                <w:noProof/>
                <w:lang w:eastAsia="en-AU"/>
              </w:rPr>
              <w:t>The FWO and information-sharing</w:t>
            </w:r>
            <w:r>
              <w:rPr>
                <w:noProof/>
                <w:webHidden/>
              </w:rPr>
              <w:tab/>
            </w:r>
            <w:r>
              <w:rPr>
                <w:noProof/>
                <w:webHidden/>
              </w:rPr>
              <w:fldChar w:fldCharType="begin"/>
            </w:r>
            <w:r>
              <w:rPr>
                <w:noProof/>
                <w:webHidden/>
              </w:rPr>
              <w:instrText xml:space="preserve"> PAGEREF _Toc183777433 \h </w:instrText>
            </w:r>
            <w:r>
              <w:rPr>
                <w:noProof/>
                <w:webHidden/>
              </w:rPr>
            </w:r>
            <w:r>
              <w:rPr>
                <w:noProof/>
                <w:webHidden/>
              </w:rPr>
              <w:fldChar w:fldCharType="separate"/>
            </w:r>
            <w:r w:rsidR="00F61AA3">
              <w:rPr>
                <w:noProof/>
                <w:webHidden/>
              </w:rPr>
              <w:t>31</w:t>
            </w:r>
            <w:r>
              <w:rPr>
                <w:noProof/>
                <w:webHidden/>
              </w:rPr>
              <w:fldChar w:fldCharType="end"/>
            </w:r>
          </w:hyperlink>
        </w:p>
        <w:p w14:paraId="6F3DDAD1" w14:textId="3F211246"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34" w:history="1">
            <w:r w:rsidRPr="00DB3B91">
              <w:rPr>
                <w:rStyle w:val="Hyperlink"/>
                <w:rFonts w:eastAsia="Times New Roman"/>
                <w:noProof/>
                <w:lang w:eastAsia="en-AU"/>
              </w:rPr>
              <w:t>Unions and right of entry</w:t>
            </w:r>
            <w:r>
              <w:rPr>
                <w:noProof/>
                <w:webHidden/>
              </w:rPr>
              <w:tab/>
            </w:r>
            <w:r>
              <w:rPr>
                <w:noProof/>
                <w:webHidden/>
              </w:rPr>
              <w:fldChar w:fldCharType="begin"/>
            </w:r>
            <w:r>
              <w:rPr>
                <w:noProof/>
                <w:webHidden/>
              </w:rPr>
              <w:instrText xml:space="preserve"> PAGEREF _Toc183777434 \h </w:instrText>
            </w:r>
            <w:r>
              <w:rPr>
                <w:noProof/>
                <w:webHidden/>
              </w:rPr>
            </w:r>
            <w:r>
              <w:rPr>
                <w:noProof/>
                <w:webHidden/>
              </w:rPr>
              <w:fldChar w:fldCharType="separate"/>
            </w:r>
            <w:r w:rsidR="00F61AA3">
              <w:rPr>
                <w:noProof/>
                <w:webHidden/>
              </w:rPr>
              <w:t>32</w:t>
            </w:r>
            <w:r>
              <w:rPr>
                <w:noProof/>
                <w:webHidden/>
              </w:rPr>
              <w:fldChar w:fldCharType="end"/>
            </w:r>
          </w:hyperlink>
        </w:p>
        <w:p w14:paraId="33008793" w14:textId="54665299" w:rsidR="003F6926" w:rsidRDefault="003F6926">
          <w:pPr>
            <w:pStyle w:val="TOC1"/>
            <w:tabs>
              <w:tab w:val="right" w:leader="dot" w:pos="9016"/>
            </w:tabs>
            <w:rPr>
              <w:rFonts w:eastAsiaTheme="minorEastAsia"/>
              <w:b w:val="0"/>
              <w:noProof/>
              <w:kern w:val="2"/>
              <w:sz w:val="24"/>
              <w:szCs w:val="24"/>
              <w:lang w:eastAsia="en-AU"/>
              <w14:ligatures w14:val="standardContextual"/>
            </w:rPr>
          </w:pPr>
          <w:hyperlink w:anchor="_Toc183777435" w:history="1">
            <w:r w:rsidRPr="00DB3B91">
              <w:rPr>
                <w:rStyle w:val="Hyperlink"/>
                <w:rFonts w:eastAsia="Times New Roman"/>
                <w:noProof/>
                <w:lang w:val="en-GB" w:eastAsia="en-AU"/>
              </w:rPr>
              <w:t>Conclusion </w:t>
            </w:r>
            <w:r>
              <w:rPr>
                <w:noProof/>
                <w:webHidden/>
              </w:rPr>
              <w:tab/>
            </w:r>
            <w:r>
              <w:rPr>
                <w:noProof/>
                <w:webHidden/>
              </w:rPr>
              <w:fldChar w:fldCharType="begin"/>
            </w:r>
            <w:r>
              <w:rPr>
                <w:noProof/>
                <w:webHidden/>
              </w:rPr>
              <w:instrText xml:space="preserve"> PAGEREF _Toc183777435 \h </w:instrText>
            </w:r>
            <w:r>
              <w:rPr>
                <w:noProof/>
                <w:webHidden/>
              </w:rPr>
            </w:r>
            <w:r>
              <w:rPr>
                <w:noProof/>
                <w:webHidden/>
              </w:rPr>
              <w:fldChar w:fldCharType="separate"/>
            </w:r>
            <w:r w:rsidR="00F61AA3">
              <w:rPr>
                <w:noProof/>
                <w:webHidden/>
              </w:rPr>
              <w:t>33</w:t>
            </w:r>
            <w:r>
              <w:rPr>
                <w:noProof/>
                <w:webHidden/>
              </w:rPr>
              <w:fldChar w:fldCharType="end"/>
            </w:r>
          </w:hyperlink>
        </w:p>
        <w:p w14:paraId="365DF1C9" w14:textId="4410A7B3" w:rsidR="003F6926" w:rsidRDefault="003F6926">
          <w:pPr>
            <w:pStyle w:val="TOC2"/>
            <w:tabs>
              <w:tab w:val="right" w:leader="dot" w:pos="9016"/>
            </w:tabs>
            <w:rPr>
              <w:rFonts w:eastAsiaTheme="minorEastAsia"/>
              <w:noProof/>
              <w:kern w:val="2"/>
              <w:sz w:val="24"/>
              <w:szCs w:val="24"/>
              <w:lang w:eastAsia="en-AU"/>
              <w14:ligatures w14:val="standardContextual"/>
            </w:rPr>
          </w:pPr>
          <w:hyperlink w:anchor="_Toc183777436" w:history="1">
            <w:r w:rsidRPr="00DB3B91">
              <w:rPr>
                <w:rStyle w:val="Hyperlink"/>
                <w:rFonts w:eastAsia="Times New Roman"/>
                <w:noProof/>
                <w:lang w:eastAsia="en-AU"/>
              </w:rPr>
              <w:t>Next Steps</w:t>
            </w:r>
            <w:r>
              <w:rPr>
                <w:noProof/>
                <w:webHidden/>
              </w:rPr>
              <w:tab/>
            </w:r>
            <w:r>
              <w:rPr>
                <w:noProof/>
                <w:webHidden/>
              </w:rPr>
              <w:fldChar w:fldCharType="begin"/>
            </w:r>
            <w:r>
              <w:rPr>
                <w:noProof/>
                <w:webHidden/>
              </w:rPr>
              <w:instrText xml:space="preserve"> PAGEREF _Toc183777436 \h </w:instrText>
            </w:r>
            <w:r>
              <w:rPr>
                <w:noProof/>
                <w:webHidden/>
              </w:rPr>
            </w:r>
            <w:r>
              <w:rPr>
                <w:noProof/>
                <w:webHidden/>
              </w:rPr>
              <w:fldChar w:fldCharType="separate"/>
            </w:r>
            <w:r w:rsidR="00F61AA3">
              <w:rPr>
                <w:noProof/>
                <w:webHidden/>
              </w:rPr>
              <w:t>33</w:t>
            </w:r>
            <w:r>
              <w:rPr>
                <w:noProof/>
                <w:webHidden/>
              </w:rPr>
              <w:fldChar w:fldCharType="end"/>
            </w:r>
          </w:hyperlink>
        </w:p>
        <w:p w14:paraId="70B02088" w14:textId="4D118EA0" w:rsidR="00921D71" w:rsidRPr="00921D71" w:rsidRDefault="00921D71" w:rsidP="00921D71">
          <w:pPr>
            <w:spacing w:after="160" w:line="259" w:lineRule="auto"/>
            <w:rPr>
              <w:rFonts w:ascii="Calibri" w:eastAsia="Yu Mincho" w:hAnsi="Calibri" w:cs="Arial"/>
            </w:rPr>
          </w:pPr>
          <w:r w:rsidRPr="00921D71">
            <w:rPr>
              <w:rFonts w:ascii="Calibri" w:eastAsia="Yu Mincho" w:hAnsi="Calibri" w:cs="Arial"/>
              <w:b/>
              <w:bCs/>
              <w:noProof/>
            </w:rPr>
            <w:fldChar w:fldCharType="end"/>
          </w:r>
        </w:p>
      </w:sdtContent>
    </w:sdt>
    <w:p w14:paraId="2FDCFE03" w14:textId="77777777" w:rsidR="00921D71" w:rsidRPr="00921D71" w:rsidRDefault="00921D71" w:rsidP="00921D71">
      <w:pPr>
        <w:spacing w:after="160" w:line="259" w:lineRule="auto"/>
        <w:rPr>
          <w:rFonts w:ascii="Calibri" w:eastAsia="Times New Roman" w:hAnsi="Calibri" w:cs="Calibri"/>
          <w:b/>
          <w:bCs/>
          <w:sz w:val="48"/>
          <w:szCs w:val="48"/>
          <w:lang w:val="en-GB" w:eastAsia="en-AU"/>
        </w:rPr>
      </w:pPr>
      <w:r w:rsidRPr="00921D71">
        <w:rPr>
          <w:rFonts w:ascii="Calibri" w:eastAsia="Yu Mincho" w:hAnsi="Calibri" w:cs="Arial"/>
        </w:rPr>
        <w:br w:type="page"/>
      </w:r>
    </w:p>
    <w:p w14:paraId="4C0995A0" w14:textId="77777777" w:rsidR="00921D71" w:rsidRPr="00921D71" w:rsidRDefault="00921D71" w:rsidP="00DB077C">
      <w:pPr>
        <w:pStyle w:val="Heading1"/>
        <w:rPr>
          <w:rFonts w:eastAsia="Times New Roman"/>
          <w:lang w:val="en-GB" w:eastAsia="en-AU"/>
        </w:rPr>
      </w:pPr>
      <w:bookmarkStart w:id="1" w:name="_Toc183777392"/>
      <w:r w:rsidRPr="00921D71">
        <w:rPr>
          <w:rFonts w:eastAsia="Times New Roman"/>
          <w:lang w:val="en-GB" w:eastAsia="en-AU"/>
        </w:rPr>
        <w:lastRenderedPageBreak/>
        <w:t>Introduction</w:t>
      </w:r>
      <w:bookmarkEnd w:id="1"/>
      <w:r w:rsidRPr="00921D71">
        <w:rPr>
          <w:rFonts w:eastAsia="Times New Roman"/>
          <w:lang w:val="en-GB" w:eastAsia="en-AU"/>
        </w:rPr>
        <w:t>  </w:t>
      </w:r>
    </w:p>
    <w:p w14:paraId="26BE017B" w14:textId="7C2B714E"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The Migrant Workers</w:t>
      </w:r>
      <w:r w:rsidR="003E6343">
        <w:rPr>
          <w:rFonts w:ascii="Calibri" w:eastAsia="Times New Roman" w:hAnsi="Calibri" w:cs="Arial"/>
          <w:lang w:eastAsia="en-AU"/>
        </w:rPr>
        <w:t>’</w:t>
      </w:r>
      <w:r w:rsidRPr="00921D71">
        <w:rPr>
          <w:rFonts w:ascii="Calibri" w:eastAsia="Times New Roman" w:hAnsi="Calibri" w:cs="Arial"/>
          <w:lang w:eastAsia="en-AU"/>
        </w:rPr>
        <w:t xml:space="preserve"> Taskforce (MWT) was established in 2016 to identify proposals for improvements in law, law enforcement and investigation, and other practical measures to more quickly identify and rectify any cases of migrant worker exploitation. The </w:t>
      </w:r>
      <w:hyperlink r:id="rId16">
        <w:r w:rsidRPr="00921D71">
          <w:rPr>
            <w:rFonts w:ascii="Calibri" w:eastAsia="Times New Roman" w:hAnsi="Calibri" w:cs="Arial"/>
            <w:i/>
            <w:iCs/>
            <w:color w:val="0000FF"/>
            <w:u w:val="single"/>
            <w:lang w:eastAsia="en-AU"/>
          </w:rPr>
          <w:t>Report of the Migrant Workers’ Taskforce</w:t>
        </w:r>
      </w:hyperlink>
      <w:r w:rsidRPr="00921D71">
        <w:rPr>
          <w:rFonts w:ascii="Calibri" w:eastAsia="Times New Roman" w:hAnsi="Calibri" w:cs="Arial"/>
          <w:lang w:eastAsia="en-AU"/>
        </w:rPr>
        <w:t xml:space="preserve"> (MWT Report) was released in March 2019 and made 22 recommendations. This included recommending that the Australian Government commission a review of the </w:t>
      </w:r>
      <w:r w:rsidRPr="00921D71">
        <w:rPr>
          <w:rFonts w:ascii="Calibri" w:eastAsia="Times New Roman" w:hAnsi="Calibri" w:cs="Arial"/>
          <w:i/>
          <w:iCs/>
          <w:lang w:eastAsia="en-AU"/>
        </w:rPr>
        <w:t xml:space="preserve">Fair Work Act 2009 </w:t>
      </w:r>
      <w:r w:rsidRPr="00921D71">
        <w:rPr>
          <w:rFonts w:ascii="Calibri" w:eastAsia="Times New Roman" w:hAnsi="Calibri" w:cs="Arial"/>
          <w:lang w:eastAsia="en-AU"/>
        </w:rPr>
        <w:t xml:space="preserve">small claims procedure to examine how it can become a more effective avenue for wage redress for migrant workers (recommendation 12). The Government has committed to implement </w:t>
      </w:r>
      <w:proofErr w:type="gramStart"/>
      <w:r w:rsidRPr="00921D71">
        <w:rPr>
          <w:rFonts w:ascii="Calibri" w:eastAsia="Times New Roman" w:hAnsi="Calibri" w:cs="Arial"/>
          <w:lang w:eastAsia="en-AU"/>
        </w:rPr>
        <w:t>all of</w:t>
      </w:r>
      <w:proofErr w:type="gramEnd"/>
      <w:r w:rsidRPr="00921D71">
        <w:rPr>
          <w:rFonts w:ascii="Calibri" w:eastAsia="Times New Roman" w:hAnsi="Calibri" w:cs="Arial"/>
          <w:lang w:eastAsia="en-AU"/>
        </w:rPr>
        <w:t xml:space="preserve"> the MWT Report’s recommendations as part of its Plan to Build a Stronger Pacific Family. </w:t>
      </w:r>
    </w:p>
    <w:p w14:paraId="624B83CE" w14:textId="77777777" w:rsidR="00921D71" w:rsidRPr="00921D71" w:rsidRDefault="00921D71" w:rsidP="00921D71">
      <w:pPr>
        <w:spacing w:before="120" w:after="120" w:line="240" w:lineRule="auto"/>
        <w:textAlignment w:val="baseline"/>
        <w:rPr>
          <w:rFonts w:ascii="Calibri" w:eastAsia="Times New Roman" w:hAnsi="Calibri" w:cs="Calibri"/>
          <w:sz w:val="18"/>
          <w:szCs w:val="18"/>
          <w:lang w:eastAsia="en-AU"/>
        </w:rPr>
      </w:pPr>
      <w:r w:rsidRPr="00921D71">
        <w:rPr>
          <w:rFonts w:ascii="Calibri" w:eastAsia="Times New Roman" w:hAnsi="Calibri" w:cs="Arial"/>
          <w:lang w:eastAsia="en-AU"/>
        </w:rPr>
        <w:t xml:space="preserve">As part of the October 2022-23 Budget, the Government announced that it would conduct a review of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provided for in the Fair Work Act to examine</w:t>
      </w:r>
      <w:r w:rsidRPr="00921D71">
        <w:rPr>
          <w:rFonts w:ascii="Calibri" w:eastAsia="Times New Roman" w:hAnsi="Calibri" w:cs="Calibri"/>
          <w:lang w:eastAsia="en-AU"/>
        </w:rPr>
        <w:t xml:space="preserve"> how it can become a more effective avenue for wage redress for all workers in Australia. This includes, but is not confined to, migrant workers.  </w:t>
      </w:r>
    </w:p>
    <w:p w14:paraId="060C518D" w14:textId="77777777"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The Review commenced on 1 January 2023. This report presents the findings of the Review undertaken by the Department of Employment and Workplace Relations (the department), recommendations for reform, and potential next steps. Some of these recommendations will be a matter for Government, while others would fall within the responsibility of the courts, consistent with the separation of powers. </w:t>
      </w:r>
    </w:p>
    <w:p w14:paraId="21A14E4A" w14:textId="77777777" w:rsidR="00921D71" w:rsidRPr="00921D71" w:rsidRDefault="00921D71" w:rsidP="00DB077C">
      <w:pPr>
        <w:pStyle w:val="Heading2"/>
        <w:rPr>
          <w:rFonts w:eastAsia="Times New Roman"/>
          <w:lang w:eastAsia="en-AU"/>
        </w:rPr>
      </w:pPr>
      <w:bookmarkStart w:id="2" w:name="_Toc183777393"/>
      <w:r w:rsidRPr="00921D71">
        <w:rPr>
          <w:rFonts w:eastAsia="Times New Roman"/>
          <w:lang w:eastAsia="en-AU"/>
        </w:rPr>
        <w:t>Purpose and scope</w:t>
      </w:r>
      <w:bookmarkEnd w:id="2"/>
      <w:r w:rsidRPr="00921D71">
        <w:rPr>
          <w:rFonts w:eastAsia="Times New Roman"/>
          <w:lang w:eastAsia="en-AU"/>
        </w:rPr>
        <w:t> </w:t>
      </w:r>
    </w:p>
    <w:p w14:paraId="44452BF9" w14:textId="77777777"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The purpose of the Review was to critically examine the current small claims procedure provided for in Division 3 of Part 4-1 of the Fair Work Act. This was undertaken with a view to identifying issues and </w:t>
      </w:r>
      <w:proofErr w:type="gramStart"/>
      <w:r w:rsidRPr="00921D71">
        <w:rPr>
          <w:rFonts w:ascii="Calibri" w:eastAsia="Times New Roman" w:hAnsi="Calibri" w:cs="Arial"/>
          <w:lang w:eastAsia="en-AU"/>
        </w:rPr>
        <w:t>efficiencies, and</w:t>
      </w:r>
      <w:proofErr w:type="gramEnd"/>
      <w:r w:rsidRPr="00921D71">
        <w:rPr>
          <w:rFonts w:ascii="Calibri" w:eastAsia="Times New Roman" w:hAnsi="Calibri" w:cs="Arial"/>
          <w:lang w:eastAsia="en-AU"/>
        </w:rPr>
        <w:t xml:space="preserve"> exploring more effective avenues for wage redress for workers in Australia (including </w:t>
      </w:r>
      <w:r w:rsidRPr="00921D71">
        <w:rPr>
          <w:rFonts w:ascii="Calibri" w:eastAsia="Times New Roman" w:hAnsi="Calibri" w:cs="Calibri"/>
          <w:lang w:eastAsia="en-AU"/>
        </w:rPr>
        <w:t>migrant workers).  </w:t>
      </w:r>
    </w:p>
    <w:p w14:paraId="2CB4C70D" w14:textId="77777777" w:rsidR="00921D71" w:rsidRPr="00921D71" w:rsidRDefault="00921D71" w:rsidP="00921D71">
      <w:p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Calibri"/>
          <w:lang w:eastAsia="en-AU"/>
        </w:rPr>
        <w:t>The Review considered the following three terms of reference:   </w:t>
      </w:r>
    </w:p>
    <w:p w14:paraId="2E44FE2A" w14:textId="77777777" w:rsidR="00921D71" w:rsidRPr="00921D71" w:rsidRDefault="00921D71" w:rsidP="00921D71">
      <w:pPr>
        <w:numPr>
          <w:ilvl w:val="0"/>
          <w:numId w:val="20"/>
        </w:num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Calibri"/>
          <w:lang w:eastAsia="en-AU"/>
        </w:rPr>
        <w:t>The effectiveness of the courts’ current small claims framework in providing an informal, cheap and fast means of pursuing claims for unpaid entitlements, and what (if any) enhancements could be made (practice, procedure and funding) to better achieve the objectives of the framework.  </w:t>
      </w:r>
    </w:p>
    <w:p w14:paraId="27D74CD4" w14:textId="77777777" w:rsidR="00921D71" w:rsidRPr="00921D71" w:rsidRDefault="00921D71" w:rsidP="00921D71">
      <w:pPr>
        <w:numPr>
          <w:ilvl w:val="0"/>
          <w:numId w:val="21"/>
        </w:num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Calibri"/>
          <w:lang w:eastAsia="en-AU"/>
        </w:rPr>
        <w:t>The merits of options to utilise alternative dispute resolution (ADR) to resolve small claims matters under the Fair Work Act, including options for reform and how these options would sit alongside existing court processes, costs and implementation issues.  </w:t>
      </w:r>
    </w:p>
    <w:p w14:paraId="09AB2401" w14:textId="77777777" w:rsidR="00921D71" w:rsidRPr="00921D71" w:rsidRDefault="00921D71" w:rsidP="00921D71">
      <w:pPr>
        <w:numPr>
          <w:ilvl w:val="0"/>
          <w:numId w:val="22"/>
        </w:num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Calibri"/>
          <w:lang w:eastAsia="en-AU"/>
        </w:rPr>
        <w:t>Tripartite approaches to prevent, detect and resolve underpayment matters.  </w:t>
      </w:r>
    </w:p>
    <w:p w14:paraId="0590FCAE" w14:textId="77777777" w:rsidR="00921D71" w:rsidRPr="00921D71" w:rsidRDefault="00921D71" w:rsidP="00921D71">
      <w:p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Arial"/>
          <w:lang w:eastAsia="en-AU"/>
        </w:rPr>
        <w:t>This report presents the Review’s findings and recommendations to Government, for its consideration.</w:t>
      </w:r>
    </w:p>
    <w:p w14:paraId="263A492C" w14:textId="77777777" w:rsidR="00921D71" w:rsidRPr="00921D71" w:rsidRDefault="00921D71" w:rsidP="00E60CEE">
      <w:pPr>
        <w:pStyle w:val="Heading2"/>
        <w:rPr>
          <w:rFonts w:eastAsia="Times New Roman"/>
          <w:sz w:val="18"/>
          <w:szCs w:val="18"/>
          <w:lang w:eastAsia="en-AU"/>
        </w:rPr>
      </w:pPr>
      <w:bookmarkStart w:id="3" w:name="_Toc183777394"/>
      <w:r w:rsidRPr="00921D71">
        <w:rPr>
          <w:rFonts w:eastAsia="Times New Roman"/>
          <w:lang w:eastAsia="en-AU"/>
        </w:rPr>
        <w:t>Governance </w:t>
      </w:r>
      <w:bookmarkEnd w:id="3"/>
      <w:r w:rsidRPr="00921D71">
        <w:rPr>
          <w:rFonts w:eastAsia="Times New Roman"/>
          <w:lang w:eastAsia="en-AU"/>
        </w:rPr>
        <w:t> </w:t>
      </w:r>
    </w:p>
    <w:p w14:paraId="2515EC09" w14:textId="3E25DF76"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The Review was led by the Department of Employment and Workplace Relations (the department). It was aided by an interagency Consultative Committee consisting of the department, the Attorney</w:t>
      </w:r>
      <w:r w:rsidR="00FA5518">
        <w:rPr>
          <w:rFonts w:ascii="Calibri" w:eastAsia="Times New Roman" w:hAnsi="Calibri" w:cs="Arial"/>
          <w:lang w:eastAsia="en-AU"/>
        </w:rPr>
        <w:noBreakHyphen/>
      </w:r>
      <w:r w:rsidRPr="00921D71">
        <w:rPr>
          <w:rFonts w:ascii="Calibri" w:eastAsia="Times New Roman" w:hAnsi="Calibri" w:cs="Arial"/>
          <w:lang w:eastAsia="en-AU"/>
        </w:rPr>
        <w:t>General</w:t>
      </w:r>
      <w:r w:rsidR="00A17CBC">
        <w:rPr>
          <w:rFonts w:ascii="Calibri" w:eastAsia="Times New Roman" w:hAnsi="Calibri" w:cs="Arial"/>
          <w:lang w:eastAsia="en-AU"/>
        </w:rPr>
        <w:t>’</w:t>
      </w:r>
      <w:r w:rsidRPr="00921D71">
        <w:rPr>
          <w:rFonts w:ascii="Calibri" w:eastAsia="Times New Roman" w:hAnsi="Calibri" w:cs="Arial"/>
          <w:lang w:eastAsia="en-AU"/>
        </w:rPr>
        <w:t xml:space="preserve">s Department, the Fair Work Commission (FWC), the Fair Work Ombudsman (FWO), the Federal Circuit and Family Court of Australia (FCFCOA), and the Federal Court of Australia (FCA). </w:t>
      </w:r>
    </w:p>
    <w:p w14:paraId="550CE0F2" w14:textId="77777777" w:rsidR="00921D71" w:rsidRPr="00921D71" w:rsidRDefault="00921D71" w:rsidP="00E60CEE">
      <w:pPr>
        <w:pStyle w:val="Heading2"/>
        <w:rPr>
          <w:rFonts w:eastAsia="Times New Roman"/>
          <w:sz w:val="18"/>
          <w:szCs w:val="18"/>
          <w:lang w:eastAsia="en-AU"/>
        </w:rPr>
      </w:pPr>
      <w:bookmarkStart w:id="4" w:name="_Toc183777395"/>
      <w:r w:rsidRPr="00921D71">
        <w:rPr>
          <w:rFonts w:eastAsia="Times New Roman"/>
          <w:lang w:eastAsia="en-AU"/>
        </w:rPr>
        <w:lastRenderedPageBreak/>
        <w:t>Consultation process </w:t>
      </w:r>
      <w:bookmarkEnd w:id="4"/>
      <w:r w:rsidRPr="00921D71">
        <w:rPr>
          <w:rFonts w:eastAsia="Times New Roman"/>
          <w:lang w:eastAsia="en-AU"/>
        </w:rPr>
        <w:t> </w:t>
      </w:r>
    </w:p>
    <w:p w14:paraId="6A1E8F49" w14:textId="77777777" w:rsidR="00921D71" w:rsidRPr="00921D71" w:rsidRDefault="00921D71" w:rsidP="00921D71">
      <w:pPr>
        <w:keepNext/>
        <w:spacing w:before="120" w:after="120" w:line="240" w:lineRule="auto"/>
        <w:textAlignment w:val="baseline"/>
        <w:rPr>
          <w:rFonts w:ascii="Calibri" w:eastAsia="Times New Roman" w:hAnsi="Calibri" w:cs="Calibri"/>
          <w:sz w:val="18"/>
          <w:szCs w:val="18"/>
          <w:lang w:eastAsia="en-AU"/>
        </w:rPr>
      </w:pPr>
      <w:r w:rsidRPr="00921D71">
        <w:rPr>
          <w:rFonts w:ascii="Calibri" w:eastAsia="Times New Roman" w:hAnsi="Calibri" w:cs="Calibri"/>
          <w:lang w:eastAsia="en-AU"/>
        </w:rPr>
        <w:t xml:space="preserve">The department consulted with key stakeholders over the course of 2023. </w:t>
      </w:r>
      <w:r w:rsidRPr="00921D71">
        <w:rPr>
          <w:rFonts w:ascii="Calibri" w:eastAsia="Times New Roman" w:hAnsi="Calibri" w:cs="Calibri"/>
          <w:lang w:val="en-GB" w:eastAsia="en-AU"/>
        </w:rPr>
        <w:t xml:space="preserve">Stakeholders were chosen </w:t>
      </w:r>
      <w:proofErr w:type="gramStart"/>
      <w:r w:rsidRPr="00921D71">
        <w:rPr>
          <w:rFonts w:ascii="Calibri" w:eastAsia="Times New Roman" w:hAnsi="Calibri" w:cs="Calibri"/>
          <w:lang w:val="en-GB" w:eastAsia="en-AU"/>
        </w:rPr>
        <w:t>on the basis of</w:t>
      </w:r>
      <w:proofErr w:type="gramEnd"/>
      <w:r w:rsidRPr="00921D71">
        <w:rPr>
          <w:rFonts w:ascii="Calibri" w:eastAsia="Times New Roman" w:hAnsi="Calibri" w:cs="Calibri"/>
          <w:lang w:val="en-GB" w:eastAsia="en-AU"/>
        </w:rPr>
        <w:t xml:space="preserve"> being impacted by, or having expertise relevant to, the small claims procedure. To support a targeted and streamlined review, consultation was not open to the public</w:t>
      </w:r>
      <w:r w:rsidRPr="00921D71">
        <w:rPr>
          <w:rFonts w:ascii="Calibri" w:eastAsia="Times New Roman" w:hAnsi="Calibri" w:cs="Calibri"/>
          <w:lang w:eastAsia="en-AU"/>
        </w:rPr>
        <w:t>. </w:t>
      </w:r>
    </w:p>
    <w:p w14:paraId="316BC886" w14:textId="7B5EA8D0" w:rsidR="00921D71" w:rsidRPr="00921D71" w:rsidRDefault="00921D71" w:rsidP="00921D71">
      <w:pPr>
        <w:spacing w:before="120" w:after="120" w:line="240" w:lineRule="auto"/>
        <w:textAlignment w:val="baseline"/>
        <w:rPr>
          <w:rFonts w:ascii="Calibri" w:eastAsia="Times New Roman" w:hAnsi="Calibri" w:cs="Arial"/>
          <w:sz w:val="18"/>
          <w:szCs w:val="18"/>
          <w:lang w:eastAsia="en-AU"/>
        </w:rPr>
      </w:pPr>
      <w:r w:rsidRPr="00921D71">
        <w:rPr>
          <w:rFonts w:ascii="Calibri" w:eastAsia="Times New Roman" w:hAnsi="Calibri" w:cs="Arial"/>
          <w:lang w:eastAsia="en-AU"/>
        </w:rPr>
        <w:t>The department conducted preliminary roundtables on 13 February 2023 with employer groups and other civil society stakeholders such as community legal centres (CLCs). These roundtables canvassed the current system and the use of tripartite approaches. The department also held a roundtable with representatives from state and territory justice departments and courts.</w:t>
      </w:r>
    </w:p>
    <w:p w14:paraId="0EF890D4" w14:textId="199048A9" w:rsidR="00921D71" w:rsidRPr="00921D71" w:rsidRDefault="00921D71" w:rsidP="00921D71">
      <w:pPr>
        <w:spacing w:before="120" w:after="120" w:line="240" w:lineRule="auto"/>
        <w:textAlignment w:val="baseline"/>
        <w:rPr>
          <w:rFonts w:ascii="Calibri" w:eastAsia="Times New Roman" w:hAnsi="Calibri" w:cs="Arial"/>
          <w:lang w:val="en-GB" w:eastAsia="en-AU"/>
        </w:rPr>
      </w:pPr>
      <w:r w:rsidRPr="00921D71">
        <w:rPr>
          <w:rFonts w:ascii="Calibri" w:eastAsia="Times New Roman" w:hAnsi="Calibri" w:cs="Arial"/>
          <w:lang w:eastAsia="en-AU"/>
        </w:rPr>
        <w:t xml:space="preserve">A </w:t>
      </w:r>
      <w:r w:rsidR="00F90CCD">
        <w:rPr>
          <w:rFonts w:ascii="Calibri" w:eastAsia="Times New Roman" w:hAnsi="Calibri" w:cs="Arial"/>
          <w:lang w:eastAsia="en-AU"/>
        </w:rPr>
        <w:t>c</w:t>
      </w:r>
      <w:r w:rsidRPr="00921D71">
        <w:rPr>
          <w:rFonts w:ascii="Calibri" w:eastAsia="Times New Roman" w:hAnsi="Calibri" w:cs="Arial"/>
          <w:lang w:eastAsia="en-AU"/>
        </w:rPr>
        <w:t xml:space="preserve">onsultation </w:t>
      </w:r>
      <w:r w:rsidR="00F90CCD">
        <w:rPr>
          <w:rFonts w:ascii="Calibri" w:eastAsia="Times New Roman" w:hAnsi="Calibri" w:cs="Arial"/>
          <w:lang w:eastAsia="en-AU"/>
        </w:rPr>
        <w:t>p</w:t>
      </w:r>
      <w:r w:rsidRPr="00921D71">
        <w:rPr>
          <w:rFonts w:ascii="Calibri" w:eastAsia="Times New Roman" w:hAnsi="Calibri" w:cs="Arial"/>
          <w:lang w:eastAsia="en-AU"/>
        </w:rPr>
        <w:t xml:space="preserve">aper </w:t>
      </w:r>
      <w:r w:rsidRPr="00921D71">
        <w:rPr>
          <w:rFonts w:ascii="Calibri" w:eastAsia="Times New Roman" w:hAnsi="Calibri" w:cs="Arial"/>
          <w:lang w:val="en-GB" w:eastAsia="en-AU"/>
        </w:rPr>
        <w:t>was confidentially provided to approximately 30 stakeholders on 3 May 2023, with submissions sought by 31 May 2023. Seventeen submissions were received</w:t>
      </w:r>
      <w:r w:rsidR="009E1F16">
        <w:rPr>
          <w:rFonts w:ascii="Calibri" w:eastAsia="Times New Roman" w:hAnsi="Calibri" w:cs="Arial"/>
          <w:lang w:val="en-GB" w:eastAsia="en-AU"/>
        </w:rPr>
        <w:t>.</w:t>
      </w:r>
    </w:p>
    <w:p w14:paraId="73753488" w14:textId="03778128" w:rsidR="00921D71" w:rsidRPr="00921D71" w:rsidRDefault="00921D71" w:rsidP="009E1F16">
      <w:pPr>
        <w:spacing w:before="120" w:after="120" w:line="240" w:lineRule="auto"/>
        <w:ind w:left="720"/>
        <w:contextualSpacing/>
        <w:textAlignment w:val="baseline"/>
        <w:rPr>
          <w:rFonts w:ascii="Calibri" w:eastAsia="Times New Roman" w:hAnsi="Calibri" w:cs="Arial"/>
          <w:lang w:val="en-GB" w:eastAsia="en-AU"/>
        </w:rPr>
      </w:pPr>
    </w:p>
    <w:p w14:paraId="726D3652" w14:textId="77777777" w:rsidR="00921D71" w:rsidRPr="00921D71" w:rsidRDefault="00921D71" w:rsidP="00921D71">
      <w:pPr>
        <w:spacing w:before="120" w:after="120" w:line="240" w:lineRule="auto"/>
        <w:textAlignment w:val="baseline"/>
        <w:rPr>
          <w:rFonts w:ascii="Calibri" w:eastAsia="Calibri" w:hAnsi="Calibri" w:cs="Calibri"/>
        </w:rPr>
      </w:pPr>
      <w:r w:rsidRPr="00921D71">
        <w:rPr>
          <w:rFonts w:ascii="Calibri" w:eastAsia="Times New Roman" w:hAnsi="Calibri" w:cs="Arial"/>
          <w:b/>
          <w:bCs/>
          <w:sz w:val="48"/>
          <w:szCs w:val="48"/>
          <w:lang w:eastAsia="en-AU"/>
        </w:rPr>
        <w:br w:type="page"/>
      </w:r>
    </w:p>
    <w:p w14:paraId="62C9DDCD" w14:textId="77777777" w:rsidR="00921D71" w:rsidRPr="00921D71" w:rsidRDefault="00921D71" w:rsidP="00E60CEE">
      <w:pPr>
        <w:pStyle w:val="Heading1"/>
        <w:rPr>
          <w:rFonts w:eastAsia="Times New Roman"/>
          <w:lang w:val="en-GB" w:eastAsia="en-AU"/>
        </w:rPr>
      </w:pPr>
      <w:bookmarkStart w:id="5" w:name="_Toc183777396"/>
      <w:r w:rsidRPr="00921D71">
        <w:rPr>
          <w:rFonts w:eastAsia="Times New Roman"/>
          <w:lang w:val="en-GB" w:eastAsia="en-AU"/>
        </w:rPr>
        <w:lastRenderedPageBreak/>
        <w:t>Recommendations</w:t>
      </w:r>
      <w:bookmarkEnd w:id="5"/>
      <w:r w:rsidRPr="00921D71">
        <w:rPr>
          <w:rFonts w:eastAsia="Times New Roman"/>
          <w:lang w:val="en-GB" w:eastAsia="en-AU"/>
        </w:rPr>
        <w:t xml:space="preserve"> </w:t>
      </w:r>
    </w:p>
    <w:p w14:paraId="754EDE9B" w14:textId="77777777" w:rsidR="00921D71" w:rsidRPr="00921D71" w:rsidRDefault="00921D71" w:rsidP="00577EC3">
      <w:pPr>
        <w:keepNext/>
        <w:numPr>
          <w:ilvl w:val="0"/>
          <w:numId w:val="36"/>
        </w:numPr>
        <w:spacing w:before="120" w:after="120" w:line="259" w:lineRule="auto"/>
        <w:ind w:left="714" w:hanging="357"/>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The Government should consider whether the </w:t>
      </w:r>
      <w:r w:rsidRPr="00921D71">
        <w:rPr>
          <w:rFonts w:ascii="Calibri" w:eastAsia="Times New Roman" w:hAnsi="Calibri" w:cs="Arial"/>
          <w:i/>
          <w:lang w:eastAsia="en-AU"/>
        </w:rPr>
        <w:t>Federal Court and Federal Circuit and Family Court Regulations 2022</w:t>
      </w:r>
      <w:r w:rsidRPr="00921D71">
        <w:rPr>
          <w:rFonts w:ascii="Calibri" w:eastAsia="Times New Roman" w:hAnsi="Calibri" w:cs="Arial"/>
          <w:lang w:eastAsia="en-AU"/>
        </w:rPr>
        <w:t xml:space="preserve"> should be amended to provide that, in small claims proceedings, an applicant is automatically exempt from paying a filing fee if the applicant:</w:t>
      </w:r>
    </w:p>
    <w:p w14:paraId="6DBED80B" w14:textId="77777777" w:rsidR="00921D71" w:rsidRPr="00921D71" w:rsidRDefault="00921D71" w:rsidP="00577EC3">
      <w:pPr>
        <w:keepNext/>
        <w:numPr>
          <w:ilvl w:val="1"/>
          <w:numId w:val="36"/>
        </w:numPr>
        <w:spacing w:before="120" w:after="120" w:line="259" w:lineRule="auto"/>
        <w:ind w:left="1434" w:hanging="357"/>
        <w:contextualSpacing/>
        <w:textAlignment w:val="baseline"/>
        <w:rPr>
          <w:rFonts w:ascii="Calibri" w:eastAsia="Times New Roman" w:hAnsi="Calibri" w:cs="Arial"/>
          <w:bCs/>
          <w:lang w:eastAsia="en-AU"/>
        </w:rPr>
      </w:pPr>
      <w:r w:rsidRPr="00921D71">
        <w:rPr>
          <w:rFonts w:ascii="Calibri" w:eastAsia="Times New Roman" w:hAnsi="Calibri" w:cs="Arial"/>
          <w:bCs/>
          <w:lang w:eastAsia="en-AU"/>
        </w:rPr>
        <w:t>is receiving, or has recently received, assistance from a migrant worker centre, industrial association, or the Fair Work Ombudsman, or</w:t>
      </w:r>
    </w:p>
    <w:p w14:paraId="72A54E56" w14:textId="7F2A0641" w:rsidR="005C151A" w:rsidRPr="00A75145" w:rsidRDefault="00921D71" w:rsidP="00577EC3">
      <w:pPr>
        <w:keepNext/>
        <w:numPr>
          <w:ilvl w:val="1"/>
          <w:numId w:val="36"/>
        </w:numPr>
        <w:spacing w:before="120" w:after="120" w:line="259" w:lineRule="auto"/>
        <w:ind w:left="1434" w:hanging="357"/>
        <w:textAlignment w:val="baseline"/>
        <w:rPr>
          <w:rFonts w:ascii="Calibri" w:eastAsia="Times New Roman" w:hAnsi="Calibri" w:cs="Arial"/>
          <w:lang w:eastAsia="en-AU"/>
        </w:rPr>
      </w:pPr>
      <w:r w:rsidRPr="00921D71">
        <w:rPr>
          <w:rFonts w:ascii="Calibri" w:eastAsia="Times New Roman" w:hAnsi="Calibri" w:cs="Arial"/>
          <w:lang w:eastAsia="en-AU"/>
        </w:rPr>
        <w:t>is claiming no more than $5,000.</w:t>
      </w:r>
    </w:p>
    <w:p w14:paraId="50218CE6" w14:textId="77777777" w:rsidR="00921D71" w:rsidRPr="00921D71" w:rsidRDefault="00921D71" w:rsidP="00921D71">
      <w:pPr>
        <w:numPr>
          <w:ilvl w:val="0"/>
          <w:numId w:val="36"/>
        </w:numPr>
        <w:spacing w:before="120" w:after="120" w:line="259" w:lineRule="auto"/>
        <w:rPr>
          <w:rFonts w:ascii="Calibri" w:eastAsia="Yu Mincho" w:hAnsi="Calibri" w:cs="Arial"/>
        </w:rPr>
      </w:pPr>
      <w:r w:rsidRPr="00921D71">
        <w:rPr>
          <w:rFonts w:ascii="Calibri" w:eastAsia="Yu Mincho" w:hAnsi="Calibri" w:cs="Arial"/>
          <w:bCs/>
          <w:iCs/>
        </w:rPr>
        <w:t>The</w:t>
      </w:r>
      <w:r w:rsidRPr="00921D71">
        <w:rPr>
          <w:rFonts w:ascii="Calibri" w:eastAsia="Yu Mincho" w:hAnsi="Calibri" w:cs="Arial"/>
          <w:iCs/>
        </w:rPr>
        <w:t xml:space="preserve"> Federal Circuit and Family Court of Australia should consider ways to more clearly communicate the availability of fee waivers on its website, and in all relevant educational resources and materials</w:t>
      </w:r>
      <w:r w:rsidRPr="00921D71">
        <w:rPr>
          <w:rFonts w:ascii="Calibri" w:eastAsia="Yu Mincho" w:hAnsi="Calibri" w:cs="Arial"/>
        </w:rPr>
        <w:t>.</w:t>
      </w:r>
    </w:p>
    <w:p w14:paraId="322742E6" w14:textId="77777777" w:rsidR="00921D71" w:rsidRPr="00921D71" w:rsidRDefault="00921D71" w:rsidP="00921D71">
      <w:pPr>
        <w:numPr>
          <w:ilvl w:val="0"/>
          <w:numId w:val="36"/>
        </w:numPr>
        <w:spacing w:before="120" w:after="120" w:line="259" w:lineRule="auto"/>
        <w:contextualSpacing/>
        <w:rPr>
          <w:rFonts w:ascii="Calibri" w:eastAsia="Yu Mincho" w:hAnsi="Calibri" w:cs="Arial"/>
        </w:rPr>
      </w:pPr>
      <w:r w:rsidRPr="00921D71">
        <w:rPr>
          <w:rFonts w:ascii="Calibri" w:eastAsia="Yu Mincho" w:hAnsi="Calibri" w:cs="Calibri"/>
        </w:rPr>
        <w:t xml:space="preserve">The </w:t>
      </w:r>
      <w:r w:rsidRPr="00921D71">
        <w:rPr>
          <w:rFonts w:ascii="Calibri" w:eastAsia="Yu Mincho" w:hAnsi="Calibri" w:cs="Calibri"/>
          <w:i/>
          <w:iCs/>
        </w:rPr>
        <w:t>Fair Work Act 2009</w:t>
      </w:r>
      <w:r w:rsidRPr="00921D71">
        <w:rPr>
          <w:rFonts w:ascii="Calibri" w:eastAsia="Yu Mincho" w:hAnsi="Calibri" w:cs="Calibri"/>
        </w:rPr>
        <w:t xml:space="preserve"> should be amended to provide that:</w:t>
      </w:r>
    </w:p>
    <w:p w14:paraId="273E4840" w14:textId="77777777" w:rsidR="00921D71" w:rsidRPr="00921D71" w:rsidRDefault="00921D71" w:rsidP="00921D71">
      <w:pPr>
        <w:numPr>
          <w:ilvl w:val="1"/>
          <w:numId w:val="18"/>
        </w:numPr>
        <w:spacing w:before="120" w:after="120" w:line="259" w:lineRule="auto"/>
        <w:contextualSpacing/>
        <w:textAlignment w:val="baseline"/>
        <w:rPr>
          <w:rFonts w:ascii="Calibri" w:eastAsia="Yu Mincho" w:hAnsi="Calibri" w:cs="Calibri"/>
        </w:rPr>
      </w:pPr>
      <w:r w:rsidRPr="00921D71">
        <w:rPr>
          <w:rFonts w:ascii="Calibri" w:eastAsia="Yu Mincho" w:hAnsi="Calibri" w:cs="Calibri"/>
        </w:rPr>
        <w:t>if a worker is successful in a small claims proceeding, the court may make an order that the employer pay their legal costs, and</w:t>
      </w:r>
    </w:p>
    <w:p w14:paraId="1B6678CC" w14:textId="77777777" w:rsidR="00921D71" w:rsidRPr="00921D71" w:rsidRDefault="00921D71" w:rsidP="00267E5D">
      <w:pPr>
        <w:numPr>
          <w:ilvl w:val="1"/>
          <w:numId w:val="18"/>
        </w:numPr>
        <w:spacing w:before="120" w:after="120" w:line="259" w:lineRule="auto"/>
        <w:ind w:left="1434" w:hanging="357"/>
        <w:contextualSpacing/>
        <w:textAlignment w:val="baseline"/>
        <w:rPr>
          <w:rFonts w:ascii="Calibri" w:eastAsia="Yu Mincho" w:hAnsi="Calibri" w:cs="Calibri"/>
        </w:rPr>
      </w:pPr>
      <w:r w:rsidRPr="00921D71">
        <w:rPr>
          <w:rFonts w:ascii="Calibri" w:eastAsia="Yu Mincho" w:hAnsi="Calibri" w:cs="Calibri"/>
        </w:rPr>
        <w:t>if a worker is unsuccessful, both parties bear their own costs.</w:t>
      </w:r>
    </w:p>
    <w:p w14:paraId="4534F0C4" w14:textId="77777777" w:rsidR="00921D71" w:rsidRPr="00921D71" w:rsidRDefault="00921D71" w:rsidP="00921D71">
      <w:pPr>
        <w:spacing w:before="120" w:after="120" w:line="259" w:lineRule="auto"/>
        <w:ind w:left="720"/>
        <w:rPr>
          <w:rFonts w:ascii="Calibri" w:eastAsia="Yu Mincho" w:hAnsi="Calibri" w:cs="Calibri"/>
        </w:rPr>
      </w:pPr>
      <w:r w:rsidRPr="00921D71">
        <w:rPr>
          <w:rFonts w:ascii="Calibri" w:eastAsia="Yu Mincho" w:hAnsi="Calibri" w:cs="Calibri"/>
        </w:rPr>
        <w:t>Appropriate safeguards should be included, such as an exception where an applicant issues or conducts proceedings vexatiously or unreasonably.</w:t>
      </w:r>
    </w:p>
    <w:p w14:paraId="1B05740F" w14:textId="77777777" w:rsidR="00921D71" w:rsidRPr="00921D71" w:rsidRDefault="00921D71" w:rsidP="00577EC3">
      <w:pPr>
        <w:numPr>
          <w:ilvl w:val="0"/>
          <w:numId w:val="36"/>
        </w:numPr>
        <w:spacing w:before="120" w:after="120" w:line="259" w:lineRule="auto"/>
        <w:ind w:left="714" w:hanging="357"/>
        <w:rPr>
          <w:rFonts w:ascii="Calibri" w:eastAsia="Yu Mincho" w:hAnsi="Calibri" w:cs="Arial"/>
        </w:rPr>
      </w:pPr>
      <w:r w:rsidRPr="00921D71">
        <w:rPr>
          <w:rFonts w:ascii="Calibri" w:eastAsia="Yu Mincho" w:hAnsi="Calibri" w:cs="Arial"/>
        </w:rPr>
        <w:t>The F</w:t>
      </w:r>
      <w:r w:rsidRPr="00921D71">
        <w:rPr>
          <w:rFonts w:ascii="Calibri" w:eastAsia="Yu Mincho" w:hAnsi="Calibri" w:cs="Arial"/>
          <w:bCs/>
        </w:rPr>
        <w:t>ederal Circuit and Family Court of Australia</w:t>
      </w:r>
      <w:r w:rsidRPr="00921D71">
        <w:rPr>
          <w:rFonts w:ascii="Calibri" w:eastAsia="Yu Mincho" w:hAnsi="Calibri" w:cs="Arial"/>
        </w:rPr>
        <w:t xml:space="preserve"> should consider whether the ‘Application – Fair Work Division’ and ‘Small claim under the </w:t>
      </w:r>
      <w:r w:rsidRPr="00921D71">
        <w:rPr>
          <w:rFonts w:ascii="Calibri" w:eastAsia="Yu Mincho" w:hAnsi="Calibri" w:cs="Arial"/>
          <w:i/>
          <w:iCs/>
        </w:rPr>
        <w:t>Fair Work Act 2009</w:t>
      </w:r>
      <w:r w:rsidRPr="00921D71">
        <w:rPr>
          <w:rFonts w:ascii="Calibri" w:eastAsia="Yu Mincho" w:hAnsi="Calibri" w:cs="Arial"/>
        </w:rPr>
        <w:t>’ forms should be amalgamated and, in the process, consider any further simplifications that could be made.</w:t>
      </w:r>
    </w:p>
    <w:p w14:paraId="3B4229A8" w14:textId="77777777" w:rsidR="00921D71" w:rsidRPr="00921D71" w:rsidRDefault="00921D71" w:rsidP="00921D71">
      <w:pPr>
        <w:numPr>
          <w:ilvl w:val="0"/>
          <w:numId w:val="36"/>
        </w:numPr>
        <w:spacing w:before="120" w:after="120" w:line="259" w:lineRule="auto"/>
        <w:ind w:left="714" w:hanging="357"/>
        <w:rPr>
          <w:rFonts w:ascii="Calibri" w:eastAsia="Yu Mincho" w:hAnsi="Calibri" w:cs="Arial"/>
        </w:rPr>
      </w:pPr>
      <w:r w:rsidRPr="00921D71">
        <w:rPr>
          <w:rFonts w:ascii="Calibri" w:eastAsia="Yu Mincho" w:hAnsi="Calibri" w:cs="Arial"/>
        </w:rPr>
        <w:t>The F</w:t>
      </w:r>
      <w:r w:rsidRPr="00921D71">
        <w:rPr>
          <w:rFonts w:ascii="Calibri" w:eastAsia="Yu Mincho" w:hAnsi="Calibri" w:cs="Arial"/>
          <w:bCs/>
        </w:rPr>
        <w:t>ederal Circuit and Family Court of Australia</w:t>
      </w:r>
      <w:r w:rsidRPr="00921D71">
        <w:rPr>
          <w:rFonts w:ascii="Calibri" w:eastAsia="Yu Mincho" w:hAnsi="Calibri" w:cs="Arial"/>
        </w:rPr>
        <w:t xml:space="preserve"> should consider developing a ‘do it yourself kit’ for small claim applications, </w:t>
      </w:r>
      <w:proofErr w:type="gramStart"/>
      <w:r w:rsidRPr="00921D71">
        <w:rPr>
          <w:rFonts w:ascii="Calibri" w:eastAsia="Yu Mincho" w:hAnsi="Calibri" w:cs="Arial"/>
        </w:rPr>
        <w:t>similar to</w:t>
      </w:r>
      <w:proofErr w:type="gramEnd"/>
      <w:r w:rsidRPr="00921D71">
        <w:rPr>
          <w:rFonts w:ascii="Calibri" w:eastAsia="Yu Mincho" w:hAnsi="Calibri" w:cs="Arial"/>
        </w:rPr>
        <w:t xml:space="preserve"> the one provided for family law proceedings.</w:t>
      </w:r>
    </w:p>
    <w:p w14:paraId="7444F36F" w14:textId="77777777" w:rsidR="00921D71" w:rsidRPr="00921D71" w:rsidRDefault="00921D71" w:rsidP="00921D71">
      <w:pPr>
        <w:numPr>
          <w:ilvl w:val="0"/>
          <w:numId w:val="36"/>
        </w:numPr>
        <w:spacing w:before="120" w:after="120" w:line="259" w:lineRule="auto"/>
        <w:ind w:left="714" w:hanging="357"/>
        <w:rPr>
          <w:rFonts w:ascii="Calibri" w:eastAsia="Yu Mincho" w:hAnsi="Calibri" w:cs="Arial"/>
        </w:rPr>
      </w:pPr>
      <w:r w:rsidRPr="00921D71">
        <w:rPr>
          <w:rFonts w:ascii="Calibri" w:eastAsia="Yu Mincho" w:hAnsi="Calibri" w:cs="Calibri"/>
          <w:lang w:val="en-GB"/>
        </w:rPr>
        <w:t xml:space="preserve">The Government should continue to progress work on enhanced safeguard measures that would enable migrant workers to pursue recourse for workplace exploitation, including through the small </w:t>
      </w:r>
      <w:proofErr w:type="gramStart"/>
      <w:r w:rsidRPr="00921D71">
        <w:rPr>
          <w:rFonts w:ascii="Calibri" w:eastAsia="Yu Mincho" w:hAnsi="Calibri" w:cs="Calibri"/>
          <w:lang w:val="en-GB"/>
        </w:rPr>
        <w:t>claims</w:t>
      </w:r>
      <w:proofErr w:type="gramEnd"/>
      <w:r w:rsidRPr="00921D71">
        <w:rPr>
          <w:rFonts w:ascii="Calibri" w:eastAsia="Yu Mincho" w:hAnsi="Calibri" w:cs="Calibri"/>
          <w:lang w:val="en-GB"/>
        </w:rPr>
        <w:t xml:space="preserve"> procedure, with clear protections from visa cancellation or other adverse outcomes, as appropriate.</w:t>
      </w:r>
    </w:p>
    <w:p w14:paraId="143BEEA0" w14:textId="77777777" w:rsidR="00921D71" w:rsidRPr="00921D71" w:rsidRDefault="00921D71" w:rsidP="008556A2">
      <w:pPr>
        <w:numPr>
          <w:ilvl w:val="0"/>
          <w:numId w:val="36"/>
        </w:numPr>
        <w:spacing w:before="120" w:after="120" w:line="259" w:lineRule="auto"/>
        <w:ind w:left="714" w:hanging="357"/>
        <w:rPr>
          <w:rFonts w:ascii="Calibri" w:eastAsia="Yu Mincho" w:hAnsi="Calibri" w:cs="Arial"/>
        </w:rPr>
      </w:pPr>
      <w:r w:rsidRPr="00921D71">
        <w:rPr>
          <w:rFonts w:ascii="Calibri" w:eastAsia="Yu Mincho" w:hAnsi="Calibri" w:cs="Calibri"/>
          <w:lang w:val="en-GB"/>
        </w:rPr>
        <w:t>The Government should continue to progress its commitment to implement recommendation 13 of the Migrant Worker Taskforce Report, to extend access to the Fair Entitlements Guarantee to temporary migrant workers.</w:t>
      </w:r>
    </w:p>
    <w:p w14:paraId="5A3E28FF" w14:textId="77777777" w:rsidR="00921D71" w:rsidRPr="00921D71" w:rsidRDefault="00921D71" w:rsidP="00577EC3">
      <w:pPr>
        <w:numPr>
          <w:ilvl w:val="0"/>
          <w:numId w:val="36"/>
        </w:numPr>
        <w:spacing w:before="120" w:after="120" w:line="259" w:lineRule="auto"/>
        <w:ind w:left="714" w:hanging="357"/>
        <w:contextualSpacing/>
        <w:rPr>
          <w:rFonts w:ascii="Calibri" w:eastAsia="Calibri" w:hAnsi="Calibri" w:cs="Arial"/>
        </w:rPr>
      </w:pPr>
      <w:r w:rsidRPr="00921D71">
        <w:rPr>
          <w:rFonts w:ascii="Calibri" w:eastAsia="Times New Roman" w:hAnsi="Calibri" w:cs="Arial"/>
          <w:lang w:eastAsia="en-AU"/>
        </w:rPr>
        <w:t>The Fair Work Ombudsman and the Federal Circuit and Family Court of Australia should consider:</w:t>
      </w:r>
    </w:p>
    <w:p w14:paraId="1DB7934F" w14:textId="77777777" w:rsidR="00921D71" w:rsidRPr="00921D71" w:rsidRDefault="00921D71" w:rsidP="00921D71">
      <w:pPr>
        <w:numPr>
          <w:ilvl w:val="1"/>
          <w:numId w:val="36"/>
        </w:numPr>
        <w:spacing w:before="120" w:after="120" w:line="259" w:lineRule="auto"/>
        <w:ind w:left="1434" w:hanging="357"/>
        <w:contextualSpacing/>
        <w:rPr>
          <w:rFonts w:ascii="Calibri" w:eastAsia="Calibri" w:hAnsi="Calibri" w:cs="Arial"/>
        </w:rPr>
      </w:pPr>
      <w:r w:rsidRPr="00921D71">
        <w:rPr>
          <w:rFonts w:ascii="Calibri" w:eastAsia="Times New Roman" w:hAnsi="Calibri" w:cs="Arial"/>
          <w:lang w:eastAsia="en-AU"/>
        </w:rPr>
        <w:t xml:space="preserve">information gaps relating to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amongst vulnerable workers, particularly migrant workers, to identify the needs of target audiences </w:t>
      </w:r>
    </w:p>
    <w:p w14:paraId="269AFAEB" w14:textId="77777777" w:rsidR="00921D71" w:rsidRPr="00921D71" w:rsidRDefault="00921D71" w:rsidP="00921D71">
      <w:pPr>
        <w:numPr>
          <w:ilvl w:val="1"/>
          <w:numId w:val="36"/>
        </w:numPr>
        <w:spacing w:before="120" w:after="120" w:line="259" w:lineRule="auto"/>
        <w:ind w:left="1434" w:hanging="357"/>
        <w:contextualSpacing/>
        <w:rPr>
          <w:rFonts w:ascii="Calibri" w:eastAsia="Calibri" w:hAnsi="Calibri" w:cs="Arial"/>
        </w:rPr>
      </w:pPr>
      <w:r w:rsidRPr="00921D71">
        <w:rPr>
          <w:rFonts w:ascii="Calibri" w:eastAsia="Times New Roman" w:hAnsi="Calibri" w:cs="Arial"/>
          <w:lang w:eastAsia="en-AU"/>
        </w:rPr>
        <w:t>additional small claims materials to address those needs, and</w:t>
      </w:r>
    </w:p>
    <w:p w14:paraId="0C1336AE" w14:textId="1E9C7F48" w:rsidR="005C151A" w:rsidRPr="008556A2" w:rsidRDefault="00921D71" w:rsidP="008556A2">
      <w:pPr>
        <w:numPr>
          <w:ilvl w:val="1"/>
          <w:numId w:val="36"/>
        </w:numPr>
        <w:spacing w:before="120" w:after="120" w:line="259" w:lineRule="auto"/>
        <w:ind w:left="1434" w:hanging="357"/>
        <w:rPr>
          <w:rFonts w:ascii="Calibri" w:eastAsia="Calibri" w:hAnsi="Calibri" w:cs="Arial"/>
        </w:rPr>
      </w:pPr>
      <w:r w:rsidRPr="00921D71">
        <w:rPr>
          <w:rFonts w:ascii="Calibri" w:eastAsia="Times New Roman" w:hAnsi="Calibri" w:cs="Arial"/>
          <w:lang w:eastAsia="en-AU"/>
        </w:rPr>
        <w:t>translating small claims materials into languages other than English.</w:t>
      </w:r>
    </w:p>
    <w:p w14:paraId="5ADEE7FE" w14:textId="77777777" w:rsidR="00921D71" w:rsidRPr="00921D71" w:rsidRDefault="00921D71" w:rsidP="00921D71">
      <w:pPr>
        <w:numPr>
          <w:ilvl w:val="0"/>
          <w:numId w:val="36"/>
        </w:numPr>
        <w:spacing w:before="120" w:after="120" w:line="259" w:lineRule="auto"/>
        <w:ind w:left="714" w:hanging="357"/>
        <w:contextualSpacing/>
        <w:rPr>
          <w:rFonts w:ascii="Calibri" w:eastAsia="Yu Mincho" w:hAnsi="Calibri" w:cs="Arial"/>
        </w:rPr>
      </w:pPr>
      <w:r w:rsidRPr="00921D71">
        <w:rPr>
          <w:rFonts w:ascii="Calibri" w:eastAsia="Yu Mincho" w:hAnsi="Calibri" w:cs="Arial"/>
        </w:rPr>
        <w:t>Further work should be undertaken to consider whether additional funding is required for legal assistance in small claims matters, to enable:</w:t>
      </w:r>
    </w:p>
    <w:p w14:paraId="3476D3D7" w14:textId="77777777" w:rsidR="00921D71" w:rsidRPr="00921D71" w:rsidRDefault="00921D71" w:rsidP="00921D71">
      <w:pPr>
        <w:numPr>
          <w:ilvl w:val="1"/>
          <w:numId w:val="35"/>
        </w:numPr>
        <w:spacing w:before="120" w:after="120" w:line="259" w:lineRule="auto"/>
        <w:contextualSpacing/>
        <w:textAlignment w:val="baseline"/>
        <w:rPr>
          <w:rFonts w:ascii="Calibri" w:eastAsia="Yu Mincho" w:hAnsi="Calibri" w:cs="Calibri"/>
        </w:rPr>
      </w:pPr>
      <w:r w:rsidRPr="00921D71">
        <w:rPr>
          <w:rFonts w:ascii="Calibri" w:eastAsia="Yu Mincho" w:hAnsi="Calibri" w:cs="Calibri"/>
        </w:rPr>
        <w:t xml:space="preserve">the establishment of duty lawyer services </w:t>
      </w:r>
    </w:p>
    <w:p w14:paraId="4DA9AD68" w14:textId="77777777" w:rsidR="00921D71" w:rsidRPr="00921D71" w:rsidRDefault="00921D71" w:rsidP="00921D71">
      <w:pPr>
        <w:numPr>
          <w:ilvl w:val="1"/>
          <w:numId w:val="35"/>
        </w:numPr>
        <w:spacing w:before="120" w:after="120" w:line="259" w:lineRule="auto"/>
        <w:ind w:left="1434" w:hanging="357"/>
        <w:contextualSpacing/>
        <w:textAlignment w:val="baseline"/>
        <w:rPr>
          <w:rFonts w:ascii="Calibri" w:eastAsia="Yu Mincho" w:hAnsi="Calibri" w:cs="Calibri"/>
        </w:rPr>
      </w:pPr>
      <w:r w:rsidRPr="00921D71">
        <w:rPr>
          <w:rFonts w:ascii="Calibri" w:eastAsia="Yu Mincho" w:hAnsi="Calibri" w:cs="Calibri"/>
        </w:rPr>
        <w:t xml:space="preserve">the provision of targeted community legal education initiatives, and </w:t>
      </w:r>
    </w:p>
    <w:p w14:paraId="016E4182" w14:textId="77777777" w:rsidR="00921D71" w:rsidRPr="00921D71" w:rsidRDefault="00921D71" w:rsidP="00921D71">
      <w:pPr>
        <w:numPr>
          <w:ilvl w:val="1"/>
          <w:numId w:val="35"/>
        </w:numPr>
        <w:spacing w:before="120" w:after="120" w:line="259" w:lineRule="auto"/>
        <w:ind w:left="1434" w:hanging="357"/>
        <w:textAlignment w:val="baseline"/>
        <w:rPr>
          <w:rFonts w:ascii="Calibri" w:eastAsia="Yu Mincho" w:hAnsi="Calibri" w:cs="Calibri"/>
        </w:rPr>
      </w:pPr>
      <w:r w:rsidRPr="00921D71">
        <w:rPr>
          <w:rFonts w:ascii="Calibri" w:eastAsia="Yu Mincho" w:hAnsi="Calibri" w:cs="Calibri"/>
        </w:rPr>
        <w:t>legal assistance providers to assist and represent more workers.</w:t>
      </w:r>
    </w:p>
    <w:p w14:paraId="7DD3B9B7" w14:textId="77777777" w:rsidR="00921D71" w:rsidRPr="00921D71" w:rsidRDefault="00921D71" w:rsidP="00921D71">
      <w:pPr>
        <w:numPr>
          <w:ilvl w:val="0"/>
          <w:numId w:val="36"/>
        </w:numPr>
        <w:spacing w:before="120" w:after="120" w:line="259" w:lineRule="auto"/>
        <w:ind w:left="714" w:hanging="357"/>
        <w:rPr>
          <w:rFonts w:ascii="Calibri" w:eastAsia="Calibri" w:hAnsi="Calibri" w:cs="Calibri"/>
          <w:color w:val="000000"/>
        </w:rPr>
      </w:pPr>
      <w:r w:rsidRPr="00921D71">
        <w:rPr>
          <w:rFonts w:ascii="Calibri" w:eastAsia="Calibri" w:hAnsi="Calibri" w:cs="Calibri"/>
          <w:color w:val="000000"/>
        </w:rPr>
        <w:t xml:space="preserve">Once data on the effects of the increased monetary cap becomes available, the Department of Employment and Workplace Relations should consider whether any additional changes to the small </w:t>
      </w:r>
      <w:proofErr w:type="gramStart"/>
      <w:r w:rsidRPr="00921D71">
        <w:rPr>
          <w:rFonts w:ascii="Calibri" w:eastAsia="Calibri" w:hAnsi="Calibri" w:cs="Calibri"/>
          <w:color w:val="000000"/>
        </w:rPr>
        <w:t>claims</w:t>
      </w:r>
      <w:proofErr w:type="gramEnd"/>
      <w:r w:rsidRPr="00921D71">
        <w:rPr>
          <w:rFonts w:ascii="Calibri" w:eastAsia="Calibri" w:hAnsi="Calibri" w:cs="Calibri"/>
          <w:color w:val="000000"/>
        </w:rPr>
        <w:t xml:space="preserve"> procedure under the </w:t>
      </w:r>
      <w:r w:rsidRPr="00921D71">
        <w:rPr>
          <w:rFonts w:ascii="Calibri" w:eastAsia="Calibri" w:hAnsi="Calibri" w:cs="Calibri"/>
          <w:i/>
          <w:iCs/>
          <w:color w:val="000000"/>
        </w:rPr>
        <w:t>Fair Work Act 2009</w:t>
      </w:r>
      <w:r w:rsidRPr="00921D71">
        <w:rPr>
          <w:rFonts w:ascii="Calibri" w:eastAsia="Calibri" w:hAnsi="Calibri" w:cs="Calibri"/>
          <w:color w:val="000000"/>
        </w:rPr>
        <w:t xml:space="preserve"> are necessary.  </w:t>
      </w:r>
    </w:p>
    <w:p w14:paraId="3E88A91A" w14:textId="77777777" w:rsidR="00921D71" w:rsidRPr="00921D71" w:rsidRDefault="00921D71" w:rsidP="00921D71">
      <w:pPr>
        <w:numPr>
          <w:ilvl w:val="0"/>
          <w:numId w:val="36"/>
        </w:numPr>
        <w:spacing w:before="120" w:after="120" w:line="259" w:lineRule="auto"/>
        <w:ind w:left="714" w:hanging="357"/>
        <w:rPr>
          <w:rFonts w:ascii="Calibri" w:eastAsia="Calibri" w:hAnsi="Calibri" w:cs="Calibri"/>
          <w:color w:val="000000"/>
        </w:rPr>
      </w:pPr>
      <w:r w:rsidRPr="00921D71">
        <w:rPr>
          <w:rFonts w:ascii="Calibri" w:eastAsia="Calibri" w:hAnsi="Calibri" w:cs="Calibri"/>
          <w:color w:val="000000"/>
        </w:rPr>
        <w:lastRenderedPageBreak/>
        <w:t>Noting differing views about the potentially complementary nature of extending small claims jurisdiction to a tribunal and establishing an industrial court, it is recommended that Government consider these options further and determine which option, if any, to pursue. In progressing the selected policy, stakeholder feedback, including that received as part of the Small Claims Review, should be considered.</w:t>
      </w:r>
    </w:p>
    <w:p w14:paraId="1BCC26FC" w14:textId="77777777" w:rsidR="00921D71" w:rsidRPr="00921D71" w:rsidRDefault="00921D71" w:rsidP="00921D71">
      <w:pPr>
        <w:numPr>
          <w:ilvl w:val="0"/>
          <w:numId w:val="36"/>
        </w:numPr>
        <w:spacing w:before="120" w:after="120" w:line="259" w:lineRule="auto"/>
        <w:ind w:left="714" w:hanging="357"/>
        <w:contextualSpacing/>
        <w:rPr>
          <w:rFonts w:ascii="Calibri" w:eastAsia="Calibri" w:hAnsi="Calibri" w:cs="Calibri"/>
          <w:color w:val="000000"/>
        </w:rPr>
      </w:pPr>
      <w:r w:rsidRPr="00921D71">
        <w:rPr>
          <w:rFonts w:ascii="Calibri" w:eastAsia="Calibri" w:hAnsi="Calibri" w:cs="Calibri"/>
          <w:color w:val="000000"/>
        </w:rPr>
        <w:t xml:space="preserve">The Department of Employment and Workplace Relations should continue its engagement with unions, business groups and social partners/community representatives to strengthen tripartism and constructive social dialogue in Australian workplace relations. </w:t>
      </w:r>
      <w:r w:rsidRPr="00921D71">
        <w:rPr>
          <w:rFonts w:ascii="Calibri" w:eastAsia="Calibri" w:hAnsi="Calibri" w:cs="Calibri"/>
          <w:color w:val="000000"/>
        </w:rPr>
        <w:br w:type="page"/>
      </w:r>
    </w:p>
    <w:p w14:paraId="0200518A" w14:textId="77777777" w:rsidR="00921D71" w:rsidRPr="00921D71" w:rsidRDefault="00921D71" w:rsidP="00E60CEE">
      <w:pPr>
        <w:pStyle w:val="Heading1"/>
        <w:rPr>
          <w:rFonts w:eastAsia="Times New Roman"/>
          <w:sz w:val="18"/>
          <w:szCs w:val="18"/>
          <w:lang w:val="en-GB" w:eastAsia="en-AU"/>
        </w:rPr>
      </w:pPr>
      <w:bookmarkStart w:id="6" w:name="_Toc183777397"/>
      <w:r w:rsidRPr="00921D71">
        <w:rPr>
          <w:rFonts w:eastAsia="Times New Roman"/>
          <w:lang w:val="en-GB" w:eastAsia="en-AU"/>
        </w:rPr>
        <w:lastRenderedPageBreak/>
        <w:t>Background</w:t>
      </w:r>
      <w:bookmarkEnd w:id="6"/>
    </w:p>
    <w:p w14:paraId="6144D341" w14:textId="77777777" w:rsidR="00921D71" w:rsidRPr="00921D71" w:rsidRDefault="00921D71" w:rsidP="00E60CEE">
      <w:pPr>
        <w:pStyle w:val="Heading2"/>
        <w:rPr>
          <w:rFonts w:eastAsia="Times New Roman"/>
          <w:sz w:val="18"/>
          <w:szCs w:val="18"/>
          <w:lang w:eastAsia="en-AU"/>
        </w:rPr>
      </w:pPr>
      <w:bookmarkStart w:id="7" w:name="_Toc183777398"/>
      <w:r w:rsidRPr="00921D71">
        <w:rPr>
          <w:rFonts w:eastAsia="Times New Roman"/>
          <w:lang w:eastAsia="en-AU"/>
        </w:rPr>
        <w:t>The small claims procedure</w:t>
      </w:r>
      <w:bookmarkEnd w:id="7"/>
    </w:p>
    <w:p w14:paraId="28694054" w14:textId="77777777"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Upon introduction, the Fair Work Act</w:t>
      </w:r>
      <w:r w:rsidRPr="00921D71">
        <w:rPr>
          <w:rFonts w:ascii="Calibri" w:eastAsia="Times New Roman" w:hAnsi="Calibri" w:cs="Arial"/>
          <w:i/>
          <w:iCs/>
          <w:lang w:eastAsia="en-AU"/>
        </w:rPr>
        <w:t xml:space="preserve"> </w:t>
      </w:r>
      <w:r w:rsidRPr="00921D71">
        <w:rPr>
          <w:rFonts w:ascii="Calibri" w:eastAsia="Times New Roman" w:hAnsi="Calibri" w:cs="Arial"/>
          <w:lang w:eastAsia="en-AU"/>
        </w:rPr>
        <w:t xml:space="preserve">extended the small claims procedure that applied to proceedings in state </w:t>
      </w:r>
      <w:proofErr w:type="gramStart"/>
      <w:r w:rsidRPr="00921D71">
        <w:rPr>
          <w:rFonts w:ascii="Calibri" w:eastAsia="Times New Roman" w:hAnsi="Calibri" w:cs="Arial"/>
          <w:lang w:eastAsia="en-AU"/>
        </w:rPr>
        <w:t>magistrates</w:t>
      </w:r>
      <w:proofErr w:type="gramEnd"/>
      <w:r w:rsidRPr="00921D71">
        <w:rPr>
          <w:rFonts w:ascii="Calibri" w:eastAsia="Times New Roman" w:hAnsi="Calibri" w:cs="Arial"/>
          <w:lang w:eastAsia="en-AU"/>
        </w:rPr>
        <w:t xml:space="preserve"> courts under the </w:t>
      </w:r>
      <w:r w:rsidRPr="00921D71">
        <w:rPr>
          <w:rFonts w:ascii="Calibri" w:eastAsia="Times New Roman" w:hAnsi="Calibri" w:cs="Arial"/>
          <w:i/>
          <w:iCs/>
          <w:lang w:eastAsia="en-AU"/>
        </w:rPr>
        <w:t xml:space="preserve">Workplace Relations Act 1996 </w:t>
      </w:r>
      <w:r w:rsidRPr="00921D71">
        <w:rPr>
          <w:rFonts w:ascii="Calibri" w:eastAsia="Times New Roman" w:hAnsi="Calibri" w:cs="Arial"/>
          <w:lang w:eastAsia="en-AU"/>
        </w:rPr>
        <w:t xml:space="preserve">to proceedings in the Federal Magistrates Court (as it was then known). The explanatory memorandum for the new Fair Work Act outlined that the intention of the procedure is to ‘ensure that claims for a relatively small amount of money are dealt with efficiently and expeditiously by the courts… [and] are not subject to onerous procedural requirements.’ The new Fair Work Act also increased the monetary limit that could be awarded under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from $10,000 to $20,000.</w:t>
      </w:r>
    </w:p>
    <w:p w14:paraId="68D5AD95" w14:textId="77777777" w:rsidR="00921D71" w:rsidRPr="00921D71" w:rsidRDefault="00921D71" w:rsidP="00311654">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Section 548 of the Fair Work Act enables certain types of matters to be dealt with as small claims proceedings in the FCFCOA (Division 2), or a state or territory </w:t>
      </w:r>
      <w:proofErr w:type="gramStart"/>
      <w:r w:rsidRPr="00921D71">
        <w:rPr>
          <w:rFonts w:ascii="Calibri" w:eastAsia="Times New Roman" w:hAnsi="Calibri" w:cs="Arial"/>
          <w:lang w:eastAsia="en-AU"/>
        </w:rPr>
        <w:t>magistrates</w:t>
      </w:r>
      <w:proofErr w:type="gramEnd"/>
      <w:r w:rsidRPr="00921D71">
        <w:rPr>
          <w:rFonts w:ascii="Calibri" w:eastAsia="Times New Roman" w:hAnsi="Calibri" w:cs="Arial"/>
          <w:lang w:eastAsia="en-AU"/>
        </w:rPr>
        <w:t xml:space="preserve"> court. This includes:</w:t>
      </w:r>
    </w:p>
    <w:p w14:paraId="68710983" w14:textId="77777777" w:rsidR="00921D71" w:rsidRPr="00921D71" w:rsidRDefault="00921D71" w:rsidP="00921D71">
      <w:pPr>
        <w:numPr>
          <w:ilvl w:val="0"/>
          <w:numId w:val="25"/>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underpayment of workplace entitlements</w:t>
      </w:r>
    </w:p>
    <w:p w14:paraId="5386E55E" w14:textId="77777777" w:rsidR="00921D71" w:rsidRPr="00921D71" w:rsidDel="00A66B47" w:rsidRDefault="00921D71" w:rsidP="00921D71">
      <w:pPr>
        <w:numPr>
          <w:ilvl w:val="0"/>
          <w:numId w:val="25"/>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certain proceedings relating to the conversion of casual workers to full-time or part-time employees, and </w:t>
      </w:r>
    </w:p>
    <w:p w14:paraId="791A2DDF" w14:textId="77777777" w:rsidR="00921D71" w:rsidRPr="00921D71" w:rsidRDefault="00921D71" w:rsidP="00311654">
      <w:pPr>
        <w:numPr>
          <w:ilvl w:val="0"/>
          <w:numId w:val="15"/>
        </w:numPr>
        <w:spacing w:before="120" w:after="120" w:line="240" w:lineRule="auto"/>
        <w:ind w:left="714" w:hanging="357"/>
        <w:rPr>
          <w:rFonts w:ascii="Calibri" w:eastAsia="Times New Roman" w:hAnsi="Calibri" w:cs="Arial"/>
          <w:lang w:eastAsia="en-AU"/>
        </w:rPr>
      </w:pPr>
      <w:r w:rsidRPr="00921D71">
        <w:rPr>
          <w:rFonts w:ascii="Calibri" w:eastAsia="Times New Roman" w:hAnsi="Calibri" w:cs="Arial"/>
          <w:lang w:eastAsia="en-AU"/>
        </w:rPr>
        <w:t>disputes regarding fixed term contracts. </w:t>
      </w:r>
    </w:p>
    <w:p w14:paraId="7C5EC556" w14:textId="77777777" w:rsidR="00921D71" w:rsidRPr="00921D71" w:rsidRDefault="00921D71" w:rsidP="00311654">
      <w:pPr>
        <w:spacing w:before="120" w:after="120" w:line="240" w:lineRule="auto"/>
        <w:contextualSpacing/>
        <w:textAlignment w:val="baseline"/>
        <w:rPr>
          <w:rFonts w:ascii="Calibri" w:eastAsia="Times New Roman" w:hAnsi="Calibri" w:cs="Arial"/>
          <w:sz w:val="18"/>
          <w:szCs w:val="18"/>
          <w:lang w:eastAsia="en-AU"/>
        </w:rPr>
      </w:pPr>
      <w:r w:rsidRPr="00921D71">
        <w:rPr>
          <w:rFonts w:ascii="Calibri" w:eastAsia="Times New Roman" w:hAnsi="Calibri" w:cs="Arial"/>
          <w:lang w:eastAsia="en-AU"/>
        </w:rPr>
        <w:t>Various design features seek to ensure that the small claims procedure provides a cheaper, faster and more informal means of dispute resolution than would be the case in regular court proceedings. These include:  </w:t>
      </w:r>
    </w:p>
    <w:p w14:paraId="5AC561DC" w14:textId="77777777" w:rsidR="00921D71" w:rsidRPr="00921D71" w:rsidRDefault="00921D71" w:rsidP="00921D71">
      <w:pPr>
        <w:numPr>
          <w:ilvl w:val="0"/>
          <w:numId w:val="24"/>
        </w:numPr>
        <w:spacing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courts not being bound by formal rules of evidence</w:t>
      </w:r>
    </w:p>
    <w:p w14:paraId="61482B3B" w14:textId="77777777" w:rsidR="00921D71" w:rsidRPr="00921D71" w:rsidRDefault="00921D71" w:rsidP="00921D71">
      <w:pPr>
        <w:numPr>
          <w:ilvl w:val="0"/>
          <w:numId w:val="24"/>
        </w:numPr>
        <w:spacing w:after="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courts being able to act without regard to legal forms and technicalities, and  </w:t>
      </w:r>
    </w:p>
    <w:p w14:paraId="28AF6F5F" w14:textId="77777777" w:rsidR="00921D71" w:rsidRPr="00921D71" w:rsidRDefault="00921D71" w:rsidP="00311654">
      <w:pPr>
        <w:numPr>
          <w:ilvl w:val="0"/>
          <w:numId w:val="24"/>
        </w:numPr>
        <w:spacing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representation by lawyers being permitted only with the leave of the court.</w:t>
      </w:r>
    </w:p>
    <w:p w14:paraId="6D50496E" w14:textId="77777777" w:rsidR="00921D71" w:rsidRPr="00921D71" w:rsidRDefault="00921D71" w:rsidP="00311654">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Recently, the Government’s </w:t>
      </w:r>
      <w:r w:rsidRPr="00921D71">
        <w:rPr>
          <w:rFonts w:ascii="Calibri" w:eastAsia="Times New Roman" w:hAnsi="Calibri" w:cs="Arial"/>
          <w:i/>
          <w:iCs/>
          <w:lang w:eastAsia="en-AU"/>
        </w:rPr>
        <w:t>Fair Work Legislation Amendment (Secure Jobs, Better Pay) Act 2022</w:t>
      </w:r>
      <w:r w:rsidRPr="00921D71">
        <w:rPr>
          <w:rFonts w:ascii="Calibri" w:eastAsia="Times New Roman" w:hAnsi="Calibri" w:cs="Arial"/>
          <w:lang w:eastAsia="en-AU"/>
        </w:rPr>
        <w:t xml:space="preserve"> (SJBP Act) progressed two key reforms to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w:t>
      </w:r>
    </w:p>
    <w:p w14:paraId="3C1DEA76" w14:textId="77777777" w:rsidR="00921D71" w:rsidRPr="00921D71" w:rsidRDefault="00921D71" w:rsidP="00921D71">
      <w:pPr>
        <w:numPr>
          <w:ilvl w:val="0"/>
          <w:numId w:val="26"/>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Increasing the monetary cap so that the small claims procedure can be used to recover employment entitlements up to $100,000 (prior to 1 July 2023, the cap was $20,000).</w:t>
      </w:r>
    </w:p>
    <w:p w14:paraId="62B8811D" w14:textId="77777777" w:rsidR="00921D71" w:rsidRPr="00921D71" w:rsidRDefault="00921D71" w:rsidP="00921D71">
      <w:pPr>
        <w:numPr>
          <w:ilvl w:val="0"/>
          <w:numId w:val="26"/>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Confirming that the courts can award filing fees as costs to successful applicants.  </w:t>
      </w:r>
    </w:p>
    <w:p w14:paraId="5B3E23FA" w14:textId="77777777"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These reforms commenced on 1 July 2023.</w:t>
      </w:r>
    </w:p>
    <w:p w14:paraId="79F723FB" w14:textId="77777777" w:rsidR="00921D71" w:rsidRPr="00921D71" w:rsidRDefault="00921D71" w:rsidP="00E60CEE">
      <w:pPr>
        <w:pStyle w:val="Heading2"/>
        <w:rPr>
          <w:rFonts w:eastAsia="Times New Roman"/>
          <w:sz w:val="18"/>
          <w:szCs w:val="18"/>
          <w:lang w:eastAsia="en-AU"/>
        </w:rPr>
      </w:pPr>
      <w:bookmarkStart w:id="8" w:name="_Toc183777399"/>
      <w:r w:rsidRPr="00921D71">
        <w:rPr>
          <w:rFonts w:eastAsia="Times New Roman"/>
          <w:lang w:eastAsia="en-AU"/>
        </w:rPr>
        <w:t>Previous reports and inquiries</w:t>
      </w:r>
      <w:bookmarkEnd w:id="8"/>
    </w:p>
    <w:p w14:paraId="192C3F2F" w14:textId="77777777" w:rsidR="00921D71" w:rsidRPr="00921D71" w:rsidRDefault="00921D71" w:rsidP="00E60CEE">
      <w:pPr>
        <w:pStyle w:val="Heading3"/>
        <w:rPr>
          <w:rFonts w:eastAsia="Times New Roman"/>
          <w:lang w:eastAsia="en-AU"/>
        </w:rPr>
      </w:pPr>
      <w:bookmarkStart w:id="9" w:name="_Toc183777400"/>
      <w:r w:rsidRPr="00921D71">
        <w:rPr>
          <w:rFonts w:eastAsia="Times New Roman"/>
          <w:lang w:eastAsia="en-AU"/>
        </w:rPr>
        <w:t>Migrant Workers’ Taskforce Report</w:t>
      </w:r>
      <w:bookmarkEnd w:id="9"/>
      <w:r w:rsidRPr="00921D71">
        <w:rPr>
          <w:rFonts w:eastAsia="Times New Roman"/>
          <w:lang w:eastAsia="en-AU"/>
        </w:rPr>
        <w:t>  </w:t>
      </w:r>
    </w:p>
    <w:p w14:paraId="5180B03C" w14:textId="77777777" w:rsidR="00921D71" w:rsidRPr="00921D71" w:rsidRDefault="00921D71" w:rsidP="00311654">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The MWT Report, commissioned in 2016 and released in 2019, found that only a small number of affected temporary migrant workers utilise the small claims procedure. The MWT Report identified </w:t>
      </w:r>
      <w:proofErr w:type="gramStart"/>
      <w:r w:rsidRPr="00921D71">
        <w:rPr>
          <w:rFonts w:ascii="Calibri" w:eastAsia="Times New Roman" w:hAnsi="Calibri" w:cs="Arial"/>
          <w:lang w:eastAsia="en-AU"/>
        </w:rPr>
        <w:t>a number of</w:t>
      </w:r>
      <w:proofErr w:type="gramEnd"/>
      <w:r w:rsidRPr="00921D71">
        <w:rPr>
          <w:rFonts w:ascii="Calibri" w:eastAsia="Times New Roman" w:hAnsi="Calibri" w:cs="Arial"/>
          <w:lang w:eastAsia="en-AU"/>
        </w:rPr>
        <w:t xml:space="preserve"> obstacles and deterrents to access, including: </w:t>
      </w:r>
    </w:p>
    <w:p w14:paraId="4B751692" w14:textId="77777777" w:rsidR="00311654" w:rsidRDefault="00921D71" w:rsidP="00311654">
      <w:pPr>
        <w:numPr>
          <w:ilvl w:val="0"/>
          <w:numId w:val="23"/>
        </w:numPr>
        <w:spacing w:before="120" w:after="120" w:line="240" w:lineRule="auto"/>
        <w:ind w:left="714" w:hanging="357"/>
        <w:contextualSpacing/>
        <w:textAlignment w:val="baseline"/>
        <w:rPr>
          <w:rFonts w:ascii="Calibri" w:eastAsia="Times New Roman" w:hAnsi="Calibri" w:cs="Arial"/>
          <w:lang w:eastAsia="en-AU"/>
        </w:rPr>
      </w:pPr>
      <w:r w:rsidRPr="00921D71">
        <w:rPr>
          <w:rFonts w:ascii="Calibri" w:eastAsia="Times New Roman" w:hAnsi="Calibri" w:cs="Arial"/>
          <w:lang w:eastAsia="en-AU"/>
        </w:rPr>
        <w:t>that the inherent legalism associated with the adversarial court and judge-based framework cannot be overcome by the relaxed procedural and evidentiary rules</w:t>
      </w:r>
    </w:p>
    <w:p w14:paraId="22782A78" w14:textId="77777777" w:rsidR="00311654" w:rsidRDefault="00921D71" w:rsidP="00311654">
      <w:pPr>
        <w:numPr>
          <w:ilvl w:val="0"/>
          <w:numId w:val="23"/>
        </w:numPr>
        <w:spacing w:before="120" w:after="120" w:line="240" w:lineRule="auto"/>
        <w:ind w:left="714" w:hanging="357"/>
        <w:contextualSpacing/>
        <w:textAlignment w:val="baseline"/>
        <w:rPr>
          <w:rFonts w:ascii="Calibri" w:eastAsia="Times New Roman" w:hAnsi="Calibri" w:cs="Arial"/>
          <w:lang w:eastAsia="en-AU"/>
        </w:rPr>
      </w:pPr>
      <w:r w:rsidRPr="00311654">
        <w:rPr>
          <w:rFonts w:ascii="Calibri" w:eastAsia="Times New Roman" w:hAnsi="Calibri" w:cs="Arial"/>
          <w:lang w:eastAsia="en-AU"/>
        </w:rPr>
        <w:t>that the complexity of employment law and the small claims application process highlights a need for legal advice and representation in what is intended to be an informal and lawyer</w:t>
      </w:r>
      <w:r w:rsidRPr="00311654">
        <w:rPr>
          <w:rFonts w:ascii="Calibri" w:eastAsia="Times New Roman" w:hAnsi="Calibri" w:cs="Arial"/>
          <w:lang w:eastAsia="en-AU"/>
        </w:rPr>
        <w:noBreakHyphen/>
        <w:t>less process</w:t>
      </w:r>
    </w:p>
    <w:p w14:paraId="0B1424F1" w14:textId="77777777" w:rsidR="00311654" w:rsidRDefault="00921D71" w:rsidP="00311654">
      <w:pPr>
        <w:numPr>
          <w:ilvl w:val="0"/>
          <w:numId w:val="23"/>
        </w:numPr>
        <w:spacing w:before="120" w:after="120" w:line="240" w:lineRule="auto"/>
        <w:ind w:left="714" w:hanging="357"/>
        <w:contextualSpacing/>
        <w:textAlignment w:val="baseline"/>
        <w:rPr>
          <w:rFonts w:ascii="Calibri" w:eastAsia="Times New Roman" w:hAnsi="Calibri" w:cs="Arial"/>
          <w:lang w:eastAsia="en-AU"/>
        </w:rPr>
      </w:pPr>
      <w:r w:rsidRPr="00311654">
        <w:rPr>
          <w:rFonts w:ascii="Calibri" w:eastAsia="Times New Roman" w:hAnsi="Calibri" w:cs="Arial"/>
          <w:lang w:eastAsia="en-AU"/>
        </w:rPr>
        <w:t>the requirement to pay filing fees</w:t>
      </w:r>
    </w:p>
    <w:p w14:paraId="5470076D" w14:textId="77777777" w:rsidR="00311654" w:rsidRDefault="00921D71" w:rsidP="00311654">
      <w:pPr>
        <w:numPr>
          <w:ilvl w:val="0"/>
          <w:numId w:val="23"/>
        </w:numPr>
        <w:spacing w:before="120" w:after="120" w:line="240" w:lineRule="auto"/>
        <w:ind w:left="714" w:hanging="357"/>
        <w:contextualSpacing/>
        <w:textAlignment w:val="baseline"/>
        <w:rPr>
          <w:rFonts w:ascii="Calibri" w:eastAsia="Times New Roman" w:hAnsi="Calibri" w:cs="Arial"/>
          <w:lang w:eastAsia="en-AU"/>
        </w:rPr>
      </w:pPr>
      <w:r w:rsidRPr="00311654">
        <w:rPr>
          <w:rFonts w:ascii="Calibri" w:eastAsia="Times New Roman" w:hAnsi="Calibri" w:cs="Arial"/>
          <w:lang w:eastAsia="en-AU"/>
        </w:rPr>
        <w:t xml:space="preserve">a lack of clarity as to the process for progressing a small claim, and </w:t>
      </w:r>
    </w:p>
    <w:p w14:paraId="51366134" w14:textId="4E029737" w:rsidR="00921D71" w:rsidRPr="00311654" w:rsidRDefault="00921D71" w:rsidP="00311654">
      <w:pPr>
        <w:numPr>
          <w:ilvl w:val="0"/>
          <w:numId w:val="23"/>
        </w:numPr>
        <w:spacing w:before="120" w:after="120" w:line="240" w:lineRule="auto"/>
        <w:ind w:left="714" w:hanging="357"/>
        <w:contextualSpacing/>
        <w:textAlignment w:val="baseline"/>
        <w:rPr>
          <w:rFonts w:ascii="Calibri" w:eastAsia="Times New Roman" w:hAnsi="Calibri" w:cs="Arial"/>
          <w:lang w:eastAsia="en-AU"/>
        </w:rPr>
      </w:pPr>
      <w:r w:rsidRPr="00311654">
        <w:rPr>
          <w:rFonts w:ascii="Calibri" w:eastAsia="Times New Roman" w:hAnsi="Calibri" w:cs="Arial"/>
          <w:lang w:eastAsia="en-AU"/>
        </w:rPr>
        <w:t>the time it takes for matters to be finalised (i</w:t>
      </w:r>
      <w:r w:rsidRPr="00311654">
        <w:rPr>
          <w:rFonts w:ascii="Calibri" w:eastAsia="Yu Mincho" w:hAnsi="Calibri" w:cs="Arial"/>
        </w:rPr>
        <w:t>n 2016–17 the average time between filing a claim and finalisation was 4.3 months)</w:t>
      </w:r>
      <w:r w:rsidRPr="00311654">
        <w:rPr>
          <w:rFonts w:ascii="Calibri" w:eastAsia="Times New Roman" w:hAnsi="Calibri" w:cs="Arial"/>
          <w:lang w:eastAsia="en-AU"/>
        </w:rPr>
        <w:t>.</w:t>
      </w:r>
    </w:p>
    <w:p w14:paraId="2E3BF596" w14:textId="77777777" w:rsidR="00921D71" w:rsidRPr="00921D71" w:rsidRDefault="00921D71" w:rsidP="00311654">
      <w:pPr>
        <w:keepNext/>
        <w:spacing w:before="120" w:after="120" w:line="240" w:lineRule="auto"/>
        <w:contextualSpacing/>
        <w:textAlignment w:val="baseline"/>
        <w:rPr>
          <w:rFonts w:ascii="Calibri" w:eastAsia="Times New Roman" w:hAnsi="Calibri" w:cs="Arial"/>
          <w:sz w:val="18"/>
          <w:szCs w:val="18"/>
          <w:lang w:eastAsia="en-AU"/>
        </w:rPr>
      </w:pPr>
      <w:r w:rsidRPr="00921D71">
        <w:rPr>
          <w:rFonts w:ascii="Calibri" w:eastAsia="Times New Roman" w:hAnsi="Calibri" w:cs="Arial"/>
          <w:lang w:eastAsia="en-AU"/>
        </w:rPr>
        <w:lastRenderedPageBreak/>
        <w:t xml:space="preserve">The MWT Report recommended that a review be conducted of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(Recommendation 12). The MWT Report indicated that this review should consider:   </w:t>
      </w:r>
    </w:p>
    <w:p w14:paraId="4D495255" w14:textId="40200E78" w:rsidR="00921D71" w:rsidRPr="00921D71" w:rsidRDefault="00921D71" w:rsidP="00311654">
      <w:pPr>
        <w:keepNext/>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the need for changes to court rules and procedure</w:t>
      </w:r>
      <w:r w:rsidR="00D05E10">
        <w:rPr>
          <w:rFonts w:ascii="Calibri" w:eastAsia="Times New Roman" w:hAnsi="Calibri" w:cs="Calibri"/>
          <w:lang w:eastAsia="en-AU"/>
        </w:rPr>
        <w:t xml:space="preserve"> (</w:t>
      </w:r>
      <w:r w:rsidRPr="00921D71">
        <w:rPr>
          <w:rFonts w:ascii="Calibri" w:eastAsia="Times New Roman" w:hAnsi="Calibri" w:cs="Calibri"/>
          <w:lang w:eastAsia="en-AU"/>
        </w:rPr>
        <w:t>for instance, the waiver of filing fees for migrant workers</w:t>
      </w:r>
      <w:r w:rsidR="00D05E10">
        <w:rPr>
          <w:rFonts w:ascii="Calibri" w:eastAsia="Times New Roman" w:hAnsi="Calibri" w:cs="Calibri"/>
          <w:lang w:eastAsia="en-AU"/>
        </w:rPr>
        <w:t>)</w:t>
      </w:r>
      <w:r w:rsidRPr="00921D71">
        <w:rPr>
          <w:rFonts w:ascii="Calibri" w:eastAsia="Times New Roman" w:hAnsi="Calibri" w:cs="Calibri"/>
          <w:lang w:eastAsia="en-AU"/>
        </w:rPr>
        <w:t xml:space="preserve"> and simplification of service rules and pre-hearing processes  </w:t>
      </w:r>
    </w:p>
    <w:p w14:paraId="10E874BA" w14:textId="44D35A3B" w:rsidR="00921D71" w:rsidRPr="00921D71" w:rsidRDefault="00921D71" w:rsidP="00311654">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 xml:space="preserve">whether the FWC’s processes for general protections, unfair dismissal and bullying claims could be usefully applied to the small </w:t>
      </w:r>
      <w:proofErr w:type="gramStart"/>
      <w:r w:rsidRPr="00921D71">
        <w:rPr>
          <w:rFonts w:ascii="Calibri" w:eastAsia="Times New Roman" w:hAnsi="Calibri" w:cs="Calibri"/>
          <w:lang w:eastAsia="en-AU"/>
        </w:rPr>
        <w:t>claims</w:t>
      </w:r>
      <w:proofErr w:type="gramEnd"/>
      <w:r w:rsidRPr="00921D71">
        <w:rPr>
          <w:rFonts w:ascii="Calibri" w:eastAsia="Times New Roman" w:hAnsi="Calibri" w:cs="Calibri"/>
          <w:lang w:eastAsia="en-AU"/>
        </w:rPr>
        <w:t xml:space="preserve"> procedure, including the courts adopting similar non-adversarial processes or the FWC becoming involved in the non-judicial aspects of a small claim  </w:t>
      </w:r>
    </w:p>
    <w:p w14:paraId="40D2C1FC" w14:textId="77777777" w:rsidR="00921D71" w:rsidRPr="00921D71" w:rsidRDefault="00921D71" w:rsidP="00311654">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increasing funding to the FWO and/or community legal services to support improved personalised assistance to potential applicants, and providing the courts with additional resources to expedite small claims matters  </w:t>
      </w:r>
    </w:p>
    <w:p w14:paraId="7068C626" w14:textId="77777777" w:rsidR="00921D71" w:rsidRPr="00921D71" w:rsidRDefault="00921D71" w:rsidP="00311654">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whether costs should be awarded in small claims matters, and   </w:t>
      </w:r>
    </w:p>
    <w:p w14:paraId="7E868554" w14:textId="77777777" w:rsidR="00921D71" w:rsidRPr="00921D71" w:rsidRDefault="00921D71" w:rsidP="00921D71">
      <w:pPr>
        <w:numPr>
          <w:ilvl w:val="0"/>
          <w:numId w:val="23"/>
        </w:numPr>
        <w:spacing w:before="120" w:after="120" w:line="240" w:lineRule="auto"/>
        <w:ind w:left="714" w:hanging="357"/>
        <w:textAlignment w:val="baseline"/>
        <w:rPr>
          <w:rFonts w:ascii="Calibri" w:eastAsia="Times New Roman" w:hAnsi="Calibri" w:cs="Calibri"/>
          <w:lang w:eastAsia="en-AU"/>
        </w:rPr>
      </w:pPr>
      <w:r w:rsidRPr="00921D71">
        <w:rPr>
          <w:rFonts w:ascii="Calibri" w:eastAsia="Times New Roman" w:hAnsi="Calibri" w:cs="Calibri"/>
          <w:lang w:eastAsia="en-AU"/>
        </w:rPr>
        <w:t>whether increasing the (then) monetary cap for recovery from $20,000 is necessary.</w:t>
      </w:r>
    </w:p>
    <w:p w14:paraId="09B5EC84" w14:textId="5AFD1E3B" w:rsidR="00921D71" w:rsidRPr="00921D71" w:rsidRDefault="00921D71" w:rsidP="00E60CEE">
      <w:pPr>
        <w:pStyle w:val="Heading3"/>
        <w:rPr>
          <w:rFonts w:eastAsia="Times New Roman"/>
          <w:sz w:val="18"/>
          <w:szCs w:val="18"/>
          <w:lang w:eastAsia="en-AU"/>
        </w:rPr>
      </w:pPr>
      <w:bookmarkStart w:id="10" w:name="_Toc183777401"/>
      <w:r w:rsidRPr="00921D71">
        <w:rPr>
          <w:rFonts w:eastAsia="Times New Roman"/>
          <w:lang w:eastAsia="en-AU"/>
        </w:rPr>
        <w:t>Senate Economics References Committee inquiry into the unlawful underpayment of employees</w:t>
      </w:r>
      <w:r w:rsidR="00A37DB3">
        <w:rPr>
          <w:rFonts w:eastAsia="Times New Roman"/>
          <w:lang w:eastAsia="en-AU"/>
        </w:rPr>
        <w:t>’</w:t>
      </w:r>
      <w:r w:rsidRPr="00921D71">
        <w:rPr>
          <w:rFonts w:eastAsia="Times New Roman"/>
          <w:lang w:eastAsia="en-AU"/>
        </w:rPr>
        <w:t xml:space="preserve"> remuneration </w:t>
      </w:r>
      <w:bookmarkEnd w:id="10"/>
      <w:r w:rsidRPr="00921D71">
        <w:rPr>
          <w:rFonts w:eastAsia="Times New Roman"/>
          <w:lang w:eastAsia="en-AU"/>
        </w:rPr>
        <w:t> </w:t>
      </w:r>
    </w:p>
    <w:p w14:paraId="233F4751" w14:textId="4C3E8DAA" w:rsidR="00921D71" w:rsidRPr="00921D71" w:rsidRDefault="00921D71" w:rsidP="00284098">
      <w:pPr>
        <w:spacing w:before="120" w:after="120" w:line="240" w:lineRule="auto"/>
        <w:contextualSpacing/>
        <w:textAlignment w:val="baseline"/>
        <w:rPr>
          <w:rFonts w:ascii="Calibri" w:eastAsia="Times New Roman" w:hAnsi="Calibri" w:cs="Calibri"/>
          <w:sz w:val="18"/>
          <w:szCs w:val="18"/>
          <w:lang w:eastAsia="en-AU"/>
        </w:rPr>
      </w:pPr>
      <w:r w:rsidRPr="00921D71">
        <w:rPr>
          <w:rFonts w:ascii="Calibri" w:eastAsia="Times New Roman" w:hAnsi="Calibri" w:cs="Arial"/>
          <w:lang w:eastAsia="en-AU"/>
        </w:rPr>
        <w:t xml:space="preserve">In the 2022 Senate Economics Reference Committee report on Unlawful Underpayment of Employees’ Remuneration (Underpayments Inquiry Report), the Committee cited evidence from a range of stakeholders raising various issues relating to the current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These included:</w:t>
      </w:r>
    </w:p>
    <w:p w14:paraId="4D9FAD37" w14:textId="77777777" w:rsidR="00921D71" w:rsidRPr="00921D71" w:rsidRDefault="00921D71" w:rsidP="00284098">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the complex, costly and time-consuming nature of court procedures generally</w:t>
      </w:r>
    </w:p>
    <w:p w14:paraId="01C4F911" w14:textId="77777777" w:rsidR="00921D71" w:rsidRPr="00921D71" w:rsidRDefault="00921D71" w:rsidP="00284098">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the lack of awareness amongst workers regarding both their entitlements and avenues for redress</w:t>
      </w:r>
    </w:p>
    <w:p w14:paraId="7C93ABBB" w14:textId="77777777" w:rsidR="00921D71" w:rsidRPr="00921D71" w:rsidRDefault="00921D71" w:rsidP="00284098">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insufficient evidence due to cash-in-hand remuneration and record falsification</w:t>
      </w:r>
    </w:p>
    <w:p w14:paraId="48302BBB" w14:textId="77777777" w:rsidR="00921D71" w:rsidRPr="00921D71" w:rsidRDefault="00921D71" w:rsidP="00284098">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 xml:space="preserve">the inability to </w:t>
      </w:r>
      <w:proofErr w:type="gramStart"/>
      <w:r w:rsidRPr="00921D71">
        <w:rPr>
          <w:rFonts w:ascii="Calibri" w:eastAsia="Times New Roman" w:hAnsi="Calibri" w:cs="Calibri"/>
          <w:lang w:eastAsia="en-AU"/>
        </w:rPr>
        <w:t>take action</w:t>
      </w:r>
      <w:proofErr w:type="gramEnd"/>
      <w:r w:rsidRPr="00921D71">
        <w:rPr>
          <w:rFonts w:ascii="Calibri" w:eastAsia="Times New Roman" w:hAnsi="Calibri" w:cs="Calibri"/>
          <w:lang w:eastAsia="en-AU"/>
        </w:rPr>
        <w:t xml:space="preserve"> due to visa timeframes and employer liquidation or bankruptcy</w:t>
      </w:r>
    </w:p>
    <w:p w14:paraId="7B0A8D01" w14:textId="77777777" w:rsidR="00921D71" w:rsidRPr="00921D71" w:rsidRDefault="00921D71" w:rsidP="00284098">
      <w:pPr>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mistrust and fear of reprisal amongst workers (particularly temporary migrants on sponsored visas) regarding regulators, unions and employers (including loss of job hours and blacklisting from employment)</w:t>
      </w:r>
    </w:p>
    <w:p w14:paraId="5ED06B07" w14:textId="77777777" w:rsidR="00921D71" w:rsidRPr="00921D71" w:rsidRDefault="00921D71" w:rsidP="00284098">
      <w:pPr>
        <w:numPr>
          <w:ilvl w:val="0"/>
          <w:numId w:val="23"/>
        </w:numPr>
        <w:spacing w:before="120" w:after="120" w:line="240" w:lineRule="auto"/>
        <w:ind w:left="714" w:hanging="357"/>
        <w:contextualSpacing/>
        <w:textAlignment w:val="baseline"/>
        <w:rPr>
          <w:rFonts w:ascii="Calibri" w:eastAsia="Times New Roman" w:hAnsi="Calibri" w:cs="Arial"/>
          <w:lang w:eastAsia="en-AU"/>
        </w:rPr>
      </w:pPr>
      <w:r w:rsidRPr="00921D71">
        <w:rPr>
          <w:rFonts w:ascii="Calibri" w:eastAsia="Times New Roman" w:hAnsi="Calibri" w:cs="Arial"/>
          <w:lang w:eastAsia="en-AU"/>
        </w:rPr>
        <w:t>a fear of adverse immigration consequences if a complaint or claim is made</w:t>
      </w:r>
    </w:p>
    <w:p w14:paraId="7CA6DB8F" w14:textId="77777777" w:rsidR="00921D71" w:rsidRPr="00921D71" w:rsidRDefault="00921D71" w:rsidP="00284098">
      <w:pPr>
        <w:keepNext/>
        <w:numPr>
          <w:ilvl w:val="0"/>
          <w:numId w:val="23"/>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the inability to pursue wage and superannuation underpayments together, and  </w:t>
      </w:r>
    </w:p>
    <w:p w14:paraId="2841EBFF" w14:textId="77777777" w:rsidR="00921D71" w:rsidRPr="00921D71" w:rsidRDefault="00921D71" w:rsidP="00921D71">
      <w:pPr>
        <w:keepNext/>
        <w:numPr>
          <w:ilvl w:val="0"/>
          <w:numId w:val="23"/>
        </w:numPr>
        <w:spacing w:before="120" w:after="120" w:line="240" w:lineRule="auto"/>
        <w:ind w:left="714" w:hanging="357"/>
        <w:textAlignment w:val="baseline"/>
        <w:rPr>
          <w:rFonts w:ascii="Calibri" w:eastAsia="Times New Roman" w:hAnsi="Calibri" w:cs="Calibri"/>
          <w:lang w:eastAsia="en-AU"/>
        </w:rPr>
      </w:pPr>
      <w:r w:rsidRPr="00921D71">
        <w:rPr>
          <w:rFonts w:ascii="Calibri" w:eastAsia="Times New Roman" w:hAnsi="Calibri" w:cs="Calibri"/>
          <w:lang w:eastAsia="en-AU"/>
        </w:rPr>
        <w:t>the tax disadvantage of receiving owed entitlements in lump sum repayments.  </w:t>
      </w:r>
    </w:p>
    <w:p w14:paraId="0407509C" w14:textId="77777777" w:rsidR="00921D71" w:rsidRPr="00921D71" w:rsidRDefault="00921D71" w:rsidP="00921D71">
      <w:pPr>
        <w:spacing w:before="120" w:after="120" w:line="240" w:lineRule="auto"/>
        <w:textAlignment w:val="baseline"/>
        <w:rPr>
          <w:rFonts w:ascii="Calibri" w:eastAsia="Times New Roman" w:hAnsi="Calibri" w:cs="Calibri"/>
          <w:sz w:val="18"/>
          <w:szCs w:val="18"/>
          <w:lang w:eastAsia="en-AU"/>
        </w:rPr>
      </w:pPr>
      <w:r w:rsidRPr="00921D71">
        <w:rPr>
          <w:rFonts w:ascii="Calibri" w:eastAsia="Times New Roman" w:hAnsi="Calibri" w:cs="Arial"/>
          <w:lang w:eastAsia="en-AU"/>
        </w:rPr>
        <w:t>The Committee recommended that the Government establish a small claims tribunal, ideally co</w:t>
      </w:r>
      <w:r w:rsidRPr="00921D71">
        <w:rPr>
          <w:rFonts w:ascii="Calibri" w:eastAsia="Times New Roman" w:hAnsi="Calibri" w:cs="Arial"/>
          <w:lang w:eastAsia="en-AU"/>
        </w:rPr>
        <w:noBreakHyphen/>
        <w:t>located with the FWC, to create a more effective procedure for employees to pursue wage theft (recommendation 5).  </w:t>
      </w:r>
    </w:p>
    <w:p w14:paraId="27AC2247" w14:textId="77777777" w:rsidR="00921D71" w:rsidRPr="00921D71" w:rsidRDefault="00921D71" w:rsidP="00E60CEE">
      <w:pPr>
        <w:pStyle w:val="Heading2"/>
        <w:rPr>
          <w:rFonts w:eastAsia="Times New Roman"/>
          <w:sz w:val="18"/>
          <w:szCs w:val="18"/>
          <w:lang w:eastAsia="en-AU"/>
        </w:rPr>
      </w:pPr>
      <w:bookmarkStart w:id="11" w:name="_Toc183777402"/>
      <w:r w:rsidRPr="00921D71">
        <w:rPr>
          <w:rFonts w:eastAsia="Times New Roman"/>
          <w:lang w:eastAsia="en-AU"/>
        </w:rPr>
        <w:t>Changes to the court-based small claims procedure since 2019 </w:t>
      </w:r>
      <w:bookmarkEnd w:id="11"/>
      <w:r w:rsidRPr="00921D71">
        <w:rPr>
          <w:rFonts w:eastAsia="Times New Roman"/>
          <w:lang w:eastAsia="en-AU"/>
        </w:rPr>
        <w:t> </w:t>
      </w:r>
    </w:p>
    <w:p w14:paraId="11ABBAB6" w14:textId="77777777" w:rsidR="00921D71" w:rsidRPr="00921D71" w:rsidRDefault="00921D71" w:rsidP="00E60CEE">
      <w:pPr>
        <w:pStyle w:val="Heading3"/>
        <w:rPr>
          <w:rFonts w:eastAsia="Times New Roman"/>
          <w:sz w:val="18"/>
          <w:szCs w:val="18"/>
          <w:lang w:eastAsia="en-AU"/>
        </w:rPr>
      </w:pPr>
      <w:bookmarkStart w:id="12" w:name="_Toc183777403"/>
      <w:r w:rsidRPr="00921D71">
        <w:rPr>
          <w:rFonts w:eastAsia="Times New Roman"/>
          <w:lang w:eastAsia="en-AU"/>
        </w:rPr>
        <w:t>Changes to FCFCOA practice</w:t>
      </w:r>
      <w:bookmarkEnd w:id="12"/>
    </w:p>
    <w:p w14:paraId="0426A572" w14:textId="77777777" w:rsidR="00921D71" w:rsidRPr="00921D71" w:rsidRDefault="00921D71" w:rsidP="00921D71">
      <w:pPr>
        <w:keepNext/>
        <w:spacing w:before="120" w:after="120" w:line="240" w:lineRule="auto"/>
        <w:contextualSpacing/>
        <w:textAlignment w:val="baseline"/>
        <w:rPr>
          <w:rFonts w:ascii="Calibri" w:eastAsia="Times New Roman" w:hAnsi="Calibri" w:cs="Calibri"/>
          <w:sz w:val="18"/>
          <w:szCs w:val="18"/>
          <w:lang w:eastAsia="en-AU"/>
        </w:rPr>
      </w:pPr>
      <w:r w:rsidRPr="00921D71">
        <w:rPr>
          <w:rFonts w:ascii="Calibri" w:eastAsia="Times New Roman" w:hAnsi="Calibri" w:cs="Calibri"/>
          <w:lang w:eastAsia="en-AU"/>
        </w:rPr>
        <w:t>Since the release of the MWT Report in 2019, the FCFCOA has implemented several substantial changes to how small claims matters are handled, including:</w:t>
      </w:r>
    </w:p>
    <w:p w14:paraId="59A5CB46" w14:textId="04305A1F" w:rsidR="00921D71" w:rsidRPr="00921D71" w:rsidRDefault="00921D71" w:rsidP="00921D71">
      <w:pPr>
        <w:keepNext/>
        <w:numPr>
          <w:ilvl w:val="0"/>
          <w:numId w:val="17"/>
        </w:num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Calibri"/>
          <w:lang w:eastAsia="en-AU"/>
        </w:rPr>
        <w:t xml:space="preserve">The FCFCOA has moved to a </w:t>
      </w:r>
      <w:r w:rsidR="008001EE">
        <w:rPr>
          <w:rFonts w:ascii="Calibri" w:eastAsia="Times New Roman" w:hAnsi="Calibri" w:cs="Calibri"/>
          <w:lang w:eastAsia="en-AU"/>
        </w:rPr>
        <w:t>r</w:t>
      </w:r>
      <w:r w:rsidRPr="00921D71">
        <w:rPr>
          <w:rFonts w:ascii="Calibri" w:eastAsia="Times New Roman" w:hAnsi="Calibri" w:cs="Calibri"/>
          <w:lang w:eastAsia="en-AU"/>
        </w:rPr>
        <w:t xml:space="preserve">egistrar-led model for the conduct of small claims lists. When a small claim is filed it goes through an initial triage process by a </w:t>
      </w:r>
      <w:r w:rsidR="008001EE">
        <w:rPr>
          <w:rFonts w:ascii="Calibri" w:eastAsia="Times New Roman" w:hAnsi="Calibri" w:cs="Calibri"/>
          <w:lang w:eastAsia="en-AU"/>
        </w:rPr>
        <w:t>r</w:t>
      </w:r>
      <w:r w:rsidRPr="00921D71">
        <w:rPr>
          <w:rFonts w:ascii="Calibri" w:eastAsia="Times New Roman" w:hAnsi="Calibri" w:cs="Calibri"/>
          <w:lang w:eastAsia="en-AU"/>
        </w:rPr>
        <w:t xml:space="preserve">egistrar to identify any technical issues with the application materials and to fix a first hearing date. The applicant is </w:t>
      </w:r>
      <w:r w:rsidRPr="00921D71">
        <w:rPr>
          <w:rFonts w:ascii="Calibri" w:eastAsia="Times New Roman" w:hAnsi="Calibri" w:cs="Calibri"/>
          <w:lang w:eastAsia="en-AU"/>
        </w:rPr>
        <w:lastRenderedPageBreak/>
        <w:t>also provided with more detailed procedural information and ‘next steps’ information by email.</w:t>
      </w:r>
    </w:p>
    <w:p w14:paraId="4874137F" w14:textId="4EEA718E" w:rsidR="00921D71" w:rsidRPr="00921D71" w:rsidRDefault="00921D71" w:rsidP="00D80DE0">
      <w:pPr>
        <w:keepNext/>
        <w:numPr>
          <w:ilvl w:val="0"/>
          <w:numId w:val="17"/>
        </w:numPr>
        <w:spacing w:before="120" w:after="12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 xml:space="preserve">Most small claims are listed for first and final hearing approximately 6 weeks post filing, but more complex claims may be listed for a </w:t>
      </w:r>
      <w:proofErr w:type="gramStart"/>
      <w:r w:rsidRPr="00921D71">
        <w:rPr>
          <w:rFonts w:ascii="Calibri" w:eastAsia="Times New Roman" w:hAnsi="Calibri" w:cs="Calibri"/>
          <w:lang w:eastAsia="en-AU"/>
        </w:rPr>
        <w:t>directions</w:t>
      </w:r>
      <w:proofErr w:type="gramEnd"/>
      <w:r w:rsidRPr="00921D71">
        <w:rPr>
          <w:rFonts w:ascii="Calibri" w:eastAsia="Times New Roman" w:hAnsi="Calibri" w:cs="Calibri"/>
          <w:lang w:eastAsia="en-AU"/>
        </w:rPr>
        <w:t xml:space="preserve"> hearing approximately 3 weeks post filing. At the first hearing date, the </w:t>
      </w:r>
      <w:r w:rsidR="008001EE">
        <w:rPr>
          <w:rFonts w:ascii="Calibri" w:eastAsia="Times New Roman" w:hAnsi="Calibri" w:cs="Calibri"/>
          <w:lang w:eastAsia="en-AU"/>
        </w:rPr>
        <w:t>r</w:t>
      </w:r>
      <w:r w:rsidRPr="00921D71">
        <w:rPr>
          <w:rFonts w:ascii="Calibri" w:eastAsia="Times New Roman" w:hAnsi="Calibri" w:cs="Calibri"/>
          <w:lang w:eastAsia="en-AU"/>
        </w:rPr>
        <w:t xml:space="preserve">egistrar presiding over the list may: </w:t>
      </w:r>
    </w:p>
    <w:p w14:paraId="281CCB86" w14:textId="77777777" w:rsidR="00921D71" w:rsidRPr="00921D71" w:rsidRDefault="00921D71" w:rsidP="00921D71">
      <w:pPr>
        <w:keepNext/>
        <w:numPr>
          <w:ilvl w:val="2"/>
          <w:numId w:val="17"/>
        </w:numPr>
        <w:spacing w:before="120" w:after="120" w:line="259" w:lineRule="auto"/>
        <w:ind w:left="1434" w:hanging="357"/>
        <w:contextualSpacing/>
        <w:textAlignment w:val="baseline"/>
        <w:rPr>
          <w:rFonts w:ascii="Calibri" w:eastAsia="Times New Roman" w:hAnsi="Calibri" w:cs="Calibri"/>
          <w:lang w:eastAsia="en-AU"/>
        </w:rPr>
      </w:pPr>
      <w:r w:rsidRPr="00921D71">
        <w:rPr>
          <w:rFonts w:ascii="Calibri" w:eastAsia="Times New Roman" w:hAnsi="Calibri" w:cs="Calibri"/>
          <w:lang w:eastAsia="en-AU"/>
        </w:rPr>
        <w:t>if the matter is ready for final hearing, hear and determine the claim</w:t>
      </w:r>
    </w:p>
    <w:p w14:paraId="73B8AC18" w14:textId="77777777" w:rsidR="00921D71" w:rsidRPr="00921D71" w:rsidRDefault="00921D71" w:rsidP="00921D71">
      <w:pPr>
        <w:keepNext/>
        <w:numPr>
          <w:ilvl w:val="2"/>
          <w:numId w:val="17"/>
        </w:numPr>
        <w:spacing w:before="120" w:after="120" w:line="259" w:lineRule="auto"/>
        <w:ind w:left="1434" w:hanging="357"/>
        <w:contextualSpacing/>
        <w:textAlignment w:val="baseline"/>
        <w:rPr>
          <w:rFonts w:ascii="Calibri" w:eastAsia="Times New Roman" w:hAnsi="Calibri" w:cs="Calibri"/>
          <w:lang w:eastAsia="en-AU"/>
        </w:rPr>
      </w:pPr>
      <w:r w:rsidRPr="00921D71">
        <w:rPr>
          <w:rFonts w:ascii="Calibri" w:eastAsia="Times New Roman" w:hAnsi="Calibri" w:cs="Arial"/>
          <w:lang w:eastAsia="en-AU"/>
        </w:rPr>
        <w:t>if satisfied it is appropriate, deal with the matter on default</w:t>
      </w:r>
    </w:p>
    <w:p w14:paraId="0EAEFB73" w14:textId="5F8142B8" w:rsidR="00921D71" w:rsidRPr="00921D71" w:rsidRDefault="00921D71" w:rsidP="00921D71">
      <w:pPr>
        <w:keepNext/>
        <w:numPr>
          <w:ilvl w:val="2"/>
          <w:numId w:val="17"/>
        </w:numPr>
        <w:spacing w:before="120" w:after="120" w:line="259" w:lineRule="auto"/>
        <w:ind w:left="1434" w:hanging="357"/>
        <w:contextualSpacing/>
        <w:textAlignment w:val="baseline"/>
        <w:rPr>
          <w:rFonts w:ascii="Calibri" w:eastAsia="Times New Roman" w:hAnsi="Calibri" w:cs="Calibri"/>
          <w:lang w:eastAsia="en-AU"/>
        </w:rPr>
      </w:pPr>
      <w:r w:rsidRPr="00921D71">
        <w:rPr>
          <w:rFonts w:ascii="Calibri" w:eastAsia="Times New Roman" w:hAnsi="Calibri" w:cs="Arial"/>
          <w:lang w:eastAsia="en-AU"/>
        </w:rPr>
        <w:t xml:space="preserve">refer the matter to same-day mediation with another </w:t>
      </w:r>
      <w:r w:rsidR="008001EE">
        <w:rPr>
          <w:rFonts w:ascii="Calibri" w:eastAsia="Times New Roman" w:hAnsi="Calibri" w:cs="Arial"/>
          <w:lang w:eastAsia="en-AU"/>
        </w:rPr>
        <w:t>r</w:t>
      </w:r>
      <w:r w:rsidRPr="00921D71">
        <w:rPr>
          <w:rFonts w:ascii="Calibri" w:eastAsia="Times New Roman" w:hAnsi="Calibri" w:cs="Arial"/>
          <w:lang w:eastAsia="en-AU"/>
        </w:rPr>
        <w:t>egistrar (with multiple mediation slots available), or</w:t>
      </w:r>
    </w:p>
    <w:p w14:paraId="69F11F73" w14:textId="744B0F5F" w:rsidR="00921D71" w:rsidRPr="00921D71" w:rsidRDefault="00921D71" w:rsidP="00D27CC4">
      <w:pPr>
        <w:keepNext/>
        <w:numPr>
          <w:ilvl w:val="2"/>
          <w:numId w:val="17"/>
        </w:numPr>
        <w:spacing w:before="120" w:after="120" w:line="259" w:lineRule="auto"/>
        <w:ind w:left="1434" w:hanging="357"/>
        <w:textAlignment w:val="baseline"/>
        <w:rPr>
          <w:rFonts w:ascii="Calibri" w:eastAsia="Times New Roman" w:hAnsi="Calibri" w:cs="Calibri"/>
          <w:lang w:eastAsia="en-AU"/>
        </w:rPr>
      </w:pPr>
      <w:r w:rsidRPr="00921D71">
        <w:rPr>
          <w:rFonts w:ascii="Calibri" w:eastAsia="Times New Roman" w:hAnsi="Calibri" w:cs="Arial"/>
          <w:lang w:eastAsia="en-AU"/>
        </w:rPr>
        <w:t xml:space="preserve">adjourn the matter and make orders for its future conduct (those orders may relate to service of the application on the respondent; provide for the filing of further material by the parties; refer the matter to mediation with a </w:t>
      </w:r>
      <w:r w:rsidR="008001EE">
        <w:rPr>
          <w:rFonts w:ascii="Calibri" w:eastAsia="Times New Roman" w:hAnsi="Calibri" w:cs="Arial"/>
          <w:lang w:eastAsia="en-AU"/>
        </w:rPr>
        <w:t>r</w:t>
      </w:r>
      <w:r w:rsidRPr="00921D71">
        <w:rPr>
          <w:rFonts w:ascii="Calibri" w:eastAsia="Times New Roman" w:hAnsi="Calibri" w:cs="Arial"/>
          <w:lang w:eastAsia="en-AU"/>
        </w:rPr>
        <w:t xml:space="preserve">egistrar on a later date; fix a date for final hearing by a </w:t>
      </w:r>
      <w:r w:rsidR="008001EE">
        <w:rPr>
          <w:rFonts w:ascii="Calibri" w:eastAsia="Times New Roman" w:hAnsi="Calibri" w:cs="Arial"/>
          <w:lang w:eastAsia="en-AU"/>
        </w:rPr>
        <w:t>r</w:t>
      </w:r>
      <w:r w:rsidRPr="00921D71">
        <w:rPr>
          <w:rFonts w:ascii="Calibri" w:eastAsia="Times New Roman" w:hAnsi="Calibri" w:cs="Arial"/>
          <w:lang w:eastAsia="en-AU"/>
        </w:rPr>
        <w:t xml:space="preserve">egistrar; or, where appropriate, refer the matter for hearing by a </w:t>
      </w:r>
      <w:r w:rsidR="005F7EEC">
        <w:rPr>
          <w:rFonts w:ascii="Calibri" w:eastAsia="Times New Roman" w:hAnsi="Calibri" w:cs="Arial"/>
          <w:lang w:eastAsia="en-AU"/>
        </w:rPr>
        <w:t>j</w:t>
      </w:r>
      <w:r w:rsidRPr="00921D71">
        <w:rPr>
          <w:rFonts w:ascii="Calibri" w:eastAsia="Times New Roman" w:hAnsi="Calibri" w:cs="Arial"/>
          <w:lang w:eastAsia="en-AU"/>
        </w:rPr>
        <w:t>udge).</w:t>
      </w:r>
    </w:p>
    <w:p w14:paraId="62507337" w14:textId="77777777" w:rsidR="00921D71" w:rsidRPr="00921D71" w:rsidRDefault="00921D71" w:rsidP="00921D71">
      <w:pPr>
        <w:keepNext/>
        <w:numPr>
          <w:ilvl w:val="0"/>
          <w:numId w:val="17"/>
        </w:num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Arial"/>
          <w:lang w:eastAsia="en-AU"/>
        </w:rPr>
        <w:t>Many small claims are resolved at the first return (whether by final determination, default or via mediation), helping to facilitate the efficient resolution of disputes at a low cost to the parties.   </w:t>
      </w:r>
    </w:p>
    <w:p w14:paraId="4360E929" w14:textId="706718DC" w:rsidR="00921D71" w:rsidRPr="00921D71" w:rsidRDefault="00921D71" w:rsidP="00921D71">
      <w:pPr>
        <w:numPr>
          <w:ilvl w:val="0"/>
          <w:numId w:val="43"/>
        </w:numPr>
        <w:spacing w:before="120" w:after="120" w:line="240" w:lineRule="auto"/>
        <w:textAlignment w:val="baseline"/>
        <w:rPr>
          <w:rFonts w:ascii="Calibri" w:eastAsia="Times New Roman" w:hAnsi="Calibri" w:cs="Calibri"/>
          <w:lang w:eastAsia="en-AU"/>
        </w:rPr>
      </w:pPr>
      <w:r w:rsidRPr="00921D71">
        <w:rPr>
          <w:rFonts w:ascii="Calibri" w:eastAsia="Times New Roman" w:hAnsi="Calibri" w:cs="Arial"/>
          <w:lang w:eastAsia="en-AU"/>
        </w:rPr>
        <w:t xml:space="preserve">Matters are only referred to a </w:t>
      </w:r>
      <w:r w:rsidR="005F7EEC">
        <w:rPr>
          <w:rFonts w:ascii="Calibri" w:eastAsia="Times New Roman" w:hAnsi="Calibri" w:cs="Arial"/>
          <w:lang w:eastAsia="en-AU"/>
        </w:rPr>
        <w:t>j</w:t>
      </w:r>
      <w:r w:rsidRPr="00921D71">
        <w:rPr>
          <w:rFonts w:ascii="Calibri" w:eastAsia="Times New Roman" w:hAnsi="Calibri" w:cs="Arial"/>
          <w:lang w:eastAsia="en-AU"/>
        </w:rPr>
        <w:t xml:space="preserve">udge in a minority of cases, having regard to the complexity and significance of a matter. The FCFCOA estimates that matters requiring referral to a </w:t>
      </w:r>
      <w:r w:rsidR="005F7EEC">
        <w:rPr>
          <w:rFonts w:ascii="Calibri" w:eastAsia="Times New Roman" w:hAnsi="Calibri" w:cs="Arial"/>
          <w:lang w:eastAsia="en-AU"/>
        </w:rPr>
        <w:t>j</w:t>
      </w:r>
      <w:r w:rsidRPr="00921D71">
        <w:rPr>
          <w:rFonts w:ascii="Calibri" w:eastAsia="Times New Roman" w:hAnsi="Calibri" w:cs="Arial"/>
          <w:lang w:eastAsia="en-AU"/>
        </w:rPr>
        <w:t>udge currently account for less than 5% of all small claims fair work matters filed.  </w:t>
      </w:r>
    </w:p>
    <w:p w14:paraId="77DD9E1C" w14:textId="77777777" w:rsidR="00921D71" w:rsidRPr="00921D71" w:rsidRDefault="00921D71" w:rsidP="00921D71">
      <w:pPr>
        <w:numPr>
          <w:ilvl w:val="0"/>
          <w:numId w:val="43"/>
        </w:numPr>
        <w:spacing w:before="120" w:after="120" w:line="240" w:lineRule="auto"/>
        <w:ind w:left="714" w:hanging="357"/>
        <w:textAlignment w:val="baseline"/>
        <w:rPr>
          <w:rFonts w:ascii="Calibri" w:eastAsia="Times New Roman" w:hAnsi="Calibri" w:cs="Calibri"/>
          <w:lang w:eastAsia="en-AU"/>
        </w:rPr>
      </w:pPr>
      <w:r w:rsidRPr="00921D71">
        <w:rPr>
          <w:rFonts w:ascii="Calibri" w:eastAsia="Times New Roman" w:hAnsi="Calibri" w:cs="Calibri"/>
          <w:lang w:eastAsia="en-AU"/>
        </w:rPr>
        <w:t>The FCFCOA conducts a national online list for all states and territories on a weekly basis. In some weeks a second directions list is conducted.  </w:t>
      </w:r>
    </w:p>
    <w:p w14:paraId="0C079EAC" w14:textId="77777777" w:rsidR="00921D71" w:rsidRPr="00921D71" w:rsidRDefault="00921D71" w:rsidP="00921D71">
      <w:pPr>
        <w:numPr>
          <w:ilvl w:val="0"/>
          <w:numId w:val="43"/>
        </w:numPr>
        <w:spacing w:before="120" w:after="120" w:line="240" w:lineRule="auto"/>
        <w:ind w:left="714" w:hanging="357"/>
        <w:textAlignment w:val="baseline"/>
        <w:rPr>
          <w:rFonts w:ascii="Calibri" w:eastAsia="Times New Roman" w:hAnsi="Calibri" w:cs="Calibri"/>
          <w:lang w:eastAsia="en-AU"/>
        </w:rPr>
      </w:pPr>
      <w:proofErr w:type="gramStart"/>
      <w:r w:rsidRPr="00921D71">
        <w:rPr>
          <w:rFonts w:ascii="Calibri" w:eastAsia="Times New Roman" w:hAnsi="Calibri" w:cs="Calibri"/>
          <w:lang w:eastAsia="en-AU"/>
        </w:rPr>
        <w:t>The majority of</w:t>
      </w:r>
      <w:proofErr w:type="gramEnd"/>
      <w:r w:rsidRPr="00921D71">
        <w:rPr>
          <w:rFonts w:ascii="Calibri" w:eastAsia="Times New Roman" w:hAnsi="Calibri" w:cs="Calibri"/>
          <w:lang w:eastAsia="en-AU"/>
        </w:rPr>
        <w:t xml:space="preserve"> small claims matters are now heard electronically, with some special fixtures undertaken in person. Electronic hearings are also used to facilitate efficient and low</w:t>
      </w:r>
      <w:r w:rsidRPr="00921D71">
        <w:rPr>
          <w:rFonts w:ascii="Calibri" w:eastAsia="Times New Roman" w:hAnsi="Calibri" w:cs="Calibri"/>
          <w:lang w:eastAsia="en-AU"/>
        </w:rPr>
        <w:noBreakHyphen/>
        <w:t>cost resolution of disputes, particularly for litigants in rural and regional locations.</w:t>
      </w:r>
    </w:p>
    <w:p w14:paraId="1B5EE1C3" w14:textId="77777777" w:rsidR="00921D71" w:rsidRPr="00921D71" w:rsidRDefault="00921D71" w:rsidP="009A4EE3">
      <w:pPr>
        <w:numPr>
          <w:ilvl w:val="0"/>
          <w:numId w:val="43"/>
        </w:numPr>
        <w:spacing w:after="160" w:line="259" w:lineRule="auto"/>
        <w:ind w:left="714" w:hanging="357"/>
        <w:rPr>
          <w:rFonts w:ascii="Calibri" w:eastAsia="Yu Mincho" w:hAnsi="Calibri" w:cs="Arial"/>
          <w:lang w:eastAsia="en-AU"/>
        </w:rPr>
      </w:pPr>
      <w:bookmarkStart w:id="13" w:name="_Hlk152344779"/>
      <w:r w:rsidRPr="00921D71">
        <w:rPr>
          <w:rFonts w:ascii="Calibri" w:eastAsia="Times New Roman" w:hAnsi="Calibri" w:cs="Arial"/>
          <w:lang w:eastAsia="en-AU"/>
        </w:rPr>
        <w:t>While most litigants (both applicants and respondents) in small claims proceedings are self-represented, pursuant to s 548(5) and (8)</w:t>
      </w:r>
      <w:r w:rsidRPr="00921D71">
        <w:rPr>
          <w:rFonts w:ascii="Calibri" w:eastAsia="Times New Roman" w:hAnsi="Calibri" w:cs="Arial"/>
          <w:vertAlign w:val="superscript"/>
          <w:lang w:eastAsia="en-AU"/>
        </w:rPr>
        <w:footnoteReference w:id="2"/>
      </w:r>
      <w:r w:rsidRPr="00921D71">
        <w:rPr>
          <w:rFonts w:ascii="Calibri" w:eastAsia="Times New Roman" w:hAnsi="Calibri" w:cs="Arial"/>
          <w:lang w:eastAsia="en-AU"/>
        </w:rPr>
        <w:t xml:space="preserve"> of the Fair Work Act, parties may seek the leave of the court to be represented by a lawyer or industrial association. There are no mandatory considerations when determining applications for leave to be represented.</w:t>
      </w:r>
      <w:r w:rsidRPr="00921D71">
        <w:rPr>
          <w:rFonts w:ascii="Calibri" w:eastAsia="Times New Roman" w:hAnsi="Calibri" w:cs="Arial"/>
          <w:vertAlign w:val="superscript"/>
          <w:lang w:eastAsia="en-AU"/>
        </w:rPr>
        <w:footnoteReference w:id="3"/>
      </w:r>
      <w:r w:rsidRPr="00921D71">
        <w:rPr>
          <w:rFonts w:ascii="Calibri" w:eastAsia="Times New Roman" w:hAnsi="Calibri" w:cs="Arial"/>
          <w:lang w:eastAsia="en-AU"/>
        </w:rPr>
        <w:t xml:space="preserve"> In practice, where leave to be represented is sought, that leave is generally granted. The involvement of a lawyer or union representative often assists the parties and the court in the efficient conduct of proceedings</w:t>
      </w:r>
      <w:bookmarkEnd w:id="13"/>
      <w:r w:rsidRPr="00921D71">
        <w:rPr>
          <w:rFonts w:ascii="Calibri" w:eastAsia="Times New Roman" w:hAnsi="Calibri" w:cs="Arial"/>
          <w:lang w:eastAsia="en-AU"/>
        </w:rPr>
        <w:t>. The court may grant leave subject to conditions designed to ensure that no other party is unfairly disadvantaged.</w:t>
      </w:r>
    </w:p>
    <w:p w14:paraId="2207AEF0" w14:textId="4CADD056"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Court data shows a significant improvement in the timeliness of small claims matters since 2019. The time between a matter being filed and finalised reduced from an average of approximately 9 months in October 2020 to 6 weeks in November 2022. Additionally, in 2022-23 approximately 40% of matters were resolved or determined at an administrative listing, that is, after the first court date, but before requiring substantive determination at a hearing or judgment by a </w:t>
      </w:r>
      <w:r w:rsidR="008001EE">
        <w:rPr>
          <w:rFonts w:ascii="Calibri" w:eastAsia="Times New Roman" w:hAnsi="Calibri" w:cs="Arial"/>
          <w:lang w:eastAsia="en-AU"/>
        </w:rPr>
        <w:t>r</w:t>
      </w:r>
      <w:r w:rsidRPr="00921D71">
        <w:rPr>
          <w:rFonts w:ascii="Calibri" w:eastAsia="Times New Roman" w:hAnsi="Calibri" w:cs="Arial"/>
          <w:lang w:eastAsia="en-AU"/>
        </w:rPr>
        <w:t>egistrar.</w:t>
      </w:r>
    </w:p>
    <w:p w14:paraId="1BCEF067" w14:textId="77777777" w:rsidR="00921D71" w:rsidRPr="00921D71" w:rsidRDefault="00921D71" w:rsidP="00E60CEE">
      <w:pPr>
        <w:pStyle w:val="Heading3"/>
        <w:rPr>
          <w:rFonts w:eastAsia="Times New Roman"/>
          <w:sz w:val="18"/>
          <w:szCs w:val="18"/>
          <w:lang w:eastAsia="en-AU"/>
        </w:rPr>
      </w:pPr>
      <w:bookmarkStart w:id="14" w:name="_Toc183777404"/>
      <w:r w:rsidRPr="00921D71">
        <w:rPr>
          <w:rFonts w:eastAsia="Times New Roman"/>
          <w:lang w:eastAsia="en-AU"/>
        </w:rPr>
        <w:t>Legislative amendments and current reform</w:t>
      </w:r>
      <w:bookmarkEnd w:id="14"/>
    </w:p>
    <w:p w14:paraId="6CE95045" w14:textId="77777777" w:rsidR="00921D71" w:rsidRPr="00921D71" w:rsidRDefault="00921D71" w:rsidP="00921D71">
      <w:pPr>
        <w:spacing w:before="120" w:after="120" w:line="240" w:lineRule="auto"/>
        <w:rPr>
          <w:rFonts w:ascii="Calibri" w:eastAsia="Times New Roman" w:hAnsi="Calibri" w:cs="Arial"/>
          <w:lang w:eastAsia="en-AU"/>
        </w:rPr>
      </w:pPr>
      <w:r w:rsidRPr="00921D71">
        <w:rPr>
          <w:rFonts w:ascii="Calibri" w:eastAsia="Times New Roman" w:hAnsi="Calibri" w:cs="Arial"/>
          <w:lang w:eastAsia="en-AU"/>
        </w:rPr>
        <w:t xml:space="preserve">As noted above, the SJBP Act recently increased the monetary cap to recover employment entitlements from $20,000 to $100,000 and confirmed that the courts can award filing fees as costs </w:t>
      </w:r>
      <w:r w:rsidRPr="00921D71">
        <w:rPr>
          <w:rFonts w:ascii="Calibri" w:eastAsia="Times New Roman" w:hAnsi="Calibri" w:cs="Arial"/>
          <w:lang w:eastAsia="en-AU"/>
        </w:rPr>
        <w:lastRenderedPageBreak/>
        <w:t>to successful applicants. These changes commenced on 1 July 2023. A constraint for the Review therefore is that their effects are yet to be measured.</w:t>
      </w:r>
    </w:p>
    <w:p w14:paraId="4DB95164" w14:textId="77777777" w:rsidR="00921D71" w:rsidRPr="00921D71" w:rsidRDefault="00921D71" w:rsidP="00921D71">
      <w:pPr>
        <w:spacing w:before="120" w:after="120" w:line="240" w:lineRule="auto"/>
        <w:rPr>
          <w:rFonts w:ascii="Calibri" w:eastAsia="Times New Roman" w:hAnsi="Calibri" w:cs="Arial"/>
          <w:lang w:eastAsia="en-AU"/>
        </w:rPr>
      </w:pPr>
      <w:r w:rsidRPr="00921D71">
        <w:rPr>
          <w:rFonts w:ascii="Calibri" w:eastAsia="Times New Roman" w:hAnsi="Calibri" w:cs="Arial"/>
          <w:lang w:eastAsia="en-AU"/>
        </w:rPr>
        <w:t xml:space="preserve">The </w:t>
      </w:r>
      <w:r w:rsidRPr="00921D71">
        <w:rPr>
          <w:rFonts w:ascii="Calibri" w:eastAsia="Times New Roman" w:hAnsi="Calibri" w:cs="Arial"/>
          <w:i/>
          <w:iCs/>
          <w:lang w:eastAsia="en-AU"/>
        </w:rPr>
        <w:t>Fair Work Legislation Amendment (Closing Loopholes) Act 2023</w:t>
      </w:r>
      <w:r w:rsidRPr="00921D71">
        <w:rPr>
          <w:rFonts w:ascii="Calibri" w:eastAsia="Times New Roman" w:hAnsi="Calibri" w:cs="Arial"/>
          <w:lang w:eastAsia="en-AU"/>
        </w:rPr>
        <w:t xml:space="preserve"> received Royal Assent on 14 December 2023. Amongst a wide range of other measures, the Act introduced a new criminal offence for intentional wage theft.</w:t>
      </w:r>
    </w:p>
    <w:p w14:paraId="59743993" w14:textId="77777777" w:rsidR="00921D71" w:rsidRPr="00921D71" w:rsidRDefault="00921D71" w:rsidP="00545AEB">
      <w:pPr>
        <w:spacing w:before="120" w:after="120" w:line="240" w:lineRule="auto"/>
        <w:contextualSpacing/>
        <w:rPr>
          <w:rFonts w:ascii="Calibri" w:eastAsia="Times New Roman" w:hAnsi="Calibri" w:cs="Arial"/>
          <w:lang w:eastAsia="en-AU"/>
        </w:rPr>
      </w:pPr>
      <w:r w:rsidRPr="00921D71">
        <w:rPr>
          <w:rFonts w:ascii="Calibri" w:eastAsia="Times New Roman" w:hAnsi="Calibri" w:cs="Arial"/>
          <w:lang w:eastAsia="en-AU"/>
        </w:rPr>
        <w:t xml:space="preserve">There are also </w:t>
      </w:r>
      <w:proofErr w:type="gramStart"/>
      <w:r w:rsidRPr="00921D71">
        <w:rPr>
          <w:rFonts w:ascii="Calibri" w:eastAsia="Times New Roman" w:hAnsi="Calibri" w:cs="Arial"/>
          <w:lang w:eastAsia="en-AU"/>
        </w:rPr>
        <w:t>a number of</w:t>
      </w:r>
      <w:proofErr w:type="gramEnd"/>
      <w:r w:rsidRPr="00921D71">
        <w:rPr>
          <w:rFonts w:ascii="Calibri" w:eastAsia="Times New Roman" w:hAnsi="Calibri" w:cs="Arial"/>
          <w:lang w:eastAsia="en-AU"/>
        </w:rPr>
        <w:t xml:space="preserve"> reforms underway to protect the rights of temporary migrant workers. At the 2022 Jobs and Skills Summit, the Government committed to bring forward a package of reforms in 2023 to address the exploitation of temporary migrant workers. The </w:t>
      </w:r>
      <w:hyperlink r:id="rId17">
        <w:r w:rsidRPr="00921D71">
          <w:rPr>
            <w:rFonts w:ascii="Calibri" w:eastAsia="Times New Roman" w:hAnsi="Calibri" w:cs="Arial"/>
            <w:lang w:eastAsia="en-AU"/>
          </w:rPr>
          <w:t>Migration Amendment (Strengthening Employer Compliance) Bill 2023</w:t>
        </w:r>
      </w:hyperlink>
      <w:r w:rsidRPr="00921D71">
        <w:rPr>
          <w:rFonts w:ascii="Calibri" w:eastAsia="Times New Roman" w:hAnsi="Calibri" w:cs="Arial"/>
          <w:lang w:eastAsia="en-AU"/>
        </w:rPr>
        <w:t>, introduced on 22 June 2023, would introduce a range of measures to protect temporary migrant workers, including measures to implement recommendations 19 and 20 of the MWT Report. These measures would:</w:t>
      </w:r>
    </w:p>
    <w:p w14:paraId="5AD1AAD8" w14:textId="77777777" w:rsidR="00921D71" w:rsidRPr="00921D71" w:rsidRDefault="00921D71" w:rsidP="00921D71">
      <w:pPr>
        <w:numPr>
          <w:ilvl w:val="0"/>
          <w:numId w:val="27"/>
        </w:numPr>
        <w:spacing w:before="120" w:after="120" w:line="240" w:lineRule="auto"/>
        <w:contextualSpacing/>
        <w:rPr>
          <w:rFonts w:ascii="Calibri" w:eastAsia="Times New Roman" w:hAnsi="Calibri" w:cs="Arial"/>
          <w:lang w:eastAsia="en-AU"/>
        </w:rPr>
      </w:pPr>
      <w:r w:rsidRPr="00921D71">
        <w:rPr>
          <w:rFonts w:ascii="Calibri" w:eastAsia="Times New Roman" w:hAnsi="Calibri" w:cs="Arial"/>
          <w:lang w:eastAsia="en-AU"/>
        </w:rPr>
        <w:t>create new criminal offences and civil penalties for using a person’s migration status to exploit them in the workplace, and</w:t>
      </w:r>
    </w:p>
    <w:p w14:paraId="389416A2" w14:textId="77777777" w:rsidR="00921D71" w:rsidRPr="00921D71" w:rsidRDefault="00921D71" w:rsidP="00545AEB">
      <w:pPr>
        <w:numPr>
          <w:ilvl w:val="0"/>
          <w:numId w:val="27"/>
        </w:numPr>
        <w:spacing w:before="120" w:after="120" w:line="240" w:lineRule="auto"/>
        <w:ind w:left="714" w:hanging="357"/>
        <w:rPr>
          <w:rFonts w:ascii="Calibri" w:eastAsia="Times New Roman" w:hAnsi="Calibri" w:cs="Arial"/>
          <w:lang w:eastAsia="en-AU"/>
        </w:rPr>
      </w:pPr>
      <w:r w:rsidRPr="00921D71">
        <w:rPr>
          <w:rFonts w:ascii="Calibri" w:eastAsia="Times New Roman" w:hAnsi="Calibri" w:cs="Arial"/>
          <w:lang w:eastAsia="en-AU"/>
        </w:rPr>
        <w:t xml:space="preserve">create new powers to prohibit persons who have exploited temporary migrant workers from engaging additional temporary migrant workers for </w:t>
      </w:r>
      <w:proofErr w:type="gramStart"/>
      <w:r w:rsidRPr="00921D71">
        <w:rPr>
          <w:rFonts w:ascii="Calibri" w:eastAsia="Times New Roman" w:hAnsi="Calibri" w:cs="Arial"/>
          <w:lang w:eastAsia="en-AU"/>
        </w:rPr>
        <w:t>a period of time</w:t>
      </w:r>
      <w:proofErr w:type="gramEnd"/>
      <w:r w:rsidRPr="00921D71">
        <w:rPr>
          <w:rFonts w:ascii="Calibri" w:eastAsia="Times New Roman" w:hAnsi="Calibri" w:cs="Arial"/>
          <w:lang w:eastAsia="en-AU"/>
        </w:rPr>
        <w:t>.</w:t>
      </w:r>
    </w:p>
    <w:p w14:paraId="2435097D" w14:textId="77777777" w:rsidR="00921D71" w:rsidRPr="00921D71" w:rsidRDefault="00921D71" w:rsidP="00921D71">
      <w:pPr>
        <w:spacing w:after="0" w:line="240" w:lineRule="auto"/>
        <w:textAlignment w:val="baseline"/>
        <w:rPr>
          <w:rFonts w:ascii="Segoe UI" w:eastAsia="Times New Roman" w:hAnsi="Segoe UI" w:cs="Segoe UI"/>
          <w:sz w:val="18"/>
          <w:szCs w:val="18"/>
          <w:lang w:eastAsia="en-AU"/>
        </w:rPr>
      </w:pPr>
      <w:r w:rsidRPr="00921D71">
        <w:rPr>
          <w:rFonts w:ascii="Calibri" w:eastAsia="Times New Roman" w:hAnsi="Calibri" w:cs="Calibri"/>
          <w:lang w:eastAsia="en-AU"/>
        </w:rPr>
        <w:t>On 5 June 2023, a dedicated migrant worker exploitation package was jointly announced by Ministers Burke, Giles and O’Neil. Alongside the Strengthening Employer Compliance Bill, key measures include: </w:t>
      </w:r>
    </w:p>
    <w:p w14:paraId="21B9C293" w14:textId="77777777" w:rsidR="00921D71" w:rsidRPr="00921D71" w:rsidRDefault="00921D71" w:rsidP="00921D71">
      <w:pPr>
        <w:numPr>
          <w:ilvl w:val="0"/>
          <w:numId w:val="27"/>
        </w:numPr>
        <w:spacing w:before="120" w:after="120" w:line="240" w:lineRule="auto"/>
        <w:contextualSpacing/>
        <w:rPr>
          <w:rFonts w:ascii="Calibri" w:eastAsia="Times New Roman" w:hAnsi="Calibri" w:cs="Arial"/>
          <w:lang w:eastAsia="en-AU"/>
        </w:rPr>
      </w:pPr>
      <w:r w:rsidRPr="00921D71">
        <w:rPr>
          <w:rFonts w:ascii="Calibri" w:eastAsia="Times New Roman" w:hAnsi="Calibri" w:cs="Arial"/>
          <w:lang w:eastAsia="en-AU"/>
        </w:rPr>
        <w:t>a co-design process working with unions, business and civil society to explore proposed initiatives that would enable migrant workers to report exploitation without fear of negative impacts on their visa status, and to remain in Australia to pursue workplace justice. </w:t>
      </w:r>
    </w:p>
    <w:p w14:paraId="6E6A43C9" w14:textId="77777777" w:rsidR="00921D71" w:rsidRPr="00921D71" w:rsidRDefault="00921D71" w:rsidP="00921D71">
      <w:pPr>
        <w:spacing w:after="0" w:line="240" w:lineRule="auto"/>
        <w:textAlignment w:val="baseline"/>
        <w:rPr>
          <w:rFonts w:ascii="Segoe UI" w:eastAsia="Times New Roman" w:hAnsi="Segoe UI" w:cs="Segoe UI"/>
          <w:sz w:val="18"/>
          <w:szCs w:val="18"/>
          <w:lang w:eastAsia="en-AU"/>
        </w:rPr>
      </w:pPr>
      <w:r w:rsidRPr="00921D71">
        <w:rPr>
          <w:rFonts w:ascii="Calibri" w:eastAsia="Times New Roman" w:hAnsi="Calibri" w:cs="Calibri"/>
          <w:lang w:val="en-GB" w:eastAsia="en-AU"/>
        </w:rPr>
        <w:t>Proposed initiatives in the co-design process include:</w:t>
      </w:r>
      <w:r w:rsidRPr="00921D71">
        <w:rPr>
          <w:rFonts w:ascii="Calibri" w:eastAsia="Times New Roman" w:hAnsi="Calibri" w:cs="Calibri"/>
          <w:lang w:eastAsia="en-AU"/>
        </w:rPr>
        <w:t> </w:t>
      </w:r>
    </w:p>
    <w:p w14:paraId="7DB773AC" w14:textId="77777777" w:rsidR="00921D71" w:rsidRPr="00921D71" w:rsidRDefault="00921D71" w:rsidP="00921D71">
      <w:pPr>
        <w:numPr>
          <w:ilvl w:val="0"/>
          <w:numId w:val="27"/>
        </w:numPr>
        <w:spacing w:before="120" w:after="120" w:line="240" w:lineRule="auto"/>
        <w:contextualSpacing/>
        <w:rPr>
          <w:rFonts w:ascii="Calibri" w:eastAsia="Times New Roman" w:hAnsi="Calibri" w:cs="Arial"/>
          <w:lang w:eastAsia="en-AU"/>
        </w:rPr>
      </w:pPr>
      <w:r w:rsidRPr="00921D71">
        <w:rPr>
          <w:rFonts w:ascii="Calibri" w:eastAsia="Times New Roman" w:hAnsi="Calibri" w:cs="Arial"/>
          <w:lang w:eastAsia="en-AU"/>
        </w:rPr>
        <w:t>enhanced protections against visa cancellation for migrant workers who have been exploited by their employers, and </w:t>
      </w:r>
    </w:p>
    <w:p w14:paraId="01DD7EDB" w14:textId="77777777" w:rsidR="00921D71" w:rsidRPr="00921D71" w:rsidRDefault="00921D71" w:rsidP="00921D71">
      <w:pPr>
        <w:numPr>
          <w:ilvl w:val="0"/>
          <w:numId w:val="27"/>
        </w:numPr>
        <w:spacing w:before="120" w:after="120" w:line="240" w:lineRule="auto"/>
        <w:contextualSpacing/>
        <w:rPr>
          <w:rFonts w:ascii="Calibri" w:eastAsia="Times New Roman" w:hAnsi="Calibri" w:cs="Arial"/>
          <w:lang w:eastAsia="en-AU"/>
        </w:rPr>
      </w:pPr>
      <w:r w:rsidRPr="00921D71">
        <w:rPr>
          <w:rFonts w:ascii="Calibri" w:eastAsia="Times New Roman" w:hAnsi="Calibri" w:cs="Arial"/>
          <w:lang w:eastAsia="en-AU"/>
        </w:rPr>
        <w:t xml:space="preserve">visa options that would enable migrant workers to remain in Australia for </w:t>
      </w:r>
      <w:proofErr w:type="gramStart"/>
      <w:r w:rsidRPr="00921D71">
        <w:rPr>
          <w:rFonts w:ascii="Calibri" w:eastAsia="Times New Roman" w:hAnsi="Calibri" w:cs="Arial"/>
          <w:lang w:eastAsia="en-AU"/>
        </w:rPr>
        <w:t>a period of time</w:t>
      </w:r>
      <w:proofErr w:type="gramEnd"/>
      <w:r w:rsidRPr="00921D71">
        <w:rPr>
          <w:rFonts w:ascii="Calibri" w:eastAsia="Times New Roman" w:hAnsi="Calibri" w:cs="Arial"/>
          <w:lang w:eastAsia="en-AU"/>
        </w:rPr>
        <w:t xml:space="preserve"> to pursue workplace justice (for example, by making claims for unpaid wages or entitlements, or to support an investigation). </w:t>
      </w:r>
    </w:p>
    <w:p w14:paraId="2958444B" w14:textId="77777777" w:rsidR="00921D71" w:rsidRPr="00921D71" w:rsidRDefault="00921D71" w:rsidP="00921D71">
      <w:pPr>
        <w:spacing w:after="160" w:line="259" w:lineRule="auto"/>
        <w:rPr>
          <w:rFonts w:ascii="Calibri" w:eastAsia="Yu Mincho" w:hAnsi="Calibri" w:cs="Arial"/>
        </w:rPr>
      </w:pPr>
      <w:r w:rsidRPr="00921D71">
        <w:rPr>
          <w:rFonts w:ascii="Calibri" w:eastAsia="Yu Mincho" w:hAnsi="Calibri" w:cs="Arial"/>
        </w:rPr>
        <w:br w:type="page"/>
      </w:r>
    </w:p>
    <w:p w14:paraId="3A40B595" w14:textId="77777777" w:rsidR="00921D71" w:rsidRPr="00921D71" w:rsidRDefault="00921D71" w:rsidP="00E60CEE">
      <w:pPr>
        <w:pStyle w:val="Heading1"/>
        <w:rPr>
          <w:rFonts w:eastAsia="Times New Roman"/>
          <w:lang w:val="en-GB" w:eastAsia="en-AU"/>
        </w:rPr>
      </w:pPr>
      <w:bookmarkStart w:id="15" w:name="_Toc183777405"/>
      <w:r w:rsidRPr="00921D71">
        <w:rPr>
          <w:rFonts w:eastAsia="Times New Roman"/>
          <w:lang w:val="en-GB" w:eastAsia="en-AU"/>
        </w:rPr>
        <w:lastRenderedPageBreak/>
        <w:t>Issue 1: The effectiveness of the current court-based small claims procedure</w:t>
      </w:r>
      <w:bookmarkEnd w:id="15"/>
    </w:p>
    <w:p w14:paraId="5F82F8C8" w14:textId="0CDB114B" w:rsidR="00921D71" w:rsidRPr="00921D71" w:rsidRDefault="00921D71" w:rsidP="0012785E">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In line with the terms of reference, the consultation process sought feedback from stakeholders on the current state of the small claims procedure and how it could be made more accessible and effective for prospective applicants. This section outlines stakeholder views on how the existing court-based procedure is working, and suggestions for improvements. Feedback and consultation occurred whilst the FCFCOA continued to implement a number of changes to practice and operation of the </w:t>
      </w:r>
      <w:r w:rsidR="00530BC9">
        <w:rPr>
          <w:rFonts w:ascii="Calibri" w:eastAsia="Times New Roman" w:hAnsi="Calibri" w:cs="Arial"/>
          <w:lang w:eastAsia="en-AU"/>
        </w:rPr>
        <w:t>s</w:t>
      </w:r>
      <w:r w:rsidRPr="00921D71">
        <w:rPr>
          <w:rFonts w:ascii="Calibri" w:eastAsia="Times New Roman" w:hAnsi="Calibri" w:cs="Arial"/>
          <w:lang w:eastAsia="en-AU"/>
        </w:rPr>
        <w:t xml:space="preserve">mall </w:t>
      </w:r>
      <w:proofErr w:type="gramStart"/>
      <w:r w:rsidR="00530BC9">
        <w:rPr>
          <w:rFonts w:ascii="Calibri" w:eastAsia="Times New Roman" w:hAnsi="Calibri" w:cs="Arial"/>
          <w:lang w:eastAsia="en-AU"/>
        </w:rPr>
        <w:t>c</w:t>
      </w:r>
      <w:r w:rsidRPr="00921D71">
        <w:rPr>
          <w:rFonts w:ascii="Calibri" w:eastAsia="Times New Roman" w:hAnsi="Calibri" w:cs="Arial"/>
          <w:lang w:eastAsia="en-AU"/>
        </w:rPr>
        <w:t>laims</w:t>
      </w:r>
      <w:proofErr w:type="gramEnd"/>
      <w:r w:rsidRPr="00921D71">
        <w:rPr>
          <w:rFonts w:ascii="Calibri" w:eastAsia="Times New Roman" w:hAnsi="Calibri" w:cs="Arial"/>
          <w:lang w:eastAsia="en-AU"/>
        </w:rPr>
        <w:t xml:space="preserve"> </w:t>
      </w:r>
      <w:r w:rsidR="00530BC9">
        <w:rPr>
          <w:rFonts w:ascii="Calibri" w:eastAsia="Times New Roman" w:hAnsi="Calibri" w:cs="Arial"/>
          <w:lang w:eastAsia="en-AU"/>
        </w:rPr>
        <w:t>l</w:t>
      </w:r>
      <w:r w:rsidRPr="00921D71">
        <w:rPr>
          <w:rFonts w:ascii="Calibri" w:eastAsia="Times New Roman" w:hAnsi="Calibri" w:cs="Arial"/>
          <w:lang w:eastAsia="en-AU"/>
        </w:rPr>
        <w:t>ists. Findings and recommendations are presented for the Government’s consideration.</w:t>
      </w:r>
    </w:p>
    <w:p w14:paraId="3E8F00D3" w14:textId="77777777" w:rsidR="00921D71" w:rsidRPr="00921D71" w:rsidRDefault="00921D71" w:rsidP="00E60CEE">
      <w:pPr>
        <w:pStyle w:val="Heading2"/>
        <w:rPr>
          <w:rFonts w:eastAsia="Times New Roman"/>
          <w:sz w:val="18"/>
          <w:szCs w:val="18"/>
          <w:lang w:eastAsia="en-AU"/>
        </w:rPr>
      </w:pPr>
      <w:bookmarkStart w:id="16" w:name="_Toc183777406"/>
      <w:r w:rsidRPr="00921D71">
        <w:rPr>
          <w:rFonts w:eastAsia="Times New Roman"/>
          <w:lang w:eastAsia="en-AU"/>
        </w:rPr>
        <w:t>Stakeholder feedback</w:t>
      </w:r>
      <w:bookmarkEnd w:id="16"/>
      <w:r w:rsidRPr="00921D71">
        <w:rPr>
          <w:rFonts w:eastAsia="Times New Roman"/>
          <w:lang w:eastAsia="en-AU"/>
        </w:rPr>
        <w:t xml:space="preserve"> </w:t>
      </w:r>
    </w:p>
    <w:p w14:paraId="0F1F7546" w14:textId="64911F22" w:rsidR="00921D71" w:rsidRPr="00921D71" w:rsidRDefault="00921D71" w:rsidP="0012785E">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A number of stakeholders highlighted the recent changes that have been made to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and the way in which matters are handled. </w:t>
      </w:r>
      <w:r w:rsidR="00AF0842">
        <w:rPr>
          <w:rFonts w:ascii="Calibri" w:eastAsia="Times New Roman" w:hAnsi="Calibri" w:cs="Arial"/>
          <w:lang w:eastAsia="en-AU"/>
        </w:rPr>
        <w:t>One stakeholder</w:t>
      </w:r>
      <w:r w:rsidRPr="00921D71">
        <w:rPr>
          <w:rFonts w:ascii="Calibri" w:eastAsia="Times New Roman" w:hAnsi="Calibri" w:cs="Arial"/>
          <w:lang w:eastAsia="en-AU"/>
        </w:rPr>
        <w:t xml:space="preserve"> noted that the FCFCOA’s move to a </w:t>
      </w:r>
      <w:r w:rsidR="008001EE">
        <w:rPr>
          <w:rFonts w:ascii="Calibri" w:eastAsia="Times New Roman" w:hAnsi="Calibri" w:cs="Arial"/>
          <w:lang w:eastAsia="en-AU"/>
        </w:rPr>
        <w:t>r</w:t>
      </w:r>
      <w:r w:rsidRPr="00921D71">
        <w:rPr>
          <w:rFonts w:ascii="Calibri" w:eastAsia="Times New Roman" w:hAnsi="Calibri" w:cs="Arial"/>
          <w:lang w:eastAsia="en-AU"/>
        </w:rPr>
        <w:t xml:space="preserve">egistrar-led model has meant that most applications are resolved on the first return, with only a minority of matters being referred to </w:t>
      </w:r>
      <w:r w:rsidR="005F7EEC">
        <w:rPr>
          <w:rFonts w:ascii="Calibri" w:eastAsia="Times New Roman" w:hAnsi="Calibri" w:cs="Arial"/>
          <w:lang w:eastAsia="en-AU"/>
        </w:rPr>
        <w:t>j</w:t>
      </w:r>
      <w:r w:rsidRPr="00921D71">
        <w:rPr>
          <w:rFonts w:ascii="Calibri" w:eastAsia="Times New Roman" w:hAnsi="Calibri" w:cs="Arial"/>
          <w:lang w:eastAsia="en-AU"/>
        </w:rPr>
        <w:t xml:space="preserve">udges. </w:t>
      </w:r>
      <w:r w:rsidR="00372788">
        <w:rPr>
          <w:rFonts w:ascii="Calibri" w:eastAsia="Times New Roman" w:hAnsi="Calibri" w:cs="Arial"/>
          <w:lang w:eastAsia="en-AU"/>
        </w:rPr>
        <w:t>The same stakeholder</w:t>
      </w:r>
      <w:r w:rsidRPr="00921D71">
        <w:rPr>
          <w:rFonts w:ascii="Calibri" w:eastAsia="Times New Roman" w:hAnsi="Calibri" w:cs="Arial"/>
          <w:lang w:eastAsia="en-AU"/>
        </w:rPr>
        <w:t xml:space="preserve"> submitted that these changes, along with others such as electronic hearings and dedicated small claims lists, are achieving positive outcomes and appear to be effectively responding to the issues raised by the MWT Report and Underpayments Inquiry Report. </w:t>
      </w:r>
      <w:r w:rsidR="00372788">
        <w:rPr>
          <w:rFonts w:ascii="Calibri" w:eastAsia="Times New Roman" w:hAnsi="Calibri" w:cs="Arial"/>
          <w:lang w:eastAsia="en-AU"/>
        </w:rPr>
        <w:t>This stakeholder</w:t>
      </w:r>
      <w:r w:rsidRPr="00921D71">
        <w:rPr>
          <w:rFonts w:ascii="Calibri" w:eastAsia="Times New Roman" w:hAnsi="Calibri" w:cs="Arial"/>
          <w:lang w:eastAsia="en-AU"/>
        </w:rPr>
        <w:t xml:space="preserve"> also noted that the increased monetary cap and the clarification that filing fees can be awarded as costs will enable more workers to utilise the small claims procedure. </w:t>
      </w:r>
      <w:r w:rsidR="00372788">
        <w:rPr>
          <w:rFonts w:ascii="Calibri" w:eastAsia="Times New Roman" w:hAnsi="Calibri" w:cs="Arial"/>
          <w:lang w:eastAsia="en-AU"/>
        </w:rPr>
        <w:t>Other stakeholders</w:t>
      </w:r>
      <w:r w:rsidRPr="00921D71">
        <w:rPr>
          <w:rFonts w:ascii="Calibri" w:eastAsia="Times New Roman" w:hAnsi="Calibri" w:cs="Arial"/>
          <w:lang w:eastAsia="en-AU"/>
        </w:rPr>
        <w:t xml:space="preserve"> cautioned against any further substantial changes being made prior to the effects of the increased monetary cap being observed and reviewed.</w:t>
      </w:r>
    </w:p>
    <w:p w14:paraId="44E2B102" w14:textId="0C1FEC34" w:rsidR="00921D71" w:rsidRPr="00921D71" w:rsidRDefault="00DF1F88" w:rsidP="0012785E">
      <w:pPr>
        <w:keepNext/>
        <w:spacing w:before="120" w:after="120" w:line="240" w:lineRule="auto"/>
        <w:textAlignment w:val="baseline"/>
        <w:rPr>
          <w:rFonts w:ascii="Calibri" w:eastAsia="Times New Roman" w:hAnsi="Calibri" w:cs="Arial"/>
          <w:lang w:eastAsia="en-AU"/>
        </w:rPr>
      </w:pPr>
      <w:r>
        <w:rPr>
          <w:rFonts w:ascii="Calibri" w:eastAsia="Times New Roman" w:hAnsi="Calibri" w:cs="Arial"/>
          <w:lang w:eastAsia="en-AU"/>
        </w:rPr>
        <w:t>Another stakeholder</w:t>
      </w:r>
      <w:r w:rsidR="00921D71" w:rsidRPr="00921D71">
        <w:rPr>
          <w:rFonts w:ascii="Calibri" w:eastAsia="Times New Roman" w:hAnsi="Calibri" w:cs="Arial"/>
          <w:lang w:eastAsia="en-AU"/>
        </w:rPr>
        <w:t xml:space="preserve"> acknowledged the changes made to the FCFCOA small claims procedure</w:t>
      </w:r>
      <w:r w:rsidR="00921D71" w:rsidRPr="00921D71">
        <w:rPr>
          <w:rFonts w:ascii="Calibri" w:eastAsia="Times New Roman" w:hAnsi="Calibri" w:cs="Arial"/>
          <w:bCs/>
          <w:lang w:eastAsia="en-AU"/>
        </w:rPr>
        <w:t xml:space="preserve"> since</w:t>
      </w:r>
      <w:r w:rsidR="00921D71" w:rsidRPr="00921D71">
        <w:rPr>
          <w:rFonts w:ascii="Calibri" w:eastAsia="Times New Roman" w:hAnsi="Calibri" w:cs="Arial"/>
          <w:lang w:eastAsia="en-AU"/>
        </w:rPr>
        <w:t xml:space="preserve"> the MWT Report. </w:t>
      </w:r>
      <w:proofErr w:type="gramStart"/>
      <w:r w:rsidR="00921D71" w:rsidRPr="00921D71">
        <w:rPr>
          <w:rFonts w:ascii="Calibri" w:eastAsia="Times New Roman" w:hAnsi="Calibri" w:cs="Arial"/>
          <w:lang w:eastAsia="en-AU"/>
        </w:rPr>
        <w:t>In particular, it</w:t>
      </w:r>
      <w:proofErr w:type="gramEnd"/>
      <w:r w:rsidR="00921D71" w:rsidRPr="00921D71">
        <w:rPr>
          <w:rFonts w:ascii="Calibri" w:eastAsia="Times New Roman" w:hAnsi="Calibri" w:cs="Arial"/>
          <w:lang w:eastAsia="en-AU"/>
        </w:rPr>
        <w:t xml:space="preserve"> highlighted the move to the </w:t>
      </w:r>
      <w:r w:rsidR="008001EE">
        <w:rPr>
          <w:rFonts w:ascii="Calibri" w:eastAsia="Times New Roman" w:hAnsi="Calibri" w:cs="Arial"/>
          <w:lang w:eastAsia="en-AU"/>
        </w:rPr>
        <w:t>r</w:t>
      </w:r>
      <w:r w:rsidR="00921D71" w:rsidRPr="00921D71">
        <w:rPr>
          <w:rFonts w:ascii="Calibri" w:eastAsia="Times New Roman" w:hAnsi="Calibri" w:cs="Arial"/>
          <w:lang w:eastAsia="en-AU"/>
        </w:rPr>
        <w:t xml:space="preserve">egistrar-led model and ready access to mediation, and the resulting reduction in delays, formality and costs. However, the </w:t>
      </w:r>
      <w:r>
        <w:rPr>
          <w:rFonts w:ascii="Calibri" w:eastAsia="Times New Roman" w:hAnsi="Calibri" w:cs="Arial"/>
          <w:lang w:eastAsia="en-AU"/>
        </w:rPr>
        <w:t>stakeholder</w:t>
      </w:r>
      <w:r w:rsidR="00921D71" w:rsidRPr="00921D71">
        <w:rPr>
          <w:rFonts w:ascii="Calibri" w:eastAsia="Times New Roman" w:hAnsi="Calibri" w:cs="Arial"/>
          <w:lang w:eastAsia="en-AU"/>
        </w:rPr>
        <w:t xml:space="preserve"> noted that whilst these changes have most likely improved the overall experience for applicants, it is unclear whether they have improved accessibility for vulnerable workers. This was echoed by </w:t>
      </w:r>
      <w:proofErr w:type="gramStart"/>
      <w:r w:rsidR="00921D71" w:rsidRPr="00921D71">
        <w:rPr>
          <w:rFonts w:ascii="Calibri" w:eastAsia="Times New Roman" w:hAnsi="Calibri" w:cs="Arial"/>
          <w:lang w:eastAsia="en-AU"/>
        </w:rPr>
        <w:t>the majority of</w:t>
      </w:r>
      <w:proofErr w:type="gramEnd"/>
      <w:r w:rsidR="00921D71" w:rsidRPr="00921D71">
        <w:rPr>
          <w:rFonts w:ascii="Calibri" w:eastAsia="Times New Roman" w:hAnsi="Calibri" w:cs="Arial"/>
          <w:lang w:eastAsia="en-AU"/>
        </w:rPr>
        <w:t xml:space="preserve"> stakeholders who, notwithstanding the recent changes, raised a number of issues and barriers to access, particularly for vulnerable workers.</w:t>
      </w:r>
    </w:p>
    <w:p w14:paraId="47AD6481" w14:textId="77777777" w:rsidR="00921D71" w:rsidRPr="00921D71" w:rsidRDefault="00921D71" w:rsidP="00E60CEE">
      <w:pPr>
        <w:pStyle w:val="Heading3"/>
        <w:rPr>
          <w:rFonts w:eastAsia="Times New Roman"/>
          <w:lang w:eastAsia="en-AU"/>
        </w:rPr>
      </w:pPr>
      <w:bookmarkStart w:id="17" w:name="_Toc183777407"/>
      <w:r w:rsidRPr="00921D71">
        <w:rPr>
          <w:rFonts w:eastAsia="Times New Roman"/>
          <w:lang w:eastAsia="en-AU"/>
        </w:rPr>
        <w:t>Barriers to access</w:t>
      </w:r>
      <w:bookmarkEnd w:id="17"/>
    </w:p>
    <w:p w14:paraId="61F58D57" w14:textId="77777777" w:rsidR="00921D71" w:rsidRPr="00921D71" w:rsidRDefault="00921D71" w:rsidP="00E60CEE">
      <w:pPr>
        <w:pStyle w:val="Heading4"/>
        <w:rPr>
          <w:rFonts w:eastAsia="Times New Roman"/>
          <w:lang w:eastAsia="en-AU"/>
        </w:rPr>
      </w:pPr>
      <w:r w:rsidRPr="00921D71">
        <w:rPr>
          <w:rFonts w:eastAsia="Times New Roman"/>
          <w:lang w:eastAsia="en-AU"/>
        </w:rPr>
        <w:t>Cost</w:t>
      </w:r>
    </w:p>
    <w:p w14:paraId="243C32B3" w14:textId="770C4E61" w:rsidR="00921D71" w:rsidRPr="00921D71" w:rsidRDefault="00921D71" w:rsidP="00921D71">
      <w:pPr>
        <w:spacing w:before="120" w:after="120" w:line="240" w:lineRule="auto"/>
        <w:textAlignment w:val="baseline"/>
        <w:rPr>
          <w:rFonts w:ascii="Calibri" w:eastAsia="Times New Roman" w:hAnsi="Calibri" w:cs="Arial"/>
          <w:lang w:eastAsia="en-AU"/>
        </w:rPr>
      </w:pPr>
      <w:r w:rsidRPr="0AE6D3F4">
        <w:rPr>
          <w:rFonts w:ascii="Calibri" w:eastAsia="Times New Roman" w:hAnsi="Calibri" w:cs="Arial"/>
          <w:lang w:eastAsia="en-AU"/>
        </w:rPr>
        <w:t xml:space="preserve">Many stakeholders submitted that filing fees remain a significant deterrent for workers accessing the small claims procedure. </w:t>
      </w:r>
      <w:r w:rsidRPr="00EC60DF">
        <w:rPr>
          <w:rFonts w:ascii="Calibri" w:eastAsia="Times New Roman" w:hAnsi="Calibri" w:cs="Arial"/>
          <w:lang w:eastAsia="en-AU"/>
        </w:rPr>
        <w:t>This is notwithstanding recent amendments to the Fair Work Act which confirmed that the court can award filing fees to a successful party as costs</w:t>
      </w:r>
      <w:r w:rsidRPr="0AE6D3F4">
        <w:rPr>
          <w:rFonts w:ascii="Calibri" w:eastAsia="Times New Roman" w:hAnsi="Calibri" w:cs="Arial"/>
          <w:lang w:eastAsia="en-AU"/>
        </w:rPr>
        <w:t xml:space="preserve">. For example, </w:t>
      </w:r>
      <w:r w:rsidR="00E526CA" w:rsidRPr="0AE6D3F4">
        <w:rPr>
          <w:rFonts w:ascii="Calibri" w:eastAsia="Times New Roman" w:hAnsi="Calibri" w:cs="Arial"/>
          <w:lang w:eastAsia="en-AU"/>
        </w:rPr>
        <w:t>one stakeholder</w:t>
      </w:r>
      <w:r w:rsidRPr="0AE6D3F4">
        <w:rPr>
          <w:rFonts w:ascii="Calibri" w:eastAsia="Times New Roman" w:hAnsi="Calibri" w:cs="Arial"/>
          <w:lang w:eastAsia="en-AU"/>
        </w:rPr>
        <w:t xml:space="preserve"> submitted that, in situations where a worker is owed a relatively small amount of money (for example, $500-$1000), a filing fee remains a substantial initial cost barrier to recovering entitlements. Similarly, </w:t>
      </w:r>
      <w:r w:rsidR="00FD29E4" w:rsidRPr="0AE6D3F4">
        <w:rPr>
          <w:rFonts w:ascii="Calibri" w:eastAsia="Times New Roman" w:hAnsi="Calibri" w:cs="Arial"/>
          <w:lang w:eastAsia="en-AU"/>
        </w:rPr>
        <w:t xml:space="preserve">another stakeholder </w:t>
      </w:r>
      <w:r w:rsidRPr="0AE6D3F4">
        <w:rPr>
          <w:rFonts w:ascii="Calibri" w:eastAsia="Times New Roman" w:hAnsi="Calibri" w:cs="Arial"/>
          <w:lang w:eastAsia="en-AU"/>
        </w:rPr>
        <w:t xml:space="preserve">submitted that young workers’ claims may be low in monetary value, making the cost of the initial filing fee prohibitive. </w:t>
      </w:r>
      <w:r w:rsidR="00E161E6" w:rsidRPr="0AE6D3F4">
        <w:rPr>
          <w:rFonts w:ascii="Calibri" w:eastAsia="Times New Roman" w:hAnsi="Calibri" w:cs="Arial"/>
          <w:lang w:eastAsia="en-AU"/>
        </w:rPr>
        <w:t>Another stakeholder</w:t>
      </w:r>
      <w:r w:rsidRPr="0AE6D3F4">
        <w:rPr>
          <w:rFonts w:ascii="Calibri" w:eastAsia="Times New Roman" w:hAnsi="Calibri" w:cs="Arial"/>
          <w:lang w:eastAsia="en-AU"/>
        </w:rPr>
        <w:t xml:space="preserve"> noted that, although </w:t>
      </w:r>
      <w:r w:rsidR="00EE7934" w:rsidRPr="0AE6D3F4">
        <w:rPr>
          <w:rFonts w:ascii="Calibri" w:eastAsia="Times New Roman" w:hAnsi="Calibri" w:cs="Arial"/>
          <w:lang w:eastAsia="en-AU"/>
        </w:rPr>
        <w:t xml:space="preserve">applicants </w:t>
      </w:r>
      <w:r w:rsidRPr="0AE6D3F4">
        <w:rPr>
          <w:rFonts w:ascii="Calibri" w:eastAsia="Times New Roman" w:hAnsi="Calibri" w:cs="Arial"/>
          <w:lang w:eastAsia="en-AU"/>
        </w:rPr>
        <w:t xml:space="preserve">are eligible for a fee waiver </w:t>
      </w:r>
      <w:proofErr w:type="gramStart"/>
      <w:r w:rsidRPr="0AE6D3F4">
        <w:rPr>
          <w:rFonts w:ascii="Calibri" w:eastAsia="Times New Roman" w:hAnsi="Calibri" w:cs="Arial"/>
          <w:lang w:eastAsia="en-AU"/>
        </w:rPr>
        <w:t>on the basis of</w:t>
      </w:r>
      <w:proofErr w:type="gramEnd"/>
      <w:r w:rsidRPr="0AE6D3F4">
        <w:rPr>
          <w:rFonts w:ascii="Calibri" w:eastAsia="Times New Roman" w:hAnsi="Calibri" w:cs="Arial"/>
          <w:lang w:eastAsia="en-AU"/>
        </w:rPr>
        <w:t xml:space="preserve"> being in receipt of legal assistance, the filing fee can be very expensive for those applicants who are not eligible for a waiver, particularly workers who have already been underpaid.</w:t>
      </w:r>
    </w:p>
    <w:p w14:paraId="3471CCAD" w14:textId="77777777" w:rsidR="00921D71" w:rsidRPr="00921D71" w:rsidRDefault="00921D71" w:rsidP="00C139ED">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 that:</w:t>
      </w:r>
    </w:p>
    <w:p w14:paraId="0CC5E5E9" w14:textId="77777777" w:rsidR="00921D71" w:rsidRPr="00921D71" w:rsidRDefault="00921D71" w:rsidP="00921D71">
      <w:pPr>
        <w:numPr>
          <w:ilvl w:val="0"/>
          <w:numId w:val="29"/>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filing fees should be reduced or removed</w:t>
      </w:r>
    </w:p>
    <w:p w14:paraId="1F11E60D" w14:textId="77777777" w:rsidR="00921D71" w:rsidRPr="00921D71" w:rsidRDefault="00921D71" w:rsidP="00921D71">
      <w:pPr>
        <w:numPr>
          <w:ilvl w:val="0"/>
          <w:numId w:val="29"/>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successful applicants should be able to recover filing fees and legal costs from the employer</w:t>
      </w:r>
    </w:p>
    <w:p w14:paraId="0CB3425D" w14:textId="33803E55" w:rsidR="00921D71" w:rsidRPr="00921D71" w:rsidRDefault="00921D71" w:rsidP="00921D71">
      <w:pPr>
        <w:numPr>
          <w:ilvl w:val="0"/>
          <w:numId w:val="29"/>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clients of all CLCs and working women’s centres (WWC) should have access to an automatic fee waiver, and</w:t>
      </w:r>
    </w:p>
    <w:p w14:paraId="5405A1C1" w14:textId="77777777" w:rsidR="00921D71" w:rsidRPr="00921D71" w:rsidRDefault="00921D71" w:rsidP="00B60E6F">
      <w:pPr>
        <w:numPr>
          <w:ilvl w:val="0"/>
          <w:numId w:val="29"/>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lastRenderedPageBreak/>
        <w:t>self-represented litigants should have a reduced filing fee, in line with the filing fee for unfair dismissal or general protections applications in the FWC.</w:t>
      </w:r>
    </w:p>
    <w:p w14:paraId="771B5D40" w14:textId="77777777" w:rsidR="00921D71" w:rsidRPr="00921D71" w:rsidRDefault="00921D71" w:rsidP="00E60CEE">
      <w:pPr>
        <w:pStyle w:val="Heading4"/>
        <w:rPr>
          <w:rFonts w:eastAsia="Times New Roman"/>
          <w:i/>
          <w:lang w:eastAsia="en-AU"/>
        </w:rPr>
      </w:pPr>
      <w:r w:rsidRPr="00921D71">
        <w:rPr>
          <w:rFonts w:eastAsia="Times New Roman"/>
          <w:lang w:eastAsia="en-AU"/>
        </w:rPr>
        <w:t>Lack of penalties or consequences</w:t>
      </w:r>
    </w:p>
    <w:p w14:paraId="6FD54EEB" w14:textId="707A9953" w:rsidR="00921D71" w:rsidRPr="00921D71" w:rsidRDefault="00921D71" w:rsidP="00A313FA">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Stakeholders submitted that the burden and risk of engaging in the court-based small claims procedure is predominantly carried by the worker, who has not received their legal entitlements. This is because no penalty or further repercussions are inflicted on the employer in small claims proceedings. For example, </w:t>
      </w:r>
      <w:r w:rsidR="00170E9F">
        <w:rPr>
          <w:rFonts w:ascii="Calibri" w:eastAsia="Times New Roman" w:hAnsi="Calibri" w:cs="Arial"/>
          <w:lang w:eastAsia="en-AU"/>
        </w:rPr>
        <w:t xml:space="preserve">a stakeholder </w:t>
      </w:r>
      <w:r w:rsidRPr="00921D71">
        <w:rPr>
          <w:rFonts w:ascii="Calibri" w:eastAsia="Times New Roman" w:hAnsi="Calibri" w:cs="Arial"/>
          <w:lang w:eastAsia="en-AU"/>
        </w:rPr>
        <w:t>noted that:</w:t>
      </w:r>
    </w:p>
    <w:p w14:paraId="65417226" w14:textId="77777777" w:rsidR="00921D71" w:rsidRPr="00921D71" w:rsidRDefault="00921D71" w:rsidP="00921D71">
      <w:pPr>
        <w:spacing w:before="120" w:after="120" w:line="240" w:lineRule="auto"/>
        <w:ind w:left="720"/>
        <w:textAlignment w:val="baseline"/>
        <w:rPr>
          <w:rFonts w:ascii="Calibri" w:eastAsia="Times New Roman" w:hAnsi="Calibri" w:cs="Arial"/>
          <w:lang w:eastAsia="en-AU"/>
        </w:rPr>
      </w:pPr>
      <w:r w:rsidRPr="00921D71">
        <w:rPr>
          <w:rFonts w:ascii="Calibri" w:eastAsia="Times New Roman" w:hAnsi="Calibri" w:cs="Arial"/>
          <w:lang w:eastAsia="en-AU"/>
        </w:rPr>
        <w:t>At best, after months of stress and effort, applicants get what they should have been paid in the first place. Employers are not held accountable for underpaying their workers by being found subject to civil penalties and are not compelled to pay other workers correctly going forward.</w:t>
      </w:r>
    </w:p>
    <w:p w14:paraId="1AC5017C" w14:textId="2A162474" w:rsidR="00921D71" w:rsidRPr="00921D71" w:rsidRDefault="00EE7934" w:rsidP="00921D71">
      <w:pPr>
        <w:spacing w:before="120" w:after="120" w:line="240" w:lineRule="auto"/>
        <w:textAlignment w:val="baseline"/>
        <w:rPr>
          <w:rFonts w:ascii="Calibri" w:eastAsia="Times New Roman" w:hAnsi="Calibri" w:cs="Arial"/>
          <w:lang w:eastAsia="en-AU"/>
        </w:rPr>
      </w:pPr>
      <w:r>
        <w:rPr>
          <w:rFonts w:ascii="Calibri" w:eastAsia="Times New Roman" w:hAnsi="Calibri" w:cs="Arial"/>
          <w:lang w:eastAsia="en-AU"/>
        </w:rPr>
        <w:t xml:space="preserve">A stakeholder </w:t>
      </w:r>
      <w:r w:rsidR="00921D71" w:rsidRPr="00921D71">
        <w:rPr>
          <w:rFonts w:ascii="Calibri" w:eastAsia="Times New Roman" w:hAnsi="Calibri" w:cs="Arial"/>
          <w:lang w:eastAsia="en-AU"/>
        </w:rPr>
        <w:t xml:space="preserve">highlighted that the inability to recover legal costs and the lack of access to civil penalties or other punitive measures makes the small claims procedure unattractive for vulnerable younger workers. </w:t>
      </w:r>
      <w:r>
        <w:rPr>
          <w:rFonts w:ascii="Calibri" w:eastAsia="Times New Roman" w:hAnsi="Calibri" w:cs="Arial"/>
          <w:lang w:eastAsia="en-AU"/>
        </w:rPr>
        <w:t>Another stakeholder</w:t>
      </w:r>
      <w:r w:rsidR="00921D71" w:rsidRPr="00921D71">
        <w:rPr>
          <w:rFonts w:ascii="Calibri" w:eastAsia="Times New Roman" w:hAnsi="Calibri" w:cs="Arial"/>
          <w:lang w:eastAsia="en-AU"/>
        </w:rPr>
        <w:t xml:space="preserve"> also submitted that there should be an ability to award penalties to representative unions. </w:t>
      </w:r>
    </w:p>
    <w:p w14:paraId="12D6B82F" w14:textId="77777777" w:rsidR="00921D71" w:rsidRPr="00921D71" w:rsidRDefault="00921D71" w:rsidP="009F58DE">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included that:</w:t>
      </w:r>
    </w:p>
    <w:p w14:paraId="52649726"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civil penalties should be available in the small claims procedure to be awarded against employers</w:t>
      </w:r>
    </w:p>
    <w:p w14:paraId="78076FDB"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in the event of a successful claim, the court should be given the power to make orders that the employer conduct a payroll audit to check whether all staff have been paid their minimum entitlements over a specified period, and report back to the court within a specific timeframe, and</w:t>
      </w:r>
    </w:p>
    <w:p w14:paraId="505B29B5" w14:textId="77777777" w:rsidR="00921D71" w:rsidRPr="00921D71" w:rsidRDefault="00921D71" w:rsidP="00EE7934">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where legal representation is granted, there should be an expanded capacity to award legal costs to a successful claimant, noting that this should generally be confined to claimants (except where they are found to have been vexatious or unreasonable in the institution or conduct of the proceedings).</w:t>
      </w:r>
    </w:p>
    <w:p w14:paraId="545BD60D" w14:textId="77777777" w:rsidR="00921D71" w:rsidRPr="00921D71" w:rsidRDefault="00921D71" w:rsidP="009D56EB">
      <w:pPr>
        <w:pStyle w:val="Heading4"/>
        <w:rPr>
          <w:rFonts w:eastAsia="Times New Roman"/>
          <w:i/>
          <w:lang w:eastAsia="en-AU"/>
        </w:rPr>
      </w:pPr>
      <w:r w:rsidRPr="00921D71">
        <w:rPr>
          <w:rFonts w:eastAsia="Times New Roman"/>
          <w:lang w:eastAsia="en-AU"/>
        </w:rPr>
        <w:t>Complexity</w:t>
      </w:r>
    </w:p>
    <w:p w14:paraId="622F8DA2" w14:textId="532FDF8B"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Despite the small claims procedure aiming to be quicker, cheaper and less formal than ordinary court proceedings, many stakeholders submitted that the procedure is unduly complicated and legalistic. </w:t>
      </w:r>
      <w:r w:rsidR="00EE7934">
        <w:rPr>
          <w:rFonts w:ascii="Calibri" w:eastAsia="Times New Roman" w:hAnsi="Calibri" w:cs="Arial"/>
          <w:lang w:eastAsia="en-AU"/>
        </w:rPr>
        <w:t>One stakeholder</w:t>
      </w:r>
      <w:r w:rsidRPr="00921D71">
        <w:rPr>
          <w:rFonts w:ascii="Calibri" w:eastAsia="Times New Roman" w:hAnsi="Calibri" w:cs="Arial"/>
          <w:lang w:eastAsia="en-AU"/>
        </w:rPr>
        <w:t xml:space="preserve"> submitted that although the procedures and evidentiary rules are simplified to an extent, the court environment itself and a lack of understanding of the procedure create barriers to access. </w:t>
      </w:r>
      <w:r w:rsidR="00EE7934">
        <w:rPr>
          <w:rFonts w:ascii="Calibri" w:eastAsia="Times New Roman" w:hAnsi="Calibri" w:cs="Arial"/>
          <w:lang w:eastAsia="en-AU"/>
        </w:rPr>
        <w:t>Another stakeholder</w:t>
      </w:r>
      <w:r w:rsidRPr="00921D71">
        <w:rPr>
          <w:rFonts w:ascii="Calibri" w:eastAsia="Times New Roman" w:hAnsi="Calibri" w:cs="Arial"/>
          <w:lang w:eastAsia="en-AU"/>
        </w:rPr>
        <w:t xml:space="preserve"> highlighted that two separate application forms need to be prepared and filed to access the small claims procedure in the FCFCOA, creating an unnecessary barrier for workers. </w:t>
      </w:r>
      <w:r w:rsidR="00116F28">
        <w:rPr>
          <w:rFonts w:ascii="Calibri" w:eastAsia="Times New Roman" w:hAnsi="Calibri" w:cs="Arial"/>
          <w:lang w:eastAsia="en-AU"/>
        </w:rPr>
        <w:t>Another stakeholder</w:t>
      </w:r>
      <w:r w:rsidRPr="00921D71">
        <w:rPr>
          <w:rFonts w:ascii="Calibri" w:eastAsia="Times New Roman" w:hAnsi="Calibri" w:cs="Arial"/>
          <w:lang w:eastAsia="en-AU"/>
        </w:rPr>
        <w:t xml:space="preserve"> submitted that the rules around service were too onerous, presenting significant obstacles for workers, especially where respondents are hard to track down or disappear. </w:t>
      </w:r>
    </w:p>
    <w:p w14:paraId="555962AE" w14:textId="7EA49C6E" w:rsidR="00921D71" w:rsidRPr="00921D71" w:rsidRDefault="00921D71" w:rsidP="006114BF">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Stakeholders also highlighted </w:t>
      </w:r>
      <w:proofErr w:type="gramStart"/>
      <w:r w:rsidRPr="00921D71">
        <w:rPr>
          <w:rFonts w:ascii="Calibri" w:eastAsia="Times New Roman" w:hAnsi="Calibri" w:cs="Arial"/>
          <w:lang w:eastAsia="en-AU"/>
        </w:rPr>
        <w:t>particular barriers</w:t>
      </w:r>
      <w:proofErr w:type="gramEnd"/>
      <w:r w:rsidRPr="00921D71">
        <w:rPr>
          <w:rFonts w:ascii="Calibri" w:eastAsia="Times New Roman" w:hAnsi="Calibri" w:cs="Arial"/>
          <w:lang w:eastAsia="en-AU"/>
        </w:rPr>
        <w:t xml:space="preserve"> faced by vulnerable workers. For example, </w:t>
      </w:r>
      <w:r w:rsidR="00116F28">
        <w:rPr>
          <w:rFonts w:ascii="Calibri" w:eastAsia="Times New Roman" w:hAnsi="Calibri" w:cs="Arial"/>
          <w:lang w:eastAsia="en-AU"/>
        </w:rPr>
        <w:t>a stakeholder</w:t>
      </w:r>
      <w:r w:rsidRPr="00921D71">
        <w:rPr>
          <w:rFonts w:ascii="Calibri" w:eastAsia="Times New Roman" w:hAnsi="Calibri" w:cs="Arial"/>
          <w:lang w:eastAsia="en-AU"/>
        </w:rPr>
        <w:t xml:space="preserve"> submitted that, without legal assistance, many migrant workers cannot:</w:t>
      </w:r>
    </w:p>
    <w:p w14:paraId="612B9D74" w14:textId="77777777" w:rsidR="00921D71" w:rsidRPr="00921D71" w:rsidRDefault="00921D71" w:rsidP="00921D71">
      <w:pPr>
        <w:numPr>
          <w:ilvl w:val="0"/>
          <w:numId w:val="28"/>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identify their legal entitlements and employing entity</w:t>
      </w:r>
    </w:p>
    <w:p w14:paraId="614448B9" w14:textId="77777777" w:rsidR="00921D71" w:rsidRPr="00921D71" w:rsidRDefault="00921D71" w:rsidP="00921D71">
      <w:pPr>
        <w:numPr>
          <w:ilvl w:val="0"/>
          <w:numId w:val="28"/>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calculate the precise sum of outstanding wages and entitlements</w:t>
      </w:r>
    </w:p>
    <w:p w14:paraId="13A6DC64" w14:textId="77777777" w:rsidR="00921D71" w:rsidRPr="00921D71" w:rsidRDefault="00921D71" w:rsidP="00921D71">
      <w:pPr>
        <w:numPr>
          <w:ilvl w:val="0"/>
          <w:numId w:val="28"/>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correctly complete the application form</w:t>
      </w:r>
    </w:p>
    <w:p w14:paraId="0361B37C" w14:textId="77777777" w:rsidR="00921D71" w:rsidRPr="00921D71" w:rsidRDefault="00921D71" w:rsidP="00921D71">
      <w:pPr>
        <w:numPr>
          <w:ilvl w:val="0"/>
          <w:numId w:val="28"/>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correctly serve the application on their employer, or</w:t>
      </w:r>
    </w:p>
    <w:p w14:paraId="562F56A4" w14:textId="77777777" w:rsidR="00921D71" w:rsidRPr="00921D71" w:rsidRDefault="00921D71" w:rsidP="00172D2B">
      <w:pPr>
        <w:numPr>
          <w:ilvl w:val="0"/>
          <w:numId w:val="28"/>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navigate the proceedings in the court.</w:t>
      </w:r>
    </w:p>
    <w:p w14:paraId="711BAD10" w14:textId="0154BED7" w:rsidR="00921D71" w:rsidRPr="00921D71" w:rsidRDefault="001B130D" w:rsidP="00921D71">
      <w:pPr>
        <w:spacing w:before="120" w:after="120" w:line="240" w:lineRule="auto"/>
        <w:textAlignment w:val="baseline"/>
        <w:rPr>
          <w:rFonts w:ascii="Calibri" w:eastAsia="Times New Roman" w:hAnsi="Calibri" w:cs="Arial"/>
          <w:lang w:eastAsia="en-AU"/>
        </w:rPr>
      </w:pPr>
      <w:r>
        <w:rPr>
          <w:rFonts w:ascii="Calibri" w:eastAsia="Times New Roman" w:hAnsi="Calibri" w:cs="Arial"/>
          <w:lang w:eastAsia="en-AU"/>
        </w:rPr>
        <w:t>A stakeholder</w:t>
      </w:r>
      <w:r w:rsidR="00921D71" w:rsidRPr="00921D71">
        <w:rPr>
          <w:rFonts w:ascii="Calibri" w:eastAsia="Times New Roman" w:hAnsi="Calibri" w:cs="Arial"/>
          <w:lang w:eastAsia="en-AU"/>
        </w:rPr>
        <w:t xml:space="preserve"> stated that the vulnerabilities of their clients make it more challenging for them to establish what their rights are and where they come from. This is due to reasons including safety, shame, difficulty interpreting legislation and Modern Awards, and difficulty accessing appropriate </w:t>
      </w:r>
      <w:r w:rsidR="00921D71" w:rsidRPr="00921D71">
        <w:rPr>
          <w:rFonts w:ascii="Calibri" w:eastAsia="Times New Roman" w:hAnsi="Calibri" w:cs="Arial"/>
          <w:lang w:eastAsia="en-AU"/>
        </w:rPr>
        <w:lastRenderedPageBreak/>
        <w:t xml:space="preserve">services. </w:t>
      </w:r>
      <w:r>
        <w:rPr>
          <w:rFonts w:ascii="Calibri" w:eastAsia="Times New Roman" w:hAnsi="Calibri" w:cs="Arial"/>
          <w:lang w:val="en-GB" w:eastAsia="en-AU"/>
        </w:rPr>
        <w:t>Another stakeholder</w:t>
      </w:r>
      <w:r w:rsidR="00921D71" w:rsidRPr="00921D71">
        <w:rPr>
          <w:rFonts w:ascii="Calibri" w:eastAsia="Times New Roman" w:hAnsi="Calibri" w:cs="Arial"/>
          <w:lang w:eastAsia="en-AU"/>
        </w:rPr>
        <w:t xml:space="preserve"> noted that the process of completing forms, performing complex underpayment calculations, and self-representing in court can be prohibitively complicated for people with limited education and from culturally and linguistically diverse backgrounds. </w:t>
      </w:r>
      <w:r w:rsidR="00DA0559">
        <w:rPr>
          <w:rFonts w:ascii="Calibri" w:eastAsia="Times New Roman" w:hAnsi="Calibri" w:cs="Arial"/>
          <w:lang w:eastAsia="en-AU"/>
        </w:rPr>
        <w:t>Another stakeholder</w:t>
      </w:r>
      <w:r w:rsidR="00921D71" w:rsidRPr="00921D71">
        <w:rPr>
          <w:rFonts w:ascii="Calibri" w:eastAsia="Times New Roman" w:hAnsi="Calibri" w:cs="Arial"/>
          <w:lang w:eastAsia="en-AU"/>
        </w:rPr>
        <w:t xml:space="preserve"> noted that feedback from the legal profession supports the assertion that the small claims procedure remains inherently adversarial and complex.</w:t>
      </w:r>
    </w:p>
    <w:p w14:paraId="4DCB36B2" w14:textId="77777777" w:rsidR="00921D71" w:rsidRPr="00921D71" w:rsidRDefault="00921D71" w:rsidP="009A57EC">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included that:</w:t>
      </w:r>
    </w:p>
    <w:p w14:paraId="07FE3C7C"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the court should be required to serve initiating applications, </w:t>
      </w:r>
      <w:proofErr w:type="gramStart"/>
      <w:r w:rsidRPr="00921D71">
        <w:rPr>
          <w:rFonts w:ascii="Calibri" w:eastAsia="Times New Roman" w:hAnsi="Calibri" w:cs="Arial"/>
          <w:lang w:eastAsia="en-AU"/>
        </w:rPr>
        <w:t>similar to</w:t>
      </w:r>
      <w:proofErr w:type="gramEnd"/>
      <w:r w:rsidRPr="00921D71">
        <w:rPr>
          <w:rFonts w:ascii="Calibri" w:eastAsia="Times New Roman" w:hAnsi="Calibri" w:cs="Arial"/>
          <w:lang w:eastAsia="en-AU"/>
        </w:rPr>
        <w:t xml:space="preserve"> the FWC’s process of serving respondents in relation to unfair and general protections dismissal applications</w:t>
      </w:r>
    </w:p>
    <w:p w14:paraId="3F631127"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Rules around service on individuals should be modernised and simplified, to enable applicants to send the relevant paperwork electronically or by phone without first having to apply for substituted service</w:t>
      </w:r>
    </w:p>
    <w:p w14:paraId="5695D02C"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there should be a reverse burden of proof, based on an expanded section 557C of the Fair Work Act, for all unpaid wage and entitlement claims</w:t>
      </w:r>
    </w:p>
    <w:p w14:paraId="4C5FFB01"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onus should be placed on a regulatory body, such as the FWO, to investigate and prosecute a claim on behalf of a victim of wage theft</w:t>
      </w:r>
    </w:p>
    <w:p w14:paraId="192D3918"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only one application form should be required to access the small claims procedure</w:t>
      </w:r>
    </w:p>
    <w:p w14:paraId="76F41E7D"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application form should be greatly simplified, and</w:t>
      </w:r>
    </w:p>
    <w:p w14:paraId="0E429A46" w14:textId="77777777" w:rsidR="00921D71" w:rsidRPr="00921D71" w:rsidRDefault="00921D71" w:rsidP="00DA0559">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assistance and support with the calculation of underpayments should be provided, for example through the establishment of a wages and superannuation calculation service.</w:t>
      </w:r>
    </w:p>
    <w:p w14:paraId="2C252275" w14:textId="77777777" w:rsidR="00921D71" w:rsidRPr="00921D71" w:rsidRDefault="00921D71" w:rsidP="009D56EB">
      <w:pPr>
        <w:pStyle w:val="Heading4"/>
        <w:rPr>
          <w:rFonts w:eastAsia="Times New Roman"/>
          <w:i/>
          <w:lang w:eastAsia="en-AU"/>
        </w:rPr>
      </w:pPr>
      <w:r w:rsidRPr="00921D71">
        <w:rPr>
          <w:rFonts w:eastAsia="Times New Roman"/>
          <w:lang w:eastAsia="en-AU"/>
        </w:rPr>
        <w:t>Immigration status</w:t>
      </w:r>
    </w:p>
    <w:p w14:paraId="27A7B0BB" w14:textId="2E76ADB2"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Stakeholders submitted that temporary migrant workers face </w:t>
      </w:r>
      <w:proofErr w:type="gramStart"/>
      <w:r w:rsidRPr="00921D71">
        <w:rPr>
          <w:rFonts w:ascii="Calibri" w:eastAsia="Times New Roman" w:hAnsi="Calibri" w:cs="Arial"/>
          <w:lang w:eastAsia="en-AU"/>
        </w:rPr>
        <w:t>particular challenges</w:t>
      </w:r>
      <w:proofErr w:type="gramEnd"/>
      <w:r w:rsidRPr="00921D71">
        <w:rPr>
          <w:rFonts w:ascii="Calibri" w:eastAsia="Times New Roman" w:hAnsi="Calibri" w:cs="Arial"/>
          <w:lang w:eastAsia="en-AU"/>
        </w:rPr>
        <w:t xml:space="preserve"> in accessing the small claims procedure. </w:t>
      </w:r>
      <w:r w:rsidR="003828B1">
        <w:rPr>
          <w:rFonts w:ascii="Calibri" w:eastAsia="Times New Roman" w:hAnsi="Calibri" w:cs="Arial"/>
          <w:lang w:eastAsia="en-AU"/>
        </w:rPr>
        <w:t>A stakeholder</w:t>
      </w:r>
      <w:r w:rsidRPr="00921D71">
        <w:rPr>
          <w:rFonts w:ascii="Calibri" w:eastAsia="Times New Roman" w:hAnsi="Calibri" w:cs="Arial"/>
          <w:lang w:eastAsia="en-AU"/>
        </w:rPr>
        <w:t xml:space="preserve"> submitted that they regularly deal with workers who are seriously exploited at work but who will not take legal action due to the risk of visa cancellation. </w:t>
      </w:r>
      <w:r w:rsidR="003828B1">
        <w:rPr>
          <w:rFonts w:ascii="Calibri" w:eastAsia="Times New Roman" w:hAnsi="Calibri" w:cs="Arial"/>
          <w:lang w:eastAsia="en-AU"/>
        </w:rPr>
        <w:t>Two stakeholders</w:t>
      </w:r>
      <w:r w:rsidRPr="00921D71">
        <w:rPr>
          <w:rFonts w:ascii="Calibri" w:eastAsia="Times New Roman" w:hAnsi="Calibri" w:cs="Arial"/>
          <w:lang w:eastAsia="en-AU"/>
        </w:rPr>
        <w:t xml:space="preserve"> provided the example of employers threatening to report actual or fabricated breaches of visa conditions to the Department of Home Affairs </w:t>
      </w:r>
      <w:proofErr w:type="gramStart"/>
      <w:r w:rsidRPr="00921D71">
        <w:rPr>
          <w:rFonts w:ascii="Calibri" w:eastAsia="Times New Roman" w:hAnsi="Calibri" w:cs="Arial"/>
          <w:lang w:eastAsia="en-AU"/>
        </w:rPr>
        <w:t>in order to</w:t>
      </w:r>
      <w:proofErr w:type="gramEnd"/>
      <w:r w:rsidRPr="00921D71">
        <w:rPr>
          <w:rFonts w:ascii="Calibri" w:eastAsia="Times New Roman" w:hAnsi="Calibri" w:cs="Arial"/>
          <w:lang w:eastAsia="en-AU"/>
        </w:rPr>
        <w:t xml:space="preserve"> silence complaints about underpayment. </w:t>
      </w:r>
      <w:r w:rsidR="003828B1">
        <w:rPr>
          <w:rFonts w:ascii="Calibri" w:eastAsia="Times New Roman" w:hAnsi="Calibri" w:cs="Arial"/>
          <w:lang w:eastAsia="en-AU"/>
        </w:rPr>
        <w:t>Another stakeholder</w:t>
      </w:r>
      <w:r w:rsidRPr="00921D71">
        <w:rPr>
          <w:rFonts w:ascii="Calibri" w:eastAsia="Times New Roman" w:hAnsi="Calibri" w:cs="Arial"/>
          <w:lang w:eastAsia="en-AU"/>
        </w:rPr>
        <w:t xml:space="preserve"> noted that there was significant uncertainty around the application of the </w:t>
      </w:r>
      <w:r w:rsidR="00FE25FB">
        <w:rPr>
          <w:rFonts w:ascii="Calibri" w:eastAsia="Times New Roman" w:hAnsi="Calibri" w:cs="Arial"/>
          <w:lang w:eastAsia="en-AU"/>
        </w:rPr>
        <w:t>Assurance Protocol</w:t>
      </w:r>
      <w:r w:rsidRPr="00921D71">
        <w:rPr>
          <w:rFonts w:ascii="Calibri" w:eastAsia="Times New Roman" w:hAnsi="Calibri" w:cs="Arial"/>
          <w:vertAlign w:val="superscript"/>
          <w:lang w:eastAsia="en-AU"/>
        </w:rPr>
        <w:footnoteReference w:id="4"/>
      </w:r>
      <w:r w:rsidRPr="00921D71">
        <w:rPr>
          <w:rFonts w:ascii="Calibri" w:eastAsia="Times New Roman" w:hAnsi="Calibri" w:cs="Arial"/>
          <w:lang w:eastAsia="en-AU"/>
        </w:rPr>
        <w:t xml:space="preserve"> between the Department of Home Affairs and the FWO, resulting in a reluctance to report to the FWO without a ‘guarantee’ against visa cancellation. </w:t>
      </w:r>
      <w:r w:rsidR="00FF45A8">
        <w:rPr>
          <w:rFonts w:ascii="Calibri" w:eastAsia="Times New Roman" w:hAnsi="Calibri" w:cs="Arial"/>
          <w:lang w:eastAsia="en-AU"/>
        </w:rPr>
        <w:t>This stakeholder</w:t>
      </w:r>
      <w:r w:rsidRPr="00921D71">
        <w:rPr>
          <w:rFonts w:ascii="Calibri" w:eastAsia="Times New Roman" w:hAnsi="Calibri" w:cs="Arial"/>
          <w:lang w:eastAsia="en-AU"/>
        </w:rPr>
        <w:t xml:space="preserve"> also submitted that the short-term nature of employment can be a barrier for migrant workers, with their services finding that migrant workers sometimes do not initiate proceedings because they know they will not be </w:t>
      </w:r>
      <w:r w:rsidRPr="00921D71">
        <w:rPr>
          <w:rFonts w:ascii="Calibri" w:eastAsia="Times New Roman" w:hAnsi="Calibri" w:cs="Arial"/>
          <w:bCs/>
          <w:lang w:eastAsia="en-AU"/>
        </w:rPr>
        <w:t xml:space="preserve">able to remain </w:t>
      </w:r>
      <w:r w:rsidRPr="00921D71">
        <w:rPr>
          <w:rFonts w:ascii="Calibri" w:eastAsia="Times New Roman" w:hAnsi="Calibri" w:cs="Arial"/>
          <w:lang w:eastAsia="en-AU"/>
        </w:rPr>
        <w:t>in Australia to see the end of the court procedure.</w:t>
      </w:r>
    </w:p>
    <w:p w14:paraId="6733C1AF" w14:textId="77777777" w:rsidR="00921D71" w:rsidRPr="00921D71" w:rsidRDefault="00921D71" w:rsidP="00DA0559">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included that:</w:t>
      </w:r>
    </w:p>
    <w:p w14:paraId="479A48EA" w14:textId="7397860A"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judges and registrars should have relevant expertise and experience working with migrant communities and workers, and knowledge of the intersection of workplace exploitation and visas</w:t>
      </w:r>
    </w:p>
    <w:p w14:paraId="04EC19E5"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funding for CLCs and migrant worker centres should be increased, to increase their capacity to assist migrant workers and educate migrant worker communities about their legal rights including minimum entitlements</w:t>
      </w:r>
    </w:p>
    <w:p w14:paraId="70AA1458"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effective visa protections should be provided to migrant workers who report exploitation or wage theft to the FWO, and these protections should be extended to claims progressing through the courts</w:t>
      </w:r>
    </w:p>
    <w:p w14:paraId="47DB6FFA"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Fair Entitlement Guarantee should be extended to migrant workers, and</w:t>
      </w:r>
    </w:p>
    <w:p w14:paraId="486394F9" w14:textId="77777777" w:rsidR="00921D71" w:rsidRPr="00921D71" w:rsidRDefault="00921D71" w:rsidP="00732CCE">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lastRenderedPageBreak/>
        <w:t xml:space="preserve">all relevant court and FWO staff should be regularly trained on the impact of sexual harassment on complainants. </w:t>
      </w:r>
    </w:p>
    <w:p w14:paraId="2F56F56A" w14:textId="77777777" w:rsidR="00921D71" w:rsidRPr="00921D71" w:rsidRDefault="00921D71" w:rsidP="0059442E">
      <w:pPr>
        <w:pStyle w:val="Heading4"/>
        <w:rPr>
          <w:rFonts w:eastAsia="Times New Roman"/>
          <w:i/>
          <w:lang w:eastAsia="en-AU"/>
        </w:rPr>
      </w:pPr>
      <w:r w:rsidRPr="00921D71">
        <w:rPr>
          <w:rFonts w:eastAsia="Times New Roman"/>
          <w:lang w:eastAsia="en-AU"/>
        </w:rPr>
        <w:t>Language</w:t>
      </w:r>
    </w:p>
    <w:p w14:paraId="3611BEFF" w14:textId="3BDB4649" w:rsidR="00921D71" w:rsidRPr="00921D71" w:rsidRDefault="00921D71" w:rsidP="0083144C">
      <w:pPr>
        <w:keepNext/>
        <w:spacing w:before="120" w:after="120" w:line="240" w:lineRule="auto"/>
        <w:contextualSpacing/>
        <w:textAlignment w:val="baseline"/>
        <w:rPr>
          <w:rFonts w:ascii="Calibri" w:eastAsia="Times New Roman" w:hAnsi="Calibri" w:cs="Arial"/>
          <w:lang w:eastAsia="en-AU"/>
        </w:rPr>
      </w:pPr>
      <w:proofErr w:type="gramStart"/>
      <w:r w:rsidRPr="00921D71">
        <w:rPr>
          <w:rFonts w:ascii="Calibri" w:eastAsia="Times New Roman" w:hAnsi="Calibri" w:cs="Arial"/>
          <w:lang w:eastAsia="en-AU"/>
        </w:rPr>
        <w:t>A number of</w:t>
      </w:r>
      <w:proofErr w:type="gramEnd"/>
      <w:r w:rsidRPr="00921D71">
        <w:rPr>
          <w:rFonts w:ascii="Calibri" w:eastAsia="Times New Roman" w:hAnsi="Calibri" w:cs="Arial"/>
          <w:lang w:eastAsia="en-AU"/>
        </w:rPr>
        <w:t xml:space="preserve"> stakeholders raised language barriers as a significant obstacle for migrant workers and other workers with limited English language skills. </w:t>
      </w:r>
      <w:r w:rsidR="0083144C">
        <w:rPr>
          <w:rFonts w:ascii="Calibri" w:eastAsia="Times New Roman" w:hAnsi="Calibri" w:cs="Arial"/>
          <w:lang w:eastAsia="en-AU"/>
        </w:rPr>
        <w:t>One stakeholder</w:t>
      </w:r>
      <w:r w:rsidRPr="00921D71">
        <w:rPr>
          <w:rFonts w:ascii="Calibri" w:eastAsia="Times New Roman" w:hAnsi="Calibri" w:cs="Arial"/>
          <w:lang w:eastAsia="en-AU"/>
        </w:rPr>
        <w:t xml:space="preserve"> noted that the FCFCOA website does not provide information about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in any language other than English, and stated:</w:t>
      </w:r>
    </w:p>
    <w:p w14:paraId="61D90E28" w14:textId="77777777" w:rsidR="00921D71" w:rsidRPr="00921D71" w:rsidRDefault="00921D71" w:rsidP="00921D71">
      <w:pPr>
        <w:spacing w:before="120" w:after="120" w:line="240" w:lineRule="auto"/>
        <w:ind w:left="720"/>
        <w:textAlignment w:val="baseline"/>
        <w:rPr>
          <w:rFonts w:ascii="Calibri" w:eastAsia="Times New Roman" w:hAnsi="Calibri" w:cs="Arial"/>
          <w:lang w:eastAsia="en-AU"/>
        </w:rPr>
      </w:pPr>
      <w:r w:rsidRPr="00921D71">
        <w:rPr>
          <w:rFonts w:ascii="Calibri" w:eastAsia="Times New Roman" w:hAnsi="Calibri" w:cs="Arial"/>
          <w:lang w:eastAsia="en-AU"/>
        </w:rPr>
        <w:t xml:space="preserve">If a worker does not have English as their first language, this may present significant barriers to them understanding how to make an application and prepare a claim. In addition, factsheets are often the only materials available in other languages – however migrant workers need access to materials such as practice notes, application forms, </w:t>
      </w:r>
      <w:proofErr w:type="spellStart"/>
      <w:r w:rsidRPr="00921D71">
        <w:rPr>
          <w:rFonts w:ascii="Calibri" w:eastAsia="Times New Roman" w:hAnsi="Calibri" w:cs="Arial"/>
          <w:lang w:eastAsia="en-AU"/>
        </w:rPr>
        <w:t>benchbooks</w:t>
      </w:r>
      <w:proofErr w:type="spellEnd"/>
      <w:r w:rsidRPr="00921D71">
        <w:rPr>
          <w:rFonts w:ascii="Calibri" w:eastAsia="Times New Roman" w:hAnsi="Calibri" w:cs="Arial"/>
          <w:lang w:eastAsia="en-AU"/>
        </w:rPr>
        <w:t xml:space="preserve"> and decisions if they are to be able to run their own cases.</w:t>
      </w:r>
    </w:p>
    <w:p w14:paraId="5F010659" w14:textId="16FE26B8"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Similarly, </w:t>
      </w:r>
      <w:r w:rsidR="00EB19D7">
        <w:rPr>
          <w:rFonts w:ascii="Calibri" w:eastAsia="Times New Roman" w:hAnsi="Calibri" w:cs="Arial"/>
          <w:lang w:eastAsia="en-AU"/>
        </w:rPr>
        <w:t>another stakeholder</w:t>
      </w:r>
      <w:r w:rsidRPr="00921D71">
        <w:rPr>
          <w:rFonts w:ascii="Calibri" w:eastAsia="Times New Roman" w:hAnsi="Calibri" w:cs="Arial"/>
          <w:lang w:eastAsia="en-AU"/>
        </w:rPr>
        <w:t xml:space="preserve"> noted that their services regularly provide advice to workers with limited English language skills who have lodged small claims without fully understanding the scope of their claims, the procedure, the role of registrars, the significance of offers to settle and deeds of settlement. </w:t>
      </w:r>
      <w:r w:rsidR="001E4F99">
        <w:rPr>
          <w:rFonts w:ascii="Calibri" w:eastAsia="Times New Roman" w:hAnsi="Calibri" w:cs="Arial"/>
          <w:lang w:eastAsia="en-AU"/>
        </w:rPr>
        <w:t>Another stakeholder</w:t>
      </w:r>
      <w:r w:rsidRPr="00921D71">
        <w:rPr>
          <w:rFonts w:ascii="Calibri" w:eastAsia="Times New Roman" w:hAnsi="Calibri" w:cs="Arial"/>
          <w:lang w:eastAsia="en-AU"/>
        </w:rPr>
        <w:t xml:space="preserve"> also submitted that small claims proceedings are too complex and technical for migrant workers to navigate without assistance, especially for those for whom English is an additional language.</w:t>
      </w:r>
    </w:p>
    <w:p w14:paraId="455D5ACD" w14:textId="77777777" w:rsidR="00921D71" w:rsidRPr="00921D71" w:rsidRDefault="00921D71" w:rsidP="001E4F99">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included that:</w:t>
      </w:r>
    </w:p>
    <w:p w14:paraId="2971357A"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all court materials, including the application form, should be available in a range of translated languages</w:t>
      </w:r>
    </w:p>
    <w:p w14:paraId="771D5C56"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court should provide an interpreter and translator, in a similar way to a duty lawyer service</w:t>
      </w:r>
    </w:p>
    <w:p w14:paraId="3C6C5956" w14:textId="7DA5B48D"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court materials and guidance should be available in multiple formats, for example short</w:t>
      </w:r>
      <w:r w:rsidR="00F3371D">
        <w:rPr>
          <w:rFonts w:ascii="Calibri" w:eastAsia="Times New Roman" w:hAnsi="Calibri" w:cs="Arial"/>
          <w:lang w:eastAsia="en-AU"/>
        </w:rPr>
        <w:t>-</w:t>
      </w:r>
      <w:r w:rsidRPr="00921D71">
        <w:rPr>
          <w:rFonts w:ascii="Calibri" w:eastAsia="Times New Roman" w:hAnsi="Calibri" w:cs="Arial"/>
          <w:lang w:eastAsia="en-AU"/>
        </w:rPr>
        <w:t>form videos</w:t>
      </w:r>
    </w:p>
    <w:p w14:paraId="23AC0918"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FWO and FCFCOA should employ a diverse workforce fluent in key migrant languages to educate, explain and assist vulnerable workers to navigate the complex rules and procedures</w:t>
      </w:r>
    </w:p>
    <w:p w14:paraId="19E590D3"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small claims jurisdiction should be multilingual, with easy access to interpreters, multilingual services, multilingual staff, and translated materials, and</w:t>
      </w:r>
    </w:p>
    <w:p w14:paraId="16F19D7C" w14:textId="77777777" w:rsidR="00921D71" w:rsidRPr="00921D71" w:rsidRDefault="00921D71" w:rsidP="00963090">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 xml:space="preserve">all relevant court and FWO staff should be regularly trained in cultural safety and the best practice use of interpreters. </w:t>
      </w:r>
    </w:p>
    <w:p w14:paraId="4E3365AE" w14:textId="77777777" w:rsidR="00921D71" w:rsidRPr="00921D71" w:rsidRDefault="00921D71" w:rsidP="0059442E">
      <w:pPr>
        <w:pStyle w:val="Heading4"/>
        <w:rPr>
          <w:rFonts w:eastAsia="Times New Roman"/>
          <w:i/>
          <w:lang w:eastAsia="en-AU"/>
        </w:rPr>
      </w:pPr>
      <w:r w:rsidRPr="00921D71">
        <w:rPr>
          <w:rFonts w:eastAsia="Times New Roman"/>
          <w:lang w:eastAsia="en-AU"/>
        </w:rPr>
        <w:t>Enforcement</w:t>
      </w:r>
    </w:p>
    <w:p w14:paraId="24D09091" w14:textId="0EFA7C4A" w:rsidR="00921D71" w:rsidRPr="00921D71" w:rsidRDefault="00921D71" w:rsidP="00D46B4E">
      <w:pPr>
        <w:spacing w:after="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w:t>
      </w:r>
      <w:r w:rsidR="00FE25FB">
        <w:rPr>
          <w:rFonts w:ascii="Calibri" w:eastAsia="Times New Roman" w:hAnsi="Calibri" w:cs="Arial"/>
          <w:lang w:eastAsia="en-AU"/>
        </w:rPr>
        <w:t>s</w:t>
      </w:r>
      <w:r w:rsidR="00963090">
        <w:rPr>
          <w:rFonts w:ascii="Calibri" w:eastAsia="Times New Roman" w:hAnsi="Calibri" w:cs="Arial"/>
          <w:lang w:eastAsia="en-AU"/>
        </w:rPr>
        <w:t xml:space="preserve"> </w:t>
      </w:r>
      <w:r w:rsidRPr="00921D71">
        <w:rPr>
          <w:rFonts w:ascii="Calibri" w:eastAsia="Times New Roman" w:hAnsi="Calibri" w:cs="Arial"/>
          <w:lang w:eastAsia="en-AU"/>
        </w:rPr>
        <w:t xml:space="preserve">submitted that enforcement of FCFCOA court orders can be very difficult. </w:t>
      </w:r>
      <w:r w:rsidR="00963090">
        <w:rPr>
          <w:rFonts w:ascii="Calibri" w:eastAsia="Times New Roman" w:hAnsi="Calibri" w:cs="Arial"/>
          <w:lang w:eastAsia="en-AU"/>
        </w:rPr>
        <w:t>One stakeholder</w:t>
      </w:r>
      <w:r w:rsidRPr="00921D71">
        <w:rPr>
          <w:rFonts w:ascii="Calibri" w:eastAsia="Times New Roman" w:hAnsi="Calibri" w:cs="Arial"/>
          <w:lang w:eastAsia="en-AU"/>
        </w:rPr>
        <w:t xml:space="preserve"> highlighted that workers need to go through two lengthy court procedures to seek enforcement, starting by enforcing the judgement in the federal court and then progressing to the enforcement procedures of the relevant Supreme Court. </w:t>
      </w:r>
      <w:r w:rsidR="00537530">
        <w:rPr>
          <w:rFonts w:ascii="Calibri" w:eastAsia="Times New Roman" w:hAnsi="Calibri" w:cs="Arial"/>
          <w:lang w:eastAsia="en-AU"/>
        </w:rPr>
        <w:t>Another stakeholder</w:t>
      </w:r>
      <w:r w:rsidRPr="00921D71">
        <w:rPr>
          <w:rFonts w:ascii="Calibri" w:eastAsia="Times New Roman" w:hAnsi="Calibri" w:cs="Arial"/>
          <w:lang w:eastAsia="en-AU"/>
        </w:rPr>
        <w:t xml:space="preserve"> submitted that, in numerous cases, migrant workers who obtain a judgement never obtain their outstanding wages because the employer disappears, liquidates or refuses to pay. Similarly, </w:t>
      </w:r>
      <w:r w:rsidR="00537530">
        <w:rPr>
          <w:rFonts w:ascii="Calibri" w:eastAsia="Times New Roman" w:hAnsi="Calibri" w:cs="Arial"/>
          <w:lang w:eastAsia="en-AU"/>
        </w:rPr>
        <w:t>another stakeholder</w:t>
      </w:r>
      <w:r w:rsidRPr="00921D71">
        <w:rPr>
          <w:rFonts w:ascii="Calibri" w:eastAsia="Times New Roman" w:hAnsi="Calibri" w:cs="Arial"/>
          <w:lang w:eastAsia="en-AU"/>
        </w:rPr>
        <w:t xml:space="preserve"> stated that many of its clients who have managed to get court orders in their favour never in fact receive the compensation or other payments ordered (for example, interest). </w:t>
      </w:r>
      <w:r w:rsidR="00537530">
        <w:rPr>
          <w:rFonts w:ascii="Calibri" w:eastAsia="Times New Roman" w:hAnsi="Calibri" w:cs="Arial"/>
          <w:lang w:eastAsia="en-AU"/>
        </w:rPr>
        <w:t xml:space="preserve">A </w:t>
      </w:r>
      <w:r w:rsidR="00A0769A">
        <w:rPr>
          <w:rFonts w:ascii="Calibri" w:eastAsia="Times New Roman" w:hAnsi="Calibri" w:cs="Arial"/>
          <w:lang w:eastAsia="en-AU"/>
        </w:rPr>
        <w:t>fourth</w:t>
      </w:r>
      <w:r w:rsidR="00537530">
        <w:rPr>
          <w:rFonts w:ascii="Calibri" w:eastAsia="Times New Roman" w:hAnsi="Calibri" w:cs="Arial"/>
          <w:lang w:eastAsia="en-AU"/>
        </w:rPr>
        <w:t xml:space="preserve"> stakeholder</w:t>
      </w:r>
      <w:r w:rsidRPr="00921D71">
        <w:rPr>
          <w:rFonts w:ascii="Calibri" w:eastAsia="Times New Roman" w:hAnsi="Calibri" w:cs="Arial"/>
          <w:lang w:eastAsia="en-AU"/>
        </w:rPr>
        <w:t xml:space="preserve"> further submitted that:</w:t>
      </w:r>
    </w:p>
    <w:p w14:paraId="7046C1AC" w14:textId="7BD06344" w:rsidR="00921D71" w:rsidRPr="00657AF9" w:rsidRDefault="00921D71" w:rsidP="00D46B4E">
      <w:pPr>
        <w:pStyle w:val="ListParagraph"/>
        <w:spacing w:after="0" w:line="240" w:lineRule="auto"/>
        <w:textAlignment w:val="baseline"/>
        <w:rPr>
          <w:rFonts w:ascii="Calibri" w:eastAsia="Times New Roman" w:hAnsi="Calibri" w:cs="Arial"/>
          <w:lang w:eastAsia="en-AU"/>
        </w:rPr>
      </w:pPr>
      <w:r w:rsidRPr="00657AF9">
        <w:rPr>
          <w:rFonts w:ascii="Calibri" w:eastAsia="Times New Roman" w:hAnsi="Calibri" w:cs="Arial"/>
          <w:lang w:eastAsia="en-AU"/>
        </w:rPr>
        <w:t>On the rare occasion that they have elected to go down the enforcement pathway, for example by making an application to the sheriff for a warrant to seize and sell assets, they have been unsuccessful in recovering the amounts of the court orders, either because the employer had cleared out of the address where the sheriff turned up or because the sheriff didn’t find sufficient assets in the respondent’s name.</w:t>
      </w:r>
    </w:p>
    <w:p w14:paraId="6580C9C2" w14:textId="1AD9EC0F" w:rsidR="00921D71" w:rsidRPr="00921D71" w:rsidRDefault="00807A55" w:rsidP="00921D71">
      <w:pPr>
        <w:spacing w:before="120" w:after="120" w:line="240" w:lineRule="auto"/>
        <w:textAlignment w:val="baseline"/>
        <w:rPr>
          <w:rFonts w:ascii="Calibri" w:eastAsia="Times New Roman" w:hAnsi="Calibri" w:cs="Arial"/>
          <w:lang w:eastAsia="en-AU"/>
        </w:rPr>
      </w:pPr>
      <w:r>
        <w:rPr>
          <w:rFonts w:ascii="Calibri" w:eastAsia="Times New Roman" w:hAnsi="Calibri" w:cs="Arial"/>
          <w:lang w:eastAsia="en-AU"/>
        </w:rPr>
        <w:lastRenderedPageBreak/>
        <w:t>This</w:t>
      </w:r>
      <w:r w:rsidR="00CA5DEC">
        <w:rPr>
          <w:rFonts w:ascii="Calibri" w:eastAsia="Times New Roman" w:hAnsi="Calibri" w:cs="Arial"/>
          <w:lang w:eastAsia="en-AU"/>
        </w:rPr>
        <w:t xml:space="preserve"> stakeholder</w:t>
      </w:r>
      <w:r w:rsidR="00921D71" w:rsidRPr="00921D71">
        <w:rPr>
          <w:rFonts w:ascii="Calibri" w:eastAsia="Times New Roman" w:hAnsi="Calibri" w:cs="Arial"/>
          <w:lang w:eastAsia="en-AU"/>
        </w:rPr>
        <w:t xml:space="preserve"> noted that an alternative is for workers to apply to the Australian Financial Security Authority for a bankruptcy notice and then serve that notice on the respondent. However, the notice costs $470 with no possibility of a fee waiver. </w:t>
      </w:r>
      <w:proofErr w:type="gramStart"/>
      <w:r w:rsidR="00921D71" w:rsidRPr="00921D71">
        <w:rPr>
          <w:rFonts w:ascii="Calibri" w:eastAsia="Times New Roman" w:hAnsi="Calibri" w:cs="Arial"/>
          <w:lang w:eastAsia="en-AU"/>
        </w:rPr>
        <w:t>A number of</w:t>
      </w:r>
      <w:proofErr w:type="gramEnd"/>
      <w:r w:rsidR="00921D71" w:rsidRPr="00921D71">
        <w:rPr>
          <w:rFonts w:ascii="Calibri" w:eastAsia="Times New Roman" w:hAnsi="Calibri" w:cs="Arial"/>
          <w:lang w:eastAsia="en-AU"/>
        </w:rPr>
        <w:t xml:space="preserve"> stakeholders highlighted that migrant workers are ineligible for the Fair Entitlement Guarantee.</w:t>
      </w:r>
    </w:p>
    <w:p w14:paraId="18C9156F" w14:textId="77777777" w:rsidR="00921D71" w:rsidRPr="00921D71" w:rsidRDefault="00921D71" w:rsidP="00807A55">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included that:</w:t>
      </w:r>
    </w:p>
    <w:p w14:paraId="754803C2"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the court should be given responsibility to ensure that court orders in relation to small claims matters are enforced </w:t>
      </w:r>
    </w:p>
    <w:p w14:paraId="66C531C5"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Fair Work Act should be amended to make it clear that an accessorial liability claim can be brought in a small claims proceeding, and</w:t>
      </w:r>
    </w:p>
    <w:p w14:paraId="36133BFE" w14:textId="77777777" w:rsidR="00921D71" w:rsidRPr="00921D71" w:rsidRDefault="00921D71" w:rsidP="005351FC">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the Fair Entitlement Guarantee should be extended to migrant workers.</w:t>
      </w:r>
    </w:p>
    <w:p w14:paraId="1AF1488E" w14:textId="77777777" w:rsidR="00921D71" w:rsidRPr="00921D71" w:rsidRDefault="00921D71" w:rsidP="0059442E">
      <w:pPr>
        <w:pStyle w:val="Heading4"/>
        <w:rPr>
          <w:rFonts w:eastAsia="Times New Roman"/>
          <w:i/>
          <w:lang w:eastAsia="en-AU"/>
        </w:rPr>
      </w:pPr>
      <w:r w:rsidRPr="00921D71">
        <w:rPr>
          <w:rFonts w:eastAsia="Times New Roman"/>
          <w:lang w:eastAsia="en-AU"/>
        </w:rPr>
        <w:t>Lack of legal assistance</w:t>
      </w:r>
    </w:p>
    <w:p w14:paraId="35793BCA" w14:textId="7D93AB41" w:rsidR="00921D71" w:rsidRPr="00921D71" w:rsidRDefault="00921D71" w:rsidP="00E20D40">
      <w:pPr>
        <w:spacing w:before="120" w:after="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Almost all stakeholders raised the lack of access to legal advice and/or representation as a significant barrier for workers seeking to access to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For example, </w:t>
      </w:r>
      <w:r w:rsidR="005351FC">
        <w:rPr>
          <w:rFonts w:ascii="Calibri" w:eastAsia="Times New Roman" w:hAnsi="Calibri" w:cs="Arial"/>
          <w:lang w:eastAsia="en-AU"/>
        </w:rPr>
        <w:t xml:space="preserve">one stakeholder </w:t>
      </w:r>
      <w:r w:rsidRPr="00921D71">
        <w:rPr>
          <w:rFonts w:ascii="Calibri" w:eastAsia="Times New Roman" w:hAnsi="Calibri" w:cs="Arial"/>
          <w:lang w:eastAsia="en-AU"/>
        </w:rPr>
        <w:t xml:space="preserve">noted that the lack of legal services, coupled with the complexity of the legal framework governing employment, was the main barrier for employees. </w:t>
      </w:r>
      <w:r w:rsidR="005351FC">
        <w:rPr>
          <w:rFonts w:ascii="Calibri" w:eastAsia="Times New Roman" w:hAnsi="Calibri" w:cs="Arial"/>
          <w:lang w:eastAsia="en-AU"/>
        </w:rPr>
        <w:t>Another stakeholder</w:t>
      </w:r>
      <w:r w:rsidRPr="00921D71">
        <w:rPr>
          <w:rFonts w:ascii="Calibri" w:eastAsia="Times New Roman" w:hAnsi="Calibri" w:cs="Arial"/>
          <w:lang w:eastAsia="en-AU"/>
        </w:rPr>
        <w:t xml:space="preserve"> also cited lack of affordable legal advice and representation as a barrier. </w:t>
      </w:r>
      <w:r w:rsidR="0087549D">
        <w:rPr>
          <w:rFonts w:ascii="Calibri" w:eastAsia="Times New Roman" w:hAnsi="Calibri" w:cs="Arial"/>
          <w:lang w:eastAsia="en-AU"/>
        </w:rPr>
        <w:t>A third stakeholder</w:t>
      </w:r>
      <w:r w:rsidRPr="00921D71">
        <w:rPr>
          <w:rFonts w:ascii="Calibri" w:eastAsia="Times New Roman" w:hAnsi="Calibri" w:cs="Arial"/>
          <w:lang w:eastAsia="en-AU"/>
        </w:rPr>
        <w:t xml:space="preserve"> highlighted that:</w:t>
      </w:r>
    </w:p>
    <w:p w14:paraId="06F783D0" w14:textId="369A73E7" w:rsidR="00921D71" w:rsidRPr="0085664B" w:rsidRDefault="00921D71" w:rsidP="00E20D40">
      <w:pPr>
        <w:pStyle w:val="ListParagraph"/>
        <w:spacing w:after="120" w:line="240" w:lineRule="auto"/>
        <w:textAlignment w:val="baseline"/>
        <w:rPr>
          <w:rFonts w:ascii="Calibri" w:eastAsia="Times New Roman" w:hAnsi="Calibri" w:cs="Arial"/>
          <w:lang w:eastAsia="en-AU"/>
        </w:rPr>
      </w:pPr>
      <w:r w:rsidRPr="0085664B">
        <w:rPr>
          <w:rFonts w:ascii="Calibri" w:eastAsia="Times New Roman" w:hAnsi="Calibri" w:cs="Arial"/>
          <w:lang w:eastAsia="en-AU"/>
        </w:rPr>
        <w:t>All the best possible factsheets or DIY kits in the world will never be a good substitute for legal representation. The current reality is that many workers are not union members. If they cannot afford a private lawyer, then they rely on [CLCs] or [WWCs] to advise and represent them… If CLCs and WWCs are not adequately funded to assist more workers who wish to access the small claims mechanism, workers are unlikely to enforce their minimum employment entitlements.</w:t>
      </w:r>
    </w:p>
    <w:p w14:paraId="6088645A" w14:textId="6093FFE6" w:rsidR="00921D71" w:rsidRPr="00921D71" w:rsidRDefault="0087549D" w:rsidP="00921D71">
      <w:pPr>
        <w:spacing w:before="120" w:after="120" w:line="240" w:lineRule="auto"/>
        <w:textAlignment w:val="baseline"/>
        <w:rPr>
          <w:rFonts w:ascii="Calibri" w:eastAsia="Times New Roman" w:hAnsi="Calibri" w:cs="Arial"/>
          <w:lang w:eastAsia="en-AU"/>
        </w:rPr>
      </w:pPr>
      <w:r>
        <w:rPr>
          <w:rFonts w:ascii="Calibri" w:eastAsia="Times New Roman" w:hAnsi="Calibri" w:cs="Arial"/>
          <w:lang w:eastAsia="en-AU"/>
        </w:rPr>
        <w:t>Another stakeholder</w:t>
      </w:r>
      <w:r w:rsidR="00921D71" w:rsidRPr="00921D71">
        <w:rPr>
          <w:rFonts w:ascii="Calibri" w:eastAsia="Times New Roman" w:hAnsi="Calibri" w:cs="Arial"/>
          <w:lang w:eastAsia="en-AU"/>
        </w:rPr>
        <w:t xml:space="preserve"> submitted that migrant workers are unable to complete or navigate most of the steps required in the small claim procedure without legal assistance.</w:t>
      </w:r>
    </w:p>
    <w:p w14:paraId="6B7ECDD3" w14:textId="77777777" w:rsidR="00921D71" w:rsidRPr="00921D71" w:rsidRDefault="00921D71" w:rsidP="0087549D">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Stakeholder suggestions to address these issues included that:</w:t>
      </w:r>
    </w:p>
    <w:p w14:paraId="7AAAFE87"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circumstances in which leave for legal representation will be granted should be clarified</w:t>
      </w:r>
    </w:p>
    <w:p w14:paraId="0CF36A05"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there should be an exception to the rule that parties may only be represented with the leave of the court where an applicant is represented by a CLC or WWC</w:t>
      </w:r>
    </w:p>
    <w:p w14:paraId="713707B9"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the Fair Work Act should be amended to provide that parties are entitled to be represented unless the court determines otherwise in the circumstances of the case (including the size of the claim and whether the other party is represented)</w:t>
      </w:r>
    </w:p>
    <w:p w14:paraId="6730301A"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funding should be provided to CLCs in each state and territory to provide legal assistance in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jurisdiction</w:t>
      </w:r>
    </w:p>
    <w:p w14:paraId="3EB244DD"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CLCs and WWCs should be adequately resourced to represent more clients in small claims proceedings</w:t>
      </w:r>
    </w:p>
    <w:p w14:paraId="5808AFF2"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funding should be provided to CLCs to provide education and raise awareness</w:t>
      </w:r>
    </w:p>
    <w:p w14:paraId="6052B2B3"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CLCs with relevant experience, and unions in the relevant industries, should be funded to provide a duty lawyer service to assist applicants, and</w:t>
      </w:r>
    </w:p>
    <w:p w14:paraId="5F9E6A6C" w14:textId="77777777" w:rsidR="00921D71" w:rsidRPr="00921D71" w:rsidRDefault="00921D71" w:rsidP="009E37F2">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the FWO should be funded to reinstate its pre-lodgement small claims service.</w:t>
      </w:r>
    </w:p>
    <w:p w14:paraId="5B659291" w14:textId="77777777" w:rsidR="00921D71" w:rsidRPr="00921D71" w:rsidRDefault="00921D71" w:rsidP="00E910B8">
      <w:pPr>
        <w:pStyle w:val="Heading2"/>
        <w:rPr>
          <w:rFonts w:eastAsia="Times New Roman"/>
          <w:lang w:eastAsia="en-AU"/>
        </w:rPr>
      </w:pPr>
      <w:bookmarkStart w:id="18" w:name="_Toc183777408"/>
      <w:r w:rsidRPr="00921D71">
        <w:rPr>
          <w:rFonts w:eastAsia="Times New Roman"/>
          <w:lang w:eastAsia="en-AU"/>
        </w:rPr>
        <w:t>Findings and recommendations to Government</w:t>
      </w:r>
      <w:bookmarkEnd w:id="18"/>
    </w:p>
    <w:p w14:paraId="62B49CA4" w14:textId="681A2B01" w:rsidR="00921D71" w:rsidRPr="00921D71" w:rsidRDefault="00921D71" w:rsidP="00CC5ADA">
      <w:pPr>
        <w:keepNext/>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Recent improvements to the small claims procedure made by the FCFCOA have made a significant difference in terms of timeliness, and changes to processes are continuing to be implemented. In 2022-23, the median time taken for a small claims matter to be finalised was 2.8 months. In 2021-22, this figure was 8.6 months. However, </w:t>
      </w:r>
      <w:proofErr w:type="gramStart"/>
      <w:r w:rsidRPr="00921D71">
        <w:rPr>
          <w:rFonts w:ascii="Calibri" w:eastAsia="Times New Roman" w:hAnsi="Calibri" w:cs="Arial"/>
          <w:bCs/>
          <w:lang w:eastAsia="en-AU"/>
        </w:rPr>
        <w:t>it is clear that the</w:t>
      </w:r>
      <w:proofErr w:type="gramEnd"/>
      <w:r w:rsidRPr="00921D71">
        <w:rPr>
          <w:rFonts w:ascii="Calibri" w:eastAsia="Times New Roman" w:hAnsi="Calibri" w:cs="Arial"/>
          <w:bCs/>
          <w:lang w:eastAsia="en-AU"/>
        </w:rPr>
        <w:t xml:space="preserve"> procedure remains underutilised, with only 137 small claims applications filed in 2022-23, and 342 small claims applications filed in 2020-21 (with the decrease in 2022-23 likely attributable in part to the effects of the COVID-19 pandemic). In </w:t>
      </w:r>
      <w:r w:rsidRPr="00921D71">
        <w:rPr>
          <w:rFonts w:ascii="Calibri" w:eastAsia="Times New Roman" w:hAnsi="Calibri" w:cs="Arial"/>
          <w:bCs/>
          <w:lang w:eastAsia="en-AU"/>
        </w:rPr>
        <w:lastRenderedPageBreak/>
        <w:t>contrast there were 13,096 unfair dismissal claims lodged at the FWC in 2021-22. Several inquiries, including the MWT and the Senate Inquiry into Unlawful Underpayment of Employees’ Remuneration, have found that underpayment continues to be an issue in Australian workplaces. Analysis from the department using data from the Household, Income, and Labour Dynamics in Australia Survey (2021) shows that 10.2% of all employees appeared to be receiving less than the National Minimum Wage.</w:t>
      </w:r>
    </w:p>
    <w:p w14:paraId="45EA22DC" w14:textId="48ED215D" w:rsidR="00921D71" w:rsidRPr="00921D71" w:rsidRDefault="00921D71" w:rsidP="00CC5ADA">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The nature of employment law, </w:t>
      </w:r>
      <w:r w:rsidR="00AE5A6C">
        <w:rPr>
          <w:rFonts w:ascii="Calibri" w:eastAsia="Times New Roman" w:hAnsi="Calibri" w:cs="Arial"/>
          <w:lang w:eastAsia="en-AU"/>
        </w:rPr>
        <w:t xml:space="preserve">the </w:t>
      </w:r>
      <w:r w:rsidRPr="00921D71">
        <w:rPr>
          <w:rFonts w:ascii="Calibri" w:eastAsia="Times New Roman" w:hAnsi="Calibri" w:cs="Arial"/>
          <w:lang w:eastAsia="en-AU"/>
        </w:rPr>
        <w:t xml:space="preserve">adversarial court system, and the need for procedural fairness means that the procedure will inevitably remain inherently legalistic. This is notwithstanding the aim of the small claims procedure to achieve simplicity and efficiency, and improvements made by the FCFCOA. Submissions to the Review clearly indicate a consistent view that vulnerable workers experience considerable barriers accessing and navigating the procedure, and that improvements should be made to improve access to justice for these workers. Though the detail of stakeholder suggestions for improvement differs, there is sufficient commonality on </w:t>
      </w:r>
      <w:proofErr w:type="gramStart"/>
      <w:r w:rsidRPr="00921D71">
        <w:rPr>
          <w:rFonts w:ascii="Calibri" w:eastAsia="Times New Roman" w:hAnsi="Calibri" w:cs="Arial"/>
          <w:lang w:eastAsia="en-AU"/>
        </w:rPr>
        <w:t>a number of</w:t>
      </w:r>
      <w:proofErr w:type="gramEnd"/>
      <w:r w:rsidRPr="00921D71">
        <w:rPr>
          <w:rFonts w:ascii="Calibri" w:eastAsia="Times New Roman" w:hAnsi="Calibri" w:cs="Arial"/>
          <w:lang w:eastAsia="en-AU"/>
        </w:rPr>
        <w:t xml:space="preserve"> issues to enable a number of findings to be made. These are outlined below, along with recommendations to Government.</w:t>
      </w:r>
    </w:p>
    <w:p w14:paraId="42481F40" w14:textId="77777777" w:rsidR="00921D71" w:rsidRPr="00921D71" w:rsidRDefault="00921D71" w:rsidP="0097343F">
      <w:pPr>
        <w:pStyle w:val="Heading3"/>
        <w:rPr>
          <w:rFonts w:eastAsia="Times New Roman"/>
          <w:lang w:eastAsia="en-AU"/>
        </w:rPr>
      </w:pPr>
      <w:bookmarkStart w:id="19" w:name="_Toc183777409"/>
      <w:r w:rsidRPr="00921D71">
        <w:rPr>
          <w:rFonts w:eastAsia="Times New Roman"/>
          <w:lang w:eastAsia="en-AU"/>
        </w:rPr>
        <w:t>Finding 1: Filing fees are an initial cost barrier to wage recovery</w:t>
      </w:r>
      <w:bookmarkEnd w:id="19"/>
    </w:p>
    <w:p w14:paraId="63E39F1B" w14:textId="77777777" w:rsidR="00921D71" w:rsidRPr="00921D71" w:rsidRDefault="00921D71" w:rsidP="00963603">
      <w:pPr>
        <w:spacing w:before="240" w:after="24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There are two ways through which applicants in small claims proceedings can have their filing fee exempted. Currently, regulation 2.05 of the </w:t>
      </w:r>
      <w:r w:rsidRPr="00921D71">
        <w:rPr>
          <w:rFonts w:ascii="Calibri" w:eastAsia="Times New Roman" w:hAnsi="Calibri" w:cs="Arial"/>
          <w:i/>
          <w:lang w:eastAsia="en-AU"/>
        </w:rPr>
        <w:t>Federal Court and Federal Circuit and Family Court Regulations 2022</w:t>
      </w:r>
      <w:r w:rsidRPr="00921D71">
        <w:rPr>
          <w:rFonts w:ascii="Calibri" w:eastAsia="Times New Roman" w:hAnsi="Calibri" w:cs="Arial"/>
          <w:lang w:eastAsia="en-AU"/>
        </w:rPr>
        <w:t xml:space="preserve"> (the Regulations) provides that an individual is entitled to a general exemption from paying the full fee amounts if they meet any of the following criteria:  </w:t>
      </w:r>
    </w:p>
    <w:p w14:paraId="2E5BCC3D" w14:textId="0EB2ACF0"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have been granted legal aid under a legal aid scheme or service established under a law of the Commonwealth or of a state or territory or approved by the Attorney-General</w:t>
      </w:r>
      <w:r w:rsidR="00484B0F">
        <w:rPr>
          <w:rFonts w:ascii="Calibri" w:eastAsia="Times New Roman" w:hAnsi="Calibri" w:cs="Arial"/>
          <w:lang w:eastAsia="en-AU"/>
        </w:rPr>
        <w:t xml:space="preserve"> (i.e., any person taken on as a client by a CLC</w:t>
      </w:r>
      <w:r w:rsidR="0094762A">
        <w:rPr>
          <w:rFonts w:ascii="Calibri" w:eastAsia="Times New Roman" w:hAnsi="Calibri" w:cs="Arial"/>
          <w:lang w:eastAsia="en-AU"/>
        </w:rPr>
        <w:t xml:space="preserve">, Aboriginal </w:t>
      </w:r>
      <w:r w:rsidR="007D22BB">
        <w:rPr>
          <w:rFonts w:ascii="Calibri" w:eastAsia="Times New Roman" w:hAnsi="Calibri" w:cs="Arial"/>
          <w:lang w:eastAsia="en-AU"/>
        </w:rPr>
        <w:t>and Torres Strait Islander Legal Service (ATSIL) or Family Violence Prevention Service (FVPS)</w:t>
      </w:r>
      <w:r w:rsidR="00484B0F">
        <w:rPr>
          <w:rFonts w:ascii="Calibri" w:eastAsia="Times New Roman" w:hAnsi="Calibri" w:cs="Arial"/>
          <w:lang w:eastAsia="en-AU"/>
        </w:rPr>
        <w:t xml:space="preserve"> would </w:t>
      </w:r>
      <w:r w:rsidR="00100A80">
        <w:rPr>
          <w:rFonts w:ascii="Calibri" w:eastAsia="Times New Roman" w:hAnsi="Calibri" w:cs="Arial"/>
          <w:lang w:eastAsia="en-AU"/>
        </w:rPr>
        <w:t>qualify for an exemption, rather than there being a requirement for a formal grant of legal aid)</w:t>
      </w:r>
      <w:r w:rsidRPr="00921D71">
        <w:rPr>
          <w:rFonts w:ascii="Calibri" w:eastAsia="Times New Roman" w:hAnsi="Calibri" w:cs="Arial"/>
          <w:lang w:eastAsia="en-AU"/>
        </w:rPr>
        <w:t>;  </w:t>
      </w:r>
    </w:p>
    <w:p w14:paraId="12B71C8D" w14:textId="74F87B78"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are the holder of any of the following cards issued by the Commonwealth: </w:t>
      </w:r>
      <w:proofErr w:type="gramStart"/>
      <w:r w:rsidRPr="00921D71">
        <w:rPr>
          <w:rFonts w:ascii="Calibri" w:eastAsia="Times New Roman" w:hAnsi="Calibri" w:cs="Arial"/>
          <w:lang w:eastAsia="en-AU"/>
        </w:rPr>
        <w:t>a</w:t>
      </w:r>
      <w:proofErr w:type="gramEnd"/>
      <w:r w:rsidRPr="00921D71">
        <w:rPr>
          <w:rFonts w:ascii="Calibri" w:eastAsia="Times New Roman" w:hAnsi="Calibri" w:cs="Arial"/>
          <w:lang w:eastAsia="en-AU"/>
        </w:rPr>
        <w:t xml:space="preserve"> </w:t>
      </w:r>
      <w:r w:rsidR="006F1B8A">
        <w:rPr>
          <w:rFonts w:ascii="Calibri" w:eastAsia="Times New Roman" w:hAnsi="Calibri" w:cs="Arial"/>
          <w:lang w:eastAsia="en-AU"/>
        </w:rPr>
        <w:t>H</w:t>
      </w:r>
      <w:r w:rsidRPr="00921D71">
        <w:rPr>
          <w:rFonts w:ascii="Calibri" w:eastAsia="Times New Roman" w:hAnsi="Calibri" w:cs="Arial"/>
          <w:lang w:eastAsia="en-AU"/>
        </w:rPr>
        <w:t xml:space="preserve">ealth </w:t>
      </w:r>
      <w:r w:rsidR="006F1B8A">
        <w:rPr>
          <w:rFonts w:ascii="Calibri" w:eastAsia="Times New Roman" w:hAnsi="Calibri" w:cs="Arial"/>
          <w:lang w:eastAsia="en-AU"/>
        </w:rPr>
        <w:t>C</w:t>
      </w:r>
      <w:r w:rsidRPr="00921D71">
        <w:rPr>
          <w:rFonts w:ascii="Calibri" w:eastAsia="Times New Roman" w:hAnsi="Calibri" w:cs="Arial"/>
          <w:lang w:eastAsia="en-AU"/>
        </w:rPr>
        <w:t xml:space="preserve">are </w:t>
      </w:r>
      <w:r w:rsidR="006F1B8A">
        <w:rPr>
          <w:rFonts w:ascii="Calibri" w:eastAsia="Times New Roman" w:hAnsi="Calibri" w:cs="Arial"/>
          <w:lang w:eastAsia="en-AU"/>
        </w:rPr>
        <w:t>C</w:t>
      </w:r>
      <w:r w:rsidRPr="00921D71">
        <w:rPr>
          <w:rFonts w:ascii="Calibri" w:eastAsia="Times New Roman" w:hAnsi="Calibri" w:cs="Arial"/>
          <w:lang w:eastAsia="en-AU"/>
        </w:rPr>
        <w:t xml:space="preserve">ard, a </w:t>
      </w:r>
      <w:r w:rsidR="006F1B8A">
        <w:rPr>
          <w:rFonts w:ascii="Calibri" w:eastAsia="Times New Roman" w:hAnsi="Calibri" w:cs="Arial"/>
          <w:lang w:eastAsia="en-AU"/>
        </w:rPr>
        <w:t>P</w:t>
      </w:r>
      <w:r w:rsidRPr="00921D71">
        <w:rPr>
          <w:rFonts w:ascii="Calibri" w:eastAsia="Times New Roman" w:hAnsi="Calibri" w:cs="Arial"/>
          <w:lang w:eastAsia="en-AU"/>
        </w:rPr>
        <w:t xml:space="preserve">ensioner </w:t>
      </w:r>
      <w:r w:rsidR="006F1B8A">
        <w:rPr>
          <w:rFonts w:ascii="Calibri" w:eastAsia="Times New Roman" w:hAnsi="Calibri" w:cs="Arial"/>
          <w:lang w:eastAsia="en-AU"/>
        </w:rPr>
        <w:t>C</w:t>
      </w:r>
      <w:r w:rsidRPr="00921D71">
        <w:rPr>
          <w:rFonts w:ascii="Calibri" w:eastAsia="Times New Roman" w:hAnsi="Calibri" w:cs="Arial"/>
          <w:lang w:eastAsia="en-AU"/>
        </w:rPr>
        <w:t xml:space="preserve">oncession </w:t>
      </w:r>
      <w:r w:rsidR="006F1B8A">
        <w:rPr>
          <w:rFonts w:ascii="Calibri" w:eastAsia="Times New Roman" w:hAnsi="Calibri" w:cs="Arial"/>
          <w:lang w:eastAsia="en-AU"/>
        </w:rPr>
        <w:t>C</w:t>
      </w:r>
      <w:r w:rsidRPr="00921D71">
        <w:rPr>
          <w:rFonts w:ascii="Calibri" w:eastAsia="Times New Roman" w:hAnsi="Calibri" w:cs="Arial"/>
          <w:lang w:eastAsia="en-AU"/>
        </w:rPr>
        <w:t xml:space="preserve">ard, a Commonwealth </w:t>
      </w:r>
      <w:r w:rsidR="006F1B8A">
        <w:rPr>
          <w:rFonts w:ascii="Calibri" w:eastAsia="Times New Roman" w:hAnsi="Calibri" w:cs="Arial"/>
          <w:lang w:eastAsia="en-AU"/>
        </w:rPr>
        <w:t>S</w:t>
      </w:r>
      <w:r w:rsidRPr="00921D71">
        <w:rPr>
          <w:rFonts w:ascii="Calibri" w:eastAsia="Times New Roman" w:hAnsi="Calibri" w:cs="Arial"/>
          <w:lang w:eastAsia="en-AU"/>
        </w:rPr>
        <w:t xml:space="preserve">eniors </w:t>
      </w:r>
      <w:r w:rsidR="006F1B8A">
        <w:rPr>
          <w:rFonts w:ascii="Calibri" w:eastAsia="Times New Roman" w:hAnsi="Calibri" w:cs="Arial"/>
          <w:lang w:eastAsia="en-AU"/>
        </w:rPr>
        <w:t>H</w:t>
      </w:r>
      <w:r w:rsidRPr="00921D71">
        <w:rPr>
          <w:rFonts w:ascii="Calibri" w:eastAsia="Times New Roman" w:hAnsi="Calibri" w:cs="Arial"/>
          <w:lang w:eastAsia="en-AU"/>
        </w:rPr>
        <w:t xml:space="preserve">ealth </w:t>
      </w:r>
      <w:r w:rsidR="006F1B8A">
        <w:rPr>
          <w:rFonts w:ascii="Calibri" w:eastAsia="Times New Roman" w:hAnsi="Calibri" w:cs="Arial"/>
          <w:lang w:eastAsia="en-AU"/>
        </w:rPr>
        <w:t>C</w:t>
      </w:r>
      <w:r w:rsidRPr="00921D71">
        <w:rPr>
          <w:rFonts w:ascii="Calibri" w:eastAsia="Times New Roman" w:hAnsi="Calibri" w:cs="Arial"/>
          <w:lang w:eastAsia="en-AU"/>
        </w:rPr>
        <w:t>ard and any other card that certifies their entitlement to Commonwealth health concessions; </w:t>
      </w:r>
    </w:p>
    <w:p w14:paraId="15CEFF47"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are serving a sentence of imprisonment, are otherwise detained in a public institution or is in immigration detention within the meaning of the </w:t>
      </w:r>
      <w:r w:rsidRPr="00921D71">
        <w:rPr>
          <w:rFonts w:ascii="Calibri" w:eastAsia="Times New Roman" w:hAnsi="Calibri" w:cs="Arial"/>
          <w:i/>
          <w:iCs/>
          <w:lang w:eastAsia="en-AU"/>
        </w:rPr>
        <w:t xml:space="preserve">Migration Act </w:t>
      </w:r>
      <w:proofErr w:type="gramStart"/>
      <w:r w:rsidRPr="00921D71">
        <w:rPr>
          <w:rFonts w:ascii="Calibri" w:eastAsia="Times New Roman" w:hAnsi="Calibri" w:cs="Arial"/>
          <w:i/>
          <w:iCs/>
          <w:lang w:eastAsia="en-AU"/>
        </w:rPr>
        <w:t>1958</w:t>
      </w:r>
      <w:r w:rsidRPr="00921D71">
        <w:rPr>
          <w:rFonts w:ascii="Calibri" w:eastAsia="Times New Roman" w:hAnsi="Calibri" w:cs="Arial"/>
          <w:lang w:eastAsia="en-AU"/>
        </w:rPr>
        <w:t>;</w:t>
      </w:r>
      <w:proofErr w:type="gramEnd"/>
      <w:r w:rsidRPr="00921D71">
        <w:rPr>
          <w:rFonts w:ascii="Calibri" w:eastAsia="Times New Roman" w:hAnsi="Calibri" w:cs="Arial"/>
          <w:lang w:eastAsia="en-AU"/>
        </w:rPr>
        <w:t> </w:t>
      </w:r>
    </w:p>
    <w:p w14:paraId="41240728" w14:textId="77777777" w:rsidR="00921D71" w:rsidRPr="00921D71" w:rsidRDefault="00921D71" w:rsidP="00921D71">
      <w:pPr>
        <w:numPr>
          <w:ilvl w:val="0"/>
          <w:numId w:val="30"/>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are younger than 18 years old; or </w:t>
      </w:r>
    </w:p>
    <w:p w14:paraId="1E33647F" w14:textId="77777777" w:rsidR="00921D71" w:rsidRPr="00921D71" w:rsidRDefault="00921D71" w:rsidP="00210D1A">
      <w:pPr>
        <w:numPr>
          <w:ilvl w:val="0"/>
          <w:numId w:val="30"/>
        </w:numPr>
        <w:spacing w:before="120" w:after="120" w:line="240" w:lineRule="auto"/>
        <w:ind w:left="714" w:hanging="357"/>
        <w:textAlignment w:val="baseline"/>
        <w:rPr>
          <w:rFonts w:ascii="Calibri" w:eastAsia="Times New Roman" w:hAnsi="Calibri" w:cs="Arial"/>
          <w:lang w:eastAsia="en-AU"/>
        </w:rPr>
      </w:pPr>
      <w:r w:rsidRPr="00921D71">
        <w:rPr>
          <w:rFonts w:ascii="Calibri" w:eastAsia="Times New Roman" w:hAnsi="Calibri" w:cs="Arial"/>
          <w:lang w:eastAsia="en-AU"/>
        </w:rPr>
        <w:t xml:space="preserve">are receiving youth allowance or </w:t>
      </w:r>
      <w:proofErr w:type="spellStart"/>
      <w:r w:rsidRPr="00921D71">
        <w:rPr>
          <w:rFonts w:ascii="Calibri" w:eastAsia="Times New Roman" w:hAnsi="Calibri" w:cs="Arial"/>
          <w:lang w:eastAsia="en-AU"/>
        </w:rPr>
        <w:t>Austudy</w:t>
      </w:r>
      <w:proofErr w:type="spellEnd"/>
      <w:r w:rsidRPr="00921D71">
        <w:rPr>
          <w:rFonts w:ascii="Calibri" w:eastAsia="Times New Roman" w:hAnsi="Calibri" w:cs="Arial"/>
          <w:lang w:eastAsia="en-AU"/>
        </w:rPr>
        <w:t xml:space="preserve"> payment under the </w:t>
      </w:r>
      <w:r w:rsidRPr="00921D71">
        <w:rPr>
          <w:rFonts w:ascii="Calibri" w:eastAsia="Times New Roman" w:hAnsi="Calibri" w:cs="Arial"/>
          <w:i/>
          <w:iCs/>
          <w:lang w:eastAsia="en-AU"/>
        </w:rPr>
        <w:t>Social Security Act 1991</w:t>
      </w:r>
      <w:r w:rsidRPr="00921D71">
        <w:rPr>
          <w:rFonts w:ascii="Calibri" w:eastAsia="Times New Roman" w:hAnsi="Calibri" w:cs="Arial"/>
          <w:lang w:eastAsia="en-AU"/>
        </w:rPr>
        <w:t xml:space="preserve"> or benefits under the ABSTUDY Scheme.  </w:t>
      </w:r>
    </w:p>
    <w:p w14:paraId="34A3233F" w14:textId="49931077" w:rsidR="00921D71" w:rsidRPr="00921D71" w:rsidRDefault="00921D71" w:rsidP="00210D1A">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If an individual does not meet the criteria set out at regulation 2.05, they can still apply under regulation 2.06 to have their filing fee exempted if payment of the fee would cause them financial hardship. The </w:t>
      </w:r>
      <w:r w:rsidR="008001EE">
        <w:rPr>
          <w:rFonts w:ascii="Calibri" w:eastAsia="Times New Roman" w:hAnsi="Calibri" w:cs="Arial"/>
          <w:lang w:eastAsia="en-AU"/>
        </w:rPr>
        <w:t>r</w:t>
      </w:r>
      <w:r w:rsidRPr="00921D71">
        <w:rPr>
          <w:rFonts w:ascii="Calibri" w:eastAsia="Times New Roman" w:hAnsi="Calibri" w:cs="Arial"/>
          <w:lang w:eastAsia="en-AU"/>
        </w:rPr>
        <w:t>egistrar will take into consideration the person’s income, living expenses, assets and liabilities when considering a financial hardship waiver. This mechanism is reviewable by the Administrative Appeals Tribunal. </w:t>
      </w:r>
    </w:p>
    <w:p w14:paraId="718BE9D2" w14:textId="4A8BFBDC" w:rsidR="00921D71" w:rsidRPr="00921D71" w:rsidRDefault="00921D71" w:rsidP="00210D1A">
      <w:pPr>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The criteria provided for in regulation 2.05 </w:t>
      </w:r>
      <w:r w:rsidR="00CF21A9">
        <w:rPr>
          <w:rFonts w:ascii="Calibri" w:eastAsia="Times New Roman" w:hAnsi="Calibri" w:cs="Arial"/>
          <w:bCs/>
          <w:lang w:eastAsia="en-AU"/>
        </w:rPr>
        <w:t>would likely benefit from expansion in the context of small claims proceedings</w:t>
      </w:r>
      <w:r w:rsidRPr="00921D71">
        <w:rPr>
          <w:rFonts w:ascii="Calibri" w:eastAsia="Times New Roman" w:hAnsi="Calibri" w:cs="Arial"/>
          <w:bCs/>
          <w:lang w:eastAsia="en-AU"/>
        </w:rPr>
        <w:t xml:space="preserve">. This is because they do not </w:t>
      </w:r>
      <w:r w:rsidR="00CF21A9">
        <w:rPr>
          <w:rFonts w:ascii="Calibri" w:eastAsia="Times New Roman" w:hAnsi="Calibri" w:cs="Arial"/>
          <w:bCs/>
          <w:lang w:eastAsia="en-AU"/>
        </w:rPr>
        <w:t xml:space="preserve">capture </w:t>
      </w:r>
      <w:r w:rsidR="006D6AD8">
        <w:rPr>
          <w:rFonts w:ascii="Calibri" w:eastAsia="Times New Roman" w:hAnsi="Calibri" w:cs="Arial"/>
          <w:bCs/>
          <w:lang w:eastAsia="en-AU"/>
        </w:rPr>
        <w:t xml:space="preserve">all the categories of organisations that assist </w:t>
      </w:r>
      <w:r w:rsidR="00212B5B">
        <w:rPr>
          <w:rFonts w:ascii="Calibri" w:eastAsia="Times New Roman" w:hAnsi="Calibri" w:cs="Arial"/>
          <w:bCs/>
          <w:lang w:eastAsia="en-AU"/>
        </w:rPr>
        <w:t xml:space="preserve">one of the most vulnerable cohorts in the small </w:t>
      </w:r>
      <w:proofErr w:type="gramStart"/>
      <w:r w:rsidR="00212B5B">
        <w:rPr>
          <w:rFonts w:ascii="Calibri" w:eastAsia="Times New Roman" w:hAnsi="Calibri" w:cs="Arial"/>
          <w:bCs/>
          <w:lang w:eastAsia="en-AU"/>
        </w:rPr>
        <w:t>claims</w:t>
      </w:r>
      <w:proofErr w:type="gramEnd"/>
      <w:r w:rsidR="00212B5B">
        <w:rPr>
          <w:rFonts w:ascii="Calibri" w:eastAsia="Times New Roman" w:hAnsi="Calibri" w:cs="Arial"/>
          <w:bCs/>
          <w:lang w:eastAsia="en-AU"/>
        </w:rPr>
        <w:t xml:space="preserve"> jurisdiction: temporary migrant workers</w:t>
      </w:r>
      <w:r w:rsidRPr="00921D71">
        <w:rPr>
          <w:rFonts w:ascii="Calibri" w:eastAsia="Times New Roman" w:hAnsi="Calibri" w:cs="Arial"/>
          <w:bCs/>
          <w:lang w:eastAsia="en-AU"/>
        </w:rPr>
        <w:t xml:space="preserve">. Although there is an exemption for persons receiving </w:t>
      </w:r>
      <w:r w:rsidR="00FF376E">
        <w:rPr>
          <w:rFonts w:ascii="Calibri" w:eastAsia="Times New Roman" w:hAnsi="Calibri" w:cs="Arial"/>
          <w:bCs/>
          <w:lang w:eastAsia="en-AU"/>
        </w:rPr>
        <w:t>legal assistance from a CLC, ATSIL or FVPS</w:t>
      </w:r>
      <w:r w:rsidRPr="00921D71">
        <w:rPr>
          <w:rFonts w:ascii="Calibri" w:eastAsia="Times New Roman" w:hAnsi="Calibri" w:cs="Arial"/>
          <w:bCs/>
          <w:lang w:eastAsia="en-AU"/>
        </w:rPr>
        <w:t xml:space="preserve">, </w:t>
      </w:r>
      <w:r w:rsidR="009E3630">
        <w:rPr>
          <w:rFonts w:ascii="Calibri" w:eastAsia="Times New Roman" w:hAnsi="Calibri" w:cs="Arial"/>
          <w:bCs/>
          <w:lang w:eastAsia="en-AU"/>
        </w:rPr>
        <w:t xml:space="preserve">this does not cover situations where a worker is receiving assistance from a </w:t>
      </w:r>
      <w:r w:rsidR="00ED5685">
        <w:rPr>
          <w:rFonts w:ascii="Calibri" w:eastAsia="Times New Roman" w:hAnsi="Calibri" w:cs="Arial"/>
          <w:bCs/>
          <w:lang w:eastAsia="en-AU"/>
        </w:rPr>
        <w:t>migrant worker centre, industrial association or the FWO</w:t>
      </w:r>
      <w:r w:rsidRPr="00921D71">
        <w:rPr>
          <w:rFonts w:ascii="Calibri" w:eastAsia="Times New Roman" w:hAnsi="Calibri" w:cs="Arial"/>
          <w:bCs/>
          <w:lang w:eastAsia="en-AU"/>
        </w:rPr>
        <w:t xml:space="preserve">. Though migrant workers may </w:t>
      </w:r>
      <w:r w:rsidR="00AB6074">
        <w:rPr>
          <w:rFonts w:ascii="Calibri" w:eastAsia="Times New Roman" w:hAnsi="Calibri" w:cs="Arial"/>
          <w:bCs/>
          <w:lang w:eastAsia="en-AU"/>
        </w:rPr>
        <w:t xml:space="preserve">also </w:t>
      </w:r>
      <w:r w:rsidRPr="00921D71">
        <w:rPr>
          <w:rFonts w:ascii="Calibri" w:eastAsia="Times New Roman" w:hAnsi="Calibri" w:cs="Arial"/>
          <w:bCs/>
          <w:lang w:eastAsia="en-AU"/>
        </w:rPr>
        <w:t xml:space="preserve">apply for a financial hardship exemption, this requires the provision of detailed financial information and additional evidence. This may provide an extra layer of complexity to the procedure. </w:t>
      </w:r>
    </w:p>
    <w:p w14:paraId="1F961780" w14:textId="251824BF" w:rsidR="00921D71" w:rsidRPr="00921D71" w:rsidRDefault="00921D71" w:rsidP="00210D1A">
      <w:pPr>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lastRenderedPageBreak/>
        <w:t xml:space="preserve">One option to address this issue is to amend the Regulations so they extend the exemption to small claims proceedings where an applicant is receiving, or has recently received, assistance from a migrant worker centre, industrial association, or the FWO. Alongside capturing migrant workers who would otherwise face greater challenges in accessing the benefit of this exemption, such an approach would also capture cohorts in the broader Australian population who could equally merit these protections but may experience challenges in acquitting the requirements to discharge eligibility requirements. It additionally addresses a potential </w:t>
      </w:r>
      <w:r w:rsidR="00AB4CC0">
        <w:rPr>
          <w:rFonts w:ascii="Calibri" w:eastAsia="Times New Roman" w:hAnsi="Calibri" w:cs="Arial"/>
          <w:bCs/>
          <w:lang w:eastAsia="en-AU"/>
        </w:rPr>
        <w:t>inconsistency</w:t>
      </w:r>
      <w:r w:rsidRPr="00921D71">
        <w:rPr>
          <w:rFonts w:ascii="Calibri" w:eastAsia="Times New Roman" w:hAnsi="Calibri" w:cs="Arial"/>
          <w:bCs/>
          <w:lang w:eastAsia="en-AU"/>
        </w:rPr>
        <w:t xml:space="preserve"> that workers may receive Government-subsidised assistance to pursue their claim, given their </w:t>
      </w:r>
      <w:proofErr w:type="gramStart"/>
      <w:r w:rsidRPr="00921D71">
        <w:rPr>
          <w:rFonts w:ascii="Calibri" w:eastAsia="Times New Roman" w:hAnsi="Calibri" w:cs="Arial"/>
          <w:bCs/>
          <w:lang w:eastAsia="en-AU"/>
        </w:rPr>
        <w:t>particular financial</w:t>
      </w:r>
      <w:proofErr w:type="gramEnd"/>
      <w:r w:rsidRPr="00921D71">
        <w:rPr>
          <w:rFonts w:ascii="Calibri" w:eastAsia="Times New Roman" w:hAnsi="Calibri" w:cs="Arial"/>
          <w:bCs/>
          <w:lang w:eastAsia="en-AU"/>
        </w:rPr>
        <w:t xml:space="preserve"> and other circumstances, but face a risk of having to pay their own filing fees. Further consideration would be needed to assess the financial implications and quantify the funding impost associated with such a change. </w:t>
      </w:r>
    </w:p>
    <w:p w14:paraId="5C1046DD" w14:textId="4EDB4FE0" w:rsidR="00921D71" w:rsidRPr="00921D71" w:rsidRDefault="00921D71" w:rsidP="00210D1A">
      <w:pPr>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The </w:t>
      </w:r>
      <w:r w:rsidRPr="00921D71">
        <w:rPr>
          <w:rFonts w:ascii="Calibri" w:eastAsia="Times New Roman" w:hAnsi="Calibri" w:cs="Arial"/>
          <w:bCs/>
          <w:i/>
          <w:iCs/>
          <w:lang w:eastAsia="en-AU"/>
        </w:rPr>
        <w:t>Legal Aid Schemes and Services Approval 2023</w:t>
      </w:r>
      <w:r w:rsidRPr="00921D71">
        <w:rPr>
          <w:rFonts w:ascii="Calibri" w:eastAsia="Times New Roman" w:hAnsi="Calibri" w:cs="Arial"/>
          <w:bCs/>
          <w:lang w:eastAsia="en-AU"/>
        </w:rPr>
        <w:t xml:space="preserve"> </w:t>
      </w:r>
      <w:r w:rsidR="00574D6B">
        <w:rPr>
          <w:rFonts w:ascii="Calibri" w:eastAsia="Times New Roman" w:hAnsi="Calibri" w:cs="Arial"/>
          <w:bCs/>
          <w:lang w:eastAsia="en-AU"/>
        </w:rPr>
        <w:t xml:space="preserve">list </w:t>
      </w:r>
      <w:r w:rsidR="00C61A49">
        <w:rPr>
          <w:rFonts w:ascii="Calibri" w:eastAsia="Times New Roman" w:hAnsi="Calibri" w:cs="Arial"/>
          <w:bCs/>
          <w:lang w:eastAsia="en-AU"/>
        </w:rPr>
        <w:t xml:space="preserve">commenced on 23 September 2023 and </w:t>
      </w:r>
      <w:r w:rsidRPr="00921D71">
        <w:rPr>
          <w:rFonts w:ascii="Calibri" w:eastAsia="Times New Roman" w:hAnsi="Calibri" w:cs="Arial"/>
          <w:bCs/>
          <w:lang w:eastAsia="en-AU"/>
        </w:rPr>
        <w:t>gives effect to regulation 2.05, and lists services approved by the Attorney-General.</w:t>
      </w:r>
      <w:r w:rsidR="00C15E6A">
        <w:rPr>
          <w:rFonts w:ascii="Calibri" w:eastAsia="Times New Roman" w:hAnsi="Calibri" w:cs="Arial"/>
          <w:bCs/>
          <w:lang w:eastAsia="en-AU"/>
        </w:rPr>
        <w:t xml:space="preserve"> This includes all CLCs, A</w:t>
      </w:r>
      <w:r w:rsidR="007D22BB">
        <w:rPr>
          <w:rFonts w:ascii="Calibri" w:eastAsia="Times New Roman" w:hAnsi="Calibri" w:cs="Arial"/>
          <w:bCs/>
          <w:lang w:eastAsia="en-AU"/>
        </w:rPr>
        <w:t>TSILs</w:t>
      </w:r>
      <w:r w:rsidR="00C15E6A">
        <w:rPr>
          <w:rFonts w:ascii="Calibri" w:eastAsia="Times New Roman" w:hAnsi="Calibri" w:cs="Arial"/>
          <w:bCs/>
          <w:lang w:eastAsia="en-AU"/>
        </w:rPr>
        <w:t>, and F</w:t>
      </w:r>
      <w:r w:rsidR="007D22BB">
        <w:rPr>
          <w:rFonts w:ascii="Calibri" w:eastAsia="Times New Roman" w:hAnsi="Calibri" w:cs="Arial"/>
          <w:bCs/>
          <w:lang w:eastAsia="en-AU"/>
        </w:rPr>
        <w:t>VPS</w:t>
      </w:r>
      <w:r w:rsidR="00AD14C8">
        <w:rPr>
          <w:rFonts w:ascii="Calibri" w:eastAsia="Times New Roman" w:hAnsi="Calibri" w:cs="Arial"/>
          <w:bCs/>
          <w:lang w:eastAsia="en-AU"/>
        </w:rPr>
        <w:t>s</w:t>
      </w:r>
      <w:r w:rsidRPr="00921D71">
        <w:rPr>
          <w:rFonts w:ascii="Calibri" w:eastAsia="Times New Roman" w:hAnsi="Calibri" w:cs="Arial"/>
          <w:bCs/>
          <w:lang w:eastAsia="en-AU"/>
        </w:rPr>
        <w:t>.</w:t>
      </w:r>
      <w:r w:rsidR="0034524F">
        <w:rPr>
          <w:rFonts w:ascii="Calibri" w:eastAsia="Times New Roman" w:hAnsi="Calibri" w:cs="Arial"/>
          <w:bCs/>
          <w:lang w:eastAsia="en-AU"/>
        </w:rPr>
        <w:t xml:space="preserve"> </w:t>
      </w:r>
      <w:r w:rsidR="00055299">
        <w:rPr>
          <w:rFonts w:ascii="Calibri" w:eastAsia="Times New Roman" w:hAnsi="Calibri" w:cs="Arial"/>
          <w:bCs/>
          <w:lang w:eastAsia="en-AU"/>
        </w:rPr>
        <w:t>The list allows p</w:t>
      </w:r>
      <w:r w:rsidR="0034524F" w:rsidRPr="0034524F">
        <w:rPr>
          <w:rFonts w:ascii="Calibri" w:eastAsia="Times New Roman" w:hAnsi="Calibri" w:cs="Arial"/>
          <w:bCs/>
          <w:lang w:eastAsia="en-AU"/>
        </w:rPr>
        <w:t>eople who receive legal assistance from the providers listed within it to be exempt from court fees (e.g.</w:t>
      </w:r>
      <w:r w:rsidR="00055299">
        <w:rPr>
          <w:rFonts w:ascii="Calibri" w:eastAsia="Times New Roman" w:hAnsi="Calibri" w:cs="Arial"/>
          <w:bCs/>
          <w:lang w:eastAsia="en-AU"/>
        </w:rPr>
        <w:t>,</w:t>
      </w:r>
      <w:r w:rsidR="0034524F" w:rsidRPr="0034524F">
        <w:rPr>
          <w:rFonts w:ascii="Calibri" w:eastAsia="Times New Roman" w:hAnsi="Calibri" w:cs="Arial"/>
          <w:bCs/>
          <w:lang w:eastAsia="en-AU"/>
        </w:rPr>
        <w:t xml:space="preserve"> document filing or service provision fees). </w:t>
      </w:r>
      <w:r w:rsidR="00AD14C8">
        <w:rPr>
          <w:rFonts w:ascii="Calibri" w:eastAsia="Times New Roman" w:hAnsi="Calibri" w:cs="Arial"/>
          <w:bCs/>
          <w:lang w:eastAsia="en-AU"/>
        </w:rPr>
        <w:t>It</w:t>
      </w:r>
      <w:r w:rsidR="0034524F" w:rsidRPr="0034524F">
        <w:rPr>
          <w:rFonts w:ascii="Calibri" w:eastAsia="Times New Roman" w:hAnsi="Calibri" w:cs="Arial"/>
          <w:bCs/>
          <w:lang w:eastAsia="en-AU"/>
        </w:rPr>
        <w:t xml:space="preserve"> applies to court fees payable in proceedings before the FCFCOA, the Federal Court and the High Court. </w:t>
      </w:r>
      <w:r w:rsidRPr="00921D71">
        <w:rPr>
          <w:rFonts w:ascii="Calibri" w:eastAsia="Times New Roman" w:hAnsi="Calibri" w:cs="Arial"/>
          <w:bCs/>
          <w:lang w:eastAsia="en-AU"/>
        </w:rPr>
        <w:t xml:space="preserve">A similar mechanism for identifying relevant migrant worker centres and industrial associations in relation to a new filing fee exemption for the small </w:t>
      </w:r>
      <w:proofErr w:type="gramStart"/>
      <w:r w:rsidRPr="00921D71">
        <w:rPr>
          <w:rFonts w:ascii="Calibri" w:eastAsia="Times New Roman" w:hAnsi="Calibri" w:cs="Arial"/>
          <w:bCs/>
          <w:lang w:eastAsia="en-AU"/>
        </w:rPr>
        <w:t>claims</w:t>
      </w:r>
      <w:proofErr w:type="gramEnd"/>
      <w:r w:rsidRPr="00921D71">
        <w:rPr>
          <w:rFonts w:ascii="Calibri" w:eastAsia="Times New Roman" w:hAnsi="Calibri" w:cs="Arial"/>
          <w:bCs/>
          <w:lang w:eastAsia="en-AU"/>
        </w:rPr>
        <w:t xml:space="preserve"> procedure may also need to be considered and established.</w:t>
      </w:r>
    </w:p>
    <w:p w14:paraId="777B836B" w14:textId="1B6CE71B" w:rsidR="00921D71" w:rsidRPr="00921D71" w:rsidRDefault="00921D71" w:rsidP="00210D1A">
      <w:pPr>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Additionally, the Government could consider whether filing fees be removed entirely for claims up to $5,000. While expanding the filing fee exemption for small claims proceedings (as outlined above) may help to address filing fees as a barrier to accessing the procedure more generally, removing filing fees for claims up to $5,000 could address the particularly acute barrier posed in the context of especially small claims. This barrier is reflected by stakeholder feedback, such as the Migrant Workers Centre’s estimation that the majority of claims they see are between $1,000 and $5,000, where the filing fee of $265 would represent 26.5% of the former and over </w:t>
      </w:r>
      <w:r w:rsidR="003C3E2E">
        <w:rPr>
          <w:rFonts w:ascii="Calibri" w:eastAsia="Times New Roman" w:hAnsi="Calibri" w:cs="Arial"/>
          <w:bCs/>
          <w:lang w:eastAsia="en-AU"/>
        </w:rPr>
        <w:t>5%</w:t>
      </w:r>
      <w:r w:rsidRPr="00921D71">
        <w:rPr>
          <w:rFonts w:ascii="Calibri" w:eastAsia="Times New Roman" w:hAnsi="Calibri" w:cs="Arial"/>
          <w:bCs/>
          <w:lang w:eastAsia="en-AU"/>
        </w:rPr>
        <w:t xml:space="preserve"> of the latter. Removing filing fees for claims under $5,000 may overcome the most basic barrier for those who most need to access the procedure: low-income workers seeking to recoup smaller amounts that nevertheless represent significant sums in the context of their earnings. This change would be consistent with the purpose of the small claims procedure in providing accessible redress for workers, while also bringing the procedure in the federal jurisdiction into greater alignment with state and territory jurisdictions such as South Australia (where there are no fees at all for small claims of any amount). The financial implications of such an exemption would need to be considered, as well as the appropriateness of treating small claims applicants differently to applicants in other jurisdictions of the FCFCOA who would still be required to pay filing fees subject to either the general or financial hardship exemption applying.</w:t>
      </w:r>
    </w:p>
    <w:p w14:paraId="5BAE488F" w14:textId="0213E1F6" w:rsidR="009F358D" w:rsidRDefault="00921D71" w:rsidP="00C16F33">
      <w:pPr>
        <w:spacing w:before="120" w:after="120" w:line="240" w:lineRule="auto"/>
        <w:textAlignment w:val="baseline"/>
        <w:rPr>
          <w:rFonts w:ascii="Calibri" w:eastAsia="Times New Roman" w:hAnsi="Calibri" w:cs="Arial"/>
          <w:b/>
          <w:bCs/>
          <w:lang w:eastAsia="en-AU"/>
        </w:rPr>
      </w:pPr>
      <w:r w:rsidRPr="00921D71">
        <w:rPr>
          <w:rFonts w:ascii="Calibri" w:eastAsia="Times New Roman" w:hAnsi="Calibri" w:cs="Arial"/>
          <w:lang w:eastAsia="en-AU"/>
        </w:rPr>
        <w:t xml:space="preserve">The FCFCOA website sets out all general federal law fees clearly on its website. However, although fee exemptions are noted, this information is only provided via a small note at the bottom of the page and is easily overlooked. Detailed information about exemptions is provided through a link to </w:t>
      </w:r>
      <w:r w:rsidR="008B39C4">
        <w:rPr>
          <w:rFonts w:ascii="Calibri" w:eastAsia="Times New Roman" w:hAnsi="Calibri" w:cs="Arial"/>
          <w:lang w:eastAsia="en-AU"/>
        </w:rPr>
        <w:t>t</w:t>
      </w:r>
      <w:r w:rsidRPr="00921D71">
        <w:rPr>
          <w:rFonts w:ascii="Calibri" w:eastAsia="Times New Roman" w:hAnsi="Calibri" w:cs="Arial"/>
          <w:lang w:eastAsia="en-AU"/>
        </w:rPr>
        <w:t xml:space="preserve">he Federal Court website. Information about fee exemptions could be more readily available to applicants in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jurisdiction, especially self-represented applicants.</w:t>
      </w:r>
      <w:r w:rsidR="009F358D" w:rsidRPr="009F358D">
        <w:rPr>
          <w:rFonts w:ascii="Calibri" w:eastAsia="Times New Roman" w:hAnsi="Calibri" w:cs="Arial"/>
          <w:b/>
          <w:bCs/>
          <w:lang w:eastAsia="en-AU"/>
        </w:rPr>
        <w:t xml:space="preserve"> </w:t>
      </w:r>
    </w:p>
    <w:p w14:paraId="3EAEFF34" w14:textId="0E11CB3B" w:rsidR="009F358D" w:rsidRPr="00921D71" w:rsidRDefault="009F358D" w:rsidP="001E48CA">
      <w:pPr>
        <w:pStyle w:val="Heading4"/>
        <w:rPr>
          <w:rFonts w:eastAsia="Times New Roman"/>
          <w:lang w:eastAsia="en-AU"/>
        </w:rPr>
      </w:pPr>
      <w:r w:rsidRPr="00921D71">
        <w:rPr>
          <w:rFonts w:eastAsia="Times New Roman"/>
          <w:lang w:eastAsia="en-AU"/>
        </w:rPr>
        <w:lastRenderedPageBreak/>
        <w:t>Recommendation 1</w:t>
      </w:r>
    </w:p>
    <w:p w14:paraId="5A814A6D" w14:textId="77777777" w:rsidR="009F358D" w:rsidRPr="00921D71" w:rsidRDefault="009F358D" w:rsidP="009F358D">
      <w:pPr>
        <w:keepNext/>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The Government should consider whether the </w:t>
      </w:r>
      <w:r w:rsidRPr="00921D71">
        <w:rPr>
          <w:rFonts w:ascii="Calibri" w:eastAsia="Times New Roman" w:hAnsi="Calibri" w:cs="Arial"/>
          <w:i/>
          <w:lang w:eastAsia="en-AU"/>
        </w:rPr>
        <w:t>Federal Court and Federal Circuit and Family Court Regulations 2022</w:t>
      </w:r>
      <w:r w:rsidRPr="00921D71">
        <w:rPr>
          <w:rFonts w:ascii="Calibri" w:eastAsia="Times New Roman" w:hAnsi="Calibri" w:cs="Arial"/>
          <w:lang w:eastAsia="en-AU"/>
        </w:rPr>
        <w:t xml:space="preserve"> should be amended to provide that, in small claims proceedings, an applicant is exempt from paying a filing fee if the applicant:</w:t>
      </w:r>
    </w:p>
    <w:p w14:paraId="2D111DF4" w14:textId="77777777" w:rsidR="009F358D" w:rsidRPr="00921D71" w:rsidRDefault="009F358D" w:rsidP="009F358D">
      <w:pPr>
        <w:keepNext/>
        <w:numPr>
          <w:ilvl w:val="1"/>
          <w:numId w:val="43"/>
        </w:num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is receiving, or has recently received, assistance from a migrant worker centre, industrial association, or the Fair Work Ombudsman, or</w:t>
      </w:r>
    </w:p>
    <w:p w14:paraId="04B6D1C4" w14:textId="77777777" w:rsidR="009F358D" w:rsidRPr="00921D71" w:rsidRDefault="009F358D" w:rsidP="009F358D">
      <w:pPr>
        <w:keepNext/>
        <w:numPr>
          <w:ilvl w:val="1"/>
          <w:numId w:val="43"/>
        </w:numPr>
        <w:spacing w:before="120" w:after="120" w:line="240" w:lineRule="auto"/>
        <w:ind w:left="1434" w:hanging="357"/>
        <w:textAlignment w:val="baseline"/>
        <w:rPr>
          <w:rFonts w:ascii="Calibri" w:eastAsia="Times New Roman" w:hAnsi="Calibri" w:cs="Arial"/>
          <w:lang w:eastAsia="en-AU"/>
        </w:rPr>
      </w:pPr>
      <w:r w:rsidRPr="00921D71">
        <w:rPr>
          <w:rFonts w:ascii="Calibri" w:eastAsia="Times New Roman" w:hAnsi="Calibri" w:cs="Arial"/>
          <w:lang w:eastAsia="en-AU"/>
        </w:rPr>
        <w:t>is claiming no more than $5,000.</w:t>
      </w:r>
    </w:p>
    <w:p w14:paraId="749A018D" w14:textId="77777777" w:rsidR="009F358D" w:rsidRPr="00921D71" w:rsidRDefault="009F358D" w:rsidP="001E48CA">
      <w:pPr>
        <w:pStyle w:val="Heading4"/>
        <w:rPr>
          <w:rFonts w:eastAsia="Times New Roman"/>
          <w:lang w:eastAsia="en-AU"/>
        </w:rPr>
      </w:pPr>
      <w:r w:rsidRPr="00921D71">
        <w:rPr>
          <w:rFonts w:eastAsia="Times New Roman"/>
          <w:lang w:eastAsia="en-AU"/>
        </w:rPr>
        <w:t>Recommendation 2</w:t>
      </w:r>
    </w:p>
    <w:p w14:paraId="586D98BB" w14:textId="533A64A6" w:rsidR="00921D71" w:rsidRPr="00921D71" w:rsidRDefault="009F358D" w:rsidP="009F358D">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The Federal Circuit and Family Court of Australia should consider ways to more clearly communicate the availability of fee waivers on its website, and in all relevant educational resources and materials.</w:t>
      </w:r>
    </w:p>
    <w:p w14:paraId="75272D1B" w14:textId="19E860BB" w:rsidR="00921D71" w:rsidRPr="00921D71" w:rsidRDefault="00921D71" w:rsidP="0097343F">
      <w:pPr>
        <w:pStyle w:val="Heading3"/>
        <w:rPr>
          <w:rFonts w:eastAsia="Times New Roman"/>
          <w:lang w:eastAsia="en-AU"/>
        </w:rPr>
      </w:pPr>
      <w:bookmarkStart w:id="20" w:name="_Toc183777410"/>
      <w:r w:rsidRPr="00921D71">
        <w:rPr>
          <w:rFonts w:eastAsia="Times New Roman"/>
          <w:lang w:eastAsia="en-AU"/>
        </w:rPr>
        <w:t>Finding 2: Increased deterrents for employers are needed</w:t>
      </w:r>
      <w:bookmarkEnd w:id="20"/>
    </w:p>
    <w:p w14:paraId="7AFA6528" w14:textId="77777777" w:rsidR="00921D71" w:rsidRPr="00921D71" w:rsidRDefault="00921D71" w:rsidP="005A43B4">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The risk and burden of small claims proceedings is predominantly borne by vulnerable applicants, and there may be little incentive for employers to quickly and fairly resolve the dispute. Legal costs for a full day hearing for a small claims matter in the FCFCOA may amount to more than, or a substantial portion of, the </w:t>
      </w:r>
      <w:proofErr w:type="gramStart"/>
      <w:r w:rsidRPr="00921D71">
        <w:rPr>
          <w:rFonts w:ascii="Calibri" w:eastAsia="Times New Roman" w:hAnsi="Calibri" w:cs="Arial"/>
          <w:lang w:eastAsia="en-AU"/>
        </w:rPr>
        <w:t>amount</w:t>
      </w:r>
      <w:proofErr w:type="gramEnd"/>
      <w:r w:rsidRPr="00921D71">
        <w:rPr>
          <w:rFonts w:ascii="Calibri" w:eastAsia="Times New Roman" w:hAnsi="Calibri" w:cs="Arial"/>
          <w:lang w:eastAsia="en-AU"/>
        </w:rPr>
        <w:t xml:space="preserve"> of unpaid wages. The inability to recover these costs serves as a barrier to accessing representation. As outlined by stakeholders, many vulnerable workers require legal representation or assistance to access and navigate small claims matters. </w:t>
      </w:r>
    </w:p>
    <w:p w14:paraId="7307B593" w14:textId="77777777"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While some stakeholders suggested that penalties should be available in small claims matters to serve as a deterrent to employers, this may have the unintended effect of adding additional complexity and delay to proceedings. In small claims proceedings, the court is not bound by rules of evidence or procedure and parties are generally self</w:t>
      </w:r>
      <w:r w:rsidRPr="00921D71">
        <w:rPr>
          <w:rFonts w:ascii="Calibri" w:eastAsia="Times New Roman" w:hAnsi="Calibri" w:cs="Arial"/>
          <w:lang w:eastAsia="en-AU"/>
        </w:rPr>
        <w:noBreakHyphen/>
        <w:t>represented. These features of the procedure are designed to enable courts to balance procedural fairness with the need to resolve claims more swiftly than is possible through traditional civil litigation. As such, the policy position reflected in the Fair Work Act is that the informal nature of the small claims procedure precludes the availability of pecuniary penalties. If penalties were to be made available, a corresponding change in procedural requirements may introduce additional complexity and delay into the procedure.</w:t>
      </w:r>
    </w:p>
    <w:p w14:paraId="09CDC6F6" w14:textId="77777777" w:rsidR="00921D71" w:rsidRP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Stakeholders have also suggested that the court should be given the power to make orders that the employer conduct a payroll audit. On the face of it, there could be some merit to this suggestion in terms of enhancing the identification and rectification of underpayment matters. However, it is important to bear in mind where one employee has been found to have been underpaid, it does not necessarily mean </w:t>
      </w:r>
      <w:r w:rsidRPr="00921D71">
        <w:rPr>
          <w:rFonts w:ascii="Calibri" w:eastAsia="Times New Roman" w:hAnsi="Calibri" w:cs="Arial"/>
          <w:i/>
          <w:iCs/>
          <w:lang w:eastAsia="en-AU"/>
        </w:rPr>
        <w:t>all</w:t>
      </w:r>
      <w:r w:rsidRPr="00921D71">
        <w:rPr>
          <w:rFonts w:ascii="Calibri" w:eastAsia="Times New Roman" w:hAnsi="Calibri" w:cs="Arial"/>
          <w:lang w:eastAsia="en-AU"/>
        </w:rPr>
        <w:t xml:space="preserve"> employees are also being underpaid. Benefit of doubt should be applied, and a finding in one set of small claims proceedings does not stop other employees who believe that they have been underpaid from also coming forward. Further work would desirably occur to better work through these issues prior to a concrete position being adopted. </w:t>
      </w:r>
    </w:p>
    <w:p w14:paraId="365676E7" w14:textId="30DEF7DF" w:rsidR="00921D71" w:rsidRPr="00921D71" w:rsidRDefault="00921D71" w:rsidP="00921D71">
      <w:pPr>
        <w:spacing w:before="120" w:after="120" w:line="240" w:lineRule="auto"/>
        <w:textAlignment w:val="baseline"/>
        <w:rPr>
          <w:rFonts w:ascii="Calibri" w:eastAsia="Yu Mincho" w:hAnsi="Calibri" w:cs="Calibri"/>
        </w:rPr>
      </w:pPr>
      <w:r w:rsidRPr="00921D71">
        <w:rPr>
          <w:rFonts w:ascii="Calibri" w:eastAsia="Times New Roman" w:hAnsi="Calibri" w:cs="Arial"/>
          <w:lang w:eastAsia="en-AU"/>
        </w:rPr>
        <w:t xml:space="preserve">The ability to recover legal costs from employers would serve as a powerful incentive for early resolution, including through mediation. </w:t>
      </w:r>
      <w:r w:rsidRPr="00921D71">
        <w:rPr>
          <w:rFonts w:ascii="Calibri" w:eastAsia="Yu Mincho" w:hAnsi="Calibri" w:cs="Calibri"/>
        </w:rPr>
        <w:t>The ability to award costs may also incentivise private firms to assist workers in their small claims applications and enable CLCs to represent more workers because they would be able to recoup costs through conditional costs agreements.</w:t>
      </w:r>
    </w:p>
    <w:p w14:paraId="2E1C43DA" w14:textId="77777777" w:rsidR="00921D71" w:rsidRDefault="00921D71" w:rsidP="00921D71">
      <w:pPr>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To ensure that the question of legal costs does not in itself become a barrier to workers accessing the procedure, a costs order should generally only be available to successful applicants. There should be an exception where an applicant is found to have issued or conducted proceedings vexatiously or unreasonably.</w:t>
      </w:r>
    </w:p>
    <w:p w14:paraId="090764AE" w14:textId="77777777" w:rsidR="00A402CF" w:rsidRPr="00921D71" w:rsidRDefault="00A402CF" w:rsidP="00A402CF">
      <w:pPr>
        <w:pStyle w:val="Heading4"/>
      </w:pPr>
      <w:r w:rsidRPr="00921D71">
        <w:t>Recommendation 3</w:t>
      </w:r>
    </w:p>
    <w:p w14:paraId="7BAE185C" w14:textId="77777777" w:rsidR="00A402CF" w:rsidRPr="00921D71" w:rsidRDefault="00A402CF" w:rsidP="00A402CF">
      <w:pPr>
        <w:spacing w:before="120" w:after="120" w:line="240" w:lineRule="auto"/>
        <w:contextualSpacing/>
        <w:textAlignment w:val="baseline"/>
        <w:rPr>
          <w:rFonts w:ascii="Calibri" w:hAnsi="Calibri" w:cs="Calibri"/>
        </w:rPr>
      </w:pPr>
      <w:r w:rsidRPr="00921D71">
        <w:rPr>
          <w:rFonts w:ascii="Calibri" w:hAnsi="Calibri" w:cs="Calibri"/>
        </w:rPr>
        <w:t xml:space="preserve">The </w:t>
      </w:r>
      <w:r w:rsidRPr="00921D71">
        <w:rPr>
          <w:rFonts w:ascii="Calibri" w:hAnsi="Calibri" w:cs="Calibri"/>
          <w:i/>
          <w:iCs/>
        </w:rPr>
        <w:t>Fair Work Act 2009</w:t>
      </w:r>
      <w:r w:rsidRPr="00921D71">
        <w:rPr>
          <w:rFonts w:ascii="Calibri" w:hAnsi="Calibri" w:cs="Calibri"/>
        </w:rPr>
        <w:t xml:space="preserve"> should be amended to provide that:</w:t>
      </w:r>
    </w:p>
    <w:p w14:paraId="60E9879E" w14:textId="77777777" w:rsidR="00A402CF" w:rsidRPr="00921D71" w:rsidRDefault="00A402CF" w:rsidP="00A402CF">
      <w:pPr>
        <w:numPr>
          <w:ilvl w:val="1"/>
          <w:numId w:val="44"/>
        </w:numPr>
        <w:spacing w:before="120" w:after="120" w:line="240" w:lineRule="auto"/>
        <w:ind w:left="1434" w:hanging="357"/>
        <w:contextualSpacing/>
        <w:textAlignment w:val="baseline"/>
        <w:rPr>
          <w:rFonts w:ascii="Calibri" w:hAnsi="Calibri" w:cs="Calibri"/>
        </w:rPr>
      </w:pPr>
      <w:r w:rsidRPr="00921D71">
        <w:rPr>
          <w:rFonts w:ascii="Calibri" w:hAnsi="Calibri" w:cs="Calibri"/>
        </w:rPr>
        <w:lastRenderedPageBreak/>
        <w:t>if a worker is successful in a small claims proceeding, the court may make an order that the employer pay their legal costs, and</w:t>
      </w:r>
    </w:p>
    <w:p w14:paraId="7A049E86" w14:textId="77777777" w:rsidR="00A402CF" w:rsidRPr="00921D71" w:rsidRDefault="00A402CF" w:rsidP="00A402CF">
      <w:pPr>
        <w:numPr>
          <w:ilvl w:val="1"/>
          <w:numId w:val="44"/>
        </w:numPr>
        <w:spacing w:before="120" w:after="120" w:line="240" w:lineRule="auto"/>
        <w:ind w:left="1434" w:hanging="357"/>
        <w:contextualSpacing/>
        <w:textAlignment w:val="baseline"/>
        <w:rPr>
          <w:rFonts w:ascii="Calibri" w:hAnsi="Calibri" w:cs="Calibri"/>
        </w:rPr>
      </w:pPr>
      <w:r w:rsidRPr="00921D71">
        <w:rPr>
          <w:rFonts w:ascii="Calibri" w:hAnsi="Calibri" w:cs="Calibri"/>
        </w:rPr>
        <w:t>if a worker is unsuccessful, both parties bear their own costs.</w:t>
      </w:r>
    </w:p>
    <w:p w14:paraId="35774E46" w14:textId="7CE6B15B" w:rsidR="00A402CF" w:rsidRDefault="00A402CF" w:rsidP="00A402CF">
      <w:pPr>
        <w:spacing w:before="120" w:after="120" w:line="240" w:lineRule="auto"/>
        <w:textAlignment w:val="baseline"/>
        <w:rPr>
          <w:rFonts w:ascii="Calibri" w:eastAsia="Times New Roman" w:hAnsi="Calibri" w:cs="Arial"/>
          <w:lang w:eastAsia="en-AU"/>
        </w:rPr>
      </w:pPr>
      <w:r w:rsidRPr="00921D71">
        <w:rPr>
          <w:rFonts w:ascii="Calibri" w:hAnsi="Calibri" w:cs="Calibri"/>
        </w:rPr>
        <w:t>Appropriate safeguards should be included, such as an exception where an applicant issues or conducts proceedings vexatiously or unreasonably.</w:t>
      </w:r>
    </w:p>
    <w:p w14:paraId="4017A3B3" w14:textId="7CE6B15B" w:rsidR="00921D71" w:rsidRPr="00921D71" w:rsidRDefault="00921D71" w:rsidP="00A402CF">
      <w:pPr>
        <w:pStyle w:val="Heading3"/>
        <w:rPr>
          <w:rFonts w:eastAsia="Times New Roman"/>
          <w:lang w:eastAsia="en-AU"/>
        </w:rPr>
      </w:pPr>
      <w:bookmarkStart w:id="21" w:name="_Toc183777411"/>
      <w:r w:rsidRPr="00921D71">
        <w:rPr>
          <w:rFonts w:eastAsia="Times New Roman"/>
          <w:lang w:eastAsia="en-AU"/>
        </w:rPr>
        <w:t>Finding 3: Further simplification to court procedure is needed</w:t>
      </w:r>
      <w:bookmarkEnd w:id="21"/>
    </w:p>
    <w:p w14:paraId="65EFD9D3" w14:textId="77777777" w:rsidR="00921D71" w:rsidRPr="00921D71" w:rsidRDefault="00921D71" w:rsidP="006F0DAF">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Further simplifications to the court-based procedure could be considered, noting that changes to the procedure are still being implemented by the FCFCOA. </w:t>
      </w:r>
      <w:proofErr w:type="gramStart"/>
      <w:r w:rsidRPr="00921D71">
        <w:rPr>
          <w:rFonts w:ascii="Calibri" w:eastAsia="Times New Roman" w:hAnsi="Calibri" w:cs="Arial"/>
          <w:lang w:eastAsia="en-AU"/>
        </w:rPr>
        <w:t>In particular, feedback</w:t>
      </w:r>
      <w:proofErr w:type="gramEnd"/>
      <w:r w:rsidRPr="00921D71">
        <w:rPr>
          <w:rFonts w:ascii="Calibri" w:eastAsia="Times New Roman" w:hAnsi="Calibri" w:cs="Arial"/>
          <w:lang w:eastAsia="en-AU"/>
        </w:rPr>
        <w:t xml:space="preserve"> from stakeholders indicates that the application form and service requirements could be simplified. While significant improvements have been made within the FCFCOA’s handling of small claims matters in recent years, stakeholder feedback reflects that there may be more that can be done to increase accessibility and assist applicants.</w:t>
      </w:r>
    </w:p>
    <w:p w14:paraId="3D845EA7" w14:textId="77777777" w:rsidR="00921D71" w:rsidRPr="00921D71" w:rsidRDefault="00921D71" w:rsidP="003457E6">
      <w:pPr>
        <w:keepNext/>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To apply for small claims an ‘Application – Fair Work Division’ and a ‘Form 5: Small claim under the Fair Work Act 2009’ must be completed and filed, along with supporting documents. If the application relates to the conversion of casual employment, a ‘Form 5A: Small claim under the Fair Work Act 2009’ casual conversion dispute is used instead of Form 5. Combining these forms may remove duplication and result in less complexity for self-represented applicants. However, the potential impact of this change on other areas of the FCFCOA’s fair work jurisdiction has not been considered.</w:t>
      </w:r>
    </w:p>
    <w:p w14:paraId="1A2FEED5" w14:textId="77777777" w:rsidR="00921D71" w:rsidRPr="00921D71" w:rsidRDefault="00921D71" w:rsidP="00921D71">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Although the FCFCOA website provides information about how to apply for a small claim, this information may be difficult to navigate, especially for vulnerable self-represented applicants such as migrant workers. It may assist applicants to have all relevant information available on the face of the application form(s). This could be done, for example, through the development and provision of a ‘do it yourself kit,’ in the same way the FCFCOA does for family law matters. If the FCFCOA ultimately decided not to amalgamate the application forms for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the creation of a clear and simple ‘do it yourself kit’ may also help to overcome any complexity in the two application forms, if packaged together. Considering the FWO’s role in providing guidance for workers, the FCFCOA may consider consulting with the FWO in the creation of a ‘do it yourself kit,’ including to avoid duplication of efforts across these two bodies.</w:t>
      </w:r>
    </w:p>
    <w:p w14:paraId="3BEA23C4" w14:textId="77777777" w:rsidR="00921D71" w:rsidRPr="00921D71" w:rsidRDefault="00921D71" w:rsidP="00921D71">
      <w:pPr>
        <w:keepNext/>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The </w:t>
      </w:r>
      <w:r w:rsidRPr="00921D71">
        <w:rPr>
          <w:rFonts w:ascii="Calibri" w:eastAsia="Times New Roman" w:hAnsi="Calibri" w:cs="Arial"/>
          <w:bCs/>
          <w:i/>
          <w:lang w:eastAsia="en-AU"/>
        </w:rPr>
        <w:t>Federal Circuit and Family Court of Australia (Division 2) (General Federal Law) Rules 2021</w:t>
      </w:r>
      <w:r w:rsidRPr="00921D71">
        <w:rPr>
          <w:rFonts w:ascii="Calibri" w:eastAsia="Times New Roman" w:hAnsi="Calibri" w:cs="Arial"/>
          <w:bCs/>
          <w:lang w:eastAsia="en-AU"/>
        </w:rPr>
        <w:t xml:space="preserve"> provide that, where an employer is a sole trader, the application must be served in person. Where an employer is a corporation, the documents may also be delivered by express or registered post. If an applicant cannot serve the documents in this way, they must apply for substituted service. This requires filing an additional application and affidavit, adding another layer of complexity. The formal and complex legal requirements around service may present a significant barrier to vulnerable </w:t>
      </w:r>
      <w:proofErr w:type="gramStart"/>
      <w:r w:rsidRPr="00921D71">
        <w:rPr>
          <w:rFonts w:ascii="Calibri" w:eastAsia="Times New Roman" w:hAnsi="Calibri" w:cs="Arial"/>
          <w:bCs/>
          <w:lang w:eastAsia="en-AU"/>
        </w:rPr>
        <w:t>workers in particular</w:t>
      </w:r>
      <w:proofErr w:type="gramEnd"/>
      <w:r w:rsidRPr="00921D71">
        <w:rPr>
          <w:rFonts w:ascii="Calibri" w:eastAsia="Times New Roman" w:hAnsi="Calibri" w:cs="Arial"/>
          <w:bCs/>
          <w:lang w:eastAsia="en-AU"/>
        </w:rPr>
        <w:t xml:space="preserve">. However, the FCFCOA must be sure that the respondent is aware of the application and has had an opportunity to respond. </w:t>
      </w:r>
    </w:p>
    <w:p w14:paraId="206AED7F" w14:textId="190A587B" w:rsidR="00921D71" w:rsidRDefault="00921D71" w:rsidP="00921D71">
      <w:pPr>
        <w:keepNext/>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In turn, this complexity may be best addressed through the provision of additional legal assistance funding (see recommendation 9). The main barrier of serving an application on an employer is the legal complexity of the process. Many workers are not aware of who their employer or corporation is and therefore have difficulty identifying the correct person to serve. Further complexities arise when the worker is employed by a corporation, unincorporated association or organisation. For the worker to correctly serve the documents they need the address of the company’s registered office or details of the director. This generally requires an ASIC company search, which has a fee. Case </w:t>
      </w:r>
      <w:r w:rsidRPr="00921D71">
        <w:rPr>
          <w:rFonts w:ascii="Calibri" w:eastAsia="Times New Roman" w:hAnsi="Calibri" w:cs="Arial"/>
          <w:bCs/>
          <w:lang w:eastAsia="en-AU"/>
        </w:rPr>
        <w:lastRenderedPageBreak/>
        <w:t xml:space="preserve">studies provided by stakeholders demonstrate that workers who have received legal assistance have been able to effectively file and serve details of the claim to the respondent.  </w:t>
      </w:r>
    </w:p>
    <w:p w14:paraId="65A285CE" w14:textId="77777777" w:rsidR="00A402CF" w:rsidRPr="00921D71" w:rsidRDefault="00A402CF" w:rsidP="00A402CF">
      <w:pPr>
        <w:pStyle w:val="Heading4"/>
        <w:rPr>
          <w:rFonts w:eastAsia="Times New Roman"/>
          <w:lang w:eastAsia="en-AU"/>
        </w:rPr>
      </w:pPr>
      <w:r w:rsidRPr="00921D71">
        <w:rPr>
          <w:rFonts w:eastAsia="Times New Roman"/>
          <w:lang w:eastAsia="en-AU"/>
        </w:rPr>
        <w:t>Recommendation 4</w:t>
      </w:r>
    </w:p>
    <w:p w14:paraId="26F42B9F" w14:textId="77777777" w:rsidR="00A402CF" w:rsidRPr="00921D71" w:rsidRDefault="00A402CF" w:rsidP="00A402CF">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The Federal Circuit and Family Court of Australia should consider whether the ‘Application – Fair Work Division’ and ‘Form 5: Small claim under the </w:t>
      </w:r>
      <w:r w:rsidRPr="00921D71">
        <w:rPr>
          <w:rFonts w:ascii="Calibri" w:eastAsia="Times New Roman" w:hAnsi="Calibri" w:cs="Arial"/>
          <w:i/>
          <w:iCs/>
          <w:lang w:eastAsia="en-AU"/>
        </w:rPr>
        <w:t>Fair Work Act 2009</w:t>
      </w:r>
      <w:r w:rsidRPr="00921D71">
        <w:rPr>
          <w:rFonts w:ascii="Calibri" w:eastAsia="Times New Roman" w:hAnsi="Calibri" w:cs="Arial"/>
          <w:lang w:eastAsia="en-AU"/>
        </w:rPr>
        <w:t>’ forms should be amalgamated and, in the process, consider any further simplifications that could be made.</w:t>
      </w:r>
    </w:p>
    <w:p w14:paraId="003A3FF1" w14:textId="77777777" w:rsidR="00A402CF" w:rsidRPr="00921D71" w:rsidRDefault="00A402CF" w:rsidP="00A402CF">
      <w:pPr>
        <w:pStyle w:val="Heading4"/>
        <w:rPr>
          <w:rFonts w:eastAsia="Times New Roman"/>
          <w:lang w:eastAsia="en-AU"/>
        </w:rPr>
      </w:pPr>
      <w:r w:rsidRPr="00921D71">
        <w:rPr>
          <w:rFonts w:eastAsia="Times New Roman"/>
          <w:lang w:eastAsia="en-AU"/>
        </w:rPr>
        <w:t>Recommendation 5</w:t>
      </w:r>
    </w:p>
    <w:p w14:paraId="1629F93F" w14:textId="55B3B779" w:rsidR="00A402CF" w:rsidRPr="00921D71" w:rsidRDefault="00A402CF" w:rsidP="00A402CF">
      <w:pPr>
        <w:keepNext/>
        <w:spacing w:before="120" w:after="120" w:line="240" w:lineRule="auto"/>
        <w:textAlignment w:val="baseline"/>
        <w:rPr>
          <w:rFonts w:ascii="Calibri" w:eastAsia="Times New Roman" w:hAnsi="Calibri" w:cs="Arial"/>
          <w:bCs/>
          <w:lang w:eastAsia="en-AU"/>
        </w:rPr>
      </w:pPr>
      <w:r w:rsidRPr="00921D71">
        <w:rPr>
          <w:rFonts w:ascii="Calibri" w:eastAsia="Times New Roman" w:hAnsi="Calibri" w:cs="Arial"/>
          <w:bCs/>
          <w:lang w:eastAsia="en-AU"/>
        </w:rPr>
        <w:t xml:space="preserve">The </w:t>
      </w:r>
      <w:r w:rsidRPr="00921D71">
        <w:rPr>
          <w:rFonts w:ascii="Calibri" w:eastAsia="Times New Roman" w:hAnsi="Calibri" w:cs="Arial"/>
          <w:lang w:eastAsia="en-AU"/>
        </w:rPr>
        <w:t>Federal Circuit and Family Court of Australia</w:t>
      </w:r>
      <w:r w:rsidRPr="00921D71">
        <w:rPr>
          <w:rFonts w:ascii="Calibri" w:eastAsia="Times New Roman" w:hAnsi="Calibri" w:cs="Arial"/>
          <w:bCs/>
          <w:lang w:eastAsia="en-AU"/>
        </w:rPr>
        <w:t xml:space="preserve"> should consider developing a ‘do it yourself kit’ for small claim applications, </w:t>
      </w:r>
      <w:proofErr w:type="gramStart"/>
      <w:r w:rsidRPr="00921D71">
        <w:rPr>
          <w:rFonts w:ascii="Calibri" w:eastAsia="Times New Roman" w:hAnsi="Calibri" w:cs="Arial"/>
          <w:bCs/>
          <w:lang w:eastAsia="en-AU"/>
        </w:rPr>
        <w:t>similar to</w:t>
      </w:r>
      <w:proofErr w:type="gramEnd"/>
      <w:r w:rsidRPr="00921D71">
        <w:rPr>
          <w:rFonts w:ascii="Calibri" w:eastAsia="Times New Roman" w:hAnsi="Calibri" w:cs="Arial"/>
          <w:bCs/>
          <w:lang w:eastAsia="en-AU"/>
        </w:rPr>
        <w:t xml:space="preserve"> the one provided for family law proceedings.</w:t>
      </w:r>
    </w:p>
    <w:p w14:paraId="5A45C3F0" w14:textId="77777777" w:rsidR="00921D71" w:rsidRPr="00921D71" w:rsidRDefault="00921D71" w:rsidP="00A402CF">
      <w:pPr>
        <w:pStyle w:val="Heading3"/>
        <w:rPr>
          <w:rFonts w:eastAsia="Times New Roman"/>
          <w:lang w:eastAsia="en-AU"/>
        </w:rPr>
      </w:pPr>
      <w:bookmarkStart w:id="22" w:name="_Toc183777412"/>
      <w:r w:rsidRPr="00921D71">
        <w:rPr>
          <w:rFonts w:eastAsia="Times New Roman"/>
          <w:lang w:eastAsia="en-AU"/>
        </w:rPr>
        <w:t>Finding 4: Migrant workers require effective visa protections and additional safeguards to encourage bringing a small claim</w:t>
      </w:r>
      <w:bookmarkEnd w:id="22"/>
    </w:p>
    <w:p w14:paraId="417AB5D0" w14:textId="3C69F193" w:rsidR="00921D71" w:rsidRPr="00921D71" w:rsidRDefault="00921D71" w:rsidP="009A6219">
      <w:pPr>
        <w:spacing w:before="120" w:after="120" w:line="240" w:lineRule="auto"/>
        <w:contextualSpacing/>
        <w:textAlignment w:val="baseline"/>
        <w:rPr>
          <w:rFonts w:ascii="Calibri" w:eastAsia="Times New Roman" w:hAnsi="Calibri" w:cs="Arial"/>
          <w:lang w:eastAsia="en-AU"/>
        </w:rPr>
      </w:pPr>
      <w:r w:rsidRPr="00921D71">
        <w:rPr>
          <w:rFonts w:ascii="Calibri" w:eastAsia="Times New Roman" w:hAnsi="Calibri" w:cs="Arial"/>
          <w:lang w:eastAsia="en-AU"/>
        </w:rPr>
        <w:t xml:space="preserve">Fear of immigration consequences and the temporary nature of their stay in Australia have consistently been identified as obstacles for migrant workers to bring claims for unpaid wages. Migration matters represent the largest area of filing in general federal law in the FCFCOA (Division 2), meaning that </w:t>
      </w:r>
      <w:r w:rsidR="008001EE">
        <w:rPr>
          <w:rFonts w:ascii="Calibri" w:eastAsia="Times New Roman" w:hAnsi="Calibri" w:cs="Arial"/>
          <w:lang w:eastAsia="en-AU"/>
        </w:rPr>
        <w:t>j</w:t>
      </w:r>
      <w:r w:rsidRPr="00921D71">
        <w:rPr>
          <w:rFonts w:ascii="Calibri" w:eastAsia="Times New Roman" w:hAnsi="Calibri" w:cs="Arial"/>
          <w:lang w:eastAsia="en-AU"/>
        </w:rPr>
        <w:t xml:space="preserve">udges and </w:t>
      </w:r>
      <w:r w:rsidR="008001EE">
        <w:rPr>
          <w:rFonts w:ascii="Calibri" w:eastAsia="Times New Roman" w:hAnsi="Calibri" w:cs="Arial"/>
          <w:lang w:eastAsia="en-AU"/>
        </w:rPr>
        <w:t>r</w:t>
      </w:r>
      <w:r w:rsidRPr="00921D71">
        <w:rPr>
          <w:rFonts w:ascii="Calibri" w:eastAsia="Times New Roman" w:hAnsi="Calibri" w:cs="Arial"/>
          <w:lang w:eastAsia="en-AU"/>
        </w:rPr>
        <w:t>egistrars have relevant experience in both migration and employment matters. There is existing work underway on measures for:</w:t>
      </w:r>
    </w:p>
    <w:p w14:paraId="1B9DCE6C" w14:textId="77777777" w:rsidR="00921D71" w:rsidRPr="00921D71" w:rsidRDefault="00921D71" w:rsidP="00B63C83">
      <w:pPr>
        <w:numPr>
          <w:ilvl w:val="0"/>
          <w:numId w:val="33"/>
        </w:numPr>
        <w:spacing w:after="0" w:line="240" w:lineRule="auto"/>
        <w:ind w:left="714" w:hanging="357"/>
        <w:contextualSpacing/>
        <w:textAlignment w:val="baseline"/>
        <w:rPr>
          <w:rFonts w:ascii="Calibri" w:eastAsia="Times New Roman" w:hAnsi="Calibri" w:cs="Calibri"/>
          <w:lang w:eastAsia="en-AU"/>
        </w:rPr>
      </w:pPr>
      <w:r w:rsidRPr="00921D71">
        <w:rPr>
          <w:rFonts w:ascii="Calibri" w:eastAsia="Times New Roman" w:hAnsi="Calibri" w:cs="Calibri"/>
          <w:lang w:val="en-GB" w:eastAsia="en-AU"/>
        </w:rPr>
        <w:t>enhanced protections against visa cancellation for migrant workers who have been exploited by their employers, and</w:t>
      </w:r>
    </w:p>
    <w:p w14:paraId="1004C141" w14:textId="77777777" w:rsidR="00921D71" w:rsidRPr="00921D71" w:rsidRDefault="00921D71" w:rsidP="008D3920">
      <w:pPr>
        <w:numPr>
          <w:ilvl w:val="0"/>
          <w:numId w:val="33"/>
        </w:numPr>
        <w:spacing w:after="120" w:line="240" w:lineRule="auto"/>
        <w:ind w:left="714" w:hanging="357"/>
        <w:textAlignment w:val="baseline"/>
        <w:rPr>
          <w:rFonts w:ascii="Calibri" w:eastAsia="Times New Roman" w:hAnsi="Calibri" w:cs="Calibri"/>
          <w:lang w:eastAsia="en-AU"/>
        </w:rPr>
      </w:pPr>
      <w:r w:rsidRPr="00921D71">
        <w:rPr>
          <w:rFonts w:ascii="Calibri" w:eastAsia="Times New Roman" w:hAnsi="Calibri" w:cs="Calibri"/>
          <w:lang w:val="en-GB" w:eastAsia="en-AU"/>
        </w:rPr>
        <w:t xml:space="preserve">visa options that would enable migrant workers to remain in Australia for </w:t>
      </w:r>
      <w:proofErr w:type="gramStart"/>
      <w:r w:rsidRPr="00921D71">
        <w:rPr>
          <w:rFonts w:ascii="Calibri" w:eastAsia="Times New Roman" w:hAnsi="Calibri" w:cs="Calibri"/>
          <w:lang w:val="en-GB" w:eastAsia="en-AU"/>
        </w:rPr>
        <w:t>a period of time</w:t>
      </w:r>
      <w:proofErr w:type="gramEnd"/>
      <w:r w:rsidRPr="00921D71">
        <w:rPr>
          <w:rFonts w:ascii="Calibri" w:eastAsia="Times New Roman" w:hAnsi="Calibri" w:cs="Calibri"/>
          <w:lang w:val="en-GB" w:eastAsia="en-AU"/>
        </w:rPr>
        <w:t xml:space="preserve"> to pursue workplace justice (for example, by making claims for unpaid wages or entitlements, or to support an investigation).</w:t>
      </w:r>
    </w:p>
    <w:p w14:paraId="2176A10C" w14:textId="77777777" w:rsidR="00921D71" w:rsidRPr="00921D71" w:rsidRDefault="00921D71" w:rsidP="00B63C83">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Stakeholder submissions also show that enforcement remains a significant issue in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jurisdiction, and that migrant workers in particular are unable to pursue enforcement without assistance. This issue could be addressed through the provision of additional legal assistance funding (see recommendation 9 below). However, for migrant workers whose employer enters liquidation or bankruptcy following a small claim, the provision of legal assistance will not help. Extending the Fair Entitlements Guarantee (FEG) to temporary migrant workers, as recommended by the MWT Report, would provide an additional safety net that may encourage temporary migrant workers to initiate a small claim. The Government has committed to implementing this recommendation of the MWT Report.</w:t>
      </w:r>
    </w:p>
    <w:p w14:paraId="5F0D194E" w14:textId="405C33A7" w:rsidR="00921D71" w:rsidRPr="00921D71" w:rsidRDefault="00921D71" w:rsidP="00921D71">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Eligibility under FEG is limited to employees who are Australian citizens, permanent visa holders or special category visa holders (New Zealand citizens). As already highlighted in this Review, stakeholders have highlighted that temporary migrant workers do not qualify under the FEG and that the FEG should be extended to migrant workers. </w:t>
      </w:r>
    </w:p>
    <w:p w14:paraId="1490BE46" w14:textId="6FC97A29" w:rsidR="00921D71" w:rsidRDefault="00921D71" w:rsidP="00960789">
      <w:pPr>
        <w:widowControl w:val="0"/>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Extending the FEG to migrant workers would provide an avenue for temporary migrant workers to seek redress when the respondent enters liquidation or bankruptcy. Stakeholders have noted that in some cases temporary migrant workers go through the small claims procedure only to find that the respondent has entered liquidation or bankruptcy. The small claims procedure can be daunting for any worker, and time, effort and money would go into the undertaking, only to find out that they</w:t>
      </w:r>
      <w:r w:rsidR="008D3920">
        <w:rPr>
          <w:rFonts w:ascii="Calibri" w:eastAsia="Times New Roman" w:hAnsi="Calibri" w:cs="Arial"/>
          <w:lang w:eastAsia="en-AU"/>
        </w:rPr>
        <w:t xml:space="preserve"> </w:t>
      </w:r>
      <w:r w:rsidRPr="00921D71">
        <w:rPr>
          <w:rFonts w:ascii="Calibri" w:eastAsia="Times New Roman" w:hAnsi="Calibri" w:cs="Arial"/>
          <w:lang w:eastAsia="en-AU"/>
        </w:rPr>
        <w:t>would not be receiving their outstanding entitlements. This currently acts as a deterrent for vulnerable migrant workers in seeking to use the small claims procedure.</w:t>
      </w:r>
    </w:p>
    <w:p w14:paraId="03DBA3BE" w14:textId="77777777" w:rsidR="00C37350" w:rsidRPr="00921D71" w:rsidRDefault="00C37350" w:rsidP="00C37350">
      <w:pPr>
        <w:pStyle w:val="Heading4"/>
        <w:rPr>
          <w:rFonts w:eastAsia="Times New Roman"/>
          <w:lang w:val="en-GB" w:eastAsia="en-AU"/>
        </w:rPr>
      </w:pPr>
      <w:r w:rsidRPr="00921D71">
        <w:rPr>
          <w:rFonts w:eastAsia="Times New Roman"/>
          <w:lang w:val="en-GB" w:eastAsia="en-AU"/>
        </w:rPr>
        <w:lastRenderedPageBreak/>
        <w:t>Recommendation 6</w:t>
      </w:r>
    </w:p>
    <w:p w14:paraId="1C256CF1" w14:textId="77777777" w:rsidR="00C37350" w:rsidRPr="00921D71" w:rsidRDefault="00C37350" w:rsidP="00C37350">
      <w:pPr>
        <w:keepNext/>
        <w:spacing w:before="120" w:after="120" w:line="240" w:lineRule="auto"/>
        <w:textAlignment w:val="baseline"/>
        <w:rPr>
          <w:rFonts w:ascii="Calibri" w:eastAsia="Times New Roman" w:hAnsi="Calibri" w:cs="Calibri"/>
          <w:bCs/>
          <w:lang w:val="en-GB" w:eastAsia="en-AU"/>
        </w:rPr>
      </w:pPr>
      <w:r w:rsidRPr="00921D71">
        <w:rPr>
          <w:rFonts w:ascii="Calibri" w:eastAsia="Times New Roman" w:hAnsi="Calibri" w:cs="Calibri"/>
          <w:bCs/>
          <w:lang w:val="en-GB" w:eastAsia="en-AU"/>
        </w:rPr>
        <w:t>The Government should</w:t>
      </w:r>
      <w:r w:rsidRPr="00921D71">
        <w:rPr>
          <w:rFonts w:ascii="Calibri" w:eastAsia="Times New Roman" w:hAnsi="Calibri" w:cs="Calibri"/>
          <w:bCs/>
          <w:i/>
          <w:lang w:val="en-GB" w:eastAsia="en-AU"/>
        </w:rPr>
        <w:t xml:space="preserve"> </w:t>
      </w:r>
      <w:r w:rsidRPr="00921D71">
        <w:rPr>
          <w:rFonts w:ascii="Calibri" w:eastAsia="Times New Roman" w:hAnsi="Calibri" w:cs="Calibri"/>
          <w:bCs/>
          <w:lang w:val="en-GB" w:eastAsia="en-AU"/>
        </w:rPr>
        <w:t>continue to progress work on</w:t>
      </w:r>
      <w:r w:rsidRPr="00921D71">
        <w:rPr>
          <w:rFonts w:ascii="Calibri" w:eastAsia="Times New Roman" w:hAnsi="Calibri" w:cs="Calibri"/>
          <w:bCs/>
          <w:i/>
          <w:lang w:val="en-GB" w:eastAsia="en-AU"/>
        </w:rPr>
        <w:t xml:space="preserve"> </w:t>
      </w:r>
      <w:r w:rsidRPr="00921D71">
        <w:rPr>
          <w:rFonts w:ascii="Calibri" w:eastAsia="Times New Roman" w:hAnsi="Calibri" w:cs="Calibri"/>
          <w:bCs/>
          <w:lang w:val="en-GB" w:eastAsia="en-AU"/>
        </w:rPr>
        <w:t xml:space="preserve">enhanced safeguard measures that would enable migrant workers to pursue recourse for workplace exploitation, including through the small </w:t>
      </w:r>
      <w:proofErr w:type="gramStart"/>
      <w:r w:rsidRPr="00921D71">
        <w:rPr>
          <w:rFonts w:ascii="Calibri" w:eastAsia="Times New Roman" w:hAnsi="Calibri" w:cs="Calibri"/>
          <w:bCs/>
          <w:lang w:val="en-GB" w:eastAsia="en-AU"/>
        </w:rPr>
        <w:t>claims</w:t>
      </w:r>
      <w:proofErr w:type="gramEnd"/>
      <w:r w:rsidRPr="00921D71">
        <w:rPr>
          <w:rFonts w:ascii="Calibri" w:eastAsia="Times New Roman" w:hAnsi="Calibri" w:cs="Calibri"/>
          <w:bCs/>
          <w:lang w:val="en-GB" w:eastAsia="en-AU"/>
        </w:rPr>
        <w:t xml:space="preserve"> procedure, with clear protections from visa cancellation or other adverse outcomes, as appropriate.</w:t>
      </w:r>
    </w:p>
    <w:p w14:paraId="62D126E0" w14:textId="77777777" w:rsidR="00C37350" w:rsidRPr="00921D71" w:rsidRDefault="00C37350" w:rsidP="00C37350">
      <w:pPr>
        <w:pStyle w:val="Heading4"/>
        <w:rPr>
          <w:rFonts w:eastAsia="Times New Roman"/>
          <w:lang w:val="en-GB" w:eastAsia="en-AU"/>
        </w:rPr>
      </w:pPr>
      <w:r w:rsidRPr="00921D71">
        <w:rPr>
          <w:rFonts w:eastAsia="Times New Roman"/>
          <w:lang w:val="en-GB" w:eastAsia="en-AU"/>
        </w:rPr>
        <w:t>Recommendation 7</w:t>
      </w:r>
    </w:p>
    <w:p w14:paraId="380AF4BB" w14:textId="0CCD4A9A" w:rsidR="00C37350" w:rsidRPr="00921D71" w:rsidRDefault="00C37350" w:rsidP="00C37350">
      <w:pPr>
        <w:widowControl w:val="0"/>
        <w:spacing w:before="120" w:after="120" w:line="240" w:lineRule="auto"/>
        <w:textAlignment w:val="baseline"/>
        <w:rPr>
          <w:rFonts w:ascii="Calibri" w:eastAsia="Times New Roman" w:hAnsi="Calibri" w:cs="Arial"/>
          <w:lang w:eastAsia="en-AU"/>
        </w:rPr>
      </w:pPr>
      <w:r w:rsidRPr="00921D71">
        <w:rPr>
          <w:rFonts w:ascii="Calibri" w:eastAsia="Times New Roman" w:hAnsi="Calibri" w:cs="Calibri"/>
          <w:bCs/>
          <w:lang w:val="en-GB" w:eastAsia="en-AU"/>
        </w:rPr>
        <w:t>The Government should continue to progress its commitment to implement recommendation 13 of the Migrant Workers’ Taskforce Report, to extend access to the Fair Entitlements Guarantee to temporary migrant workers.</w:t>
      </w:r>
    </w:p>
    <w:p w14:paraId="444BA3BD" w14:textId="77777777" w:rsidR="00921D71" w:rsidRPr="00921D71" w:rsidRDefault="00921D71" w:rsidP="00C37350">
      <w:pPr>
        <w:pStyle w:val="Heading3"/>
        <w:rPr>
          <w:rFonts w:eastAsia="Times New Roman"/>
          <w:iCs/>
          <w:lang w:eastAsia="en-AU"/>
        </w:rPr>
      </w:pPr>
      <w:bookmarkStart w:id="23" w:name="_Toc183777413"/>
      <w:r w:rsidRPr="00921D71">
        <w:rPr>
          <w:rFonts w:eastAsia="Times New Roman"/>
          <w:lang w:eastAsia="en-AU"/>
        </w:rPr>
        <w:t>Finding 5: The small claims jurisdiction requires multilingual resources and materials</w:t>
      </w:r>
      <w:bookmarkEnd w:id="23"/>
    </w:p>
    <w:p w14:paraId="24D57230" w14:textId="77777777" w:rsidR="00921D71" w:rsidRPr="00921D71" w:rsidRDefault="00921D71" w:rsidP="00921D71">
      <w:pPr>
        <w:shd w:val="clear" w:color="auto" w:fill="FFFFFF"/>
        <w:spacing w:before="120" w:after="120" w:line="240" w:lineRule="auto"/>
        <w:rPr>
          <w:rFonts w:ascii="Calibri" w:eastAsia="Times New Roman" w:hAnsi="Calibri" w:cs="Arial"/>
          <w:lang w:eastAsia="en-AU"/>
        </w:rPr>
      </w:pPr>
      <w:r w:rsidRPr="00921D71">
        <w:rPr>
          <w:rFonts w:ascii="Calibri" w:eastAsia="Times New Roman" w:hAnsi="Calibri" w:cs="Arial"/>
          <w:lang w:eastAsia="en-AU"/>
        </w:rPr>
        <w:t xml:space="preserve">ABS data from the 2021 Census showed that more than half (59% or 945,600) of temporary residents used a language other than English at home, with temporary residents on student visas the most likely to use another language at home (91%). Although the FCFCOA makes use of interpreters and translators at present, the FCFCOA website does not provide translated versions of its small claim procedure information. Further, though the FWO website provides professionally translated information about workplace rights in over 30 languages, this information does not include small claims procedure resources. However, website users </w:t>
      </w:r>
      <w:proofErr w:type="gramStart"/>
      <w:r w:rsidRPr="00921D71">
        <w:rPr>
          <w:rFonts w:ascii="Calibri" w:eastAsia="Times New Roman" w:hAnsi="Calibri" w:cs="Arial"/>
          <w:lang w:eastAsia="en-AU"/>
        </w:rPr>
        <w:t>are able to</w:t>
      </w:r>
      <w:proofErr w:type="gramEnd"/>
      <w:r w:rsidRPr="00921D71">
        <w:rPr>
          <w:rFonts w:ascii="Calibri" w:eastAsia="Times New Roman" w:hAnsi="Calibri" w:cs="Arial"/>
          <w:lang w:eastAsia="en-AU"/>
        </w:rPr>
        <w:t xml:space="preserve"> use the FWO’s auto-translate tool to translate most of its website into over 30 languages. Given the overrepresentation of temporary migrant workers in cases of systemic underpayment, resources and materials designed to assist workers should be targeted to their needs, and available in a range of languages and formats.</w:t>
      </w:r>
    </w:p>
    <w:p w14:paraId="2B8A5DD3" w14:textId="77777777" w:rsidR="00921D71" w:rsidRDefault="00921D71" w:rsidP="00921D71">
      <w:pPr>
        <w:shd w:val="clear" w:color="auto" w:fill="FFFFFF"/>
        <w:spacing w:before="120" w:after="120" w:line="240" w:lineRule="auto"/>
        <w:rPr>
          <w:rFonts w:ascii="Calibri" w:eastAsia="Times New Roman" w:hAnsi="Calibri" w:cs="Arial"/>
          <w:lang w:eastAsia="en-AU"/>
        </w:rPr>
      </w:pPr>
      <w:r w:rsidRPr="00921D71">
        <w:rPr>
          <w:rFonts w:ascii="Calibri" w:eastAsia="Times New Roman" w:hAnsi="Calibri" w:cs="Arial"/>
          <w:lang w:eastAsia="en-AU"/>
        </w:rPr>
        <w:t xml:space="preserve">There is expense and difficulty associated with translating materials from English into multiple different languages and the translation of small claims materials will likely need to be undertaken in a targeted manner to be effective. As materials generally need to be drafted with translatability as a goal from the outset, key information or information that is expressed in language that is already readily translatable may need to be identified for translation first. Redrafting of other existing small claims materials to ensure that they are all suitable for translation will represent a longer-term project. Further consideration of the funding impost associated with such initiatives will be needed. </w:t>
      </w:r>
    </w:p>
    <w:p w14:paraId="12537983" w14:textId="77777777" w:rsidR="00C37350" w:rsidRPr="00921D71" w:rsidRDefault="00C37350" w:rsidP="00C37350">
      <w:pPr>
        <w:pStyle w:val="Heading4"/>
        <w:rPr>
          <w:rFonts w:eastAsia="Times New Roman"/>
          <w:lang w:eastAsia="en-AU"/>
        </w:rPr>
      </w:pPr>
      <w:r w:rsidRPr="00921D71">
        <w:rPr>
          <w:rFonts w:eastAsia="Times New Roman"/>
          <w:lang w:eastAsia="en-AU"/>
        </w:rPr>
        <w:t>Recommendation 8</w:t>
      </w:r>
    </w:p>
    <w:p w14:paraId="276963B1" w14:textId="77777777" w:rsidR="00C37350" w:rsidRPr="00921D71" w:rsidRDefault="00C37350" w:rsidP="0003280A">
      <w:pPr>
        <w:spacing w:after="0" w:line="240" w:lineRule="auto"/>
        <w:rPr>
          <w:rFonts w:ascii="Calibri" w:eastAsia="Times New Roman" w:hAnsi="Calibri" w:cs="Arial"/>
          <w:lang w:eastAsia="en-AU"/>
        </w:rPr>
      </w:pPr>
      <w:r w:rsidRPr="00921D71">
        <w:rPr>
          <w:rFonts w:ascii="Calibri" w:eastAsia="Times New Roman" w:hAnsi="Calibri" w:cs="Arial"/>
          <w:lang w:eastAsia="en-AU"/>
        </w:rPr>
        <w:t>The Fair Work Ombudsman and the Federal Circuit and Family Court of Australia should consider:</w:t>
      </w:r>
    </w:p>
    <w:p w14:paraId="1122539F" w14:textId="77777777" w:rsidR="00C37350" w:rsidRPr="00921D71" w:rsidRDefault="00C37350" w:rsidP="0003280A">
      <w:pPr>
        <w:numPr>
          <w:ilvl w:val="1"/>
          <w:numId w:val="45"/>
        </w:numPr>
        <w:spacing w:after="0" w:line="240" w:lineRule="auto"/>
        <w:contextualSpacing/>
        <w:rPr>
          <w:rFonts w:ascii="Calibri" w:eastAsia="Calibri" w:hAnsi="Calibri" w:cs="Arial"/>
        </w:rPr>
      </w:pPr>
      <w:r w:rsidRPr="00921D71">
        <w:rPr>
          <w:rFonts w:ascii="Calibri" w:eastAsia="Times New Roman" w:hAnsi="Calibri" w:cs="Arial"/>
          <w:lang w:eastAsia="en-AU"/>
        </w:rPr>
        <w:t xml:space="preserve">information gaps relating to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amongst vulnerable workers, particularly migrant workers, to identify the needs of target audiences</w:t>
      </w:r>
    </w:p>
    <w:p w14:paraId="09937FC5" w14:textId="1248F4C6" w:rsidR="00C37350" w:rsidRPr="001162EE" w:rsidRDefault="00C37350" w:rsidP="0003280A">
      <w:pPr>
        <w:numPr>
          <w:ilvl w:val="1"/>
          <w:numId w:val="45"/>
        </w:numPr>
        <w:spacing w:after="0" w:line="240" w:lineRule="auto"/>
        <w:contextualSpacing/>
        <w:rPr>
          <w:rFonts w:ascii="Calibri" w:eastAsia="Calibri" w:hAnsi="Calibri" w:cs="Arial"/>
        </w:rPr>
      </w:pPr>
      <w:r w:rsidRPr="00921D71">
        <w:rPr>
          <w:rFonts w:ascii="Calibri" w:eastAsia="Times New Roman" w:hAnsi="Calibri" w:cs="Arial"/>
          <w:lang w:eastAsia="en-AU"/>
        </w:rPr>
        <w:t>additional small claims materials to address those needs and</w:t>
      </w:r>
      <w:r w:rsidR="001162EE">
        <w:rPr>
          <w:rFonts w:ascii="Calibri" w:eastAsia="Calibri" w:hAnsi="Calibri" w:cs="Arial"/>
        </w:rPr>
        <w:t xml:space="preserve"> </w:t>
      </w:r>
      <w:r w:rsidRPr="001162EE">
        <w:rPr>
          <w:rFonts w:ascii="Calibri" w:eastAsia="Times New Roman" w:hAnsi="Calibri" w:cs="Arial"/>
          <w:lang w:eastAsia="en-AU"/>
        </w:rPr>
        <w:t>translating small claims materials into languages other than English.</w:t>
      </w:r>
    </w:p>
    <w:p w14:paraId="62D2484C" w14:textId="77777777" w:rsidR="00921D71" w:rsidRPr="00921D71" w:rsidRDefault="00921D71" w:rsidP="00C37350">
      <w:pPr>
        <w:pStyle w:val="Heading3"/>
        <w:rPr>
          <w:rFonts w:eastAsia="Times New Roman"/>
          <w:lang w:eastAsia="en-AU"/>
        </w:rPr>
      </w:pPr>
      <w:bookmarkStart w:id="24" w:name="_Toc183777414"/>
      <w:r w:rsidRPr="00921D71">
        <w:rPr>
          <w:rFonts w:eastAsia="Times New Roman"/>
          <w:lang w:eastAsia="en-AU"/>
        </w:rPr>
        <w:t>Finding 6: Additional funding is required to enable CLCs, WWCs and migrant worker centres to represent and assist vulnerable workers</w:t>
      </w:r>
      <w:bookmarkEnd w:id="24"/>
    </w:p>
    <w:p w14:paraId="382C776F" w14:textId="72084A49" w:rsidR="00921D71" w:rsidRPr="00921D71" w:rsidRDefault="00921D71" w:rsidP="003F107D">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Many of the barriers identified by stakeholders, especially for temporary migrant and other vulnerable workers, are inherent in the legal system. Fear of visa cancellation, limited English skills, lack of resources (including time), competence and lack of knowledge about how to determine their correct entitlements have been identified as the main factors stopping migrant workers from trying to recover wages, and the barriers created by these factors are deeply connected with legal institutions themselves. </w:t>
      </w:r>
      <w:r w:rsidR="003F107D">
        <w:rPr>
          <w:rFonts w:ascii="Calibri" w:eastAsia="Times New Roman" w:hAnsi="Calibri" w:cs="Arial"/>
          <w:lang w:eastAsia="en-AU"/>
        </w:rPr>
        <w:t>One stakeholder</w:t>
      </w:r>
      <w:r w:rsidRPr="00921D71">
        <w:rPr>
          <w:rFonts w:ascii="Calibri" w:eastAsia="Times New Roman" w:hAnsi="Calibri" w:cs="Arial"/>
          <w:lang w:eastAsia="en-AU"/>
        </w:rPr>
        <w:t xml:space="preserve"> observed that applicants that had legal representation generally fared better, and had stronger and more streamlined advocacy, resulting in matters being </w:t>
      </w:r>
      <w:r w:rsidRPr="00921D71">
        <w:rPr>
          <w:rFonts w:ascii="Calibri" w:eastAsia="Times New Roman" w:hAnsi="Calibri" w:cs="Arial"/>
          <w:lang w:eastAsia="en-AU"/>
        </w:rPr>
        <w:lastRenderedPageBreak/>
        <w:t>processed and resolved more efficiently. Although the Fair Work Act provides that ‘[a] party to small claims proceedings may be represented in the proceedings by a lawyer only with the leave of the court,’ there is no evidence that this leave is not granted when sought.</w:t>
      </w:r>
    </w:p>
    <w:p w14:paraId="379EB8CE" w14:textId="77777777" w:rsidR="001A59C0" w:rsidRDefault="00921D71" w:rsidP="003F107D">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The Government should consider whether legal assistance and representation could be increased to ensure that vulnerable workers are able to access justice. This should include the establishment of duty lawyer services and additional funding for CLCs, WWC and migrant worker centres to assist and represent more workers. Additionally, consideration could be given to the provision of greater funding for these organisations to provide targeted community legal education to vulnerable and migrant workers regarding their workplace rights and entitlements, to better enable workers to identify underpayment and exploitation.</w:t>
      </w:r>
    </w:p>
    <w:p w14:paraId="1CEE9F6A" w14:textId="54E23ABF" w:rsidR="00921D71" w:rsidRDefault="008D051E" w:rsidP="00921D71">
      <w:pPr>
        <w:keepNext/>
        <w:spacing w:before="120" w:after="120" w:line="240" w:lineRule="auto"/>
        <w:textAlignment w:val="baseline"/>
        <w:rPr>
          <w:rFonts w:ascii="Calibri" w:eastAsia="Times New Roman" w:hAnsi="Calibri" w:cs="Arial"/>
          <w:lang w:eastAsia="en-AU"/>
        </w:rPr>
      </w:pPr>
      <w:r>
        <w:rPr>
          <w:rFonts w:ascii="Calibri" w:eastAsia="Times New Roman" w:hAnsi="Calibri" w:cs="Arial"/>
          <w:lang w:eastAsia="en-AU"/>
        </w:rPr>
        <w:t xml:space="preserve">Relevantly, </w:t>
      </w:r>
      <w:r w:rsidR="00BF051E">
        <w:rPr>
          <w:rFonts w:ascii="Calibri" w:eastAsia="Times New Roman" w:hAnsi="Calibri" w:cs="Arial"/>
          <w:lang w:eastAsia="en-AU"/>
        </w:rPr>
        <w:t>it is noted that the National Legal Assistance Partnership</w:t>
      </w:r>
      <w:r w:rsidR="0069604D">
        <w:rPr>
          <w:rFonts w:ascii="Calibri" w:eastAsia="Times New Roman" w:hAnsi="Calibri" w:cs="Arial"/>
          <w:lang w:eastAsia="en-AU"/>
        </w:rPr>
        <w:t xml:space="preserve"> (</w:t>
      </w:r>
      <w:r w:rsidR="0069604D" w:rsidRPr="0069604D">
        <w:rPr>
          <w:rFonts w:ascii="Calibri" w:eastAsia="Times New Roman" w:hAnsi="Calibri" w:cs="Arial"/>
          <w:lang w:eastAsia="en-AU"/>
        </w:rPr>
        <w:t>a national partnership agreement between the Government and all states and territories for Australian Government funded legal assistance</w:t>
      </w:r>
      <w:r w:rsidR="0069604D">
        <w:rPr>
          <w:rFonts w:ascii="Calibri" w:eastAsia="Times New Roman" w:hAnsi="Calibri" w:cs="Arial"/>
          <w:lang w:eastAsia="en-AU"/>
        </w:rPr>
        <w:t>)</w:t>
      </w:r>
      <w:r w:rsidR="00BF051E">
        <w:rPr>
          <w:rFonts w:ascii="Calibri" w:eastAsia="Times New Roman" w:hAnsi="Calibri" w:cs="Arial"/>
          <w:lang w:eastAsia="en-AU"/>
        </w:rPr>
        <w:t xml:space="preserve"> is </w:t>
      </w:r>
      <w:r w:rsidR="007D4309">
        <w:rPr>
          <w:rFonts w:ascii="Calibri" w:eastAsia="Times New Roman" w:hAnsi="Calibri" w:cs="Arial"/>
          <w:lang w:eastAsia="en-AU"/>
        </w:rPr>
        <w:t>currently under review, with a report anticipated</w:t>
      </w:r>
      <w:r w:rsidR="003F107D">
        <w:rPr>
          <w:rFonts w:ascii="Calibri" w:eastAsia="Times New Roman" w:hAnsi="Calibri" w:cs="Arial"/>
          <w:lang w:eastAsia="en-AU"/>
        </w:rPr>
        <w:t xml:space="preserve"> in</w:t>
      </w:r>
      <w:r w:rsidR="007D4309">
        <w:rPr>
          <w:rFonts w:ascii="Calibri" w:eastAsia="Times New Roman" w:hAnsi="Calibri" w:cs="Arial"/>
          <w:lang w:eastAsia="en-AU"/>
        </w:rPr>
        <w:t xml:space="preserve"> March 2024. </w:t>
      </w:r>
      <w:r w:rsidR="00957C07">
        <w:rPr>
          <w:rFonts w:ascii="Calibri" w:eastAsia="Times New Roman" w:hAnsi="Calibri" w:cs="Arial"/>
          <w:lang w:eastAsia="en-AU"/>
        </w:rPr>
        <w:t xml:space="preserve">The Terms of Reference for the NLAP Review include </w:t>
      </w:r>
      <w:r w:rsidR="00A456A8">
        <w:rPr>
          <w:rFonts w:ascii="Calibri" w:eastAsia="Times New Roman" w:hAnsi="Calibri" w:cs="Arial"/>
          <w:lang w:eastAsia="en-AU"/>
        </w:rPr>
        <w:t>‘</w:t>
      </w:r>
      <w:r w:rsidR="00A456A8" w:rsidRPr="00A456A8">
        <w:rPr>
          <w:rFonts w:ascii="Calibri" w:eastAsia="Times New Roman" w:hAnsi="Calibri" w:cs="Arial"/>
          <w:lang w:eastAsia="en-AU"/>
        </w:rPr>
        <w:t>a holistic assessment of legal need and all Commonwealth legal assistance funding</w:t>
      </w:r>
      <w:r w:rsidR="004E5782">
        <w:rPr>
          <w:rFonts w:ascii="Calibri" w:eastAsia="Times New Roman" w:hAnsi="Calibri" w:cs="Arial"/>
          <w:lang w:eastAsia="en-AU"/>
        </w:rPr>
        <w:t>,</w:t>
      </w:r>
      <w:r w:rsidR="00A456A8">
        <w:rPr>
          <w:rFonts w:ascii="Calibri" w:eastAsia="Times New Roman" w:hAnsi="Calibri" w:cs="Arial"/>
          <w:lang w:eastAsia="en-AU"/>
        </w:rPr>
        <w:t>’</w:t>
      </w:r>
      <w:r w:rsidR="00A456A8" w:rsidRPr="00A456A8">
        <w:rPr>
          <w:rFonts w:ascii="Calibri" w:eastAsia="Times New Roman" w:hAnsi="Calibri" w:cs="Arial"/>
          <w:lang w:eastAsia="en-AU"/>
        </w:rPr>
        <w:t xml:space="preserve"> including the </w:t>
      </w:r>
      <w:r w:rsidR="00A456A8">
        <w:rPr>
          <w:rFonts w:ascii="Calibri" w:eastAsia="Times New Roman" w:hAnsi="Calibri" w:cs="Arial"/>
          <w:lang w:eastAsia="en-AU"/>
        </w:rPr>
        <w:t>‘</w:t>
      </w:r>
      <w:r w:rsidR="00A456A8" w:rsidRPr="00A456A8">
        <w:rPr>
          <w:rFonts w:ascii="Calibri" w:eastAsia="Times New Roman" w:hAnsi="Calibri" w:cs="Arial"/>
          <w:lang w:eastAsia="en-AU"/>
        </w:rPr>
        <w:t>quantum, prioritisation,</w:t>
      </w:r>
      <w:r w:rsidR="00843BDE">
        <w:rPr>
          <w:rFonts w:ascii="Calibri" w:eastAsia="Times New Roman" w:hAnsi="Calibri" w:cs="Arial"/>
          <w:lang w:eastAsia="en-AU"/>
        </w:rPr>
        <w:t xml:space="preserve"> </w:t>
      </w:r>
      <w:r w:rsidR="00A456A8" w:rsidRPr="00A456A8">
        <w:rPr>
          <w:rFonts w:ascii="Calibri" w:eastAsia="Times New Roman" w:hAnsi="Calibri" w:cs="Arial"/>
          <w:lang w:eastAsia="en-AU"/>
        </w:rPr>
        <w:t>allocation, distribution</w:t>
      </w:r>
      <w:r w:rsidR="006D047E">
        <w:rPr>
          <w:rFonts w:ascii="Calibri" w:eastAsia="Times New Roman" w:hAnsi="Calibri" w:cs="Arial"/>
          <w:lang w:eastAsia="en-AU"/>
        </w:rPr>
        <w:t xml:space="preserve"> mechanism</w:t>
      </w:r>
      <w:r w:rsidR="00A456A8" w:rsidRPr="00A456A8">
        <w:rPr>
          <w:rFonts w:ascii="Calibri" w:eastAsia="Times New Roman" w:hAnsi="Calibri" w:cs="Arial"/>
          <w:lang w:eastAsia="en-AU"/>
        </w:rPr>
        <w:t>, and timing and length of existing Commonwealth funding</w:t>
      </w:r>
      <w:r w:rsidR="006D047E">
        <w:rPr>
          <w:rFonts w:ascii="Calibri" w:eastAsia="Times New Roman" w:hAnsi="Calibri" w:cs="Arial"/>
          <w:lang w:eastAsia="en-AU"/>
        </w:rPr>
        <w:t>’</w:t>
      </w:r>
      <w:r w:rsidR="00A456A8" w:rsidRPr="00A456A8">
        <w:rPr>
          <w:rFonts w:ascii="Calibri" w:eastAsia="Times New Roman" w:hAnsi="Calibri" w:cs="Arial"/>
          <w:lang w:eastAsia="en-AU"/>
        </w:rPr>
        <w:t xml:space="preserve"> for legal assistance.</w:t>
      </w:r>
      <w:r w:rsidR="00B56921">
        <w:rPr>
          <w:rFonts w:ascii="Calibri" w:eastAsia="Times New Roman" w:hAnsi="Calibri" w:cs="Arial"/>
          <w:lang w:eastAsia="en-AU"/>
        </w:rPr>
        <w:t xml:space="preserve"> </w:t>
      </w:r>
      <w:r w:rsidR="005508A0">
        <w:rPr>
          <w:rFonts w:ascii="Calibri" w:eastAsia="Times New Roman" w:hAnsi="Calibri" w:cs="Arial"/>
          <w:lang w:eastAsia="en-AU"/>
        </w:rPr>
        <w:t>Any consideration of further funding for CLCs, WWCs and migrant workers centres, in line with recommendation 9</w:t>
      </w:r>
      <w:r w:rsidR="00A472E6">
        <w:rPr>
          <w:rFonts w:ascii="Calibri" w:eastAsia="Times New Roman" w:hAnsi="Calibri" w:cs="Arial"/>
          <w:lang w:eastAsia="en-AU"/>
        </w:rPr>
        <w:t>, would need to consider the outcomes of the NLAP Review.</w:t>
      </w:r>
    </w:p>
    <w:p w14:paraId="3C513EC1" w14:textId="77777777" w:rsidR="002E4114" w:rsidRPr="00921D71" w:rsidRDefault="002E4114" w:rsidP="002E4114">
      <w:pPr>
        <w:pStyle w:val="Heading4"/>
        <w:rPr>
          <w:rFonts w:eastAsia="Times New Roman"/>
          <w:lang w:eastAsia="en-AU"/>
        </w:rPr>
      </w:pPr>
      <w:r w:rsidRPr="00921D71">
        <w:rPr>
          <w:rFonts w:eastAsia="Times New Roman"/>
          <w:lang w:eastAsia="en-AU"/>
        </w:rPr>
        <w:t>Recommendation 9</w:t>
      </w:r>
    </w:p>
    <w:p w14:paraId="13E147D6" w14:textId="77777777" w:rsidR="002E4114" w:rsidRPr="00921D71" w:rsidRDefault="002E4114" w:rsidP="0003280A">
      <w:pPr>
        <w:spacing w:after="0" w:line="240" w:lineRule="auto"/>
        <w:rPr>
          <w:rFonts w:ascii="Calibri" w:hAnsi="Calibri" w:cs="Arial"/>
        </w:rPr>
      </w:pPr>
      <w:r w:rsidRPr="00921D71">
        <w:rPr>
          <w:rFonts w:ascii="Calibri" w:hAnsi="Calibri" w:cs="Arial"/>
        </w:rPr>
        <w:t>The Government should undertake further work to consider whether additional funding is required for legal assistance in small claims matters, to enable:</w:t>
      </w:r>
    </w:p>
    <w:p w14:paraId="448D886D" w14:textId="77777777" w:rsidR="002E4114" w:rsidRPr="00921D71" w:rsidRDefault="002E4114" w:rsidP="0003280A">
      <w:pPr>
        <w:numPr>
          <w:ilvl w:val="1"/>
          <w:numId w:val="41"/>
        </w:numPr>
        <w:spacing w:after="0" w:line="240" w:lineRule="auto"/>
        <w:contextualSpacing/>
        <w:textAlignment w:val="baseline"/>
        <w:rPr>
          <w:rFonts w:ascii="Calibri" w:hAnsi="Calibri" w:cs="Calibri"/>
        </w:rPr>
      </w:pPr>
      <w:r w:rsidRPr="00921D71">
        <w:rPr>
          <w:rFonts w:ascii="Calibri" w:hAnsi="Calibri" w:cs="Calibri"/>
        </w:rPr>
        <w:t xml:space="preserve">the establishment of duty lawyer services </w:t>
      </w:r>
    </w:p>
    <w:p w14:paraId="77014FD1" w14:textId="1091D1A1" w:rsidR="002E4114" w:rsidRPr="002E4114" w:rsidRDefault="002E4114" w:rsidP="0003280A">
      <w:pPr>
        <w:numPr>
          <w:ilvl w:val="1"/>
          <w:numId w:val="41"/>
        </w:numPr>
        <w:spacing w:after="0" w:line="240" w:lineRule="auto"/>
        <w:contextualSpacing/>
        <w:textAlignment w:val="baseline"/>
        <w:rPr>
          <w:rFonts w:ascii="Calibri" w:hAnsi="Calibri" w:cs="Calibri"/>
        </w:rPr>
      </w:pPr>
      <w:r w:rsidRPr="00921D71">
        <w:rPr>
          <w:rFonts w:ascii="Calibri" w:hAnsi="Calibri" w:cs="Calibri"/>
        </w:rPr>
        <w:t xml:space="preserve">the provision of targeted community legal education initiatives, and </w:t>
      </w:r>
      <w:r w:rsidRPr="002E4114">
        <w:rPr>
          <w:rFonts w:ascii="Calibri" w:hAnsi="Calibri" w:cs="Calibri"/>
        </w:rPr>
        <w:t>legal assistance providers to assist and represent more workers.</w:t>
      </w:r>
    </w:p>
    <w:p w14:paraId="40A4E92C" w14:textId="77777777" w:rsidR="00921D71" w:rsidRPr="00921D71" w:rsidRDefault="00921D71" w:rsidP="002E4114">
      <w:pPr>
        <w:pStyle w:val="Heading3"/>
        <w:rPr>
          <w:rFonts w:eastAsia="Times New Roman"/>
          <w:lang w:eastAsia="en-AU"/>
        </w:rPr>
      </w:pPr>
      <w:bookmarkStart w:id="25" w:name="_Toc183777415"/>
      <w:r w:rsidRPr="00921D71">
        <w:rPr>
          <w:rFonts w:eastAsia="Times New Roman"/>
          <w:lang w:eastAsia="en-AU"/>
        </w:rPr>
        <w:t>Finding 7: The effect of the raised monetary cap should be examined and reviewed</w:t>
      </w:r>
      <w:bookmarkEnd w:id="25"/>
    </w:p>
    <w:p w14:paraId="119221B1" w14:textId="77777777" w:rsidR="00921D71" w:rsidRDefault="00921D71" w:rsidP="00921D71">
      <w:pPr>
        <w:keepNext/>
        <w:spacing w:before="120" w:after="120" w:line="240" w:lineRule="auto"/>
        <w:textAlignment w:val="baseline"/>
        <w:rPr>
          <w:rFonts w:ascii="Calibri" w:eastAsia="Times New Roman" w:hAnsi="Calibri" w:cs="Arial"/>
          <w:lang w:eastAsia="en-AU"/>
        </w:rPr>
      </w:pPr>
      <w:r w:rsidRPr="00921D71">
        <w:rPr>
          <w:rFonts w:ascii="Calibri" w:eastAsia="Times New Roman" w:hAnsi="Calibri" w:cs="Arial"/>
          <w:lang w:eastAsia="en-AU"/>
        </w:rPr>
        <w:t xml:space="preserve">The effects of the increased monetary cap should be reviewed to determine whether any additional changes are required to the small </w:t>
      </w:r>
      <w:proofErr w:type="gramStart"/>
      <w:r w:rsidRPr="00921D71">
        <w:rPr>
          <w:rFonts w:ascii="Calibri" w:eastAsia="Times New Roman" w:hAnsi="Calibri" w:cs="Arial"/>
          <w:lang w:eastAsia="en-AU"/>
        </w:rPr>
        <w:t>claims</w:t>
      </w:r>
      <w:proofErr w:type="gramEnd"/>
      <w:r w:rsidRPr="00921D71">
        <w:rPr>
          <w:rFonts w:ascii="Calibri" w:eastAsia="Times New Roman" w:hAnsi="Calibri" w:cs="Arial"/>
          <w:lang w:eastAsia="en-AU"/>
        </w:rPr>
        <w:t xml:space="preserve"> procedure under the Fair Work Act. Allowing for a minimum of 12 months to have elapsed from commencement of the $100,000 cap on 1 July 2023, this will only be possible in mid to late 2024. In considering any additional enhancements, stakeholder feedback and suggestions for improvements canvassed during this Review should be considered (while opportunities for stakeholders to provide further feedback should also be considered).  </w:t>
      </w:r>
    </w:p>
    <w:p w14:paraId="4EC88B30" w14:textId="77777777" w:rsidR="002E4114" w:rsidRPr="00921D71" w:rsidRDefault="002E4114" w:rsidP="002E4114">
      <w:pPr>
        <w:pStyle w:val="Heading4"/>
        <w:rPr>
          <w:rFonts w:eastAsia="Times New Roman"/>
          <w:lang w:eastAsia="en-AU"/>
        </w:rPr>
      </w:pPr>
      <w:r w:rsidRPr="00921D71">
        <w:rPr>
          <w:rFonts w:eastAsia="Times New Roman"/>
          <w:lang w:eastAsia="en-AU"/>
        </w:rPr>
        <w:t>Recommendation 10</w:t>
      </w:r>
    </w:p>
    <w:p w14:paraId="53AC16BE" w14:textId="077309F4" w:rsidR="003F6926" w:rsidRDefault="002E4114" w:rsidP="003F6926">
      <w:pPr>
        <w:keepNext/>
        <w:spacing w:before="120" w:after="120" w:line="240" w:lineRule="auto"/>
        <w:textAlignment w:val="baseline"/>
        <w:rPr>
          <w:rFonts w:ascii="Calibri" w:eastAsia="Times New Roman" w:hAnsi="Calibri" w:cs="Arial"/>
          <w:lang w:eastAsia="en-AU"/>
        </w:rPr>
      </w:pPr>
      <w:r w:rsidRPr="00921D71">
        <w:rPr>
          <w:rFonts w:ascii="Calibri" w:eastAsia="Calibri" w:hAnsi="Calibri" w:cs="Calibri"/>
          <w:color w:val="000000"/>
        </w:rPr>
        <w:t xml:space="preserve">Once data on the effects of the increased monetary cap becomes available, the Department of Employment and Workplace Relations should consider whether any additional changes to the small </w:t>
      </w:r>
      <w:proofErr w:type="gramStart"/>
      <w:r w:rsidRPr="00921D71">
        <w:rPr>
          <w:rFonts w:ascii="Calibri" w:eastAsia="Calibri" w:hAnsi="Calibri" w:cs="Calibri"/>
          <w:color w:val="000000"/>
        </w:rPr>
        <w:t>claims</w:t>
      </w:r>
      <w:proofErr w:type="gramEnd"/>
      <w:r w:rsidRPr="00921D71">
        <w:rPr>
          <w:rFonts w:ascii="Calibri" w:eastAsia="Calibri" w:hAnsi="Calibri" w:cs="Calibri"/>
          <w:color w:val="000000"/>
        </w:rPr>
        <w:t xml:space="preserve"> procedure under the </w:t>
      </w:r>
      <w:r w:rsidRPr="00921D71">
        <w:rPr>
          <w:rFonts w:ascii="Calibri" w:eastAsia="Calibri" w:hAnsi="Calibri" w:cs="Calibri"/>
          <w:i/>
          <w:color w:val="000000"/>
        </w:rPr>
        <w:t>Fair Work Act 2009</w:t>
      </w:r>
      <w:r w:rsidRPr="00921D71">
        <w:rPr>
          <w:rFonts w:ascii="Calibri" w:eastAsia="Calibri" w:hAnsi="Calibri" w:cs="Calibri"/>
          <w:color w:val="000000"/>
        </w:rPr>
        <w:t xml:space="preserve"> are necessary.</w:t>
      </w:r>
      <w:r w:rsidRPr="00921D71">
        <w:rPr>
          <w:rFonts w:ascii="Calibri" w:eastAsia="Times New Roman" w:hAnsi="Calibri" w:cs="Arial"/>
          <w:lang w:eastAsia="en-AU"/>
        </w:rPr>
        <w:t xml:space="preserve"> </w:t>
      </w:r>
    </w:p>
    <w:p w14:paraId="63519A7F" w14:textId="77777777" w:rsidR="003F6926" w:rsidRDefault="003F6926">
      <w:pPr>
        <w:spacing w:after="160" w:line="259" w:lineRule="auto"/>
        <w:rPr>
          <w:rFonts w:ascii="Calibri" w:eastAsia="Times New Roman" w:hAnsi="Calibri" w:cs="Arial"/>
          <w:lang w:eastAsia="en-AU"/>
        </w:rPr>
      </w:pPr>
      <w:r>
        <w:rPr>
          <w:rFonts w:ascii="Calibri" w:eastAsia="Times New Roman" w:hAnsi="Calibri" w:cs="Arial"/>
          <w:lang w:eastAsia="en-AU"/>
        </w:rPr>
        <w:br w:type="page"/>
      </w:r>
    </w:p>
    <w:p w14:paraId="02B3EFC8" w14:textId="26073900" w:rsidR="00921D71" w:rsidRPr="00921D71" w:rsidRDefault="00921D71" w:rsidP="00686958">
      <w:pPr>
        <w:pStyle w:val="Heading1"/>
        <w:rPr>
          <w:rFonts w:eastAsia="Calibri"/>
          <w:lang w:val="en-GB" w:eastAsia="en-AU"/>
        </w:rPr>
      </w:pPr>
      <w:bookmarkStart w:id="26" w:name="_Toc183777416"/>
      <w:r w:rsidRPr="00921D71">
        <w:rPr>
          <w:rFonts w:eastAsia="Times New Roman"/>
          <w:lang w:val="en-GB" w:eastAsia="en-AU"/>
        </w:rPr>
        <w:lastRenderedPageBreak/>
        <w:t>Issue 2: Use of alternative dispute resolution in a tribunal</w:t>
      </w:r>
      <w:bookmarkEnd w:id="26"/>
      <w:r w:rsidRPr="00921D71">
        <w:rPr>
          <w:rFonts w:eastAsia="Calibri"/>
          <w:lang w:val="en-GB" w:eastAsia="en-AU"/>
        </w:rPr>
        <w:t>  </w:t>
      </w:r>
    </w:p>
    <w:p w14:paraId="4C02893F" w14:textId="77777777" w:rsidR="00921D71" w:rsidRPr="00921D71" w:rsidRDefault="00921D71" w:rsidP="00921D71">
      <w:pPr>
        <w:spacing w:before="120" w:after="120" w:line="240" w:lineRule="auto"/>
        <w:textAlignment w:val="baseline"/>
        <w:rPr>
          <w:rFonts w:ascii="Calibri" w:eastAsia="Calibri" w:hAnsi="Calibri" w:cs="Calibri"/>
          <w:color w:val="000000"/>
        </w:rPr>
      </w:pPr>
      <w:r w:rsidRPr="00921D71">
        <w:rPr>
          <w:rFonts w:ascii="Calibri" w:eastAsia="Times New Roman" w:hAnsi="Calibri" w:cs="Arial"/>
          <w:lang w:eastAsia="en-AU"/>
        </w:rPr>
        <w:t xml:space="preserve">In line with the terms of reference, the consultation process sought feedback from stakeholders on whether conferring jurisdiction on a tribunal to handle small claims would be beneficial. This consultation canvassed what features of such arrangements would be beneficial for vulnerable workers. </w:t>
      </w:r>
    </w:p>
    <w:p w14:paraId="18581B92" w14:textId="77777777" w:rsidR="00921D71" w:rsidRPr="00921D71" w:rsidRDefault="00921D71" w:rsidP="00604C7E">
      <w:pPr>
        <w:pStyle w:val="Heading2"/>
        <w:rPr>
          <w:rFonts w:eastAsia="Times New Roman"/>
          <w:sz w:val="18"/>
          <w:szCs w:val="18"/>
          <w:lang w:eastAsia="en-AU"/>
        </w:rPr>
      </w:pPr>
      <w:bookmarkStart w:id="27" w:name="_Toc183777417"/>
      <w:r w:rsidRPr="00921D71">
        <w:rPr>
          <w:rFonts w:eastAsia="Times New Roman"/>
          <w:lang w:eastAsia="en-AU"/>
        </w:rPr>
        <w:t>Stakeholder feedback</w:t>
      </w:r>
      <w:bookmarkEnd w:id="27"/>
      <w:r w:rsidRPr="00921D71">
        <w:rPr>
          <w:rFonts w:eastAsia="Times New Roman"/>
          <w:lang w:eastAsia="en-AU"/>
        </w:rPr>
        <w:t xml:space="preserve"> </w:t>
      </w:r>
    </w:p>
    <w:p w14:paraId="072666D1" w14:textId="77777777" w:rsidR="00921D71" w:rsidRPr="00921D71" w:rsidRDefault="00921D71" w:rsidP="00921D71">
      <w:pPr>
        <w:spacing w:before="120" w:after="120" w:line="240" w:lineRule="auto"/>
        <w:rPr>
          <w:rFonts w:ascii="Calibri" w:eastAsia="Calibri" w:hAnsi="Calibri" w:cs="Calibri"/>
          <w:color w:val="000000"/>
        </w:rPr>
      </w:pPr>
      <w:r w:rsidRPr="00921D71">
        <w:rPr>
          <w:rFonts w:ascii="Calibri" w:eastAsia="Calibri" w:hAnsi="Calibri" w:cs="Calibri"/>
          <w:color w:val="000000"/>
        </w:rPr>
        <w:t>Only a small number of stakeholders were unsupportive of conferring jurisdiction upon a tribunal. Almost all stakeholders agreed that, if this jurisdiction were extended to a tribunal, that tribunal should be the FWC rather than another existing tribunal or a new tribunal.  </w:t>
      </w:r>
    </w:p>
    <w:p w14:paraId="67430AEF" w14:textId="67CB2854" w:rsidR="00921D71" w:rsidRPr="00921D71" w:rsidRDefault="00921D71" w:rsidP="00921D71">
      <w:pPr>
        <w:spacing w:before="120" w:after="120" w:line="240" w:lineRule="auto"/>
        <w:rPr>
          <w:rFonts w:ascii="Calibri" w:eastAsia="Calibri" w:hAnsi="Calibri" w:cs="Calibri"/>
          <w:color w:val="000000"/>
        </w:rPr>
      </w:pPr>
      <w:r w:rsidRPr="00921D71">
        <w:rPr>
          <w:rFonts w:ascii="Calibri" w:eastAsia="Calibri" w:hAnsi="Calibri" w:cs="Calibri"/>
          <w:color w:val="000000"/>
        </w:rPr>
        <w:t xml:space="preserve">Those stakeholders that were unsupportive of extending small claims jurisdiction highlighted improvements that have been made to the small </w:t>
      </w:r>
      <w:proofErr w:type="gramStart"/>
      <w:r w:rsidRPr="00921D71">
        <w:rPr>
          <w:rFonts w:ascii="Calibri" w:eastAsia="Calibri" w:hAnsi="Calibri" w:cs="Calibri"/>
          <w:color w:val="000000"/>
        </w:rPr>
        <w:t>claims</w:t>
      </w:r>
      <w:proofErr w:type="gramEnd"/>
      <w:r w:rsidRPr="00921D71">
        <w:rPr>
          <w:rFonts w:ascii="Calibri" w:eastAsia="Calibri" w:hAnsi="Calibri" w:cs="Calibri"/>
          <w:color w:val="000000"/>
        </w:rPr>
        <w:t xml:space="preserve"> procedure within the FCFCOA since 2019, in addition to the recent amendments increasing the small claims cap to $100,000. For example, </w:t>
      </w:r>
      <w:r w:rsidR="005C7990">
        <w:rPr>
          <w:rFonts w:ascii="Calibri" w:eastAsia="Calibri" w:hAnsi="Calibri" w:cs="Calibri"/>
          <w:color w:val="000000"/>
        </w:rPr>
        <w:t>one stakeholder</w:t>
      </w:r>
      <w:r w:rsidRPr="00921D71">
        <w:rPr>
          <w:rFonts w:ascii="Calibri" w:eastAsia="Calibri" w:hAnsi="Calibri" w:cs="Calibri"/>
          <w:color w:val="000000"/>
        </w:rPr>
        <w:t xml:space="preserve"> highlighted the inherent complexity of underpayment matters and noted that the small claims procedure is functioning very well in this context. As it did in the context of issue 1, th</w:t>
      </w:r>
      <w:r w:rsidR="0027086D">
        <w:rPr>
          <w:rFonts w:ascii="Calibri" w:eastAsia="Calibri" w:hAnsi="Calibri" w:cs="Calibri"/>
          <w:color w:val="000000"/>
        </w:rPr>
        <w:t>is stakeholder</w:t>
      </w:r>
      <w:r w:rsidRPr="00921D71">
        <w:rPr>
          <w:rFonts w:ascii="Calibri" w:eastAsia="Calibri" w:hAnsi="Calibri" w:cs="Calibri"/>
          <w:color w:val="000000"/>
        </w:rPr>
        <w:t xml:space="preserve"> stated that the Government should wait for the impact of the new small claims cap to manifest before making any changes. It further suggested that the key barriers to migrant workers seeking redress lie in migration law.</w:t>
      </w:r>
    </w:p>
    <w:p w14:paraId="120756B5" w14:textId="77777777" w:rsidR="00921D71" w:rsidRPr="00921D71" w:rsidRDefault="00921D71" w:rsidP="00921D71">
      <w:pPr>
        <w:spacing w:before="120" w:after="120" w:line="240" w:lineRule="auto"/>
        <w:textAlignment w:val="baseline"/>
        <w:rPr>
          <w:rFonts w:ascii="Calibri" w:eastAsia="Calibri" w:hAnsi="Calibri" w:cs="Calibri"/>
          <w:color w:val="000000"/>
        </w:rPr>
      </w:pPr>
      <w:proofErr w:type="gramStart"/>
      <w:r w:rsidRPr="00921D71">
        <w:rPr>
          <w:rFonts w:ascii="Calibri" w:eastAsia="Calibri" w:hAnsi="Calibri" w:cs="Calibri"/>
          <w:color w:val="000000"/>
        </w:rPr>
        <w:t>The majority of</w:t>
      </w:r>
      <w:proofErr w:type="gramEnd"/>
      <w:r w:rsidRPr="00921D71">
        <w:rPr>
          <w:rFonts w:ascii="Calibri" w:eastAsia="Calibri" w:hAnsi="Calibri" w:cs="Calibri"/>
          <w:color w:val="000000"/>
        </w:rPr>
        <w:t xml:space="preserve"> stakeholders that made submissions were supportive of such an extension of jurisdiction. However, to overcome issues such as the inability of tribunals to make binding judicial determinations, three stakeholders specifically suggested that this should be undertaken in the form of a dual industrial court and tribunal. Similarly, other stakeholders raised the potential of dual appointments between the FCFCOA and FWC to overcome issues with the enforcement of FWC orders, while the utility of the dual court and tribunal process in the South Australian Employment Tribunal was also reflected upon favourably.</w:t>
      </w:r>
    </w:p>
    <w:p w14:paraId="3E96161A" w14:textId="77777777" w:rsidR="00921D71" w:rsidRPr="00921D71" w:rsidRDefault="00921D71" w:rsidP="00281471">
      <w:pPr>
        <w:pStyle w:val="Heading3"/>
        <w:rPr>
          <w:rFonts w:eastAsia="Times New Roman"/>
          <w:lang w:eastAsia="en-AU"/>
        </w:rPr>
      </w:pPr>
      <w:bookmarkStart w:id="28" w:name="_Toc183777418"/>
      <w:r w:rsidRPr="00921D71">
        <w:rPr>
          <w:rFonts w:eastAsia="Times New Roman"/>
          <w:lang w:eastAsia="en-AU"/>
        </w:rPr>
        <w:t>Simplified procedure</w:t>
      </w:r>
      <w:bookmarkEnd w:id="28"/>
    </w:p>
    <w:p w14:paraId="1EDAADB4" w14:textId="54E1F713" w:rsidR="00921D71" w:rsidRPr="00921D71" w:rsidRDefault="00921D71" w:rsidP="00921D71">
      <w:pPr>
        <w:spacing w:before="120" w:after="120" w:line="240" w:lineRule="auto"/>
        <w:rPr>
          <w:rFonts w:ascii="Calibri" w:eastAsia="Calibri" w:hAnsi="Calibri" w:cs="Calibri"/>
          <w:color w:val="000000"/>
        </w:rPr>
      </w:pPr>
      <w:r w:rsidRPr="00921D71">
        <w:rPr>
          <w:rFonts w:ascii="Calibri" w:eastAsia="Calibri" w:hAnsi="Calibri" w:cs="Calibri"/>
          <w:color w:val="000000"/>
        </w:rPr>
        <w:t>Various stakeholders submitted that conferring small claims jurisdiction on the FWC would result in less complexity than the current court-based procedure. </w:t>
      </w:r>
      <w:r w:rsidR="0027086D">
        <w:rPr>
          <w:rFonts w:ascii="Calibri" w:eastAsia="Calibri" w:hAnsi="Calibri" w:cs="Calibri"/>
          <w:color w:val="000000"/>
        </w:rPr>
        <w:t>One stakeholder</w:t>
      </w:r>
      <w:r w:rsidRPr="00921D71">
        <w:rPr>
          <w:rFonts w:ascii="Calibri" w:eastAsia="Calibri" w:hAnsi="Calibri" w:cs="Calibri"/>
          <w:color w:val="000000"/>
        </w:rPr>
        <w:t xml:space="preserve"> noted that the FWC has simplified case management processes, procedures and forms. For example, personal service is not required to commence FWC unfair dismissal or general protections proceedings, as the FWC provides the initiating application to the respondent employer directly. </w:t>
      </w:r>
      <w:r w:rsidR="0027086D">
        <w:rPr>
          <w:rFonts w:ascii="Calibri" w:eastAsia="Calibri" w:hAnsi="Calibri" w:cs="Calibri"/>
          <w:color w:val="000000"/>
        </w:rPr>
        <w:t>This stakeholder</w:t>
      </w:r>
      <w:r w:rsidRPr="00921D71">
        <w:rPr>
          <w:rFonts w:ascii="Calibri" w:eastAsia="Calibri" w:hAnsi="Calibri" w:cs="Calibri"/>
          <w:color w:val="000000"/>
        </w:rPr>
        <w:t xml:space="preserve"> also suggested that, if small claims were extended to the FWC, application forms for claims that commonly co-occur with underpayment (for example, general protections) could include a section on whether the applicant also has a claim for unpaid entitlements. Further, </w:t>
      </w:r>
      <w:r w:rsidR="0027086D">
        <w:rPr>
          <w:rFonts w:ascii="Calibri" w:eastAsia="Calibri" w:hAnsi="Calibri" w:cs="Calibri"/>
          <w:color w:val="000000"/>
        </w:rPr>
        <w:t>another stakeholder</w:t>
      </w:r>
      <w:r w:rsidRPr="00921D71">
        <w:rPr>
          <w:rFonts w:ascii="Calibri" w:eastAsia="Calibri" w:hAnsi="Calibri" w:cs="Calibri"/>
          <w:color w:val="000000"/>
        </w:rPr>
        <w:t xml:space="preserve"> noted that underpayments are already informally considered as part of many </w:t>
      </w:r>
      <w:r w:rsidR="0027086D">
        <w:rPr>
          <w:rFonts w:ascii="Calibri" w:eastAsia="Calibri" w:hAnsi="Calibri" w:cs="Calibri"/>
          <w:color w:val="000000"/>
        </w:rPr>
        <w:t>applicants’</w:t>
      </w:r>
      <w:r w:rsidRPr="00921D71">
        <w:rPr>
          <w:rFonts w:ascii="Calibri" w:eastAsia="Calibri" w:hAnsi="Calibri" w:cs="Calibri"/>
          <w:color w:val="000000"/>
        </w:rPr>
        <w:t xml:space="preserve"> general protections claims in the FWC.</w:t>
      </w:r>
    </w:p>
    <w:p w14:paraId="46468617" w14:textId="77777777" w:rsidR="00921D71" w:rsidRPr="00921D71" w:rsidRDefault="00921D71" w:rsidP="00281471">
      <w:pPr>
        <w:pStyle w:val="Heading3"/>
        <w:rPr>
          <w:rFonts w:eastAsia="Times New Roman"/>
          <w:lang w:eastAsia="en-AU"/>
        </w:rPr>
      </w:pPr>
      <w:bookmarkStart w:id="29" w:name="_Toc183777419"/>
      <w:r w:rsidRPr="00921D71">
        <w:rPr>
          <w:rFonts w:eastAsia="Times New Roman"/>
          <w:lang w:eastAsia="en-AU"/>
        </w:rPr>
        <w:t>Timely resolution of matters</w:t>
      </w:r>
      <w:bookmarkEnd w:id="29"/>
    </w:p>
    <w:p w14:paraId="1A9306EF" w14:textId="0071803D" w:rsidR="00921D71" w:rsidRPr="00921D71" w:rsidRDefault="0027086D" w:rsidP="00921D71">
      <w:pPr>
        <w:spacing w:before="120" w:after="120" w:line="240" w:lineRule="auto"/>
        <w:rPr>
          <w:rFonts w:ascii="Calibri" w:eastAsia="Calibri" w:hAnsi="Calibri" w:cs="Calibri"/>
          <w:color w:val="000000"/>
        </w:rPr>
      </w:pPr>
      <w:r>
        <w:rPr>
          <w:rFonts w:ascii="Calibri" w:eastAsia="Calibri" w:hAnsi="Calibri" w:cs="Calibri"/>
          <w:color w:val="000000"/>
        </w:rPr>
        <w:t>A stakeholder</w:t>
      </w:r>
      <w:r w:rsidR="00921D71" w:rsidRPr="00921D71">
        <w:rPr>
          <w:rFonts w:ascii="Calibri" w:eastAsia="Calibri" w:hAnsi="Calibri" w:cs="Calibri"/>
          <w:color w:val="000000"/>
        </w:rPr>
        <w:t xml:space="preserve"> noted that, in the 2021-22 financial year, 50% of FWC cases were finalised within five weeks of lodgement, and 90% were finalised within 13 weeks of lodgement.</w:t>
      </w:r>
    </w:p>
    <w:p w14:paraId="157DCBDA" w14:textId="77777777" w:rsidR="00921D71" w:rsidRPr="00921D71" w:rsidRDefault="00921D71" w:rsidP="00281471">
      <w:pPr>
        <w:pStyle w:val="Heading3"/>
        <w:rPr>
          <w:rFonts w:eastAsia="Times New Roman"/>
          <w:lang w:eastAsia="en-AU"/>
        </w:rPr>
      </w:pPr>
      <w:bookmarkStart w:id="30" w:name="_Toc183777420"/>
      <w:r w:rsidRPr="00921D71">
        <w:rPr>
          <w:rFonts w:eastAsia="Times New Roman"/>
          <w:lang w:eastAsia="en-AU"/>
        </w:rPr>
        <w:t>Enforcement of orders</w:t>
      </w:r>
      <w:bookmarkEnd w:id="30"/>
    </w:p>
    <w:p w14:paraId="1602398C" w14:textId="1814C032" w:rsidR="00921D71" w:rsidRPr="00921D71" w:rsidRDefault="00921D71" w:rsidP="00921D71">
      <w:pPr>
        <w:keepNext/>
        <w:spacing w:before="120" w:after="120" w:line="240" w:lineRule="auto"/>
        <w:rPr>
          <w:rFonts w:ascii="Calibri" w:eastAsia="Calibri" w:hAnsi="Calibri" w:cs="Calibri"/>
          <w:color w:val="000000"/>
        </w:rPr>
      </w:pPr>
      <w:r w:rsidRPr="00921D71">
        <w:rPr>
          <w:rFonts w:ascii="Calibri" w:eastAsia="Calibri" w:hAnsi="Calibri" w:cs="Calibri"/>
          <w:color w:val="000000"/>
        </w:rPr>
        <w:t xml:space="preserve">Stakeholders raised issues relating to the enforcement of orders and settlements in relation to the potential extension of jurisdiction to the FWC (as with the current court-based court procedure). </w:t>
      </w:r>
      <w:r w:rsidR="0027086D">
        <w:rPr>
          <w:rFonts w:ascii="Calibri" w:eastAsia="Calibri" w:hAnsi="Calibri" w:cs="Calibri"/>
          <w:color w:val="000000"/>
        </w:rPr>
        <w:t>One stakeholder</w:t>
      </w:r>
      <w:r w:rsidRPr="00921D71">
        <w:rPr>
          <w:rFonts w:ascii="Calibri" w:eastAsia="Calibri" w:hAnsi="Calibri" w:cs="Calibri"/>
          <w:color w:val="000000"/>
        </w:rPr>
        <w:t xml:space="preserve"> noted that, for Constitutional reasons, the FWC has power to make orders in </w:t>
      </w:r>
      <w:r w:rsidRPr="00921D71">
        <w:rPr>
          <w:rFonts w:ascii="Calibri" w:eastAsia="Calibri" w:hAnsi="Calibri" w:cs="Calibri"/>
          <w:color w:val="000000"/>
        </w:rPr>
        <w:lastRenderedPageBreak/>
        <w:t xml:space="preserve">relation to disputes but not to issue binding judicial determinations. Additionally, </w:t>
      </w:r>
      <w:r w:rsidR="0027086D">
        <w:rPr>
          <w:rFonts w:ascii="Calibri" w:eastAsia="Calibri" w:hAnsi="Calibri" w:cs="Calibri"/>
          <w:color w:val="000000"/>
        </w:rPr>
        <w:t>this stakeholder</w:t>
      </w:r>
      <w:r w:rsidRPr="00921D71">
        <w:rPr>
          <w:rFonts w:ascii="Calibri" w:eastAsia="Calibri" w:hAnsi="Calibri" w:cs="Calibri"/>
          <w:color w:val="000000"/>
        </w:rPr>
        <w:t xml:space="preserve"> noted that only a court has power to order deterrent penalties against employers (noting, however, that penalties are currently unavailable in the small claims procedure). </w:t>
      </w:r>
      <w:r w:rsidR="0027086D">
        <w:rPr>
          <w:rFonts w:ascii="Calibri" w:eastAsia="Calibri" w:hAnsi="Calibri" w:cs="Calibri"/>
          <w:color w:val="000000"/>
        </w:rPr>
        <w:t>This stakeholder</w:t>
      </w:r>
      <w:r w:rsidRPr="00921D71">
        <w:rPr>
          <w:rFonts w:ascii="Calibri" w:eastAsia="Calibri" w:hAnsi="Calibri" w:cs="Calibri"/>
          <w:color w:val="000000"/>
        </w:rPr>
        <w:t xml:space="preserve"> proposed that, if small claims were extended to the FWC, referrals of matters to a court would need to be streamlined. Relatedly, </w:t>
      </w:r>
      <w:r w:rsidR="0027086D">
        <w:rPr>
          <w:rFonts w:ascii="Calibri" w:eastAsia="Calibri" w:hAnsi="Calibri" w:cs="Calibri"/>
          <w:color w:val="000000"/>
        </w:rPr>
        <w:t>a stakeholder</w:t>
      </w:r>
      <w:r w:rsidRPr="00921D71">
        <w:rPr>
          <w:rFonts w:ascii="Calibri" w:eastAsia="Calibri" w:hAnsi="Calibri" w:cs="Calibri"/>
          <w:color w:val="000000"/>
        </w:rPr>
        <w:t xml:space="preserve"> noted that where an order is made by the FWC, it is possible for the courts to order payment of a penalty. </w:t>
      </w:r>
      <w:r w:rsidR="0027086D">
        <w:rPr>
          <w:rFonts w:ascii="Calibri" w:eastAsia="Calibri" w:hAnsi="Calibri" w:cs="Calibri"/>
          <w:color w:val="000000"/>
        </w:rPr>
        <w:t>This stakeholder</w:t>
      </w:r>
      <w:r w:rsidRPr="00921D71">
        <w:rPr>
          <w:rFonts w:ascii="Calibri" w:eastAsia="Calibri" w:hAnsi="Calibri" w:cs="Calibri"/>
          <w:color w:val="000000"/>
        </w:rPr>
        <w:t xml:space="preserve"> recommended that court penalties be made available for non-payment of FWC small claims orders. </w:t>
      </w:r>
    </w:p>
    <w:p w14:paraId="6E66710B" w14:textId="77777777" w:rsidR="00921D71" w:rsidRPr="00921D71" w:rsidRDefault="00921D71" w:rsidP="00921D71">
      <w:pPr>
        <w:spacing w:before="120" w:after="120" w:line="240" w:lineRule="auto"/>
        <w:rPr>
          <w:rFonts w:ascii="Calibri" w:eastAsia="Calibri" w:hAnsi="Calibri" w:cs="Calibri"/>
          <w:color w:val="000000"/>
        </w:rPr>
      </w:pPr>
      <w:r w:rsidRPr="00921D71">
        <w:rPr>
          <w:rFonts w:ascii="Calibri" w:eastAsia="Calibri" w:hAnsi="Calibri" w:cs="Calibri"/>
          <w:color w:val="000000"/>
        </w:rPr>
        <w:t xml:space="preserve">Currently, many small claims heard within the FCFCOA are resolved by ADR, so applicants are required to take additional action within the courts to recover their entitlements </w:t>
      </w:r>
      <w:proofErr w:type="gramStart"/>
      <w:r w:rsidRPr="00921D71">
        <w:rPr>
          <w:rFonts w:ascii="Calibri" w:eastAsia="Calibri" w:hAnsi="Calibri" w:cs="Calibri"/>
          <w:color w:val="000000"/>
        </w:rPr>
        <w:t>in the event that</w:t>
      </w:r>
      <w:proofErr w:type="gramEnd"/>
      <w:r w:rsidRPr="00921D71">
        <w:rPr>
          <w:rFonts w:ascii="Calibri" w:eastAsia="Calibri" w:hAnsi="Calibri" w:cs="Calibri"/>
          <w:color w:val="000000"/>
        </w:rPr>
        <w:t xml:space="preserve"> employers do not comply with settlement agreements. Additionally, as noted by various stakeholders, enforceability issues also extend to court orders, with many employers simply not complying with orders and applicants often declining to pursue them through even more complicated enforcement proceedings. Therefore, enforceability issues require solutions at all levels of the small </w:t>
      </w:r>
      <w:proofErr w:type="gramStart"/>
      <w:r w:rsidRPr="00921D71">
        <w:rPr>
          <w:rFonts w:ascii="Calibri" w:eastAsia="Calibri" w:hAnsi="Calibri" w:cs="Calibri"/>
          <w:color w:val="000000"/>
        </w:rPr>
        <w:t>claims</w:t>
      </w:r>
      <w:proofErr w:type="gramEnd"/>
      <w:r w:rsidRPr="00921D71">
        <w:rPr>
          <w:rFonts w:ascii="Calibri" w:eastAsia="Calibri" w:hAnsi="Calibri" w:cs="Calibri"/>
          <w:color w:val="000000"/>
        </w:rPr>
        <w:t xml:space="preserve"> procedure, regardless of the body in which small claims are heard.</w:t>
      </w:r>
    </w:p>
    <w:p w14:paraId="6B0BB43F" w14:textId="77777777" w:rsidR="00921D71" w:rsidRPr="00921D71" w:rsidRDefault="00921D71" w:rsidP="00281471">
      <w:pPr>
        <w:pStyle w:val="Heading3"/>
        <w:rPr>
          <w:rFonts w:eastAsia="Times New Roman"/>
          <w:lang w:eastAsia="en-AU"/>
        </w:rPr>
      </w:pPr>
      <w:bookmarkStart w:id="31" w:name="_Toc183777421"/>
      <w:r w:rsidRPr="00921D71">
        <w:rPr>
          <w:rFonts w:eastAsia="Times New Roman"/>
          <w:lang w:eastAsia="en-AU"/>
        </w:rPr>
        <w:t>Increased accessibility for migrant workers</w:t>
      </w:r>
      <w:bookmarkEnd w:id="31"/>
    </w:p>
    <w:p w14:paraId="3B0EBB77" w14:textId="374D9168" w:rsidR="00921D71" w:rsidRPr="00921D71" w:rsidRDefault="00921D71" w:rsidP="00921D71">
      <w:pPr>
        <w:spacing w:before="120" w:after="120" w:line="240" w:lineRule="auto"/>
        <w:rPr>
          <w:rFonts w:ascii="Calibri" w:eastAsia="Calibri" w:hAnsi="Calibri" w:cs="Calibri"/>
          <w:color w:val="000000"/>
        </w:rPr>
      </w:pPr>
      <w:r w:rsidRPr="00921D71">
        <w:rPr>
          <w:rFonts w:ascii="Calibri" w:eastAsia="Calibri" w:hAnsi="Calibri" w:cs="Calibri"/>
          <w:color w:val="000000"/>
        </w:rPr>
        <w:t xml:space="preserve">Stakeholders submitted that conferring small claims jurisdiction on the FWC could assist migrant workers to recover their entitlements. For example, </w:t>
      </w:r>
      <w:r w:rsidR="00CA632D">
        <w:rPr>
          <w:rFonts w:ascii="Calibri" w:eastAsia="Calibri" w:hAnsi="Calibri" w:cs="Calibri"/>
          <w:color w:val="000000"/>
        </w:rPr>
        <w:t>one stakeholder</w:t>
      </w:r>
      <w:r w:rsidRPr="00921D71">
        <w:rPr>
          <w:rFonts w:ascii="Calibri" w:eastAsia="Calibri" w:hAnsi="Calibri" w:cs="Calibri"/>
          <w:color w:val="000000"/>
        </w:rPr>
        <w:t xml:space="preserve"> noted that the FWC having jurisdiction over most fair work matters, but not small claims, inhibits migrant workers’ ability to bring a wage claim by requiring them to pursue remedies in different jurisdictions. This would be the case for all vulnerable workers, not just migrant workers. However, findings from the National Temporary Migrant Work Survey revealed that a substantial proportion of temporary migrant workers are being underpaid. Stakeholders also noted that the FWC’s filing fees are much lower than those in the FCFCOA.</w:t>
      </w:r>
    </w:p>
    <w:p w14:paraId="3F3A9155" w14:textId="07BE1790" w:rsidR="00921D71" w:rsidRPr="00921D71" w:rsidRDefault="00D56DAF" w:rsidP="00921D71">
      <w:pPr>
        <w:spacing w:before="120" w:after="120" w:line="240" w:lineRule="auto"/>
        <w:rPr>
          <w:rFonts w:ascii="Calibri" w:eastAsia="Calibri" w:hAnsi="Calibri" w:cs="Calibri"/>
          <w:color w:val="000000"/>
        </w:rPr>
      </w:pPr>
      <w:r>
        <w:rPr>
          <w:rFonts w:ascii="Calibri" w:eastAsia="Calibri" w:hAnsi="Calibri" w:cs="Calibri"/>
          <w:color w:val="000000"/>
        </w:rPr>
        <w:t>This stakeholder</w:t>
      </w:r>
      <w:r w:rsidR="00921D71" w:rsidRPr="00921D71">
        <w:rPr>
          <w:rFonts w:ascii="Calibri" w:eastAsia="Calibri" w:hAnsi="Calibri" w:cs="Calibri"/>
          <w:color w:val="000000"/>
        </w:rPr>
        <w:t xml:space="preserve"> outlined several other features that it stated make the FWC more accessible for vulnerable applicants compared to the FCFCOA. These include simplified case management processes and procedures (including the forms required for filing applications and relaxed service requirements) and the FWC’s existing jurisdiction and workplace relations expertise. Further, stakeholders noted that the FWC’s industrial knowledge may be particularly helpful to migrant workers who are often employed in industries where workers are subject to specific pressures and exploitation risks. </w:t>
      </w:r>
    </w:p>
    <w:p w14:paraId="44E64032" w14:textId="213642CE" w:rsidR="00921D71" w:rsidRPr="00921D71" w:rsidRDefault="00D56DAF" w:rsidP="00EC0DDC">
      <w:pPr>
        <w:spacing w:before="120" w:after="120" w:line="240" w:lineRule="auto"/>
        <w:rPr>
          <w:rFonts w:ascii="Calibri" w:eastAsia="Calibri" w:hAnsi="Calibri" w:cs="Calibri"/>
          <w:color w:val="000000"/>
        </w:rPr>
      </w:pPr>
      <w:r>
        <w:rPr>
          <w:rFonts w:ascii="Calibri" w:eastAsia="Calibri" w:hAnsi="Calibri" w:cs="Calibri"/>
          <w:color w:val="000000"/>
        </w:rPr>
        <w:t>One stakeholder</w:t>
      </w:r>
      <w:r w:rsidR="00921D71" w:rsidRPr="00921D71">
        <w:rPr>
          <w:rFonts w:ascii="Calibri" w:eastAsia="Calibri" w:hAnsi="Calibri" w:cs="Calibri"/>
          <w:color w:val="000000"/>
        </w:rPr>
        <w:t xml:space="preserve"> noted that the FWC is generally a well-recognised body amongst workers and that workers may be more likely to have some level of familiarity with the FWC as a means of seeking redress compared to the courts. Many migrant workers on temporary work visas will have received briefings about their workplace rights, including information about the FWC and the FWO. Additionally, even if workers are not familiar with the FWC to begin with, they may be more likely to approach a tribunal with the expectation of a relatively informal redress process. Conversely, the prospect of undertaking a court procedure is likely to seem far more intimidating (even with ADR processes available with the courts, which workers are unlikely to be aware of in any case). </w:t>
      </w:r>
    </w:p>
    <w:p w14:paraId="5039A198" w14:textId="77777777" w:rsidR="00921D71" w:rsidRPr="00921D71" w:rsidRDefault="00921D71" w:rsidP="00281471">
      <w:pPr>
        <w:pStyle w:val="Heading3"/>
        <w:rPr>
          <w:rFonts w:eastAsia="Times New Roman"/>
          <w:lang w:eastAsia="en-AU"/>
        </w:rPr>
      </w:pPr>
      <w:bookmarkStart w:id="32" w:name="_Toc183777422"/>
      <w:r w:rsidRPr="00921D71">
        <w:rPr>
          <w:rFonts w:eastAsia="Times New Roman"/>
          <w:lang w:eastAsia="en-AU"/>
        </w:rPr>
        <w:t>Establishment of an industrial court</w:t>
      </w:r>
      <w:bookmarkEnd w:id="32"/>
      <w:r w:rsidRPr="00921D71">
        <w:rPr>
          <w:rFonts w:eastAsia="Times New Roman"/>
          <w:lang w:eastAsia="en-AU"/>
        </w:rPr>
        <w:t> </w:t>
      </w:r>
    </w:p>
    <w:p w14:paraId="4DF91F7B" w14:textId="213FA83D" w:rsidR="00921D71" w:rsidRPr="00921D71" w:rsidRDefault="00921D71" w:rsidP="00A62EA7">
      <w:pPr>
        <w:spacing w:before="120" w:after="120" w:line="240" w:lineRule="auto"/>
        <w:contextualSpacing/>
        <w:rPr>
          <w:rFonts w:ascii="Calibri" w:eastAsia="Calibri" w:hAnsi="Calibri" w:cs="Calibri"/>
          <w:color w:val="000000"/>
        </w:rPr>
      </w:pPr>
      <w:r w:rsidRPr="00921D71">
        <w:rPr>
          <w:rFonts w:ascii="Calibri" w:eastAsia="Calibri" w:hAnsi="Calibri" w:cs="Calibri"/>
          <w:color w:val="000000"/>
        </w:rPr>
        <w:t xml:space="preserve">Although out of scope for the Review, </w:t>
      </w:r>
      <w:r w:rsidR="00A62EA7">
        <w:rPr>
          <w:rFonts w:ascii="Calibri" w:eastAsia="Calibri" w:hAnsi="Calibri" w:cs="Calibri"/>
          <w:color w:val="000000"/>
        </w:rPr>
        <w:t xml:space="preserve">three stakeholders </w:t>
      </w:r>
      <w:r w:rsidRPr="00921D71">
        <w:rPr>
          <w:rFonts w:ascii="Calibri" w:eastAsia="Calibri" w:hAnsi="Calibri" w:cs="Calibri"/>
          <w:color w:val="000000"/>
        </w:rPr>
        <w:t xml:space="preserve">separately volunteered a proposal to establish a new industrial court. These stakeholders considered that an industrial court could overcome current issues with the small </w:t>
      </w:r>
      <w:proofErr w:type="gramStart"/>
      <w:r w:rsidRPr="00921D71">
        <w:rPr>
          <w:rFonts w:ascii="Calibri" w:eastAsia="Calibri" w:hAnsi="Calibri" w:cs="Calibri"/>
          <w:color w:val="000000"/>
        </w:rPr>
        <w:t>claims</w:t>
      </w:r>
      <w:proofErr w:type="gramEnd"/>
      <w:r w:rsidRPr="00921D71">
        <w:rPr>
          <w:rFonts w:ascii="Calibri" w:eastAsia="Calibri" w:hAnsi="Calibri" w:cs="Calibri"/>
          <w:color w:val="000000"/>
        </w:rPr>
        <w:t xml:space="preserve"> procedure and the resolution of fair work matters more generally. </w:t>
      </w:r>
      <w:proofErr w:type="gramStart"/>
      <w:r w:rsidRPr="00921D71">
        <w:rPr>
          <w:rFonts w:ascii="Calibri" w:eastAsia="Calibri" w:hAnsi="Calibri" w:cs="Calibri"/>
          <w:color w:val="000000"/>
        </w:rPr>
        <w:t xml:space="preserve">In particular, </w:t>
      </w:r>
      <w:r w:rsidR="00A62EA7">
        <w:rPr>
          <w:rFonts w:ascii="Calibri" w:eastAsia="Calibri" w:hAnsi="Calibri" w:cs="Calibri"/>
          <w:color w:val="000000"/>
        </w:rPr>
        <w:t>two</w:t>
      </w:r>
      <w:proofErr w:type="gramEnd"/>
      <w:r w:rsidR="00A62EA7">
        <w:rPr>
          <w:rFonts w:ascii="Calibri" w:eastAsia="Calibri" w:hAnsi="Calibri" w:cs="Calibri"/>
          <w:color w:val="000000"/>
        </w:rPr>
        <w:t xml:space="preserve"> stakeholders</w:t>
      </w:r>
      <w:r w:rsidRPr="00921D71">
        <w:rPr>
          <w:rFonts w:ascii="Calibri" w:eastAsia="Calibri" w:hAnsi="Calibri" w:cs="Calibri"/>
          <w:color w:val="000000"/>
        </w:rPr>
        <w:t xml:space="preserve"> emphasised the benefits of a dual industrial court and tribunal model to:</w:t>
      </w:r>
    </w:p>
    <w:p w14:paraId="693994A9" w14:textId="77777777" w:rsidR="00921D71" w:rsidRPr="00921D71" w:rsidRDefault="00921D71" w:rsidP="00921D71">
      <w:pPr>
        <w:numPr>
          <w:ilvl w:val="0"/>
          <w:numId w:val="47"/>
        </w:numPr>
        <w:spacing w:before="120" w:after="120" w:line="240" w:lineRule="auto"/>
        <w:contextualSpacing/>
        <w:rPr>
          <w:rFonts w:ascii="Calibri" w:eastAsia="Calibri" w:hAnsi="Calibri" w:cs="Calibri"/>
          <w:color w:val="000000"/>
        </w:rPr>
      </w:pPr>
      <w:r w:rsidRPr="00921D71">
        <w:rPr>
          <w:rFonts w:ascii="Calibri" w:eastAsia="Calibri" w:hAnsi="Calibri" w:cs="Calibri"/>
          <w:color w:val="000000"/>
        </w:rPr>
        <w:t>streamline existing processes between the FWC and the courts, enabling matters to be heard in a single jurisdiction</w:t>
      </w:r>
    </w:p>
    <w:p w14:paraId="61091592" w14:textId="77777777" w:rsidR="00921D71" w:rsidRPr="00921D71" w:rsidRDefault="00921D71" w:rsidP="00921D71">
      <w:pPr>
        <w:numPr>
          <w:ilvl w:val="0"/>
          <w:numId w:val="47"/>
        </w:numPr>
        <w:spacing w:before="120" w:after="120" w:line="240" w:lineRule="auto"/>
        <w:contextualSpacing/>
        <w:rPr>
          <w:rFonts w:ascii="Calibri" w:eastAsia="Calibri" w:hAnsi="Calibri" w:cs="Calibri"/>
          <w:color w:val="000000"/>
        </w:rPr>
      </w:pPr>
      <w:r w:rsidRPr="00921D71">
        <w:rPr>
          <w:rFonts w:ascii="Calibri" w:eastAsia="Calibri" w:hAnsi="Calibri" w:cs="Calibri"/>
          <w:color w:val="000000"/>
        </w:rPr>
        <w:lastRenderedPageBreak/>
        <w:t xml:space="preserve">address enforceability issues with FWC orders, and </w:t>
      </w:r>
    </w:p>
    <w:p w14:paraId="348D7DBF" w14:textId="77777777" w:rsidR="00921D71" w:rsidRPr="00921D71" w:rsidRDefault="00921D71" w:rsidP="00921D71">
      <w:pPr>
        <w:numPr>
          <w:ilvl w:val="0"/>
          <w:numId w:val="47"/>
        </w:numPr>
        <w:spacing w:before="120" w:after="120" w:line="240" w:lineRule="auto"/>
        <w:contextualSpacing/>
        <w:rPr>
          <w:rFonts w:ascii="Calibri" w:eastAsia="Calibri" w:hAnsi="Calibri" w:cs="Calibri"/>
          <w:color w:val="000000"/>
        </w:rPr>
      </w:pPr>
      <w:r w:rsidRPr="00921D71">
        <w:rPr>
          <w:rFonts w:ascii="Calibri" w:eastAsia="Calibri" w:hAnsi="Calibri" w:cs="Calibri"/>
          <w:color w:val="000000"/>
        </w:rPr>
        <w:t>ensure workplace relations matters are dealt with by specialist judges with the requisite expertise.</w:t>
      </w:r>
    </w:p>
    <w:p w14:paraId="331DDDF5" w14:textId="77777777" w:rsidR="00921D71" w:rsidRPr="00921D71" w:rsidRDefault="00921D71" w:rsidP="00281471">
      <w:pPr>
        <w:pStyle w:val="Heading2"/>
        <w:rPr>
          <w:rFonts w:eastAsia="Times New Roman"/>
          <w:lang w:eastAsia="en-AU"/>
        </w:rPr>
      </w:pPr>
      <w:bookmarkStart w:id="33" w:name="_Toc183777423"/>
      <w:r w:rsidRPr="00921D71">
        <w:rPr>
          <w:rFonts w:eastAsia="Times New Roman"/>
          <w:lang w:eastAsia="en-AU"/>
        </w:rPr>
        <w:t>Recommendations to Government</w:t>
      </w:r>
      <w:bookmarkEnd w:id="33"/>
    </w:p>
    <w:p w14:paraId="0DBA7801" w14:textId="534B947D" w:rsidR="00281471" w:rsidRDefault="00921D71" w:rsidP="00281471">
      <w:pPr>
        <w:spacing w:before="120" w:after="120" w:line="240" w:lineRule="auto"/>
        <w:rPr>
          <w:rFonts w:ascii="Calibri" w:eastAsia="Calibri" w:hAnsi="Calibri" w:cs="Calibri"/>
          <w:color w:val="000000"/>
        </w:rPr>
      </w:pPr>
      <w:r w:rsidRPr="00921D71">
        <w:rPr>
          <w:rFonts w:ascii="Calibri" w:eastAsia="Calibri" w:hAnsi="Calibri" w:cs="Calibri"/>
          <w:color w:val="000000"/>
        </w:rPr>
        <w:t>Conferral of jurisdiction on a tribunal to hear small claims via ADR should be deferred. This reform could instead be considered alongside future examination of complementary options (for example, as some stakeholders suggested, the establishment of a dedicated federal industrial court). Joint consideration of related reforms to the Fair Work jurisdictional framework would avoid duplication of effort and enable interactions between these jurisdictions to be effectively managed. The establishment of any industrial court is a matter for Government and would require close consideration of constitutional issues.</w:t>
      </w:r>
    </w:p>
    <w:p w14:paraId="7F137C4A" w14:textId="77777777" w:rsidR="00281471" w:rsidRPr="00921D71" w:rsidRDefault="00281471" w:rsidP="00281471">
      <w:pPr>
        <w:pStyle w:val="Heading4"/>
        <w:rPr>
          <w:rFonts w:eastAsia="Calibri"/>
        </w:rPr>
      </w:pPr>
      <w:r w:rsidRPr="00921D71">
        <w:rPr>
          <w:rFonts w:eastAsia="Calibri"/>
        </w:rPr>
        <w:t>Recommendation 11</w:t>
      </w:r>
    </w:p>
    <w:p w14:paraId="085173A5" w14:textId="7E53669E" w:rsidR="003F6926" w:rsidRDefault="00281471" w:rsidP="00686958">
      <w:pPr>
        <w:spacing w:before="120" w:after="120" w:line="240" w:lineRule="auto"/>
        <w:rPr>
          <w:rFonts w:ascii="Calibri" w:hAnsi="Calibri" w:cs="Arial"/>
        </w:rPr>
      </w:pPr>
      <w:r w:rsidRPr="00921D71">
        <w:rPr>
          <w:rFonts w:ascii="Calibri" w:hAnsi="Calibri" w:cs="Arial"/>
        </w:rPr>
        <w:t>Noting differing views about the potentially complementary nature of extending small claims jurisdiction to a tribunal and establishing an industrial court, it is recommended that Government consider these options further and determine which option, if any, to pursue. In progressing the selected policy, stakeholder feedback, including that received as part of the Small Claims Review, should be considered.</w:t>
      </w:r>
    </w:p>
    <w:p w14:paraId="6094AB90" w14:textId="77777777" w:rsidR="003F6926" w:rsidRDefault="003F6926">
      <w:pPr>
        <w:spacing w:after="160" w:line="259" w:lineRule="auto"/>
        <w:rPr>
          <w:rFonts w:ascii="Calibri" w:hAnsi="Calibri" w:cs="Arial"/>
        </w:rPr>
      </w:pPr>
      <w:r>
        <w:rPr>
          <w:rFonts w:ascii="Calibri" w:hAnsi="Calibri" w:cs="Arial"/>
        </w:rPr>
        <w:br w:type="page"/>
      </w:r>
    </w:p>
    <w:p w14:paraId="00D01709" w14:textId="499CDCB8" w:rsidR="00921D71" w:rsidRPr="00686958" w:rsidRDefault="00921D71" w:rsidP="00686958">
      <w:pPr>
        <w:pStyle w:val="Heading1"/>
        <w:rPr>
          <w:rStyle w:val="Heading1Char"/>
          <w:b/>
          <w:bCs/>
        </w:rPr>
      </w:pPr>
      <w:bookmarkStart w:id="34" w:name="_Toc183777424"/>
      <w:r w:rsidRPr="00686958">
        <w:rPr>
          <w:rStyle w:val="Heading1Char"/>
          <w:b/>
          <w:bCs/>
        </w:rPr>
        <w:lastRenderedPageBreak/>
        <w:t>Issue 3: Use of tripartite approaches to prevent, detect and resolve underpayment matters</w:t>
      </w:r>
      <w:bookmarkEnd w:id="34"/>
      <w:r w:rsidRPr="00686958">
        <w:rPr>
          <w:rStyle w:val="Heading1Char"/>
          <w:b/>
          <w:bCs/>
        </w:rPr>
        <w:t>  </w:t>
      </w:r>
    </w:p>
    <w:p w14:paraId="4A10771B" w14:textId="77777777" w:rsidR="00921D71" w:rsidRPr="00921D71" w:rsidRDefault="00921D71" w:rsidP="00921D71">
      <w:pPr>
        <w:spacing w:before="120" w:after="120" w:line="240" w:lineRule="auto"/>
        <w:textAlignment w:val="baseline"/>
        <w:rPr>
          <w:rFonts w:ascii="Calibri" w:eastAsia="Calibri" w:hAnsi="Calibri" w:cs="Calibri"/>
          <w:color w:val="000000"/>
        </w:rPr>
      </w:pPr>
      <w:r w:rsidRPr="00921D71">
        <w:rPr>
          <w:rFonts w:ascii="Calibri" w:eastAsia="Calibri" w:hAnsi="Calibri" w:cs="Calibri"/>
          <w:color w:val="000000"/>
        </w:rPr>
        <w:t>There was limited engagement from stakeholders on Issue 3. Some suggested that they already engage in what they consider to be tripartism through collaborative engagement with other workplace relations stakeholders. Stakeholders highlighted that community-based organisations are deeply embedded in the communities they serve and that it is important they are included in any tripartite model. Stakeholders noted that many organisations have structures and processes in place to effectively navigate and manage the workplace relations systems for their clients. It was suggested that there was merit in better information-sharing across regulators to avoid conflicting advice.</w:t>
      </w:r>
    </w:p>
    <w:p w14:paraId="74B6218C" w14:textId="77777777" w:rsidR="00921D71" w:rsidRPr="00921D71" w:rsidRDefault="00921D71" w:rsidP="00921D71">
      <w:pPr>
        <w:spacing w:before="120" w:after="120" w:line="240" w:lineRule="auto"/>
        <w:textAlignment w:val="baseline"/>
        <w:rPr>
          <w:rFonts w:ascii="Calibri" w:eastAsia="Yu Mincho" w:hAnsi="Calibri" w:cs="Arial"/>
        </w:rPr>
      </w:pPr>
      <w:r w:rsidRPr="00921D71">
        <w:rPr>
          <w:rFonts w:ascii="Calibri" w:eastAsia="Yu Mincho" w:hAnsi="Calibri" w:cs="Arial"/>
        </w:rPr>
        <w:t xml:space="preserve">There are various ongoing efforts within the department to advance tripartism, and the FWO is actively exploring opportunities to increase consultation and collaboration with workplace participants and stakeholders. Some of the existing tripartite efforts, should continue to be built upon, and are discussed further below. This Report also notes that the FWO returned $1.041 billion to more than 635,000 underpaid workers across 2021-22 and 2022-23. </w:t>
      </w:r>
    </w:p>
    <w:p w14:paraId="0A31DBE4" w14:textId="77777777" w:rsidR="00921D71" w:rsidRPr="00921D71" w:rsidRDefault="00921D71" w:rsidP="00845854">
      <w:pPr>
        <w:pStyle w:val="Heading2"/>
        <w:rPr>
          <w:rFonts w:eastAsia="Times New Roman"/>
          <w:sz w:val="18"/>
          <w:szCs w:val="18"/>
          <w:lang w:eastAsia="en-AU"/>
        </w:rPr>
      </w:pPr>
      <w:bookmarkStart w:id="35" w:name="_Toc183777425"/>
      <w:r w:rsidRPr="00921D71">
        <w:rPr>
          <w:rFonts w:eastAsia="Times New Roman"/>
          <w:lang w:eastAsia="en-AU"/>
        </w:rPr>
        <w:t>Stakeholder feedback</w:t>
      </w:r>
      <w:bookmarkEnd w:id="35"/>
      <w:r w:rsidRPr="00921D71">
        <w:rPr>
          <w:rFonts w:eastAsia="Times New Roman"/>
          <w:lang w:eastAsia="en-AU"/>
        </w:rPr>
        <w:t xml:space="preserve"> </w:t>
      </w:r>
    </w:p>
    <w:p w14:paraId="35CD8030" w14:textId="77777777" w:rsidR="00921D71" w:rsidRPr="00921D71" w:rsidRDefault="00921D71" w:rsidP="00921D71">
      <w:pPr>
        <w:spacing w:before="120" w:after="120" w:line="240" w:lineRule="auto"/>
        <w:textAlignment w:val="baseline"/>
        <w:rPr>
          <w:rFonts w:ascii="Calibri" w:eastAsia="Calibri" w:hAnsi="Calibri" w:cs="Calibri"/>
          <w:color w:val="000000"/>
        </w:rPr>
      </w:pPr>
      <w:r w:rsidRPr="00921D71">
        <w:rPr>
          <w:rFonts w:ascii="Calibri" w:eastAsia="Calibri" w:hAnsi="Calibri" w:cs="Calibri"/>
          <w:color w:val="000000"/>
        </w:rPr>
        <w:t xml:space="preserve">Stakeholders again noted the complexity of the system. They made </w:t>
      </w:r>
      <w:proofErr w:type="gramStart"/>
      <w:r w:rsidRPr="00921D71">
        <w:rPr>
          <w:rFonts w:ascii="Calibri" w:eastAsia="Calibri" w:hAnsi="Calibri" w:cs="Calibri"/>
          <w:color w:val="000000"/>
        </w:rPr>
        <w:t>a number of</w:t>
      </w:r>
      <w:proofErr w:type="gramEnd"/>
      <w:r w:rsidRPr="00921D71">
        <w:rPr>
          <w:rFonts w:ascii="Calibri" w:eastAsia="Calibri" w:hAnsi="Calibri" w:cs="Calibri"/>
          <w:color w:val="000000"/>
        </w:rPr>
        <w:t xml:space="preserve"> suggestions relating to education and information for employers and employees, and collaboration between employers and workers’ representatives. </w:t>
      </w:r>
    </w:p>
    <w:p w14:paraId="27BB7A6B" w14:textId="3D94692E" w:rsidR="00921D71" w:rsidRPr="00921D71" w:rsidRDefault="00921D71" w:rsidP="00921D71">
      <w:pPr>
        <w:spacing w:before="120" w:after="120" w:line="240" w:lineRule="auto"/>
        <w:textAlignment w:val="baseline"/>
        <w:rPr>
          <w:rFonts w:ascii="Calibri" w:eastAsia="Yu Mincho" w:hAnsi="Calibri" w:cs="Arial"/>
        </w:rPr>
      </w:pPr>
      <w:r w:rsidRPr="00921D71">
        <w:rPr>
          <w:rFonts w:ascii="Calibri" w:eastAsia="Calibri" w:hAnsi="Calibri" w:cs="Calibri"/>
          <w:color w:val="000000"/>
        </w:rPr>
        <w:t xml:space="preserve">Some stakeholders cautioned against the use of tripartism in the context of addressing underpayments, fearing that it might mean compliance and enforcement approaches based on making agreements with non-compliant employers, or that it might involve </w:t>
      </w:r>
      <w:proofErr w:type="spellStart"/>
      <w:r w:rsidRPr="00921D71">
        <w:rPr>
          <w:rFonts w:ascii="Calibri" w:eastAsia="Calibri" w:hAnsi="Calibri" w:cs="Calibri"/>
          <w:color w:val="000000"/>
        </w:rPr>
        <w:t>deputi</w:t>
      </w:r>
      <w:r w:rsidR="00FA12CF">
        <w:rPr>
          <w:rFonts w:ascii="Calibri" w:eastAsia="Calibri" w:hAnsi="Calibri" w:cs="Calibri"/>
          <w:color w:val="000000"/>
        </w:rPr>
        <w:t>s</w:t>
      </w:r>
      <w:r w:rsidRPr="00921D71">
        <w:rPr>
          <w:rFonts w:ascii="Calibri" w:eastAsia="Calibri" w:hAnsi="Calibri" w:cs="Calibri"/>
          <w:color w:val="000000"/>
        </w:rPr>
        <w:t>ation</w:t>
      </w:r>
      <w:proofErr w:type="spellEnd"/>
      <w:r w:rsidRPr="00921D71">
        <w:rPr>
          <w:rFonts w:ascii="Calibri" w:eastAsia="Calibri" w:hAnsi="Calibri" w:cs="Calibri"/>
          <w:color w:val="000000"/>
        </w:rPr>
        <w:t xml:space="preserve"> of organisations such as unions to undertake regulator functions. For example, </w:t>
      </w:r>
      <w:r w:rsidR="00165CDF">
        <w:rPr>
          <w:rFonts w:ascii="Calibri" w:eastAsia="Calibri" w:hAnsi="Calibri" w:cs="Calibri"/>
          <w:color w:val="000000"/>
        </w:rPr>
        <w:t>one stakeholder</w:t>
      </w:r>
      <w:r w:rsidRPr="00921D71">
        <w:rPr>
          <w:rFonts w:ascii="Calibri" w:eastAsia="Calibri" w:hAnsi="Calibri" w:cs="Calibri"/>
          <w:color w:val="000000"/>
        </w:rPr>
        <w:t xml:space="preserve"> noted its strong opposition to employee organisations being provided </w:t>
      </w:r>
      <w:proofErr w:type="gramStart"/>
      <w:r w:rsidRPr="00921D71">
        <w:rPr>
          <w:rFonts w:ascii="Calibri" w:eastAsia="Calibri" w:hAnsi="Calibri" w:cs="Calibri"/>
          <w:color w:val="000000"/>
        </w:rPr>
        <w:t>with standing</w:t>
      </w:r>
      <w:proofErr w:type="gramEnd"/>
      <w:r w:rsidRPr="00921D71">
        <w:rPr>
          <w:rFonts w:ascii="Calibri" w:eastAsia="Calibri" w:hAnsi="Calibri" w:cs="Calibri"/>
          <w:color w:val="000000"/>
        </w:rPr>
        <w:t xml:space="preserve"> to commence criminal proceedings against employers and individuals for wage underpayments.</w:t>
      </w:r>
    </w:p>
    <w:p w14:paraId="5E543190" w14:textId="77777777" w:rsidR="00921D71" w:rsidRPr="00921D71" w:rsidRDefault="00921D71" w:rsidP="00686958">
      <w:pPr>
        <w:pStyle w:val="Heading3"/>
        <w:rPr>
          <w:rFonts w:eastAsia="Times New Roman"/>
          <w:lang w:eastAsia="en-AU"/>
        </w:rPr>
      </w:pPr>
      <w:bookmarkStart w:id="36" w:name="_Toc183777426"/>
      <w:r w:rsidRPr="00921D71">
        <w:rPr>
          <w:rFonts w:eastAsia="Times New Roman"/>
          <w:lang w:eastAsia="en-AU"/>
        </w:rPr>
        <w:t>Education and information</w:t>
      </w:r>
      <w:bookmarkEnd w:id="36"/>
      <w:r w:rsidRPr="00921D71">
        <w:rPr>
          <w:rFonts w:eastAsia="Times New Roman"/>
          <w:lang w:eastAsia="en-AU"/>
        </w:rPr>
        <w:t xml:space="preserve"> </w:t>
      </w:r>
    </w:p>
    <w:p w14:paraId="5EFE4138" w14:textId="132A3DDD" w:rsidR="00921D71" w:rsidRPr="00921D71" w:rsidRDefault="00921D71" w:rsidP="00921D71">
      <w:pPr>
        <w:spacing w:before="120" w:after="120" w:line="240" w:lineRule="auto"/>
        <w:textAlignment w:val="baseline"/>
        <w:rPr>
          <w:rFonts w:ascii="Calibri" w:eastAsia="Yu Mincho" w:hAnsi="Calibri" w:cs="Arial"/>
        </w:rPr>
      </w:pPr>
      <w:r w:rsidRPr="00921D71">
        <w:rPr>
          <w:rFonts w:ascii="Calibri" w:eastAsia="Calibri" w:hAnsi="Calibri" w:cs="Calibri"/>
        </w:rPr>
        <w:t xml:space="preserve">The Fair Work Education and Information Program funded organisations to educate employees and employers throughout Victoria about the Fair Work Act when it first became law. </w:t>
      </w:r>
      <w:r w:rsidR="00165CDF">
        <w:rPr>
          <w:rFonts w:ascii="Calibri" w:eastAsia="Calibri" w:hAnsi="Calibri" w:cs="Calibri"/>
        </w:rPr>
        <w:t>A stakeholder</w:t>
      </w:r>
      <w:r w:rsidRPr="00921D71">
        <w:rPr>
          <w:rFonts w:ascii="Calibri" w:eastAsia="Calibri" w:hAnsi="Calibri" w:cs="Calibri"/>
        </w:rPr>
        <w:t xml:space="preserve"> advised that this was an extremely successful example of tripartism, which saw it directly engage with over 8,500 employees and employers across over 330 events, with information spreading to larger segments of the community. </w:t>
      </w:r>
      <w:r w:rsidR="00165CDF">
        <w:rPr>
          <w:rFonts w:ascii="Calibri" w:eastAsia="Calibri" w:hAnsi="Calibri" w:cs="Calibri"/>
        </w:rPr>
        <w:t>This stakeholder</w:t>
      </w:r>
      <w:r w:rsidRPr="00921D71">
        <w:rPr>
          <w:rFonts w:ascii="Calibri" w:eastAsia="Calibri" w:hAnsi="Calibri" w:cs="Calibri"/>
        </w:rPr>
        <w:t xml:space="preserve"> suggested that a similar large-scale education program could present an opportunity for tripartite collaboration between community organisations, vulnerable workers, and employers to improve compliance and engagement in enforcement processes. </w:t>
      </w:r>
    </w:p>
    <w:p w14:paraId="5B18EE5D" w14:textId="583F8911" w:rsidR="00921D71" w:rsidRPr="00921D71" w:rsidRDefault="00921D71" w:rsidP="00921D71">
      <w:pPr>
        <w:spacing w:before="120" w:after="120" w:line="240" w:lineRule="auto"/>
        <w:textAlignment w:val="baseline"/>
        <w:rPr>
          <w:rFonts w:ascii="Calibri" w:eastAsia="Yu Mincho" w:hAnsi="Calibri" w:cs="Arial"/>
        </w:rPr>
      </w:pPr>
      <w:r w:rsidRPr="00921D71">
        <w:rPr>
          <w:rFonts w:ascii="Calibri" w:eastAsia="Calibri" w:hAnsi="Calibri" w:cs="Calibri"/>
        </w:rPr>
        <w:t xml:space="preserve">Stakeholders noted the need to engage directly with vulnerable workers and their communities, beyond simply delivering campaigns via seminars and other formal methods. For example, </w:t>
      </w:r>
      <w:r w:rsidR="00165CDF">
        <w:rPr>
          <w:rFonts w:ascii="Calibri" w:eastAsia="Calibri" w:hAnsi="Calibri" w:cs="Calibri"/>
        </w:rPr>
        <w:t xml:space="preserve">one stakeholder </w:t>
      </w:r>
      <w:r w:rsidRPr="00921D71">
        <w:rPr>
          <w:rFonts w:ascii="Calibri" w:eastAsia="Calibri" w:hAnsi="Calibri" w:cs="Calibri"/>
        </w:rPr>
        <w:t>noted its work with community organisations, such as the Multicultural Community Services of Central Australia, the Australian Red Cross and the Central Australian Women’s Legal Services, to deliver education on workplace rights and raise awareness in relation to workplace exploitation and modern slavery. This work highlights the need for initiatives that connect traditional workplace relations stakeholders with organisations that may have more direct community links to communicate key messages about workplace rights.</w:t>
      </w:r>
    </w:p>
    <w:p w14:paraId="667D4AA3" w14:textId="57FDE262" w:rsidR="00921D71" w:rsidRPr="00921D71" w:rsidRDefault="00921D71" w:rsidP="00845854">
      <w:pPr>
        <w:pStyle w:val="Heading3"/>
        <w:rPr>
          <w:rFonts w:eastAsia="Times New Roman"/>
          <w:lang w:eastAsia="en-AU"/>
        </w:rPr>
      </w:pPr>
      <w:bookmarkStart w:id="37" w:name="_Toc183777427"/>
      <w:r w:rsidRPr="00921D71">
        <w:rPr>
          <w:rFonts w:eastAsia="Times New Roman"/>
          <w:lang w:eastAsia="en-AU"/>
        </w:rPr>
        <w:lastRenderedPageBreak/>
        <w:t>Collaboration between employers and workers’ representatives</w:t>
      </w:r>
      <w:bookmarkEnd w:id="37"/>
      <w:r w:rsidRPr="00921D71">
        <w:rPr>
          <w:rFonts w:eastAsia="Times New Roman"/>
          <w:lang w:eastAsia="en-AU"/>
        </w:rPr>
        <w:t xml:space="preserve"> </w:t>
      </w:r>
    </w:p>
    <w:p w14:paraId="6FA53BC9" w14:textId="5E6BED7A" w:rsidR="00921D71" w:rsidRPr="00921D71" w:rsidRDefault="00921D71" w:rsidP="00921D71">
      <w:pPr>
        <w:spacing w:before="120" w:after="120" w:line="240" w:lineRule="auto"/>
        <w:textAlignment w:val="baseline"/>
        <w:rPr>
          <w:rFonts w:ascii="Calibri" w:eastAsia="Yu Mincho" w:hAnsi="Calibri" w:cs="Arial"/>
          <w:b/>
          <w:bCs/>
          <w:i/>
          <w:iCs/>
        </w:rPr>
      </w:pPr>
      <w:r w:rsidRPr="00921D71">
        <w:rPr>
          <w:rFonts w:ascii="Calibri" w:eastAsia="Calibri" w:hAnsi="Calibri" w:cs="Calibri"/>
        </w:rPr>
        <w:t xml:space="preserve">A strong example of a collaborative initiative between employers and workers’ representatives was given by </w:t>
      </w:r>
      <w:r w:rsidR="00824926">
        <w:rPr>
          <w:rFonts w:ascii="Calibri" w:eastAsia="Calibri" w:hAnsi="Calibri" w:cs="Calibri"/>
        </w:rPr>
        <w:t>one stakeholder</w:t>
      </w:r>
      <w:r w:rsidRPr="00921D71">
        <w:rPr>
          <w:rFonts w:ascii="Calibri" w:eastAsia="Calibri" w:hAnsi="Calibri" w:cs="Calibri"/>
        </w:rPr>
        <w:t>. This was Ethical Clothing Australia, which involves agreements whereby employers provide worker representatives right of entry to audit pay and time records, in exchange for certification that a brand’s goods were ethically produced. Worker representative and union involvement is an inherent feature of this arrangement, with community language representatives also engaged by Ethical Clothing Australia and unions. This process applies to entire supply chains and networks, with all parties in the supply chain or network agreeing to be audited and the responsibility remaining with the principal employer or brand to ensure all parties are audited.</w:t>
      </w:r>
      <w:r w:rsidRPr="00921D71">
        <w:rPr>
          <w:rFonts w:ascii="Calibri" w:eastAsia="Yu Mincho" w:hAnsi="Calibri" w:cs="Arial"/>
          <w:b/>
          <w:bCs/>
          <w:i/>
          <w:iCs/>
          <w:highlight w:val="lightGray"/>
        </w:rPr>
        <w:t xml:space="preserve"> </w:t>
      </w:r>
    </w:p>
    <w:p w14:paraId="30F36F6D" w14:textId="77777777" w:rsidR="00921D71" w:rsidRPr="00921D71" w:rsidRDefault="00921D71" w:rsidP="00845854">
      <w:pPr>
        <w:pStyle w:val="Heading2"/>
        <w:rPr>
          <w:rFonts w:eastAsia="Times New Roman"/>
          <w:lang w:eastAsia="en-AU"/>
        </w:rPr>
      </w:pPr>
      <w:bookmarkStart w:id="38" w:name="_Toc183777428"/>
      <w:r w:rsidRPr="00921D71">
        <w:rPr>
          <w:rFonts w:eastAsia="Times New Roman"/>
          <w:lang w:eastAsia="en-AU"/>
        </w:rPr>
        <w:t>Recommendations to Government</w:t>
      </w:r>
      <w:bookmarkEnd w:id="38"/>
    </w:p>
    <w:p w14:paraId="06068789" w14:textId="77777777" w:rsidR="00921D71" w:rsidRPr="00921D71" w:rsidRDefault="00921D71" w:rsidP="001D7242">
      <w:pPr>
        <w:spacing w:before="120" w:after="120" w:line="240" w:lineRule="auto"/>
        <w:contextualSpacing/>
        <w:textAlignment w:val="baseline"/>
        <w:rPr>
          <w:rFonts w:ascii="Calibri" w:eastAsia="Calibri" w:hAnsi="Calibri" w:cs="Calibri"/>
        </w:rPr>
      </w:pPr>
      <w:r w:rsidRPr="00921D71">
        <w:rPr>
          <w:rFonts w:ascii="Calibri" w:eastAsia="Calibri" w:hAnsi="Calibri" w:cs="Calibri"/>
        </w:rPr>
        <w:t>The Government is committed to tripartism and to enhanced consultation on workplace relations reforms. This is reflected in the department’s extensive consultation with unions, employer groups and other relevant social partners on recent workplace relations legislation, including the:</w:t>
      </w:r>
    </w:p>
    <w:p w14:paraId="438A4B91" w14:textId="77777777" w:rsidR="00921D71" w:rsidRPr="00921D71" w:rsidRDefault="00921D71" w:rsidP="00921D71">
      <w:pPr>
        <w:numPr>
          <w:ilvl w:val="0"/>
          <w:numId w:val="46"/>
        </w:numPr>
        <w:spacing w:before="120" w:after="120" w:line="240" w:lineRule="auto"/>
        <w:contextualSpacing/>
        <w:textAlignment w:val="baseline"/>
        <w:rPr>
          <w:rFonts w:ascii="Calibri" w:eastAsia="Yu Mincho" w:hAnsi="Calibri" w:cs="Arial"/>
          <w:i/>
        </w:rPr>
      </w:pPr>
      <w:r w:rsidRPr="00921D71">
        <w:rPr>
          <w:rFonts w:ascii="Calibri" w:eastAsia="Yu Mincho" w:hAnsi="Calibri" w:cs="Arial"/>
          <w:i/>
        </w:rPr>
        <w:t>Fair Work Legislation Amendment (Secure Jobs, Better Pay) Act 2022</w:t>
      </w:r>
    </w:p>
    <w:p w14:paraId="2B81C761" w14:textId="77777777" w:rsidR="00921D71" w:rsidRPr="00921D71" w:rsidRDefault="00921D71" w:rsidP="00921D71">
      <w:pPr>
        <w:numPr>
          <w:ilvl w:val="0"/>
          <w:numId w:val="46"/>
        </w:numPr>
        <w:spacing w:before="120" w:after="120" w:line="240" w:lineRule="auto"/>
        <w:contextualSpacing/>
        <w:textAlignment w:val="baseline"/>
        <w:rPr>
          <w:rFonts w:ascii="Calibri" w:eastAsia="Yu Mincho" w:hAnsi="Calibri" w:cs="Arial"/>
          <w:i/>
        </w:rPr>
      </w:pPr>
      <w:r w:rsidRPr="00921D71">
        <w:rPr>
          <w:rFonts w:ascii="Calibri" w:eastAsia="Yu Mincho" w:hAnsi="Calibri" w:cs="Arial"/>
          <w:i/>
        </w:rPr>
        <w:t>Fair Work Legislation Amendment (Protecting Worker Entitlements) Act 2023</w:t>
      </w:r>
    </w:p>
    <w:p w14:paraId="2CCA9594" w14:textId="77777777" w:rsidR="00921D71" w:rsidRPr="00921D71" w:rsidRDefault="00921D71" w:rsidP="00921D71">
      <w:pPr>
        <w:numPr>
          <w:ilvl w:val="0"/>
          <w:numId w:val="46"/>
        </w:numPr>
        <w:spacing w:before="120" w:after="120" w:line="240" w:lineRule="auto"/>
        <w:contextualSpacing/>
        <w:textAlignment w:val="baseline"/>
        <w:rPr>
          <w:rFonts w:ascii="Calibri" w:eastAsia="Yu Mincho" w:hAnsi="Calibri" w:cs="Arial"/>
        </w:rPr>
      </w:pPr>
      <w:r w:rsidRPr="00921D71">
        <w:rPr>
          <w:rFonts w:ascii="Calibri" w:eastAsia="Yu Mincho" w:hAnsi="Calibri" w:cs="Arial"/>
          <w:i/>
        </w:rPr>
        <w:t>Fair Work Legislation Amendment (Closing Loopholes) Act 2023</w:t>
      </w:r>
      <w:r w:rsidRPr="00921D71">
        <w:rPr>
          <w:rFonts w:ascii="Calibri" w:eastAsia="Yu Mincho" w:hAnsi="Calibri" w:cs="Arial"/>
        </w:rPr>
        <w:t>, and the</w:t>
      </w:r>
    </w:p>
    <w:p w14:paraId="72D91139" w14:textId="77777777" w:rsidR="00921D71" w:rsidRPr="00921D71" w:rsidRDefault="00921D71" w:rsidP="001D7242">
      <w:pPr>
        <w:numPr>
          <w:ilvl w:val="0"/>
          <w:numId w:val="46"/>
        </w:numPr>
        <w:spacing w:before="120" w:after="120" w:line="240" w:lineRule="auto"/>
        <w:ind w:left="714" w:hanging="357"/>
        <w:textAlignment w:val="baseline"/>
        <w:rPr>
          <w:rFonts w:ascii="Calibri" w:eastAsia="Yu Mincho" w:hAnsi="Calibri" w:cs="Arial"/>
        </w:rPr>
      </w:pPr>
      <w:r w:rsidRPr="00921D71">
        <w:rPr>
          <w:rFonts w:ascii="Calibri" w:eastAsia="Yu Mincho" w:hAnsi="Calibri" w:cs="Arial"/>
        </w:rPr>
        <w:t>Fair Work Legislation Amendment (Closing Loopholes No. 2) Bill 2023.</w:t>
      </w:r>
    </w:p>
    <w:p w14:paraId="0C76BC55" w14:textId="77777777" w:rsidR="00921D71" w:rsidRPr="00921D71" w:rsidRDefault="00921D71" w:rsidP="00921D71">
      <w:pPr>
        <w:spacing w:before="120" w:after="120" w:line="240" w:lineRule="auto"/>
        <w:rPr>
          <w:rFonts w:ascii="Calibri" w:eastAsia="Times New Roman" w:hAnsi="Calibri" w:cs="Arial"/>
          <w:noProof/>
          <w:lang w:eastAsia="en-AU"/>
        </w:rPr>
      </w:pPr>
      <w:r w:rsidRPr="00921D71">
        <w:rPr>
          <w:rFonts w:ascii="Calibri" w:eastAsia="Times New Roman" w:hAnsi="Calibri" w:cs="Arial"/>
          <w:noProof/>
          <w:lang w:eastAsia="en-AU"/>
        </w:rPr>
        <w:t>Business, unions and Government committed to work proactively together to strengthen tripartism and constructive social dialogue in Australian workplace relations, as an outcome of the September 2022 Jobs and Skills Summit. This builds upon existing tripartite initiatives.</w:t>
      </w:r>
    </w:p>
    <w:p w14:paraId="4223CFD6" w14:textId="77777777" w:rsidR="00921D71" w:rsidRPr="00921D71" w:rsidRDefault="00921D71" w:rsidP="00921D71">
      <w:pPr>
        <w:spacing w:before="120" w:after="120" w:line="240" w:lineRule="auto"/>
        <w:rPr>
          <w:rFonts w:ascii="Calibri" w:eastAsia="Times New Roman" w:hAnsi="Calibri" w:cs="Arial"/>
          <w:noProof/>
          <w:lang w:eastAsia="en-AU"/>
        </w:rPr>
      </w:pPr>
      <w:r w:rsidRPr="00921D71">
        <w:rPr>
          <w:rFonts w:ascii="Calibri" w:eastAsia="Times New Roman" w:hAnsi="Calibri" w:cs="Arial"/>
          <w:noProof/>
          <w:lang w:eastAsia="en-AU"/>
        </w:rPr>
        <w:t>Tripartite initiatives underway within the department are listed below, with two of these having been established following the Jobs and Skills Summit while others represent longstanding tripartite mechanisms in workplace relations.</w:t>
      </w:r>
    </w:p>
    <w:p w14:paraId="72E91F1A" w14:textId="2582A765" w:rsidR="00921D71" w:rsidRPr="00921D71" w:rsidRDefault="00921D71" w:rsidP="00845854">
      <w:pPr>
        <w:pStyle w:val="Heading3"/>
        <w:rPr>
          <w:rFonts w:eastAsia="Times New Roman"/>
          <w:lang w:eastAsia="en-AU"/>
        </w:rPr>
      </w:pPr>
      <w:bookmarkStart w:id="39" w:name="_Toc183777429"/>
      <w:r w:rsidRPr="00921D71">
        <w:rPr>
          <w:rFonts w:eastAsia="Times New Roman"/>
          <w:lang w:eastAsia="en-AU"/>
        </w:rPr>
        <w:t xml:space="preserve">Post-Jobs and Skills Summit </w:t>
      </w:r>
      <w:r w:rsidR="002C674D">
        <w:rPr>
          <w:rFonts w:eastAsia="Times New Roman"/>
          <w:lang w:eastAsia="en-AU"/>
        </w:rPr>
        <w:t>i</w:t>
      </w:r>
      <w:r w:rsidRPr="00921D71">
        <w:rPr>
          <w:rFonts w:eastAsia="Times New Roman"/>
          <w:lang w:eastAsia="en-AU"/>
        </w:rPr>
        <w:t>nitiatives</w:t>
      </w:r>
      <w:bookmarkEnd w:id="39"/>
    </w:p>
    <w:p w14:paraId="745B2AE5" w14:textId="77777777" w:rsidR="00921D71" w:rsidRPr="00921D71" w:rsidRDefault="00921D71" w:rsidP="00845854">
      <w:pPr>
        <w:pStyle w:val="Heading4"/>
        <w:rPr>
          <w:rFonts w:eastAsia="Times New Roman"/>
          <w:noProof/>
          <w:lang w:eastAsia="en-AU"/>
        </w:rPr>
      </w:pPr>
      <w:r w:rsidRPr="00921D71">
        <w:rPr>
          <w:rFonts w:eastAsia="Times New Roman"/>
          <w:noProof/>
          <w:lang w:eastAsia="en-AU"/>
        </w:rPr>
        <w:t>Productivity Education and Training Fund</w:t>
      </w:r>
    </w:p>
    <w:p w14:paraId="6889762B" w14:textId="77777777" w:rsidR="00921D71" w:rsidRPr="00921D71" w:rsidRDefault="00921D71" w:rsidP="005B0B18">
      <w:pPr>
        <w:spacing w:before="120" w:after="120" w:line="240" w:lineRule="auto"/>
        <w:rPr>
          <w:rFonts w:ascii="Calibri" w:eastAsia="Times New Roman" w:hAnsi="Calibri" w:cs="Arial"/>
          <w:noProof/>
          <w:lang w:eastAsia="en-AU"/>
        </w:rPr>
      </w:pPr>
      <w:r w:rsidRPr="00921D71">
        <w:rPr>
          <w:rFonts w:ascii="Calibri" w:eastAsia="Times New Roman" w:hAnsi="Calibri" w:cs="Arial"/>
          <w:noProof/>
          <w:lang w:eastAsia="en-AU"/>
        </w:rPr>
        <w:t xml:space="preserve">The Commonwealth is providing grant funding for key employer and worker representative organisations to engage with Government on workplace reforms, and for training and education activities for their members, to support understanding and implementation of the Government’s workplace relations reform agenda. This supports the suite of tripartite initiatives in workplace relations. </w:t>
      </w:r>
    </w:p>
    <w:p w14:paraId="7C874DDF" w14:textId="77777777" w:rsidR="00921D71" w:rsidRPr="00921D71" w:rsidRDefault="00921D71" w:rsidP="00845854">
      <w:pPr>
        <w:pStyle w:val="Heading4"/>
        <w:rPr>
          <w:rFonts w:eastAsia="Times New Roman"/>
          <w:noProof/>
          <w:lang w:eastAsia="en-AU"/>
        </w:rPr>
      </w:pPr>
      <w:r w:rsidRPr="00921D71">
        <w:rPr>
          <w:rFonts w:eastAsia="Times New Roman"/>
          <w:noProof/>
          <w:lang w:eastAsia="en-AU"/>
        </w:rPr>
        <w:t>National Construction Industry Forum</w:t>
      </w:r>
    </w:p>
    <w:p w14:paraId="6DC366AF" w14:textId="205C8CB5" w:rsidR="00921D71" w:rsidRPr="00921D71" w:rsidRDefault="00921D71" w:rsidP="005B0B18">
      <w:pPr>
        <w:keepNext/>
        <w:spacing w:before="120" w:after="120" w:line="240" w:lineRule="auto"/>
        <w:rPr>
          <w:rFonts w:ascii="Calibri" w:eastAsia="Times New Roman" w:hAnsi="Calibri" w:cs="Arial"/>
          <w:noProof/>
          <w:lang w:eastAsia="en-AU"/>
        </w:rPr>
      </w:pPr>
      <w:r w:rsidRPr="00921D71">
        <w:rPr>
          <w:rFonts w:ascii="Calibri" w:eastAsia="Times New Roman" w:hAnsi="Calibri" w:cs="Arial"/>
          <w:noProof/>
          <w:lang w:eastAsia="en-AU"/>
        </w:rPr>
        <w:t>The Forum</w:t>
      </w:r>
      <w:r w:rsidR="004545E6">
        <w:rPr>
          <w:rFonts w:ascii="Calibri" w:eastAsia="Times New Roman" w:hAnsi="Calibri" w:cs="Arial"/>
          <w:noProof/>
          <w:lang w:eastAsia="en-AU"/>
        </w:rPr>
        <w:t>’</w:t>
      </w:r>
      <w:r w:rsidRPr="00921D71">
        <w:rPr>
          <w:rFonts w:ascii="Calibri" w:eastAsia="Times New Roman" w:hAnsi="Calibri" w:cs="Arial"/>
          <w:noProof/>
          <w:lang w:eastAsia="en-AU"/>
        </w:rPr>
        <w:t>s role is to provide advice to Government on a broad range of issues relating to work in the building and construction industry including safety, workplace relations, skills and training, industry culture, diversity and gender equity, and productivity.</w:t>
      </w:r>
    </w:p>
    <w:p w14:paraId="7C473F62" w14:textId="67108074" w:rsidR="00921D71" w:rsidRPr="00921D71" w:rsidRDefault="00921D71" w:rsidP="00845854">
      <w:pPr>
        <w:pStyle w:val="Heading3"/>
        <w:rPr>
          <w:rFonts w:eastAsia="Times New Roman"/>
          <w:lang w:eastAsia="en-AU"/>
        </w:rPr>
      </w:pPr>
      <w:bookmarkStart w:id="40" w:name="_Toc183777430"/>
      <w:r w:rsidRPr="00921D71">
        <w:rPr>
          <w:rFonts w:eastAsia="Times New Roman"/>
          <w:lang w:eastAsia="en-AU"/>
        </w:rPr>
        <w:t xml:space="preserve">Long-Standing </w:t>
      </w:r>
      <w:r w:rsidR="006E03DD">
        <w:rPr>
          <w:rFonts w:eastAsia="Times New Roman"/>
          <w:lang w:eastAsia="en-AU"/>
        </w:rPr>
        <w:t>t</w:t>
      </w:r>
      <w:r w:rsidRPr="00921D71">
        <w:rPr>
          <w:rFonts w:eastAsia="Times New Roman"/>
          <w:lang w:eastAsia="en-AU"/>
        </w:rPr>
        <w:t xml:space="preserve">ripartite </w:t>
      </w:r>
      <w:r w:rsidR="006E03DD">
        <w:rPr>
          <w:rFonts w:eastAsia="Times New Roman"/>
          <w:lang w:eastAsia="en-AU"/>
        </w:rPr>
        <w:t>i</w:t>
      </w:r>
      <w:r w:rsidRPr="00921D71">
        <w:rPr>
          <w:rFonts w:eastAsia="Times New Roman"/>
          <w:lang w:eastAsia="en-AU"/>
        </w:rPr>
        <w:t xml:space="preserve">nitiatives in </w:t>
      </w:r>
      <w:r w:rsidR="006E03DD">
        <w:rPr>
          <w:rFonts w:eastAsia="Times New Roman"/>
          <w:lang w:eastAsia="en-AU"/>
        </w:rPr>
        <w:t>w</w:t>
      </w:r>
      <w:r w:rsidRPr="00921D71">
        <w:rPr>
          <w:rFonts w:eastAsia="Times New Roman"/>
          <w:lang w:eastAsia="en-AU"/>
        </w:rPr>
        <w:t xml:space="preserve">orkplace </w:t>
      </w:r>
      <w:r w:rsidR="006E03DD">
        <w:rPr>
          <w:rFonts w:eastAsia="Times New Roman"/>
          <w:lang w:eastAsia="en-AU"/>
        </w:rPr>
        <w:t>r</w:t>
      </w:r>
      <w:r w:rsidRPr="00921D71">
        <w:rPr>
          <w:rFonts w:eastAsia="Times New Roman"/>
          <w:lang w:eastAsia="en-AU"/>
        </w:rPr>
        <w:t>elations</w:t>
      </w:r>
      <w:bookmarkEnd w:id="40"/>
    </w:p>
    <w:p w14:paraId="54577D86" w14:textId="77777777" w:rsidR="00921D71" w:rsidRPr="00921D71" w:rsidRDefault="00921D71" w:rsidP="00845854">
      <w:pPr>
        <w:pStyle w:val="Heading4"/>
        <w:rPr>
          <w:rFonts w:eastAsia="Times New Roman"/>
          <w:noProof/>
          <w:lang w:eastAsia="en-AU"/>
        </w:rPr>
      </w:pPr>
      <w:bookmarkStart w:id="41" w:name="_Hlk150931389"/>
      <w:r w:rsidRPr="00921D71">
        <w:rPr>
          <w:rFonts w:eastAsia="Times New Roman"/>
          <w:noProof/>
          <w:lang w:eastAsia="en-AU"/>
        </w:rPr>
        <w:t xml:space="preserve">National Workplace Relations Consultative Council </w:t>
      </w:r>
      <w:bookmarkEnd w:id="41"/>
    </w:p>
    <w:p w14:paraId="3B775F50" w14:textId="26584F9B" w:rsidR="00921D71" w:rsidRDefault="00921D71" w:rsidP="00921D71">
      <w:pPr>
        <w:keepNext/>
        <w:spacing w:before="120" w:after="120" w:line="240" w:lineRule="auto"/>
        <w:rPr>
          <w:rFonts w:ascii="Calibri" w:eastAsia="Times New Roman" w:hAnsi="Calibri" w:cs="Arial"/>
          <w:noProof/>
          <w:lang w:eastAsia="en-AU"/>
        </w:rPr>
      </w:pPr>
      <w:r w:rsidRPr="00921D71">
        <w:rPr>
          <w:rFonts w:ascii="Calibri" w:eastAsia="Times New Roman" w:hAnsi="Calibri" w:cs="Arial"/>
          <w:noProof/>
          <w:lang w:eastAsia="en-AU"/>
        </w:rPr>
        <w:t>The National Workplace Relations Consultative Council is a legislated tripartite forum to discuss workplace relations matters of national concern. Appointed members are nominated by employer and worker representative organisations. National Workplace Relations Consultative Council sub-committees include the Committee on Industrial Relations</w:t>
      </w:r>
      <w:r w:rsidR="004545E6">
        <w:rPr>
          <w:rFonts w:ascii="Calibri" w:eastAsia="Times New Roman" w:hAnsi="Calibri" w:cs="Arial"/>
          <w:noProof/>
          <w:lang w:eastAsia="en-AU"/>
        </w:rPr>
        <w:t>,</w:t>
      </w:r>
      <w:r w:rsidRPr="00921D71">
        <w:rPr>
          <w:rFonts w:ascii="Calibri" w:eastAsia="Times New Roman" w:hAnsi="Calibri" w:cs="Arial"/>
          <w:noProof/>
          <w:lang w:eastAsia="en-AU"/>
        </w:rPr>
        <w:t xml:space="preserve"> which provides feedback to Government </w:t>
      </w:r>
      <w:r w:rsidRPr="00921D71">
        <w:rPr>
          <w:rFonts w:ascii="Calibri" w:eastAsia="Times New Roman" w:hAnsi="Calibri" w:cs="Arial"/>
          <w:noProof/>
          <w:lang w:eastAsia="en-AU"/>
        </w:rPr>
        <w:lastRenderedPageBreak/>
        <w:t>on proposed legislation and the International Labour Affairs Committee</w:t>
      </w:r>
      <w:r w:rsidR="004545E6">
        <w:rPr>
          <w:rFonts w:ascii="Calibri" w:eastAsia="Times New Roman" w:hAnsi="Calibri" w:cs="Arial"/>
          <w:noProof/>
          <w:lang w:eastAsia="en-AU"/>
        </w:rPr>
        <w:t>,</w:t>
      </w:r>
      <w:r w:rsidRPr="00921D71">
        <w:rPr>
          <w:rFonts w:ascii="Calibri" w:eastAsia="Times New Roman" w:hAnsi="Calibri" w:cs="Arial"/>
          <w:noProof/>
          <w:lang w:eastAsia="en-AU"/>
        </w:rPr>
        <w:t xml:space="preserve"> which consults on international labour matters. </w:t>
      </w:r>
    </w:p>
    <w:p w14:paraId="6D904D89" w14:textId="617DB35F" w:rsidR="00921D71" w:rsidRPr="00921D71" w:rsidRDefault="00921D71" w:rsidP="00DD7146">
      <w:pPr>
        <w:pStyle w:val="Heading4"/>
        <w:rPr>
          <w:rFonts w:eastAsia="Times New Roman"/>
          <w:noProof/>
          <w:lang w:eastAsia="en-AU"/>
        </w:rPr>
      </w:pPr>
      <w:r w:rsidRPr="00921D71">
        <w:rPr>
          <w:rFonts w:eastAsia="Times New Roman"/>
          <w:noProof/>
          <w:lang w:eastAsia="en-AU"/>
        </w:rPr>
        <w:t>Net Zero Economy Agency</w:t>
      </w:r>
    </w:p>
    <w:p w14:paraId="53FB79ED" w14:textId="77777777" w:rsidR="00921D71" w:rsidRPr="00921D71" w:rsidRDefault="00921D71" w:rsidP="00921D71">
      <w:pPr>
        <w:spacing w:before="120" w:after="120" w:line="240" w:lineRule="auto"/>
        <w:rPr>
          <w:rFonts w:ascii="Calibri" w:eastAsia="Times New Roman" w:hAnsi="Calibri" w:cs="Arial"/>
          <w:noProof/>
          <w:lang w:eastAsia="en-AU"/>
        </w:rPr>
      </w:pPr>
      <w:r w:rsidRPr="00921D71">
        <w:rPr>
          <w:rFonts w:ascii="Calibri" w:eastAsia="Times New Roman" w:hAnsi="Calibri" w:cs="Arial"/>
          <w:noProof/>
          <w:lang w:eastAsia="en-AU"/>
        </w:rPr>
        <w:t xml:space="preserve">The Net Zero Economy Agency is a precursor to the establishment of a legislated Net Zero Authority. The Authority will work with the complex array of communities and organisations, including employer and worker groups, impacted by, and in a position to contribute to, supporting the transformation to a clean energy economy. </w:t>
      </w:r>
    </w:p>
    <w:p w14:paraId="71816E5C" w14:textId="77777777" w:rsidR="00921D71" w:rsidRPr="00921D71" w:rsidRDefault="00921D71" w:rsidP="00DD7146">
      <w:pPr>
        <w:pStyle w:val="Heading4"/>
        <w:rPr>
          <w:rFonts w:eastAsia="Times New Roman"/>
          <w:noProof/>
          <w:lang w:eastAsia="en-AU"/>
        </w:rPr>
      </w:pPr>
      <w:r w:rsidRPr="00921D71">
        <w:rPr>
          <w:rFonts w:eastAsia="Times New Roman"/>
          <w:noProof/>
          <w:lang w:eastAsia="en-AU"/>
        </w:rPr>
        <w:t>Jobs and Skills Australia</w:t>
      </w:r>
    </w:p>
    <w:p w14:paraId="0D73A388" w14:textId="77777777" w:rsidR="00921D71" w:rsidRPr="00921D71" w:rsidRDefault="00921D71" w:rsidP="00921D71">
      <w:pPr>
        <w:spacing w:before="120" w:after="120" w:line="240" w:lineRule="auto"/>
        <w:rPr>
          <w:rFonts w:ascii="Calibri" w:eastAsia="Times New Roman" w:hAnsi="Calibri" w:cs="Arial"/>
          <w:lang w:eastAsia="en-AU"/>
        </w:rPr>
      </w:pPr>
      <w:r w:rsidRPr="00921D71">
        <w:rPr>
          <w:rFonts w:ascii="Calibri" w:eastAsia="Times New Roman" w:hAnsi="Calibri" w:cs="Arial"/>
          <w:lang w:eastAsia="en-AU"/>
        </w:rPr>
        <w:t xml:space="preserve">Jobs and Skills Australia will take a partnership approach to ensure that its advice matches and responds to the evolving demands of the economy and to Australia’s workforce and </w:t>
      </w:r>
      <w:proofErr w:type="gramStart"/>
      <w:r w:rsidRPr="00921D71">
        <w:rPr>
          <w:rFonts w:ascii="Calibri" w:eastAsia="Times New Roman" w:hAnsi="Calibri" w:cs="Arial"/>
          <w:lang w:eastAsia="en-AU"/>
        </w:rPr>
        <w:t>learners, and</w:t>
      </w:r>
      <w:proofErr w:type="gramEnd"/>
      <w:r w:rsidRPr="00921D71">
        <w:rPr>
          <w:rFonts w:ascii="Calibri" w:eastAsia="Times New Roman" w:hAnsi="Calibri" w:cs="Arial"/>
          <w:lang w:eastAsia="en-AU"/>
        </w:rPr>
        <w:t xml:space="preserve"> supports the delivery of the skilled workers Australia needs. The Jobs and Skills Australia Consultative Forum will support Jobs and Skills Australia with advice from tripartite partners on key matters relating to Jobs and Skills Australia’s interim operations. </w:t>
      </w:r>
    </w:p>
    <w:p w14:paraId="28553F4C" w14:textId="77777777" w:rsidR="00921D71" w:rsidRPr="00921D71" w:rsidRDefault="00921D71" w:rsidP="00DD7146">
      <w:pPr>
        <w:pStyle w:val="Heading4"/>
        <w:rPr>
          <w:rFonts w:eastAsia="Times New Roman"/>
          <w:lang w:eastAsia="en-AU"/>
        </w:rPr>
      </w:pPr>
      <w:r w:rsidRPr="00921D71">
        <w:rPr>
          <w:rFonts w:eastAsia="Times New Roman"/>
          <w:lang w:eastAsia="en-AU"/>
        </w:rPr>
        <w:t>Cleaning Accountability Framework</w:t>
      </w:r>
    </w:p>
    <w:p w14:paraId="696A047F" w14:textId="77777777" w:rsidR="00921D71" w:rsidRPr="00921D71" w:rsidRDefault="00921D71" w:rsidP="00921D71">
      <w:pPr>
        <w:spacing w:before="120" w:after="120" w:line="240" w:lineRule="auto"/>
        <w:rPr>
          <w:rFonts w:ascii="Calibri" w:eastAsia="Times New Roman" w:hAnsi="Calibri" w:cs="Arial"/>
          <w:lang w:eastAsia="en-AU"/>
        </w:rPr>
      </w:pPr>
      <w:r w:rsidRPr="00921D71">
        <w:rPr>
          <w:rFonts w:ascii="Calibri" w:eastAsia="Times New Roman" w:hAnsi="Calibri" w:cs="Arial"/>
          <w:lang w:eastAsia="en-AU"/>
        </w:rPr>
        <w:t>The Cleaning Accountability Framework (CAF) provides compliance certification in the cleaning industry, which the FWO helped to develop and in which it is an active partner. The CAF offers building certification by working with cleaners, worker representatives, tenants, contractors, property owners, facility managers and investors across the supply chain to ensure ethical labour practices in the cleaning industry, including the assurance of fair pay and decent working conditions.</w:t>
      </w:r>
    </w:p>
    <w:p w14:paraId="233B7DB1" w14:textId="77777777" w:rsidR="00921D71" w:rsidRPr="00921D71" w:rsidRDefault="00921D71" w:rsidP="00DD7146">
      <w:pPr>
        <w:pStyle w:val="Heading4"/>
        <w:rPr>
          <w:rFonts w:eastAsia="Times New Roman"/>
          <w:lang w:eastAsia="en-AU"/>
        </w:rPr>
      </w:pPr>
      <w:r w:rsidRPr="00921D71">
        <w:rPr>
          <w:rFonts w:eastAsia="Times New Roman"/>
          <w:lang w:eastAsia="en-AU"/>
        </w:rPr>
        <w:t>Safe Work Australia</w:t>
      </w:r>
    </w:p>
    <w:p w14:paraId="3C51A4F3" w14:textId="77777777" w:rsidR="00921D71" w:rsidRPr="00921D71" w:rsidRDefault="00921D71" w:rsidP="00921D71">
      <w:pPr>
        <w:spacing w:before="120" w:after="120" w:line="240" w:lineRule="auto"/>
        <w:rPr>
          <w:rFonts w:ascii="Calibri" w:eastAsia="Yu Mincho" w:hAnsi="Calibri" w:cs="Arial"/>
        </w:rPr>
      </w:pPr>
      <w:r w:rsidRPr="00921D71">
        <w:rPr>
          <w:rFonts w:ascii="Calibri" w:eastAsia="Times New Roman" w:hAnsi="Calibri" w:cs="Arial"/>
          <w:lang w:eastAsia="en-AU"/>
        </w:rPr>
        <w:t>Safe Work Australia w</w:t>
      </w:r>
      <w:r w:rsidRPr="00921D71">
        <w:rPr>
          <w:rFonts w:ascii="Calibri" w:eastAsia="Yu Mincho" w:hAnsi="Calibri" w:cs="Arial"/>
        </w:rPr>
        <w:t>orks collaboratively with Commonwealth, state and territory governments, employers and workers to drive national policy development as the national policy body on work health and safety and workers’ compensation matters.</w:t>
      </w:r>
    </w:p>
    <w:p w14:paraId="2331DA37" w14:textId="77777777" w:rsidR="00921D71" w:rsidRPr="00921D71" w:rsidRDefault="00921D71" w:rsidP="00DD7146">
      <w:pPr>
        <w:pStyle w:val="Heading4"/>
        <w:rPr>
          <w:rFonts w:eastAsia="Yu Mincho"/>
        </w:rPr>
      </w:pPr>
      <w:r w:rsidRPr="00921D71">
        <w:rPr>
          <w:rFonts w:eastAsia="Yu Mincho"/>
        </w:rPr>
        <w:t xml:space="preserve">Ministerial Advisory Council on Skilled Migration </w:t>
      </w:r>
    </w:p>
    <w:p w14:paraId="289AF75E" w14:textId="54ADAF21" w:rsidR="00921D71" w:rsidRDefault="00921D71" w:rsidP="00DD7146">
      <w:pPr>
        <w:spacing w:before="120" w:after="120" w:line="240" w:lineRule="auto"/>
        <w:rPr>
          <w:rFonts w:ascii="Calibri" w:eastAsia="Yu Mincho" w:hAnsi="Calibri" w:cs="Arial"/>
        </w:rPr>
      </w:pPr>
      <w:r w:rsidRPr="00921D71">
        <w:rPr>
          <w:rFonts w:ascii="Calibri" w:eastAsia="Yu Mincho" w:hAnsi="Calibri" w:cs="Arial"/>
        </w:rPr>
        <w:t>The Ministerial Advisory Council on Skilled Migration is a tripartite body, comprising industry, unions, state and territory government representatives and other members nominated by the Minister for Immigration, Citizenship and Multicultural Affairs. The Council provides advice to the Minister on Australia’s temporary and permanent skilled migration programs and associated matters.</w:t>
      </w:r>
    </w:p>
    <w:p w14:paraId="50A86607" w14:textId="28795E83" w:rsidR="00DD7146" w:rsidRPr="00264CA8" w:rsidRDefault="00DD7146" w:rsidP="00DD7146">
      <w:pPr>
        <w:pStyle w:val="Heading4"/>
      </w:pPr>
      <w:r w:rsidRPr="00264CA8">
        <w:t>Recommendation 1</w:t>
      </w:r>
      <w:r>
        <w:t>2</w:t>
      </w:r>
    </w:p>
    <w:p w14:paraId="5E874378" w14:textId="783B9676" w:rsidR="00686958" w:rsidRDefault="00DD7146" w:rsidP="00686958">
      <w:pPr>
        <w:spacing w:after="120" w:line="240" w:lineRule="auto"/>
        <w:rPr>
          <w:rFonts w:ascii="Calibri" w:eastAsia="Calibri" w:hAnsi="Calibri" w:cs="Calibri"/>
          <w:b/>
          <w:bCs/>
          <w:i/>
          <w:iCs/>
          <w:color w:val="000000"/>
        </w:rPr>
      </w:pPr>
      <w:r w:rsidRPr="00921D71">
        <w:rPr>
          <w:rFonts w:ascii="Calibri" w:eastAsia="Calibri" w:hAnsi="Calibri" w:cs="Calibri"/>
          <w:color w:val="000000"/>
        </w:rPr>
        <w:t xml:space="preserve">The Department of Employment and Workplace Relations should continue its engagement with unions, business groups and social partners/community representatives to strengthen tripartism and constructive social dialogue in Australian workplace relations.  </w:t>
      </w:r>
      <w:r w:rsidRPr="00921D71">
        <w:rPr>
          <w:rFonts w:ascii="Calibri" w:eastAsia="Calibri" w:hAnsi="Calibri" w:cs="Calibri"/>
          <w:b/>
          <w:bCs/>
          <w:i/>
          <w:iCs/>
          <w:color w:val="000000"/>
        </w:rPr>
        <w:t xml:space="preserve"> </w:t>
      </w:r>
    </w:p>
    <w:p w14:paraId="210836AA" w14:textId="77777777" w:rsidR="00686958" w:rsidRDefault="00686958">
      <w:pPr>
        <w:spacing w:after="160" w:line="259" w:lineRule="auto"/>
        <w:rPr>
          <w:rFonts w:ascii="Calibri" w:eastAsia="Calibri" w:hAnsi="Calibri" w:cs="Calibri"/>
          <w:b/>
          <w:bCs/>
          <w:i/>
          <w:iCs/>
          <w:color w:val="000000"/>
        </w:rPr>
      </w:pPr>
      <w:r>
        <w:rPr>
          <w:rFonts w:ascii="Calibri" w:eastAsia="Calibri" w:hAnsi="Calibri" w:cs="Calibri"/>
          <w:b/>
          <w:bCs/>
          <w:i/>
          <w:iCs/>
          <w:color w:val="000000"/>
        </w:rPr>
        <w:br w:type="page"/>
      </w:r>
    </w:p>
    <w:p w14:paraId="5C10A9DD" w14:textId="77777777" w:rsidR="00921D71" w:rsidRPr="00921D71" w:rsidRDefault="00921D71" w:rsidP="00686958">
      <w:pPr>
        <w:pStyle w:val="Heading1"/>
        <w:spacing w:after="240"/>
        <w:rPr>
          <w:rFonts w:eastAsia="Times New Roman"/>
          <w:lang w:val="en-GB" w:eastAsia="en-AU"/>
        </w:rPr>
      </w:pPr>
      <w:bookmarkStart w:id="42" w:name="_Toc183777431"/>
      <w:r w:rsidRPr="00921D71">
        <w:rPr>
          <w:rFonts w:eastAsia="Times New Roman"/>
          <w:lang w:val="en-GB" w:eastAsia="en-AU"/>
        </w:rPr>
        <w:lastRenderedPageBreak/>
        <w:t>Additional stakeholder feedback</w:t>
      </w:r>
      <w:bookmarkEnd w:id="42"/>
    </w:p>
    <w:p w14:paraId="06515F87" w14:textId="25AA5A53" w:rsidR="00921D71" w:rsidRPr="00921D71" w:rsidRDefault="00921D71" w:rsidP="00F25AF9">
      <w:pPr>
        <w:spacing w:line="240" w:lineRule="auto"/>
        <w:rPr>
          <w:rFonts w:ascii="Calibri" w:eastAsia="Yu Mincho" w:hAnsi="Calibri" w:cs="Arial"/>
          <w:lang w:val="en-GB" w:eastAsia="en-AU"/>
        </w:rPr>
      </w:pPr>
      <w:r w:rsidRPr="00921D71">
        <w:rPr>
          <w:rFonts w:ascii="Calibri" w:eastAsia="Yu Mincho" w:hAnsi="Calibri" w:cs="Arial"/>
          <w:lang w:val="en-GB" w:eastAsia="en-AU"/>
        </w:rPr>
        <w:t xml:space="preserve">In response to the </w:t>
      </w:r>
      <w:r w:rsidR="004545E6">
        <w:rPr>
          <w:rFonts w:ascii="Calibri" w:eastAsia="Yu Mincho" w:hAnsi="Calibri" w:cs="Arial"/>
          <w:lang w:val="en-GB" w:eastAsia="en-AU"/>
        </w:rPr>
        <w:t>c</w:t>
      </w:r>
      <w:r w:rsidRPr="00921D71">
        <w:rPr>
          <w:rFonts w:ascii="Calibri" w:eastAsia="Yu Mincho" w:hAnsi="Calibri" w:cs="Arial"/>
          <w:lang w:val="en-GB" w:eastAsia="en-AU"/>
        </w:rPr>
        <w:t xml:space="preserve">onsultation </w:t>
      </w:r>
      <w:r w:rsidR="004545E6">
        <w:rPr>
          <w:rFonts w:ascii="Calibri" w:eastAsia="Yu Mincho" w:hAnsi="Calibri" w:cs="Arial"/>
          <w:lang w:val="en-GB" w:eastAsia="en-AU"/>
        </w:rPr>
        <w:t>p</w:t>
      </w:r>
      <w:r w:rsidRPr="00921D71">
        <w:rPr>
          <w:rFonts w:ascii="Calibri" w:eastAsia="Yu Mincho" w:hAnsi="Calibri" w:cs="Arial"/>
          <w:lang w:val="en-GB" w:eastAsia="en-AU"/>
        </w:rPr>
        <w:t xml:space="preserve">aper, stakeholders provided additional feedback relating to the small claims procedure and addressing underpayment more generally, outside of the three issues detailed above. Some of this feedback is summarised below and includes </w:t>
      </w:r>
      <w:r w:rsidRPr="00921D71">
        <w:rPr>
          <w:rFonts w:ascii="Calibri" w:eastAsia="Calibri" w:hAnsi="Calibri" w:cs="Calibri"/>
          <w:color w:val="000000"/>
        </w:rPr>
        <w:t>the role of CLCs and working women’s centres, and unions and right of entry</w:t>
      </w:r>
      <w:r w:rsidRPr="00921D71">
        <w:rPr>
          <w:rFonts w:ascii="Calibri" w:eastAsia="Yu Mincho" w:hAnsi="Calibri" w:cs="Arial"/>
          <w:lang w:val="en-GB" w:eastAsia="en-AU"/>
        </w:rPr>
        <w:t xml:space="preserve">. </w:t>
      </w:r>
      <w:r w:rsidRPr="00921D71">
        <w:rPr>
          <w:rFonts w:ascii="Calibri" w:eastAsia="Calibri" w:hAnsi="Calibri" w:cs="Calibri"/>
          <w:color w:val="000000"/>
        </w:rPr>
        <w:t>Many responses also raised the need for increased funding for CLCs and other organisations engaged in supporting workers’ rights, while also increasing consultation on the development of government policy and laws. The need for memoranda of understanding or similar mechanisms to ensure proper collaboration and information-sharing between the FWO and organisations such as CLCs was also raised.</w:t>
      </w:r>
    </w:p>
    <w:p w14:paraId="7ACA6228" w14:textId="77777777" w:rsidR="00921D71" w:rsidRPr="00921D71" w:rsidRDefault="00921D71" w:rsidP="006921D8">
      <w:pPr>
        <w:pStyle w:val="Heading2"/>
        <w:rPr>
          <w:rFonts w:eastAsia="Times New Roman"/>
          <w:lang w:eastAsia="en-AU"/>
        </w:rPr>
      </w:pPr>
      <w:bookmarkStart w:id="43" w:name="_Toc183777432"/>
      <w:r w:rsidRPr="00921D71">
        <w:rPr>
          <w:rFonts w:eastAsia="Times New Roman"/>
          <w:lang w:eastAsia="en-AU"/>
        </w:rPr>
        <w:t>Wraparound services</w:t>
      </w:r>
      <w:bookmarkEnd w:id="43"/>
      <w:r w:rsidRPr="00921D71">
        <w:rPr>
          <w:rFonts w:eastAsia="Times New Roman"/>
          <w:lang w:eastAsia="en-AU"/>
        </w:rPr>
        <w:t xml:space="preserve"> </w:t>
      </w:r>
    </w:p>
    <w:p w14:paraId="41248780" w14:textId="7F942499" w:rsidR="00921D71" w:rsidRPr="00921D71" w:rsidRDefault="00921D71" w:rsidP="00921D71">
      <w:pPr>
        <w:keepNext/>
        <w:spacing w:before="120" w:after="120" w:line="240" w:lineRule="auto"/>
        <w:textAlignment w:val="baseline"/>
        <w:rPr>
          <w:rFonts w:ascii="Calibri" w:eastAsia="Yu Mincho" w:hAnsi="Calibri" w:cs="Arial"/>
        </w:rPr>
      </w:pPr>
      <w:r w:rsidRPr="00921D71">
        <w:rPr>
          <w:rFonts w:ascii="Calibri" w:eastAsia="Calibri" w:hAnsi="Calibri" w:cs="Calibri"/>
        </w:rPr>
        <w:t xml:space="preserve">Stakeholders noted the need for ‘wraparound’ services beyond the purely legal dimension of assisting workers in relation to their rights. For example, </w:t>
      </w:r>
      <w:r w:rsidR="009B08CA">
        <w:rPr>
          <w:rFonts w:ascii="Calibri" w:eastAsia="Calibri" w:hAnsi="Calibri" w:cs="Calibri"/>
        </w:rPr>
        <w:t xml:space="preserve">one stakeholder </w:t>
      </w:r>
      <w:r w:rsidRPr="00921D71">
        <w:rPr>
          <w:rFonts w:ascii="Calibri" w:eastAsia="Calibri" w:hAnsi="Calibri" w:cs="Calibri"/>
        </w:rPr>
        <w:t xml:space="preserve">noted that specific gender and intersectional issues should be </w:t>
      </w:r>
      <w:proofErr w:type="gramStart"/>
      <w:r w:rsidRPr="00921D71">
        <w:rPr>
          <w:rFonts w:ascii="Calibri" w:eastAsia="Calibri" w:hAnsi="Calibri" w:cs="Calibri"/>
        </w:rPr>
        <w:t>taken into account</w:t>
      </w:r>
      <w:proofErr w:type="gramEnd"/>
      <w:r w:rsidRPr="00921D71">
        <w:rPr>
          <w:rFonts w:ascii="Calibri" w:eastAsia="Calibri" w:hAnsi="Calibri" w:cs="Calibri"/>
        </w:rPr>
        <w:t xml:space="preserve"> when developing or funding services to support vulnerable workers, noting former Sex Discrimination Commissioner Kate Jenkins’s finding that WWCs are the most effective, victim-centric model for delivering support and advocacy to women. </w:t>
      </w:r>
      <w:r w:rsidR="009B08CA">
        <w:rPr>
          <w:rFonts w:ascii="Calibri" w:eastAsia="Calibri" w:hAnsi="Calibri" w:cs="Calibri"/>
        </w:rPr>
        <w:t>This stakeholder</w:t>
      </w:r>
      <w:r w:rsidRPr="00921D71">
        <w:rPr>
          <w:rFonts w:ascii="Calibri" w:eastAsia="Calibri" w:hAnsi="Calibri" w:cs="Calibri"/>
        </w:rPr>
        <w:t xml:space="preserve"> also noted the need to fund services for workers who are not able to secure help from a union, lawyer or other advocate. </w:t>
      </w:r>
      <w:r w:rsidR="009B08CA">
        <w:rPr>
          <w:rFonts w:ascii="Calibri" w:eastAsia="Calibri" w:hAnsi="Calibri" w:cs="Calibri"/>
        </w:rPr>
        <w:t>This stakeholder</w:t>
      </w:r>
      <w:r w:rsidRPr="00921D71">
        <w:rPr>
          <w:rFonts w:ascii="Calibri" w:eastAsia="Calibri" w:hAnsi="Calibri" w:cs="Calibri"/>
        </w:rPr>
        <w:t xml:space="preserve"> highlighted the need for a holistic, advocacy, socio-legal/workplace relations model (that </w:t>
      </w:r>
      <w:proofErr w:type="gramStart"/>
      <w:r w:rsidRPr="00921D71">
        <w:rPr>
          <w:rFonts w:ascii="Calibri" w:eastAsia="Calibri" w:hAnsi="Calibri" w:cs="Calibri"/>
        </w:rPr>
        <w:t>takes into account</w:t>
      </w:r>
      <w:proofErr w:type="gramEnd"/>
      <w:r w:rsidRPr="00921D71">
        <w:rPr>
          <w:rFonts w:ascii="Calibri" w:eastAsia="Calibri" w:hAnsi="Calibri" w:cs="Calibri"/>
        </w:rPr>
        <w:t xml:space="preserve"> nuances around coercion, gender inequality etc.) as this is often preferred by workers such as vulnerable women, and this kind of model is needed to prioritise prevention of non-compliance.</w:t>
      </w:r>
    </w:p>
    <w:p w14:paraId="316F13CA" w14:textId="3FE54D89" w:rsidR="00921D71" w:rsidRPr="00921D71" w:rsidRDefault="00921D71" w:rsidP="00921D71">
      <w:pPr>
        <w:spacing w:before="120" w:after="120" w:line="240" w:lineRule="auto"/>
        <w:textAlignment w:val="baseline"/>
        <w:rPr>
          <w:rFonts w:ascii="Calibri" w:eastAsia="Yu Mincho" w:hAnsi="Calibri" w:cs="Arial"/>
        </w:rPr>
      </w:pPr>
      <w:r w:rsidRPr="00921D71">
        <w:rPr>
          <w:rFonts w:ascii="Calibri" w:eastAsia="Calibri" w:hAnsi="Calibri" w:cs="Calibri"/>
        </w:rPr>
        <w:t xml:space="preserve">Given the difficulties (and even fear, on account of employment and immigration-related consequences) faced by workers in lodging complaints, the </w:t>
      </w:r>
      <w:r w:rsidR="00980097">
        <w:rPr>
          <w:rFonts w:ascii="Calibri" w:eastAsia="Calibri" w:hAnsi="Calibri" w:cs="Calibri"/>
        </w:rPr>
        <w:t>stakeholder</w:t>
      </w:r>
      <w:r w:rsidRPr="00921D71">
        <w:rPr>
          <w:rFonts w:ascii="Calibri" w:eastAsia="Calibri" w:hAnsi="Calibri" w:cs="Calibri"/>
        </w:rPr>
        <w:t xml:space="preserve"> also suggested that organisations dedicated to supporting workers should be able to lodge complaints with the FWO on their behalf.</w:t>
      </w:r>
    </w:p>
    <w:p w14:paraId="0D570181" w14:textId="77777777" w:rsidR="00921D71" w:rsidRPr="00921D71" w:rsidRDefault="00921D71" w:rsidP="006921D8">
      <w:pPr>
        <w:pStyle w:val="Heading2"/>
        <w:rPr>
          <w:rFonts w:eastAsia="Times New Roman"/>
          <w:lang w:eastAsia="en-AU"/>
        </w:rPr>
      </w:pPr>
      <w:bookmarkStart w:id="44" w:name="_Toc183777433"/>
      <w:r w:rsidRPr="00921D71">
        <w:rPr>
          <w:rFonts w:eastAsia="Times New Roman"/>
          <w:lang w:eastAsia="en-AU"/>
        </w:rPr>
        <w:t>The FWO and information-sharing</w:t>
      </w:r>
      <w:bookmarkEnd w:id="44"/>
    </w:p>
    <w:p w14:paraId="5DE17286" w14:textId="77777777" w:rsidR="00921D71" w:rsidRPr="00921D71" w:rsidRDefault="00921D71" w:rsidP="00921D71">
      <w:pPr>
        <w:spacing w:before="120" w:after="120" w:line="240" w:lineRule="auto"/>
        <w:textAlignment w:val="baseline"/>
        <w:rPr>
          <w:rFonts w:ascii="Calibri" w:eastAsia="Yu Mincho" w:hAnsi="Calibri" w:cs="Arial"/>
        </w:rPr>
      </w:pPr>
      <w:r w:rsidRPr="00921D71">
        <w:rPr>
          <w:rFonts w:ascii="Calibri" w:eastAsia="Calibri" w:hAnsi="Calibri" w:cs="Calibri"/>
        </w:rPr>
        <w:t>Various proposals were raised in relation to the FWO. These included a dedicated migrant worker support unit, a fulsome review of the FWO’s functions, a wage and superannuation calculation service, increased data collection, increased focus on deterrence, and enforcement of unpaid judgments by the FWO (with an insurance scheme where employers are unable to pay).</w:t>
      </w:r>
    </w:p>
    <w:p w14:paraId="2CF37584" w14:textId="5069445E" w:rsidR="00921D71" w:rsidRPr="00921D71" w:rsidRDefault="00980097" w:rsidP="00921D71">
      <w:pPr>
        <w:spacing w:before="120" w:after="120" w:line="240" w:lineRule="auto"/>
        <w:textAlignment w:val="baseline"/>
        <w:rPr>
          <w:rFonts w:ascii="Calibri" w:eastAsia="Calibri" w:hAnsi="Calibri" w:cs="Calibri"/>
        </w:rPr>
      </w:pPr>
      <w:r>
        <w:rPr>
          <w:rFonts w:ascii="Calibri" w:eastAsia="Calibri" w:hAnsi="Calibri" w:cs="Calibri"/>
        </w:rPr>
        <w:t>A stakeholder</w:t>
      </w:r>
      <w:r w:rsidR="00921D71" w:rsidRPr="00921D71">
        <w:rPr>
          <w:rFonts w:ascii="Calibri" w:eastAsia="Calibri" w:hAnsi="Calibri" w:cs="Calibri"/>
        </w:rPr>
        <w:t xml:space="preserve"> also suggested that CLCs and organisations such as WWCs would be greatly assisted if the FWO could share more of its resources, including company searches necessary for service of documents and underpayment calculation tools. </w:t>
      </w:r>
      <w:r>
        <w:rPr>
          <w:rFonts w:ascii="Calibri" w:eastAsia="Calibri" w:hAnsi="Calibri" w:cs="Calibri"/>
        </w:rPr>
        <w:t>This stakeholder</w:t>
      </w:r>
      <w:r w:rsidR="00921D71" w:rsidRPr="00921D71">
        <w:rPr>
          <w:rFonts w:ascii="Calibri" w:eastAsia="Calibri" w:hAnsi="Calibri" w:cs="Calibri"/>
        </w:rPr>
        <w:t xml:space="preserve"> also suggested that amounts recovered through enforceable undertakings should be distributed to organisations that assist vulnerable workers with underpayment claims, particularly to organisations that regularly refer clients to the FWO. </w:t>
      </w:r>
    </w:p>
    <w:p w14:paraId="12F025F1" w14:textId="5A933347" w:rsidR="00921D71" w:rsidRPr="00921D71" w:rsidRDefault="00980097" w:rsidP="00921D71">
      <w:pPr>
        <w:spacing w:before="120" w:after="120" w:line="240" w:lineRule="auto"/>
        <w:textAlignment w:val="baseline"/>
        <w:rPr>
          <w:rFonts w:ascii="Calibri" w:eastAsia="Yu Mincho" w:hAnsi="Calibri" w:cs="Arial"/>
        </w:rPr>
      </w:pPr>
      <w:r>
        <w:rPr>
          <w:rFonts w:ascii="Calibri" w:eastAsia="Calibri" w:hAnsi="Calibri" w:cs="Calibri"/>
        </w:rPr>
        <w:t>Another stakeholder</w:t>
      </w:r>
      <w:r w:rsidR="00921D71" w:rsidRPr="00921D71">
        <w:rPr>
          <w:rFonts w:ascii="Calibri" w:eastAsia="Calibri" w:hAnsi="Calibri" w:cs="Calibri"/>
        </w:rPr>
        <w:t xml:space="preserve"> proposed that there should be an information-sharing system between courts, tribunals and agencies such as the FWO and FWC. </w:t>
      </w:r>
      <w:r>
        <w:rPr>
          <w:rFonts w:ascii="Calibri" w:eastAsia="Calibri" w:hAnsi="Calibri" w:cs="Calibri"/>
        </w:rPr>
        <w:t>This stakeholder</w:t>
      </w:r>
      <w:r w:rsidR="00921D71" w:rsidRPr="00921D71">
        <w:rPr>
          <w:rFonts w:ascii="Calibri" w:eastAsia="Calibri" w:hAnsi="Calibri" w:cs="Calibri"/>
        </w:rPr>
        <w:t xml:space="preserve"> said this would aid the detection of repeat offenders, especially the most serious, for further scrutiny, investigation and potential penalties. </w:t>
      </w:r>
    </w:p>
    <w:p w14:paraId="21EC51FD" w14:textId="198D7E99" w:rsidR="00921D71" w:rsidRPr="00921D71" w:rsidRDefault="00980097" w:rsidP="00921D71">
      <w:pPr>
        <w:spacing w:before="120" w:after="120" w:line="240" w:lineRule="auto"/>
        <w:textAlignment w:val="baseline"/>
        <w:rPr>
          <w:rFonts w:ascii="Calibri" w:eastAsia="Yu Mincho" w:hAnsi="Calibri" w:cs="Arial"/>
        </w:rPr>
      </w:pPr>
      <w:r w:rsidRPr="22EA3EE2">
        <w:rPr>
          <w:rFonts w:ascii="Calibri" w:eastAsia="Calibri" w:hAnsi="Calibri" w:cs="Calibri"/>
        </w:rPr>
        <w:t xml:space="preserve">Another stakeholder </w:t>
      </w:r>
      <w:r w:rsidR="00921D71" w:rsidRPr="22EA3EE2">
        <w:rPr>
          <w:rFonts w:ascii="Calibri" w:eastAsia="Calibri" w:hAnsi="Calibri" w:cs="Calibri"/>
        </w:rPr>
        <w:t xml:space="preserve">also raised the need for better information-sharing across regulators including the FWO, the FWC, the Australian Taxation Office, the Australian Securities and Investments Commission, and the Department of Home Affairs. </w:t>
      </w:r>
      <w:r w:rsidRPr="22EA3EE2">
        <w:rPr>
          <w:rFonts w:ascii="Calibri" w:eastAsia="Calibri" w:hAnsi="Calibri" w:cs="Calibri"/>
        </w:rPr>
        <w:t>This stakeholder</w:t>
      </w:r>
      <w:r w:rsidR="00921D71" w:rsidRPr="22EA3EE2">
        <w:rPr>
          <w:rFonts w:ascii="Calibri" w:eastAsia="Calibri" w:hAnsi="Calibri" w:cs="Calibri"/>
        </w:rPr>
        <w:t xml:space="preserve"> emphasised that employment issues often co-occur. For example, where there is underpayment there are likely to be issues such as non-compliance with Work Health and Safety laws. </w:t>
      </w:r>
      <w:r w:rsidRPr="22EA3EE2">
        <w:rPr>
          <w:rFonts w:ascii="Calibri" w:eastAsia="Calibri" w:hAnsi="Calibri" w:cs="Calibri"/>
        </w:rPr>
        <w:t>This stakeholder</w:t>
      </w:r>
      <w:r w:rsidR="00921D71" w:rsidRPr="22EA3EE2">
        <w:rPr>
          <w:rFonts w:ascii="Calibri" w:eastAsia="Calibri" w:hAnsi="Calibri" w:cs="Calibri"/>
        </w:rPr>
        <w:t xml:space="preserve"> suggested that agencies need </w:t>
      </w:r>
      <w:r w:rsidR="00921D71" w:rsidRPr="22EA3EE2">
        <w:rPr>
          <w:rFonts w:ascii="Calibri" w:eastAsia="Calibri" w:hAnsi="Calibri" w:cs="Calibri"/>
        </w:rPr>
        <w:lastRenderedPageBreak/>
        <w:t xml:space="preserve">to communicate better, with alerts raised when complaints are made on </w:t>
      </w:r>
      <w:proofErr w:type="gramStart"/>
      <w:r w:rsidR="00921D71" w:rsidRPr="22EA3EE2">
        <w:rPr>
          <w:rFonts w:ascii="Calibri" w:eastAsia="Calibri" w:hAnsi="Calibri" w:cs="Calibri"/>
        </w:rPr>
        <w:t>particular issues</w:t>
      </w:r>
      <w:proofErr w:type="gramEnd"/>
      <w:r w:rsidR="00921D71" w:rsidRPr="22EA3EE2">
        <w:rPr>
          <w:rFonts w:ascii="Calibri" w:eastAsia="Calibri" w:hAnsi="Calibri" w:cs="Calibri"/>
        </w:rPr>
        <w:t xml:space="preserve"> or repeatedly about particular organisations, to inform other regulators and allow for coherence of compliance investigations.</w:t>
      </w:r>
    </w:p>
    <w:p w14:paraId="02121CAC" w14:textId="77777777" w:rsidR="00921D71" w:rsidRPr="00921D71" w:rsidRDefault="00921D71" w:rsidP="006921D8">
      <w:pPr>
        <w:pStyle w:val="Heading2"/>
        <w:rPr>
          <w:rFonts w:eastAsia="Times New Roman"/>
          <w:lang w:eastAsia="en-AU"/>
        </w:rPr>
      </w:pPr>
      <w:bookmarkStart w:id="45" w:name="_Toc183777434"/>
      <w:r w:rsidRPr="00921D71">
        <w:rPr>
          <w:rFonts w:eastAsia="Times New Roman"/>
          <w:lang w:eastAsia="en-AU"/>
        </w:rPr>
        <w:t>Unions and right of entry</w:t>
      </w:r>
      <w:bookmarkEnd w:id="45"/>
      <w:r w:rsidRPr="00921D71">
        <w:rPr>
          <w:rFonts w:eastAsia="Times New Roman"/>
          <w:lang w:eastAsia="en-AU"/>
        </w:rPr>
        <w:t xml:space="preserve"> </w:t>
      </w:r>
    </w:p>
    <w:p w14:paraId="0BE2AA16" w14:textId="27F60183" w:rsidR="00921D71" w:rsidRPr="00921D71" w:rsidRDefault="00980097" w:rsidP="00921D71">
      <w:pPr>
        <w:keepNext/>
        <w:spacing w:before="120" w:after="120" w:line="240" w:lineRule="auto"/>
        <w:textAlignment w:val="baseline"/>
        <w:rPr>
          <w:rFonts w:ascii="Calibri" w:eastAsia="Yu Mincho" w:hAnsi="Calibri" w:cs="Arial"/>
        </w:rPr>
      </w:pPr>
      <w:r>
        <w:rPr>
          <w:rFonts w:ascii="Calibri" w:eastAsia="Calibri" w:hAnsi="Calibri" w:cs="Calibri"/>
        </w:rPr>
        <w:t xml:space="preserve">A stakeholder </w:t>
      </w:r>
      <w:r w:rsidR="00921D71" w:rsidRPr="00921D71">
        <w:rPr>
          <w:rFonts w:ascii="Calibri" w:eastAsia="Calibri" w:hAnsi="Calibri" w:cs="Calibri"/>
        </w:rPr>
        <w:t xml:space="preserve">recommended extending the provisions of Part 6-4A of the Fair Work Act (relating to the Textile, Clothing and Footwear Industry) to other industries with a high incidence of non-compliance and vulnerable workers. Among other measures to ensure increased protection for workers, these provisions include enhanced union right of entry, coupled with more detailed record-keeping requirements. </w:t>
      </w:r>
    </w:p>
    <w:p w14:paraId="11A3B8EE" w14:textId="087CA572" w:rsidR="00921D71" w:rsidRPr="00921D71" w:rsidRDefault="00B337EF" w:rsidP="00921D71">
      <w:pPr>
        <w:spacing w:before="120" w:after="120" w:line="240" w:lineRule="auto"/>
        <w:textAlignment w:val="baseline"/>
        <w:rPr>
          <w:rFonts w:ascii="Calibri" w:eastAsia="Yu Mincho" w:hAnsi="Calibri" w:cs="Arial"/>
        </w:rPr>
      </w:pPr>
      <w:r>
        <w:rPr>
          <w:rFonts w:ascii="Calibri" w:eastAsia="Calibri" w:hAnsi="Calibri" w:cs="Calibri"/>
        </w:rPr>
        <w:t>Another stakeholder</w:t>
      </w:r>
      <w:r w:rsidR="00921D71" w:rsidRPr="00921D71">
        <w:rPr>
          <w:rFonts w:ascii="Calibri" w:eastAsia="Calibri" w:hAnsi="Calibri" w:cs="Calibri"/>
        </w:rPr>
        <w:t xml:space="preserve"> emphasised the importance of union right of entry, stressing that unions are the only institution with the capacity, scale and connection to workers to adequately address wage theft. </w:t>
      </w:r>
      <w:r>
        <w:rPr>
          <w:rFonts w:ascii="Calibri" w:eastAsia="Calibri" w:hAnsi="Calibri" w:cs="Calibri"/>
        </w:rPr>
        <w:t>This stakeholder</w:t>
      </w:r>
      <w:r w:rsidR="00921D71" w:rsidRPr="00921D71">
        <w:rPr>
          <w:rFonts w:ascii="Calibri" w:eastAsia="Calibri" w:hAnsi="Calibri" w:cs="Calibri"/>
        </w:rPr>
        <w:t xml:space="preserve"> also noted unions’ specialist knowledge of the features of employment in particular industries (for example, piece rates in agriculture and horticulture and haulage rates in road transport), which generalist regulators may not have or may not be able to develop due to resource constraints. In relation to right of entry, </w:t>
      </w:r>
      <w:r>
        <w:rPr>
          <w:rFonts w:ascii="Calibri" w:eastAsia="Calibri" w:hAnsi="Calibri" w:cs="Calibri"/>
        </w:rPr>
        <w:t>this stakeholder</w:t>
      </w:r>
      <w:r w:rsidR="00921D71" w:rsidRPr="00921D71">
        <w:rPr>
          <w:rFonts w:ascii="Calibri" w:eastAsia="Calibri" w:hAnsi="Calibri" w:cs="Calibri"/>
        </w:rPr>
        <w:t xml:space="preserve"> noted the onerous and time-consuming procedural and accreditation requirements, in addition to the legislative requirements. </w:t>
      </w:r>
      <w:r>
        <w:rPr>
          <w:rFonts w:ascii="Calibri" w:eastAsia="Calibri" w:hAnsi="Calibri" w:cs="Calibri"/>
        </w:rPr>
        <w:t>This stakeholder</w:t>
      </w:r>
      <w:r w:rsidR="00921D71" w:rsidRPr="00921D71">
        <w:rPr>
          <w:rFonts w:ascii="Calibri" w:eastAsia="Calibri" w:hAnsi="Calibri" w:cs="Calibri"/>
        </w:rPr>
        <w:t xml:space="preserve"> submitted that the Queensland system of right of entry should form the basis of reforms to the national system. Further, </w:t>
      </w:r>
      <w:r>
        <w:rPr>
          <w:rFonts w:ascii="Calibri" w:eastAsia="Calibri" w:hAnsi="Calibri" w:cs="Calibri"/>
        </w:rPr>
        <w:t>this stakeholder</w:t>
      </w:r>
      <w:r w:rsidR="00921D71" w:rsidRPr="00921D71">
        <w:rPr>
          <w:rFonts w:ascii="Calibri" w:eastAsia="Calibri" w:hAnsi="Calibri" w:cs="Calibri"/>
        </w:rPr>
        <w:t xml:space="preserve"> proposed that, given the challenge of calculating potential underpayment, the right of current or former employees to access their employment records should be strengthened to include a right to access those records in the most convenient electronic format available. </w:t>
      </w:r>
    </w:p>
    <w:p w14:paraId="50FA5000" w14:textId="0A993979" w:rsidR="00921D71" w:rsidRPr="00921D71" w:rsidRDefault="00B337EF" w:rsidP="00921D71">
      <w:pPr>
        <w:spacing w:after="160" w:line="259" w:lineRule="auto"/>
        <w:rPr>
          <w:rFonts w:ascii="Calibri" w:eastAsia="Yu Mincho" w:hAnsi="Calibri" w:cs="Arial"/>
        </w:rPr>
      </w:pPr>
      <w:r>
        <w:rPr>
          <w:rFonts w:ascii="Calibri" w:eastAsia="Calibri" w:hAnsi="Calibri" w:cs="Calibri"/>
        </w:rPr>
        <w:t>This stakeholder</w:t>
      </w:r>
      <w:r w:rsidR="00921D71" w:rsidRPr="00921D71">
        <w:rPr>
          <w:rFonts w:ascii="Calibri" w:eastAsia="Calibri" w:hAnsi="Calibri" w:cs="Calibri"/>
        </w:rPr>
        <w:t xml:space="preserve"> also proposed that Australia take steps toward implementing International Labour Organization Convention 135. Such steps include providing a right to representation by a workplace delegate, entitlement for delegates to have paid leave for training, a right for delegates to engage in discussion with workers and union officers during work time, a right for delegates to use an employer’s facilities to communicate with members and their union, and rights for employees to attend union meetings. </w:t>
      </w:r>
      <w:r w:rsidR="00921D71" w:rsidRPr="00921D71">
        <w:rPr>
          <w:rFonts w:ascii="Calibri" w:eastAsia="Yu Mincho" w:hAnsi="Calibri" w:cs="Arial"/>
        </w:rPr>
        <w:br w:type="page"/>
      </w:r>
    </w:p>
    <w:p w14:paraId="2DDC00E2" w14:textId="77777777" w:rsidR="00921D71" w:rsidRPr="00921D71" w:rsidRDefault="00921D71" w:rsidP="00686958">
      <w:pPr>
        <w:pStyle w:val="Heading1"/>
        <w:rPr>
          <w:rFonts w:eastAsia="Times New Roman"/>
          <w:sz w:val="18"/>
          <w:szCs w:val="18"/>
          <w:lang w:val="en-GB" w:eastAsia="en-AU"/>
        </w:rPr>
      </w:pPr>
      <w:bookmarkStart w:id="46" w:name="_Toc183777435"/>
      <w:r w:rsidRPr="00921D71">
        <w:rPr>
          <w:rFonts w:eastAsia="Times New Roman"/>
          <w:lang w:val="en-GB" w:eastAsia="en-AU"/>
        </w:rPr>
        <w:lastRenderedPageBreak/>
        <w:t>Conclusion </w:t>
      </w:r>
      <w:bookmarkEnd w:id="46"/>
      <w:r w:rsidRPr="00921D71">
        <w:rPr>
          <w:rFonts w:eastAsia="Times New Roman"/>
          <w:lang w:val="en-GB" w:eastAsia="en-AU"/>
        </w:rPr>
        <w:t> </w:t>
      </w:r>
    </w:p>
    <w:p w14:paraId="6C1A970B" w14:textId="77777777" w:rsidR="00921D71" w:rsidRPr="00921D71" w:rsidRDefault="00921D71" w:rsidP="00921D71">
      <w:pPr>
        <w:spacing w:before="120" w:after="120" w:line="240" w:lineRule="auto"/>
        <w:textAlignment w:val="baseline"/>
        <w:rPr>
          <w:rFonts w:ascii="Calibri" w:eastAsia="Times New Roman" w:hAnsi="Calibri" w:cs="Arial"/>
          <w:sz w:val="18"/>
          <w:szCs w:val="18"/>
          <w:lang w:eastAsia="en-AU"/>
        </w:rPr>
      </w:pPr>
      <w:r w:rsidRPr="00921D71">
        <w:rPr>
          <w:rFonts w:ascii="Calibri" w:eastAsia="Times New Roman" w:hAnsi="Calibri" w:cs="Arial"/>
          <w:lang w:eastAsia="en-AU"/>
        </w:rPr>
        <w:t>This Review has been conducted in line with Recommendation 12 of the MWT Report and has identified potential reforms that could make the small claims procedure a more effective avenue for wage redress for workers generally (including migrant workers). These reforms can be implemented now to further build on the improvements to the small claims procedure made via the Secure Jobs, Better Pay Bill. </w:t>
      </w:r>
    </w:p>
    <w:p w14:paraId="532182FF" w14:textId="77777777" w:rsidR="00921D71" w:rsidRPr="00921D71" w:rsidRDefault="00921D71" w:rsidP="00921D71">
      <w:pPr>
        <w:spacing w:before="120" w:after="120" w:line="240" w:lineRule="auto"/>
        <w:textAlignment w:val="baseline"/>
        <w:rPr>
          <w:rFonts w:ascii="Calibri" w:eastAsia="Times New Roman" w:hAnsi="Calibri" w:cs="Arial"/>
          <w:sz w:val="18"/>
          <w:szCs w:val="18"/>
          <w:lang w:eastAsia="en-AU"/>
        </w:rPr>
      </w:pPr>
      <w:r w:rsidRPr="00921D71">
        <w:rPr>
          <w:rFonts w:ascii="Calibri" w:eastAsia="Times New Roman" w:hAnsi="Calibri" w:cs="Arial"/>
          <w:lang w:eastAsia="en-AU"/>
        </w:rPr>
        <w:t>The department thanks all stakeholders for their participation in the Review. Stakeholders will continue to be consulted as needed as measures approved by Government are developed.  </w:t>
      </w:r>
    </w:p>
    <w:p w14:paraId="47AB502C" w14:textId="77777777" w:rsidR="00921D71" w:rsidRPr="00921D71" w:rsidRDefault="00921D71" w:rsidP="00921D71">
      <w:pPr>
        <w:spacing w:before="120" w:after="120" w:line="240" w:lineRule="auto"/>
        <w:textAlignment w:val="baseline"/>
        <w:rPr>
          <w:rFonts w:ascii="Calibri" w:eastAsia="Times New Roman" w:hAnsi="Calibri" w:cs="Calibri"/>
          <w:sz w:val="18"/>
          <w:szCs w:val="18"/>
          <w:lang w:eastAsia="en-AU"/>
        </w:rPr>
      </w:pPr>
      <w:r w:rsidRPr="00921D71">
        <w:rPr>
          <w:rFonts w:ascii="Calibri" w:eastAsia="Times New Roman" w:hAnsi="Calibri" w:cs="Calibri"/>
          <w:lang w:eastAsia="en-AU"/>
        </w:rPr>
        <w:t>The Review has formed part of the Government</w:t>
      </w:r>
      <w:r w:rsidRPr="00921D71">
        <w:rPr>
          <w:rFonts w:ascii="Calibri" w:eastAsia="Times New Roman" w:hAnsi="Calibri" w:cs="Calibri" w:hint="eastAsia"/>
          <w:lang w:eastAsia="en-AU"/>
        </w:rPr>
        <w:t>’</w:t>
      </w:r>
      <w:r w:rsidRPr="00921D71">
        <w:rPr>
          <w:rFonts w:ascii="Calibri" w:eastAsia="Times New Roman" w:hAnsi="Calibri" w:cs="Calibri"/>
          <w:lang w:eastAsia="en-AU"/>
        </w:rPr>
        <w:t>s overall reform agenda for Australia</w:t>
      </w:r>
      <w:r w:rsidRPr="00921D71">
        <w:rPr>
          <w:rFonts w:ascii="Calibri" w:eastAsia="Times New Roman" w:hAnsi="Calibri" w:cs="Calibri" w:hint="eastAsia"/>
          <w:lang w:eastAsia="en-AU"/>
        </w:rPr>
        <w:t>’</w:t>
      </w:r>
      <w:r w:rsidRPr="00921D71">
        <w:rPr>
          <w:rFonts w:ascii="Calibri" w:eastAsia="Times New Roman" w:hAnsi="Calibri" w:cs="Calibri"/>
          <w:lang w:eastAsia="en-AU"/>
        </w:rPr>
        <w:t>s national workplace relations system. There will be ongoing opportunities for stakeholders to contribute further to workplace relations reform as the Government continues to carry out its agenda. </w:t>
      </w:r>
    </w:p>
    <w:p w14:paraId="122F722B" w14:textId="77777777" w:rsidR="00921D71" w:rsidRPr="00921D71" w:rsidRDefault="00921D71" w:rsidP="00D735AB">
      <w:pPr>
        <w:pStyle w:val="Heading2"/>
        <w:rPr>
          <w:rFonts w:eastAsia="Times New Roman"/>
          <w:lang w:eastAsia="en-AU"/>
        </w:rPr>
      </w:pPr>
      <w:bookmarkStart w:id="47" w:name="_Toc183777436"/>
      <w:r w:rsidRPr="00921D71">
        <w:rPr>
          <w:rFonts w:eastAsia="Times New Roman"/>
          <w:lang w:eastAsia="en-AU"/>
        </w:rPr>
        <w:t>Next Steps</w:t>
      </w:r>
      <w:bookmarkEnd w:id="47"/>
    </w:p>
    <w:p w14:paraId="413B885B" w14:textId="77777777" w:rsidR="00921D71" w:rsidRPr="00921D71" w:rsidRDefault="00921D71" w:rsidP="00921D71">
      <w:pPr>
        <w:spacing w:before="120" w:after="120" w:line="240" w:lineRule="auto"/>
        <w:rPr>
          <w:rFonts w:ascii="Calibri" w:eastAsia="Yu Mincho" w:hAnsi="Calibri" w:cs="Calibri"/>
        </w:rPr>
      </w:pPr>
      <w:r w:rsidRPr="00921D71">
        <w:rPr>
          <w:rFonts w:ascii="Calibri" w:eastAsia="Yu Mincho" w:hAnsi="Calibri" w:cs="Calibri"/>
        </w:rPr>
        <w:t xml:space="preserve">There are </w:t>
      </w:r>
      <w:proofErr w:type="gramStart"/>
      <w:r w:rsidRPr="00921D71">
        <w:rPr>
          <w:rFonts w:ascii="Calibri" w:eastAsia="Yu Mincho" w:hAnsi="Calibri" w:cs="Calibri"/>
        </w:rPr>
        <w:t>a number of</w:t>
      </w:r>
      <w:proofErr w:type="gramEnd"/>
      <w:r w:rsidRPr="00921D71">
        <w:rPr>
          <w:rFonts w:ascii="Calibri" w:eastAsia="Yu Mincho" w:hAnsi="Calibri" w:cs="Calibri"/>
        </w:rPr>
        <w:t xml:space="preserve"> recommendations that are a matter for Government, and further work is needed to establish cost requirements. Some of the recommendations made will require cross-portfolio work and collaboration. There are certain matters canvassed in this Review that will be a matter for the FCFCOA to consider in the first instance. </w:t>
      </w:r>
    </w:p>
    <w:p w14:paraId="23EACF65" w14:textId="77777777" w:rsidR="00921D71" w:rsidRPr="00921D71" w:rsidRDefault="00921D71" w:rsidP="00921D71">
      <w:pPr>
        <w:spacing w:before="120" w:after="120" w:line="240" w:lineRule="auto"/>
        <w:rPr>
          <w:rFonts w:ascii="Calibri" w:eastAsia="Yu Mincho" w:hAnsi="Calibri" w:cs="Arial"/>
        </w:rPr>
      </w:pPr>
      <w:r w:rsidRPr="00921D71">
        <w:rPr>
          <w:rFonts w:ascii="Calibri" w:eastAsia="Yu Mincho" w:hAnsi="Calibri" w:cs="Arial"/>
        </w:rPr>
        <w:t xml:space="preserve">This Report and its recommendations are provided for the Government’s consideration. As </w:t>
      </w:r>
      <w:proofErr w:type="gramStart"/>
      <w:r w:rsidRPr="00921D71">
        <w:rPr>
          <w:rFonts w:ascii="Calibri" w:eastAsia="Yu Mincho" w:hAnsi="Calibri" w:cs="Arial"/>
        </w:rPr>
        <w:t>a number of</w:t>
      </w:r>
      <w:proofErr w:type="gramEnd"/>
      <w:r w:rsidRPr="00921D71">
        <w:rPr>
          <w:rFonts w:ascii="Calibri" w:eastAsia="Yu Mincho" w:hAnsi="Calibri" w:cs="Arial"/>
        </w:rPr>
        <w:t xml:space="preserve"> recommendations require further consideration and consultation, additional advice will be provided in due course. </w:t>
      </w:r>
    </w:p>
    <w:p w14:paraId="133B17F2" w14:textId="7942D065" w:rsidR="00A56FC7" w:rsidRPr="00A56FC7" w:rsidRDefault="00A56FC7" w:rsidP="00921D71">
      <w:pPr>
        <w:pStyle w:val="TOCHeading"/>
      </w:pPr>
    </w:p>
    <w:sectPr w:rsidR="00A56FC7" w:rsidRPr="00A56FC7" w:rsidSect="00921D7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AA6C" w14:textId="77777777" w:rsidR="00EE3DA4" w:rsidRDefault="00EE3DA4" w:rsidP="0051352E">
      <w:pPr>
        <w:spacing w:after="0" w:line="240" w:lineRule="auto"/>
      </w:pPr>
      <w:r>
        <w:separator/>
      </w:r>
    </w:p>
  </w:endnote>
  <w:endnote w:type="continuationSeparator" w:id="0">
    <w:p w14:paraId="09F655CF" w14:textId="77777777" w:rsidR="00EE3DA4" w:rsidRDefault="00EE3DA4" w:rsidP="0051352E">
      <w:pPr>
        <w:spacing w:after="0" w:line="240" w:lineRule="auto"/>
      </w:pPr>
      <w:r>
        <w:continuationSeparator/>
      </w:r>
    </w:p>
  </w:endnote>
  <w:endnote w:type="continuationNotice" w:id="1">
    <w:p w14:paraId="0FEFE5A1" w14:textId="77777777" w:rsidR="00EE3DA4" w:rsidRDefault="00EE3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6638" w14:textId="4850B226"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B1E6" w14:textId="0EBCB43D" w:rsidR="00277D9D" w:rsidRDefault="00277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46A6" w14:textId="22B9156B" w:rsidR="00277D9D" w:rsidRDefault="008A5F41">
    <w:pPr>
      <w:pStyle w:val="Footer"/>
      <w:jc w:val="right"/>
    </w:pPr>
    <w:sdt>
      <w:sdtPr>
        <w:id w:val="-1518839094"/>
        <w:docPartObj>
          <w:docPartGallery w:val="Page Numbers (Bottom of Page)"/>
          <w:docPartUnique/>
        </w:docPartObj>
      </w:sdtPr>
      <w:sdtEndPr>
        <w:rPr>
          <w:noProof/>
        </w:rPr>
      </w:sdtEndPr>
      <w:sdtContent>
        <w:r w:rsidR="00921D71">
          <w:fldChar w:fldCharType="begin"/>
        </w:r>
        <w:r w:rsidR="00921D71">
          <w:instrText xml:space="preserve"> PAGE   \* MERGEFORMAT </w:instrText>
        </w:r>
        <w:r w:rsidR="00921D71">
          <w:fldChar w:fldCharType="separate"/>
        </w:r>
        <w:r w:rsidR="00921D71">
          <w:rPr>
            <w:noProof/>
          </w:rPr>
          <w:t>2</w:t>
        </w:r>
        <w:r w:rsidR="00921D71">
          <w:rPr>
            <w:noProof/>
          </w:rPr>
          <w:fldChar w:fldCharType="end"/>
        </w:r>
      </w:sdtContent>
    </w:sdt>
  </w:p>
  <w:p w14:paraId="44072F90" w14:textId="77777777" w:rsidR="00277D9D" w:rsidRDefault="00277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4170" w14:textId="341FB935" w:rsidR="00277D9D" w:rsidRDefault="0027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B6A7" w14:textId="77777777" w:rsidR="00EE3DA4" w:rsidRDefault="00EE3DA4" w:rsidP="0051352E">
      <w:pPr>
        <w:spacing w:after="0" w:line="240" w:lineRule="auto"/>
      </w:pPr>
      <w:r>
        <w:separator/>
      </w:r>
    </w:p>
  </w:footnote>
  <w:footnote w:type="continuationSeparator" w:id="0">
    <w:p w14:paraId="72C7F953" w14:textId="77777777" w:rsidR="00EE3DA4" w:rsidRDefault="00EE3DA4" w:rsidP="0051352E">
      <w:pPr>
        <w:spacing w:after="0" w:line="240" w:lineRule="auto"/>
      </w:pPr>
      <w:r>
        <w:continuationSeparator/>
      </w:r>
    </w:p>
  </w:footnote>
  <w:footnote w:type="continuationNotice" w:id="1">
    <w:p w14:paraId="3F2AB1CE" w14:textId="77777777" w:rsidR="00EE3DA4" w:rsidRDefault="00EE3DA4">
      <w:pPr>
        <w:spacing w:after="0" w:line="240" w:lineRule="auto"/>
      </w:pPr>
    </w:p>
  </w:footnote>
  <w:footnote w:id="2">
    <w:p w14:paraId="203D71F9" w14:textId="77777777" w:rsidR="00921D71" w:rsidRPr="00CB3E5B" w:rsidRDefault="00921D71" w:rsidP="00921D71">
      <w:pPr>
        <w:pStyle w:val="FootnoteText"/>
      </w:pPr>
      <w:r w:rsidRPr="00CB3E5B">
        <w:rPr>
          <w:rStyle w:val="FootnoteReference"/>
        </w:rPr>
        <w:footnoteRef/>
      </w:r>
      <w:r w:rsidRPr="00CB3E5B">
        <w:t xml:space="preserve"> See also reg 4.11(3) of the </w:t>
      </w:r>
      <w:r w:rsidRPr="00CB3E5B">
        <w:rPr>
          <w:i/>
        </w:rPr>
        <w:t xml:space="preserve">Fair Work Regulations 2009 </w:t>
      </w:r>
      <w:r w:rsidRPr="00CB3E5B">
        <w:t>(Cth).</w:t>
      </w:r>
    </w:p>
  </w:footnote>
  <w:footnote w:id="3">
    <w:p w14:paraId="704A29F5" w14:textId="77777777" w:rsidR="00921D71" w:rsidRDefault="00921D71" w:rsidP="00921D71">
      <w:pPr>
        <w:pStyle w:val="FootnoteText"/>
      </w:pPr>
      <w:r w:rsidRPr="00CB3E5B">
        <w:rPr>
          <w:rStyle w:val="FootnoteReference"/>
        </w:rPr>
        <w:footnoteRef/>
      </w:r>
      <w:r w:rsidRPr="00CB3E5B">
        <w:t xml:space="preserve"> </w:t>
      </w:r>
      <w:r w:rsidRPr="00CB3E5B">
        <w:rPr>
          <w:rFonts w:eastAsia="Times New Roman"/>
          <w:lang w:eastAsia="en-AU"/>
        </w:rPr>
        <w:t xml:space="preserve">A summary of relevant factors was identified by Kendall J in </w:t>
      </w:r>
      <w:r w:rsidRPr="00CB3E5B">
        <w:rPr>
          <w:rFonts w:eastAsia="Times New Roman"/>
          <w:i/>
          <w:lang w:eastAsia="en-AU"/>
        </w:rPr>
        <w:t xml:space="preserve">D’Sylva v Ellenbrook Family Medical Centre Pty Ltd; Bibok v Ellenbrook Family Medical Centre Pty Ltd </w:t>
      </w:r>
      <w:r w:rsidRPr="00CB3E5B">
        <w:rPr>
          <w:rFonts w:eastAsia="Times New Roman"/>
          <w:lang w:eastAsia="en-AU"/>
        </w:rPr>
        <w:t>[2020] FCCA 1171 at [21].</w:t>
      </w:r>
    </w:p>
  </w:footnote>
  <w:footnote w:id="4">
    <w:p w14:paraId="6838874D" w14:textId="77777777" w:rsidR="00921D71" w:rsidRDefault="00921D71" w:rsidP="00921D71">
      <w:pPr>
        <w:pStyle w:val="FootnoteText"/>
      </w:pPr>
      <w:r w:rsidRPr="000075FD">
        <w:rPr>
          <w:rStyle w:val="FootnoteReference"/>
        </w:rPr>
        <w:footnoteRef/>
      </w:r>
      <w:r w:rsidRPr="000075FD">
        <w:t xml:space="preserve"> </w:t>
      </w:r>
      <w:r>
        <w:t>The Assurance Protocol applies to people on temporary visas with permission to work. Under the Assurance Protocol, the Department of Home Affairs will not cancel a person’s visa if they have breached their work</w:t>
      </w:r>
      <w:r>
        <w:noBreakHyphen/>
        <w:t xml:space="preserve">related visa conditions because of workplace exploitation, provided: they have sought advice or support from the FWO and they are assisting the FWO with inquiries; there is no other reason to cancel the person’s visa, and; they have committed to following visa conditions in the future.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509" w14:textId="61855E02" w:rsidR="00277D9D" w:rsidRDefault="00277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2F8D" w14:textId="547466DD" w:rsidR="00277D9D" w:rsidRDefault="00277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5619" w14:textId="45978991" w:rsidR="00277D9D" w:rsidRDefault="00277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F093C"/>
    <w:multiLevelType w:val="hybridMultilevel"/>
    <w:tmpl w:val="CE6C8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14168"/>
    <w:multiLevelType w:val="hybridMultilevel"/>
    <w:tmpl w:val="BE36A1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906416"/>
    <w:multiLevelType w:val="multilevel"/>
    <w:tmpl w:val="D9D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C24D0"/>
    <w:multiLevelType w:val="multilevel"/>
    <w:tmpl w:val="0C348C5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Calibri" w:eastAsiaTheme="minorEastAsia"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8D4D74"/>
    <w:multiLevelType w:val="multilevel"/>
    <w:tmpl w:val="9D241252"/>
    <w:lvl w:ilvl="0">
      <w:start w:val="4"/>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asciiTheme="minorHAnsi" w:eastAsia="Times New Roman" w:hAnsiTheme="minorHAnsi" w:cstheme="minorBidi"/>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6015ABA"/>
    <w:multiLevelType w:val="multilevel"/>
    <w:tmpl w:val="9F029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417B1"/>
    <w:multiLevelType w:val="multilevel"/>
    <w:tmpl w:val="150A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15:restartNumberingAfterBreak="0">
    <w:nsid w:val="17717585"/>
    <w:multiLevelType w:val="multilevel"/>
    <w:tmpl w:val="984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C8501E"/>
    <w:multiLevelType w:val="hybridMultilevel"/>
    <w:tmpl w:val="2A2414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3970E9"/>
    <w:multiLevelType w:val="hybridMultilevel"/>
    <w:tmpl w:val="BE36A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560C2D"/>
    <w:multiLevelType w:val="hybridMultilevel"/>
    <w:tmpl w:val="73029B72"/>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C50267"/>
    <w:multiLevelType w:val="multilevel"/>
    <w:tmpl w:val="B45A671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Calibri" w:eastAsiaTheme="minorEastAsia"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8721F0"/>
    <w:multiLevelType w:val="hybridMultilevel"/>
    <w:tmpl w:val="4B125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2C7B91"/>
    <w:multiLevelType w:val="hybridMultilevel"/>
    <w:tmpl w:val="BE36A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616178"/>
    <w:multiLevelType w:val="hybridMultilevel"/>
    <w:tmpl w:val="200C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182FF1"/>
    <w:multiLevelType w:val="hybridMultilevel"/>
    <w:tmpl w:val="EC82F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133C76"/>
    <w:multiLevelType w:val="multilevel"/>
    <w:tmpl w:val="6AA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F77FDD"/>
    <w:multiLevelType w:val="hybridMultilevel"/>
    <w:tmpl w:val="22404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1FC2D2E"/>
    <w:multiLevelType w:val="multilevel"/>
    <w:tmpl w:val="39945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3A76C2"/>
    <w:multiLevelType w:val="hybridMultilevel"/>
    <w:tmpl w:val="8DE65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4B0D"/>
    <w:multiLevelType w:val="hybridMultilevel"/>
    <w:tmpl w:val="C1B861EA"/>
    <w:lvl w:ilvl="0" w:tplc="EC8E9D00">
      <w:start w:val="1"/>
      <w:numFmt w:val="bullet"/>
      <w:lvlText w:val=""/>
      <w:lvlJc w:val="left"/>
      <w:pPr>
        <w:ind w:left="720" w:hanging="360"/>
      </w:pPr>
      <w:rPr>
        <w:rFonts w:ascii="Symbol" w:hAnsi="Symbol" w:hint="default"/>
      </w:rPr>
    </w:lvl>
    <w:lvl w:ilvl="1" w:tplc="7C44D36A">
      <w:start w:val="1"/>
      <w:numFmt w:val="bullet"/>
      <w:lvlText w:val="o"/>
      <w:lvlJc w:val="left"/>
      <w:pPr>
        <w:ind w:left="1440" w:hanging="360"/>
      </w:pPr>
      <w:rPr>
        <w:rFonts w:ascii="Courier New" w:hAnsi="Courier New" w:hint="default"/>
      </w:rPr>
    </w:lvl>
    <w:lvl w:ilvl="2" w:tplc="3C0E570C">
      <w:start w:val="1"/>
      <w:numFmt w:val="bullet"/>
      <w:lvlText w:val=""/>
      <w:lvlJc w:val="left"/>
      <w:pPr>
        <w:ind w:left="2160" w:hanging="360"/>
      </w:pPr>
      <w:rPr>
        <w:rFonts w:ascii="Wingdings" w:hAnsi="Wingdings" w:hint="default"/>
      </w:rPr>
    </w:lvl>
    <w:lvl w:ilvl="3" w:tplc="CE506DDE">
      <w:start w:val="1"/>
      <w:numFmt w:val="bullet"/>
      <w:lvlText w:val=""/>
      <w:lvlJc w:val="left"/>
      <w:pPr>
        <w:ind w:left="2880" w:hanging="360"/>
      </w:pPr>
      <w:rPr>
        <w:rFonts w:ascii="Symbol" w:hAnsi="Symbol" w:hint="default"/>
      </w:rPr>
    </w:lvl>
    <w:lvl w:ilvl="4" w:tplc="6FB6FC70">
      <w:start w:val="1"/>
      <w:numFmt w:val="bullet"/>
      <w:lvlText w:val="o"/>
      <w:lvlJc w:val="left"/>
      <w:pPr>
        <w:ind w:left="3600" w:hanging="360"/>
      </w:pPr>
      <w:rPr>
        <w:rFonts w:ascii="Courier New" w:hAnsi="Courier New" w:hint="default"/>
      </w:rPr>
    </w:lvl>
    <w:lvl w:ilvl="5" w:tplc="E35E3148">
      <w:start w:val="1"/>
      <w:numFmt w:val="bullet"/>
      <w:lvlText w:val=""/>
      <w:lvlJc w:val="left"/>
      <w:pPr>
        <w:ind w:left="4320" w:hanging="360"/>
      </w:pPr>
      <w:rPr>
        <w:rFonts w:ascii="Wingdings" w:hAnsi="Wingdings" w:hint="default"/>
      </w:rPr>
    </w:lvl>
    <w:lvl w:ilvl="6" w:tplc="0ADC0E1C">
      <w:start w:val="1"/>
      <w:numFmt w:val="bullet"/>
      <w:lvlText w:val=""/>
      <w:lvlJc w:val="left"/>
      <w:pPr>
        <w:ind w:left="5040" w:hanging="360"/>
      </w:pPr>
      <w:rPr>
        <w:rFonts w:ascii="Symbol" w:hAnsi="Symbol" w:hint="default"/>
      </w:rPr>
    </w:lvl>
    <w:lvl w:ilvl="7" w:tplc="B7469F5C">
      <w:start w:val="1"/>
      <w:numFmt w:val="bullet"/>
      <w:lvlText w:val="o"/>
      <w:lvlJc w:val="left"/>
      <w:pPr>
        <w:ind w:left="5760" w:hanging="360"/>
      </w:pPr>
      <w:rPr>
        <w:rFonts w:ascii="Courier New" w:hAnsi="Courier New" w:hint="default"/>
      </w:rPr>
    </w:lvl>
    <w:lvl w:ilvl="8" w:tplc="0C64B4EC">
      <w:start w:val="1"/>
      <w:numFmt w:val="bullet"/>
      <w:lvlText w:val=""/>
      <w:lvlJc w:val="left"/>
      <w:pPr>
        <w:ind w:left="6480" w:hanging="360"/>
      </w:pPr>
      <w:rPr>
        <w:rFonts w:ascii="Wingdings" w:hAnsi="Wingdings" w:hint="default"/>
      </w:rPr>
    </w:lvl>
  </w:abstractNum>
  <w:abstractNum w:abstractNumId="35" w15:restartNumberingAfterBreak="0">
    <w:nsid w:val="45E11198"/>
    <w:multiLevelType w:val="multilevel"/>
    <w:tmpl w:val="6B4CB96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Calibri" w:eastAsiaTheme="minorEastAsia"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CD021D"/>
    <w:multiLevelType w:val="multilevel"/>
    <w:tmpl w:val="0F90579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Calibri" w:eastAsiaTheme="minorEastAsia"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2F0795"/>
    <w:multiLevelType w:val="hybridMultilevel"/>
    <w:tmpl w:val="1D5CC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280EEC"/>
    <w:multiLevelType w:val="multilevel"/>
    <w:tmpl w:val="2CEE1BFE"/>
    <w:lvl w:ilvl="0">
      <w:start w:val="2"/>
      <w:numFmt w:val="decimal"/>
      <w:lvlText w:val="%1."/>
      <w:lvlJc w:val="left"/>
      <w:pPr>
        <w:tabs>
          <w:tab w:val="num" w:pos="720"/>
        </w:tabs>
        <w:ind w:left="720" w:hanging="360"/>
      </w:pPr>
    </w:lvl>
    <w:lvl w:ilvl="1">
      <w:start w:val="548"/>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9A4859"/>
    <w:multiLevelType w:val="hybridMultilevel"/>
    <w:tmpl w:val="A7A2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F6043C"/>
    <w:multiLevelType w:val="hybridMultilevel"/>
    <w:tmpl w:val="915CFCE4"/>
    <w:lvl w:ilvl="0" w:tplc="3D9CF814">
      <w:start w:val="1"/>
      <w:numFmt w:val="decimal"/>
      <w:lvlText w:val="%1."/>
      <w:lvlJc w:val="left"/>
      <w:pPr>
        <w:ind w:left="720" w:hanging="360"/>
      </w:pPr>
      <w:rPr>
        <w:b w:val="0"/>
        <w:bCs w:val="0"/>
        <w:i w:val="0"/>
        <w:iCs w:val="0"/>
      </w:rPr>
    </w:lvl>
    <w:lvl w:ilvl="1" w:tplc="0D88615A">
      <w:start w:val="1"/>
      <w:numFmt w:val="lowerLetter"/>
      <w:lvlText w:val="%2."/>
      <w:lvlJc w:val="left"/>
      <w:pPr>
        <w:ind w:left="1440" w:hanging="360"/>
      </w:pPr>
    </w:lvl>
    <w:lvl w:ilvl="2" w:tplc="30965CC6">
      <w:start w:val="1"/>
      <w:numFmt w:val="lowerRoman"/>
      <w:lvlText w:val="%3."/>
      <w:lvlJc w:val="right"/>
      <w:pPr>
        <w:ind w:left="2160" w:hanging="180"/>
      </w:pPr>
    </w:lvl>
    <w:lvl w:ilvl="3" w:tplc="7A8494BA">
      <w:start w:val="1"/>
      <w:numFmt w:val="decimal"/>
      <w:lvlText w:val="%4."/>
      <w:lvlJc w:val="left"/>
      <w:pPr>
        <w:ind w:left="2880" w:hanging="360"/>
      </w:pPr>
    </w:lvl>
    <w:lvl w:ilvl="4" w:tplc="26700742">
      <w:start w:val="1"/>
      <w:numFmt w:val="lowerLetter"/>
      <w:lvlText w:val="%5."/>
      <w:lvlJc w:val="left"/>
      <w:pPr>
        <w:ind w:left="3600" w:hanging="360"/>
      </w:pPr>
    </w:lvl>
    <w:lvl w:ilvl="5" w:tplc="B1EE81EE">
      <w:start w:val="1"/>
      <w:numFmt w:val="lowerRoman"/>
      <w:lvlText w:val="%6."/>
      <w:lvlJc w:val="right"/>
      <w:pPr>
        <w:ind w:left="4320" w:hanging="180"/>
      </w:pPr>
    </w:lvl>
    <w:lvl w:ilvl="6" w:tplc="F3768C02">
      <w:start w:val="1"/>
      <w:numFmt w:val="decimal"/>
      <w:lvlText w:val="%7."/>
      <w:lvlJc w:val="left"/>
      <w:pPr>
        <w:ind w:left="5040" w:hanging="360"/>
      </w:pPr>
    </w:lvl>
    <w:lvl w:ilvl="7" w:tplc="9D043300">
      <w:start w:val="1"/>
      <w:numFmt w:val="lowerLetter"/>
      <w:lvlText w:val="%8."/>
      <w:lvlJc w:val="left"/>
      <w:pPr>
        <w:ind w:left="5760" w:hanging="360"/>
      </w:pPr>
    </w:lvl>
    <w:lvl w:ilvl="8" w:tplc="15BE94DC">
      <w:start w:val="1"/>
      <w:numFmt w:val="lowerRoman"/>
      <w:lvlText w:val="%9."/>
      <w:lvlJc w:val="right"/>
      <w:pPr>
        <w:ind w:left="6480" w:hanging="180"/>
      </w:pPr>
    </w:lvl>
  </w:abstractNum>
  <w:abstractNum w:abstractNumId="41" w15:restartNumberingAfterBreak="0">
    <w:nsid w:val="62FD61A4"/>
    <w:multiLevelType w:val="hybridMultilevel"/>
    <w:tmpl w:val="3F16A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AB5A50"/>
    <w:multiLevelType w:val="hybridMultilevel"/>
    <w:tmpl w:val="F5D0A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39370B"/>
    <w:multiLevelType w:val="hybridMultilevel"/>
    <w:tmpl w:val="4DBCB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444E35"/>
    <w:multiLevelType w:val="multilevel"/>
    <w:tmpl w:val="E19EF7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907FFE"/>
    <w:multiLevelType w:val="hybridMultilevel"/>
    <w:tmpl w:val="02444C3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6" w15:restartNumberingAfterBreak="0">
    <w:nsid w:val="7D3A6399"/>
    <w:multiLevelType w:val="multilevel"/>
    <w:tmpl w:val="86F8450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46936">
    <w:abstractNumId w:val="9"/>
  </w:num>
  <w:num w:numId="2" w16cid:durableId="2132935739">
    <w:abstractNumId w:val="7"/>
  </w:num>
  <w:num w:numId="3" w16cid:durableId="554775780">
    <w:abstractNumId w:val="6"/>
  </w:num>
  <w:num w:numId="4" w16cid:durableId="298807527">
    <w:abstractNumId w:val="5"/>
  </w:num>
  <w:num w:numId="5" w16cid:durableId="562182199">
    <w:abstractNumId w:val="4"/>
  </w:num>
  <w:num w:numId="6" w16cid:durableId="435558298">
    <w:abstractNumId w:val="8"/>
  </w:num>
  <w:num w:numId="7" w16cid:durableId="177156487">
    <w:abstractNumId w:val="3"/>
  </w:num>
  <w:num w:numId="8" w16cid:durableId="1717969954">
    <w:abstractNumId w:val="2"/>
  </w:num>
  <w:num w:numId="9" w16cid:durableId="1815564144">
    <w:abstractNumId w:val="1"/>
  </w:num>
  <w:num w:numId="10" w16cid:durableId="577322479">
    <w:abstractNumId w:val="0"/>
  </w:num>
  <w:num w:numId="11" w16cid:durableId="1412850910">
    <w:abstractNumId w:val="11"/>
  </w:num>
  <w:num w:numId="12" w16cid:durableId="226036663">
    <w:abstractNumId w:val="22"/>
  </w:num>
  <w:num w:numId="13" w16cid:durableId="621620155">
    <w:abstractNumId w:val="24"/>
  </w:num>
  <w:num w:numId="14" w16cid:durableId="1181817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228030">
    <w:abstractNumId w:val="34"/>
  </w:num>
  <w:num w:numId="16" w16cid:durableId="2034499784">
    <w:abstractNumId w:val="40"/>
  </w:num>
  <w:num w:numId="17" w16cid:durableId="526145145">
    <w:abstractNumId w:val="44"/>
  </w:num>
  <w:num w:numId="18" w16cid:durableId="799032020">
    <w:abstractNumId w:val="35"/>
  </w:num>
  <w:num w:numId="19" w16cid:durableId="11498165">
    <w:abstractNumId w:val="32"/>
  </w:num>
  <w:num w:numId="20" w16cid:durableId="1140881739">
    <w:abstractNumId w:val="17"/>
  </w:num>
  <w:num w:numId="21" w16cid:durableId="328871773">
    <w:abstractNumId w:val="38"/>
  </w:num>
  <w:num w:numId="22" w16cid:durableId="1310138353">
    <w:abstractNumId w:val="16"/>
  </w:num>
  <w:num w:numId="23" w16cid:durableId="1567566169">
    <w:abstractNumId w:val="43"/>
  </w:num>
  <w:num w:numId="24" w16cid:durableId="1681009387">
    <w:abstractNumId w:val="29"/>
  </w:num>
  <w:num w:numId="25" w16cid:durableId="1430396586">
    <w:abstractNumId w:val="20"/>
  </w:num>
  <w:num w:numId="26" w16cid:durableId="1510371790">
    <w:abstractNumId w:val="23"/>
  </w:num>
  <w:num w:numId="27" w16cid:durableId="287663301">
    <w:abstractNumId w:val="26"/>
  </w:num>
  <w:num w:numId="28" w16cid:durableId="524754476">
    <w:abstractNumId w:val="28"/>
  </w:num>
  <w:num w:numId="29" w16cid:durableId="1339230289">
    <w:abstractNumId w:val="33"/>
  </w:num>
  <w:num w:numId="30" w16cid:durableId="1202520503">
    <w:abstractNumId w:val="10"/>
  </w:num>
  <w:num w:numId="31" w16cid:durableId="635372603">
    <w:abstractNumId w:val="45"/>
  </w:num>
  <w:num w:numId="32" w16cid:durableId="1262030126">
    <w:abstractNumId w:val="41"/>
  </w:num>
  <w:num w:numId="33" w16cid:durableId="391926068">
    <w:abstractNumId w:val="42"/>
  </w:num>
  <w:num w:numId="34" w16cid:durableId="96487125">
    <w:abstractNumId w:val="13"/>
  </w:num>
  <w:num w:numId="35" w16cid:durableId="1583028878">
    <w:abstractNumId w:val="25"/>
  </w:num>
  <w:num w:numId="36" w16cid:durableId="363866291">
    <w:abstractNumId w:val="12"/>
  </w:num>
  <w:num w:numId="37" w16cid:durableId="680281569">
    <w:abstractNumId w:val="30"/>
  </w:num>
  <w:num w:numId="38" w16cid:durableId="2085909067">
    <w:abstractNumId w:val="19"/>
  </w:num>
  <w:num w:numId="39" w16cid:durableId="1071347144">
    <w:abstractNumId w:val="27"/>
  </w:num>
  <w:num w:numId="40" w16cid:durableId="765032914">
    <w:abstractNumId w:val="31"/>
  </w:num>
  <w:num w:numId="41" w16cid:durableId="1897934627">
    <w:abstractNumId w:val="14"/>
  </w:num>
  <w:num w:numId="42" w16cid:durableId="2049983595">
    <w:abstractNumId w:val="21"/>
  </w:num>
  <w:num w:numId="43" w16cid:durableId="763451161">
    <w:abstractNumId w:val="15"/>
  </w:num>
  <w:num w:numId="44" w16cid:durableId="1091580803">
    <w:abstractNumId w:val="36"/>
  </w:num>
  <w:num w:numId="45" w16cid:durableId="778724140">
    <w:abstractNumId w:val="46"/>
  </w:num>
  <w:num w:numId="46" w16cid:durableId="1371808908">
    <w:abstractNumId w:val="37"/>
  </w:num>
  <w:num w:numId="47" w16cid:durableId="17588701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220B5"/>
    <w:rsid w:val="00031E5E"/>
    <w:rsid w:val="0003280A"/>
    <w:rsid w:val="00040A6B"/>
    <w:rsid w:val="00042ADF"/>
    <w:rsid w:val="00052BBC"/>
    <w:rsid w:val="00055299"/>
    <w:rsid w:val="00061277"/>
    <w:rsid w:val="00067C6C"/>
    <w:rsid w:val="0007635E"/>
    <w:rsid w:val="00085B48"/>
    <w:rsid w:val="00093AA3"/>
    <w:rsid w:val="000A453D"/>
    <w:rsid w:val="000C22EC"/>
    <w:rsid w:val="000C5A74"/>
    <w:rsid w:val="000E3D80"/>
    <w:rsid w:val="000F418D"/>
    <w:rsid w:val="00100A80"/>
    <w:rsid w:val="00107321"/>
    <w:rsid w:val="001162EE"/>
    <w:rsid w:val="00116F28"/>
    <w:rsid w:val="00121395"/>
    <w:rsid w:val="001226F7"/>
    <w:rsid w:val="00125804"/>
    <w:rsid w:val="0012785E"/>
    <w:rsid w:val="00136C98"/>
    <w:rsid w:val="00140DF9"/>
    <w:rsid w:val="001450A3"/>
    <w:rsid w:val="00157F35"/>
    <w:rsid w:val="001603BF"/>
    <w:rsid w:val="00165CDF"/>
    <w:rsid w:val="00166098"/>
    <w:rsid w:val="00170E9F"/>
    <w:rsid w:val="00172D2B"/>
    <w:rsid w:val="00174255"/>
    <w:rsid w:val="00174A0A"/>
    <w:rsid w:val="00185E4D"/>
    <w:rsid w:val="001A59C0"/>
    <w:rsid w:val="001B130D"/>
    <w:rsid w:val="001B345E"/>
    <w:rsid w:val="001B5049"/>
    <w:rsid w:val="001B53DA"/>
    <w:rsid w:val="001C24E1"/>
    <w:rsid w:val="001C26D4"/>
    <w:rsid w:val="001D0B24"/>
    <w:rsid w:val="001D3475"/>
    <w:rsid w:val="001D44A0"/>
    <w:rsid w:val="001D7242"/>
    <w:rsid w:val="001E3E17"/>
    <w:rsid w:val="001E48CA"/>
    <w:rsid w:val="001E4F99"/>
    <w:rsid w:val="001E7F5C"/>
    <w:rsid w:val="001F16B5"/>
    <w:rsid w:val="00210D1A"/>
    <w:rsid w:val="00210F05"/>
    <w:rsid w:val="00212B5B"/>
    <w:rsid w:val="00217EAB"/>
    <w:rsid w:val="002243F5"/>
    <w:rsid w:val="0022498C"/>
    <w:rsid w:val="00246460"/>
    <w:rsid w:val="00251A3D"/>
    <w:rsid w:val="0025327D"/>
    <w:rsid w:val="00256638"/>
    <w:rsid w:val="00257896"/>
    <w:rsid w:val="00266E46"/>
    <w:rsid w:val="00266F1B"/>
    <w:rsid w:val="00267E5D"/>
    <w:rsid w:val="0027086D"/>
    <w:rsid w:val="002724D0"/>
    <w:rsid w:val="00277D9D"/>
    <w:rsid w:val="00281471"/>
    <w:rsid w:val="00283896"/>
    <w:rsid w:val="00284098"/>
    <w:rsid w:val="002A365B"/>
    <w:rsid w:val="002A4CF5"/>
    <w:rsid w:val="002B1CE5"/>
    <w:rsid w:val="002C6102"/>
    <w:rsid w:val="002C674D"/>
    <w:rsid w:val="002C78A9"/>
    <w:rsid w:val="002E4114"/>
    <w:rsid w:val="002F419D"/>
    <w:rsid w:val="002F4DB3"/>
    <w:rsid w:val="003035ED"/>
    <w:rsid w:val="00311654"/>
    <w:rsid w:val="00311EC2"/>
    <w:rsid w:val="00325AA8"/>
    <w:rsid w:val="00337D19"/>
    <w:rsid w:val="00340D6A"/>
    <w:rsid w:val="0034524F"/>
    <w:rsid w:val="003457E6"/>
    <w:rsid w:val="00347EC5"/>
    <w:rsid w:val="00350FFA"/>
    <w:rsid w:val="00361AB4"/>
    <w:rsid w:val="00365A22"/>
    <w:rsid w:val="00367215"/>
    <w:rsid w:val="00372788"/>
    <w:rsid w:val="003828B1"/>
    <w:rsid w:val="00382F07"/>
    <w:rsid w:val="003A146C"/>
    <w:rsid w:val="003B00B7"/>
    <w:rsid w:val="003B4799"/>
    <w:rsid w:val="003C3E2E"/>
    <w:rsid w:val="003D2647"/>
    <w:rsid w:val="003D66E4"/>
    <w:rsid w:val="003E32F0"/>
    <w:rsid w:val="003E51B6"/>
    <w:rsid w:val="003E6343"/>
    <w:rsid w:val="003F094B"/>
    <w:rsid w:val="003F107D"/>
    <w:rsid w:val="003F6926"/>
    <w:rsid w:val="00412433"/>
    <w:rsid w:val="00414319"/>
    <w:rsid w:val="00431300"/>
    <w:rsid w:val="00453C04"/>
    <w:rsid w:val="00453EAF"/>
    <w:rsid w:val="004545E6"/>
    <w:rsid w:val="004656D0"/>
    <w:rsid w:val="004728CA"/>
    <w:rsid w:val="0047739B"/>
    <w:rsid w:val="00484B0F"/>
    <w:rsid w:val="00492788"/>
    <w:rsid w:val="004947D6"/>
    <w:rsid w:val="004970F7"/>
    <w:rsid w:val="00497764"/>
    <w:rsid w:val="004B21BA"/>
    <w:rsid w:val="004B3E9A"/>
    <w:rsid w:val="004C4FF4"/>
    <w:rsid w:val="004C6BF1"/>
    <w:rsid w:val="004C7C32"/>
    <w:rsid w:val="004E5782"/>
    <w:rsid w:val="004F47CC"/>
    <w:rsid w:val="0051352E"/>
    <w:rsid w:val="00517DA7"/>
    <w:rsid w:val="00520A33"/>
    <w:rsid w:val="00521494"/>
    <w:rsid w:val="005242E0"/>
    <w:rsid w:val="005261DF"/>
    <w:rsid w:val="00526267"/>
    <w:rsid w:val="00527749"/>
    <w:rsid w:val="00527AE4"/>
    <w:rsid w:val="00530BC9"/>
    <w:rsid w:val="00533078"/>
    <w:rsid w:val="005351FC"/>
    <w:rsid w:val="00537530"/>
    <w:rsid w:val="00540F82"/>
    <w:rsid w:val="00545AEB"/>
    <w:rsid w:val="005508A0"/>
    <w:rsid w:val="00551B14"/>
    <w:rsid w:val="005634DD"/>
    <w:rsid w:val="00563C5B"/>
    <w:rsid w:val="00574D6B"/>
    <w:rsid w:val="00577EC3"/>
    <w:rsid w:val="00581F4D"/>
    <w:rsid w:val="00583D4F"/>
    <w:rsid w:val="0058535E"/>
    <w:rsid w:val="0059442E"/>
    <w:rsid w:val="005A0898"/>
    <w:rsid w:val="005A196E"/>
    <w:rsid w:val="005A43B4"/>
    <w:rsid w:val="005B0605"/>
    <w:rsid w:val="005B0B18"/>
    <w:rsid w:val="005B2A72"/>
    <w:rsid w:val="005C0183"/>
    <w:rsid w:val="005C151A"/>
    <w:rsid w:val="005C610E"/>
    <w:rsid w:val="005C7990"/>
    <w:rsid w:val="005C7BF5"/>
    <w:rsid w:val="005D10A7"/>
    <w:rsid w:val="005D75F6"/>
    <w:rsid w:val="005F7EEC"/>
    <w:rsid w:val="00603EB1"/>
    <w:rsid w:val="00604C7E"/>
    <w:rsid w:val="006114BF"/>
    <w:rsid w:val="006216A1"/>
    <w:rsid w:val="00630DDF"/>
    <w:rsid w:val="00657062"/>
    <w:rsid w:val="00657AF9"/>
    <w:rsid w:val="00671B59"/>
    <w:rsid w:val="00676360"/>
    <w:rsid w:val="006817DE"/>
    <w:rsid w:val="00686958"/>
    <w:rsid w:val="006921D8"/>
    <w:rsid w:val="0069604D"/>
    <w:rsid w:val="006A58D5"/>
    <w:rsid w:val="006C3D2E"/>
    <w:rsid w:val="006C4D71"/>
    <w:rsid w:val="006D047E"/>
    <w:rsid w:val="006D6AD8"/>
    <w:rsid w:val="006E03DD"/>
    <w:rsid w:val="006E0EC7"/>
    <w:rsid w:val="006E1871"/>
    <w:rsid w:val="006E5D6E"/>
    <w:rsid w:val="006F0DAF"/>
    <w:rsid w:val="006F1B8A"/>
    <w:rsid w:val="006F76A8"/>
    <w:rsid w:val="00702BC5"/>
    <w:rsid w:val="007046E6"/>
    <w:rsid w:val="00707E76"/>
    <w:rsid w:val="00710D2C"/>
    <w:rsid w:val="0071161C"/>
    <w:rsid w:val="007212CE"/>
    <w:rsid w:val="00721B03"/>
    <w:rsid w:val="007322BF"/>
    <w:rsid w:val="00732CCE"/>
    <w:rsid w:val="007369BF"/>
    <w:rsid w:val="00743F67"/>
    <w:rsid w:val="00755F07"/>
    <w:rsid w:val="00770115"/>
    <w:rsid w:val="0077638D"/>
    <w:rsid w:val="007803D7"/>
    <w:rsid w:val="007855CC"/>
    <w:rsid w:val="007A6315"/>
    <w:rsid w:val="007B1ABA"/>
    <w:rsid w:val="007B74C5"/>
    <w:rsid w:val="007C5CD0"/>
    <w:rsid w:val="007D22BB"/>
    <w:rsid w:val="007D4309"/>
    <w:rsid w:val="007E7835"/>
    <w:rsid w:val="008001EE"/>
    <w:rsid w:val="00802BEC"/>
    <w:rsid w:val="00807A55"/>
    <w:rsid w:val="00812D4A"/>
    <w:rsid w:val="00813F3C"/>
    <w:rsid w:val="00816F2C"/>
    <w:rsid w:val="00824926"/>
    <w:rsid w:val="0082614E"/>
    <w:rsid w:val="0083144C"/>
    <w:rsid w:val="0084272B"/>
    <w:rsid w:val="00843B47"/>
    <w:rsid w:val="00843BDE"/>
    <w:rsid w:val="00845854"/>
    <w:rsid w:val="008507C1"/>
    <w:rsid w:val="00850B4E"/>
    <w:rsid w:val="008556A2"/>
    <w:rsid w:val="0085664B"/>
    <w:rsid w:val="00860EAF"/>
    <w:rsid w:val="00861715"/>
    <w:rsid w:val="00861934"/>
    <w:rsid w:val="00862AAE"/>
    <w:rsid w:val="0087549D"/>
    <w:rsid w:val="008929D8"/>
    <w:rsid w:val="0089409C"/>
    <w:rsid w:val="00895A34"/>
    <w:rsid w:val="008A5F41"/>
    <w:rsid w:val="008B39C4"/>
    <w:rsid w:val="008C00C9"/>
    <w:rsid w:val="008C297C"/>
    <w:rsid w:val="008C3088"/>
    <w:rsid w:val="008C712E"/>
    <w:rsid w:val="008D051E"/>
    <w:rsid w:val="008D1A01"/>
    <w:rsid w:val="008D3920"/>
    <w:rsid w:val="008D729B"/>
    <w:rsid w:val="008E2854"/>
    <w:rsid w:val="008E30EA"/>
    <w:rsid w:val="008F0AC9"/>
    <w:rsid w:val="0091532E"/>
    <w:rsid w:val="00916AB1"/>
    <w:rsid w:val="0092052A"/>
    <w:rsid w:val="00921D71"/>
    <w:rsid w:val="00927A8D"/>
    <w:rsid w:val="00927B51"/>
    <w:rsid w:val="00930CDA"/>
    <w:rsid w:val="0093473D"/>
    <w:rsid w:val="00935C31"/>
    <w:rsid w:val="009369D1"/>
    <w:rsid w:val="00940C58"/>
    <w:rsid w:val="00941299"/>
    <w:rsid w:val="0094762A"/>
    <w:rsid w:val="0095636C"/>
    <w:rsid w:val="00957C07"/>
    <w:rsid w:val="00960789"/>
    <w:rsid w:val="00963090"/>
    <w:rsid w:val="00963603"/>
    <w:rsid w:val="00972F57"/>
    <w:rsid w:val="0097343F"/>
    <w:rsid w:val="00975AE3"/>
    <w:rsid w:val="009765F7"/>
    <w:rsid w:val="00980097"/>
    <w:rsid w:val="00980E41"/>
    <w:rsid w:val="0098428F"/>
    <w:rsid w:val="00995280"/>
    <w:rsid w:val="009A224D"/>
    <w:rsid w:val="009A35B3"/>
    <w:rsid w:val="009A4EE3"/>
    <w:rsid w:val="009A57EC"/>
    <w:rsid w:val="009A6219"/>
    <w:rsid w:val="009B08CA"/>
    <w:rsid w:val="009B5F5C"/>
    <w:rsid w:val="009B6227"/>
    <w:rsid w:val="009C3D83"/>
    <w:rsid w:val="009D56EB"/>
    <w:rsid w:val="009D7132"/>
    <w:rsid w:val="009E1F16"/>
    <w:rsid w:val="009E3630"/>
    <w:rsid w:val="009E37F2"/>
    <w:rsid w:val="009E38F9"/>
    <w:rsid w:val="009E483F"/>
    <w:rsid w:val="009F0F55"/>
    <w:rsid w:val="009F358D"/>
    <w:rsid w:val="009F4E99"/>
    <w:rsid w:val="009F4F48"/>
    <w:rsid w:val="009F58DE"/>
    <w:rsid w:val="00A07171"/>
    <w:rsid w:val="00A0769A"/>
    <w:rsid w:val="00A1270D"/>
    <w:rsid w:val="00A15906"/>
    <w:rsid w:val="00A17CBC"/>
    <w:rsid w:val="00A22849"/>
    <w:rsid w:val="00A24E6E"/>
    <w:rsid w:val="00A27A89"/>
    <w:rsid w:val="00A313FA"/>
    <w:rsid w:val="00A37DB3"/>
    <w:rsid w:val="00A37F06"/>
    <w:rsid w:val="00A402CF"/>
    <w:rsid w:val="00A42E61"/>
    <w:rsid w:val="00A43694"/>
    <w:rsid w:val="00A456A8"/>
    <w:rsid w:val="00A469B9"/>
    <w:rsid w:val="00A471D9"/>
    <w:rsid w:val="00A472E6"/>
    <w:rsid w:val="00A5054E"/>
    <w:rsid w:val="00A56FC7"/>
    <w:rsid w:val="00A62EA7"/>
    <w:rsid w:val="00A6558F"/>
    <w:rsid w:val="00A72575"/>
    <w:rsid w:val="00A74071"/>
    <w:rsid w:val="00A75145"/>
    <w:rsid w:val="00A85122"/>
    <w:rsid w:val="00A92306"/>
    <w:rsid w:val="00A96D01"/>
    <w:rsid w:val="00AA124A"/>
    <w:rsid w:val="00AA1846"/>
    <w:rsid w:val="00AA2A96"/>
    <w:rsid w:val="00AB4CC0"/>
    <w:rsid w:val="00AB6074"/>
    <w:rsid w:val="00AD14C8"/>
    <w:rsid w:val="00AE0AFC"/>
    <w:rsid w:val="00AE446A"/>
    <w:rsid w:val="00AE5A6C"/>
    <w:rsid w:val="00AF0842"/>
    <w:rsid w:val="00AF6C85"/>
    <w:rsid w:val="00B0095B"/>
    <w:rsid w:val="00B02824"/>
    <w:rsid w:val="00B04FA2"/>
    <w:rsid w:val="00B100CC"/>
    <w:rsid w:val="00B14B2B"/>
    <w:rsid w:val="00B21177"/>
    <w:rsid w:val="00B2460A"/>
    <w:rsid w:val="00B337EF"/>
    <w:rsid w:val="00B33E6C"/>
    <w:rsid w:val="00B35EAA"/>
    <w:rsid w:val="00B365C1"/>
    <w:rsid w:val="00B51FC2"/>
    <w:rsid w:val="00B5429F"/>
    <w:rsid w:val="00B56921"/>
    <w:rsid w:val="00B60E6F"/>
    <w:rsid w:val="00B63C83"/>
    <w:rsid w:val="00B6689D"/>
    <w:rsid w:val="00B71937"/>
    <w:rsid w:val="00B72368"/>
    <w:rsid w:val="00B836C7"/>
    <w:rsid w:val="00B91CAC"/>
    <w:rsid w:val="00B9233C"/>
    <w:rsid w:val="00B95EFD"/>
    <w:rsid w:val="00B97949"/>
    <w:rsid w:val="00BA3CC1"/>
    <w:rsid w:val="00BB4234"/>
    <w:rsid w:val="00BC16C5"/>
    <w:rsid w:val="00BD70A2"/>
    <w:rsid w:val="00BE38DE"/>
    <w:rsid w:val="00BE4A8A"/>
    <w:rsid w:val="00BE737E"/>
    <w:rsid w:val="00BF01F8"/>
    <w:rsid w:val="00BF051E"/>
    <w:rsid w:val="00C00410"/>
    <w:rsid w:val="00C05ED8"/>
    <w:rsid w:val="00C111D3"/>
    <w:rsid w:val="00C139ED"/>
    <w:rsid w:val="00C15E6A"/>
    <w:rsid w:val="00C16F33"/>
    <w:rsid w:val="00C24067"/>
    <w:rsid w:val="00C250F3"/>
    <w:rsid w:val="00C30C8A"/>
    <w:rsid w:val="00C35BE5"/>
    <w:rsid w:val="00C369D7"/>
    <w:rsid w:val="00C37350"/>
    <w:rsid w:val="00C5335A"/>
    <w:rsid w:val="00C54D58"/>
    <w:rsid w:val="00C56820"/>
    <w:rsid w:val="00C573E1"/>
    <w:rsid w:val="00C61A49"/>
    <w:rsid w:val="00C7412E"/>
    <w:rsid w:val="00C8257F"/>
    <w:rsid w:val="00C95DF6"/>
    <w:rsid w:val="00CA3712"/>
    <w:rsid w:val="00CA4171"/>
    <w:rsid w:val="00CA5DEC"/>
    <w:rsid w:val="00CA632D"/>
    <w:rsid w:val="00CB4F6D"/>
    <w:rsid w:val="00CC2712"/>
    <w:rsid w:val="00CC42FA"/>
    <w:rsid w:val="00CC5ADA"/>
    <w:rsid w:val="00CD0147"/>
    <w:rsid w:val="00CD1C60"/>
    <w:rsid w:val="00CD2E4F"/>
    <w:rsid w:val="00CD43E5"/>
    <w:rsid w:val="00CD4D3C"/>
    <w:rsid w:val="00CD6F25"/>
    <w:rsid w:val="00CE2699"/>
    <w:rsid w:val="00CF21A9"/>
    <w:rsid w:val="00CF6166"/>
    <w:rsid w:val="00CF72DC"/>
    <w:rsid w:val="00D05E10"/>
    <w:rsid w:val="00D27CC4"/>
    <w:rsid w:val="00D37CDB"/>
    <w:rsid w:val="00D46052"/>
    <w:rsid w:val="00D46B4E"/>
    <w:rsid w:val="00D50C74"/>
    <w:rsid w:val="00D54D23"/>
    <w:rsid w:val="00D56570"/>
    <w:rsid w:val="00D56DAF"/>
    <w:rsid w:val="00D60694"/>
    <w:rsid w:val="00D705A2"/>
    <w:rsid w:val="00D71B54"/>
    <w:rsid w:val="00D735AB"/>
    <w:rsid w:val="00D80DE0"/>
    <w:rsid w:val="00D842A4"/>
    <w:rsid w:val="00D84D53"/>
    <w:rsid w:val="00D856FD"/>
    <w:rsid w:val="00DA0559"/>
    <w:rsid w:val="00DA1B7B"/>
    <w:rsid w:val="00DA2F7D"/>
    <w:rsid w:val="00DA7F9B"/>
    <w:rsid w:val="00DB077C"/>
    <w:rsid w:val="00DB1174"/>
    <w:rsid w:val="00DB79DF"/>
    <w:rsid w:val="00DD241A"/>
    <w:rsid w:val="00DD7146"/>
    <w:rsid w:val="00DE3E9C"/>
    <w:rsid w:val="00DE4697"/>
    <w:rsid w:val="00DE5674"/>
    <w:rsid w:val="00DE59E1"/>
    <w:rsid w:val="00DF121D"/>
    <w:rsid w:val="00DF153F"/>
    <w:rsid w:val="00DF1F88"/>
    <w:rsid w:val="00E03BB5"/>
    <w:rsid w:val="00E161E6"/>
    <w:rsid w:val="00E20D40"/>
    <w:rsid w:val="00E36434"/>
    <w:rsid w:val="00E4683F"/>
    <w:rsid w:val="00E50237"/>
    <w:rsid w:val="00E526CA"/>
    <w:rsid w:val="00E54331"/>
    <w:rsid w:val="00E56FED"/>
    <w:rsid w:val="00E60CEE"/>
    <w:rsid w:val="00E618D5"/>
    <w:rsid w:val="00E6302D"/>
    <w:rsid w:val="00E64D1E"/>
    <w:rsid w:val="00E83583"/>
    <w:rsid w:val="00E8602E"/>
    <w:rsid w:val="00E866AC"/>
    <w:rsid w:val="00E910B8"/>
    <w:rsid w:val="00E96F71"/>
    <w:rsid w:val="00EA32F7"/>
    <w:rsid w:val="00EA67FC"/>
    <w:rsid w:val="00EB19D7"/>
    <w:rsid w:val="00EC0DDC"/>
    <w:rsid w:val="00EC3468"/>
    <w:rsid w:val="00EC496E"/>
    <w:rsid w:val="00EC60DF"/>
    <w:rsid w:val="00ED3309"/>
    <w:rsid w:val="00ED5685"/>
    <w:rsid w:val="00EE241E"/>
    <w:rsid w:val="00EE3DA4"/>
    <w:rsid w:val="00EE7934"/>
    <w:rsid w:val="00F03AD8"/>
    <w:rsid w:val="00F129CA"/>
    <w:rsid w:val="00F230CD"/>
    <w:rsid w:val="00F232F9"/>
    <w:rsid w:val="00F25AF9"/>
    <w:rsid w:val="00F301E0"/>
    <w:rsid w:val="00F30B20"/>
    <w:rsid w:val="00F31CFC"/>
    <w:rsid w:val="00F3371D"/>
    <w:rsid w:val="00F36F7E"/>
    <w:rsid w:val="00F378EF"/>
    <w:rsid w:val="00F47C0F"/>
    <w:rsid w:val="00F51C18"/>
    <w:rsid w:val="00F53F67"/>
    <w:rsid w:val="00F61AA3"/>
    <w:rsid w:val="00F64834"/>
    <w:rsid w:val="00F65DBA"/>
    <w:rsid w:val="00F709CC"/>
    <w:rsid w:val="00F80F35"/>
    <w:rsid w:val="00F8108C"/>
    <w:rsid w:val="00F83CDB"/>
    <w:rsid w:val="00F90CCD"/>
    <w:rsid w:val="00FA12CF"/>
    <w:rsid w:val="00FA31E2"/>
    <w:rsid w:val="00FA5518"/>
    <w:rsid w:val="00FB0046"/>
    <w:rsid w:val="00FC402D"/>
    <w:rsid w:val="00FD29E4"/>
    <w:rsid w:val="00FD3BFA"/>
    <w:rsid w:val="00FE25FB"/>
    <w:rsid w:val="00FE75E5"/>
    <w:rsid w:val="00FF376E"/>
    <w:rsid w:val="00FF45A8"/>
    <w:rsid w:val="00FF5B70"/>
    <w:rsid w:val="00FF5BB9"/>
    <w:rsid w:val="00FF61BE"/>
    <w:rsid w:val="02B13132"/>
    <w:rsid w:val="0AE6D3F4"/>
    <w:rsid w:val="0CD524A3"/>
    <w:rsid w:val="1A8D6E6D"/>
    <w:rsid w:val="22EA3EE2"/>
    <w:rsid w:val="260F70A0"/>
    <w:rsid w:val="271CC61B"/>
    <w:rsid w:val="359AF115"/>
    <w:rsid w:val="3B966483"/>
    <w:rsid w:val="3C077B11"/>
    <w:rsid w:val="3EAF267E"/>
    <w:rsid w:val="4D4F4575"/>
    <w:rsid w:val="4F0CA24D"/>
    <w:rsid w:val="524D8277"/>
    <w:rsid w:val="5F868F9D"/>
    <w:rsid w:val="6145E005"/>
    <w:rsid w:val="64795822"/>
    <w:rsid w:val="6CEB9423"/>
    <w:rsid w:val="6E740C6A"/>
    <w:rsid w:val="7A0B718F"/>
    <w:rsid w:val="7BA72E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921D71"/>
    <w:pPr>
      <w:keepNext/>
      <w:keepLines/>
      <w:spacing w:before="40" w:after="0"/>
      <w:outlineLvl w:val="6"/>
    </w:pPr>
    <w:rPr>
      <w:rFonts w:ascii="Calibri Light" w:eastAsia="Yu Gothic Light" w:hAnsi="Calibri Light" w:cs="Times New Roman"/>
      <w:b/>
      <w:bCs/>
      <w:color w:val="1F3864"/>
    </w:rPr>
  </w:style>
  <w:style w:type="paragraph" w:styleId="Heading8">
    <w:name w:val="heading 8"/>
    <w:basedOn w:val="Normal"/>
    <w:next w:val="Normal"/>
    <w:link w:val="Heading8Char"/>
    <w:uiPriority w:val="9"/>
    <w:semiHidden/>
    <w:unhideWhenUsed/>
    <w:qFormat/>
    <w:rsid w:val="00921D71"/>
    <w:pPr>
      <w:keepNext/>
      <w:keepLines/>
      <w:spacing w:before="40" w:after="0"/>
      <w:outlineLvl w:val="7"/>
    </w:pPr>
    <w:rPr>
      <w:rFonts w:ascii="Calibri Light" w:eastAsia="Yu Gothic Light" w:hAnsi="Calibri Light" w:cs="Times New Roman"/>
      <w:b/>
      <w:bCs/>
      <w:i/>
      <w:iCs/>
      <w:color w:val="1F3864"/>
    </w:rPr>
  </w:style>
  <w:style w:type="paragraph" w:styleId="Heading9">
    <w:name w:val="heading 9"/>
    <w:basedOn w:val="Normal"/>
    <w:next w:val="Normal"/>
    <w:link w:val="Heading9Char"/>
    <w:uiPriority w:val="9"/>
    <w:semiHidden/>
    <w:unhideWhenUsed/>
    <w:qFormat/>
    <w:rsid w:val="00921D71"/>
    <w:pPr>
      <w:keepNext/>
      <w:keepLines/>
      <w:spacing w:before="40" w:after="0"/>
      <w:outlineLvl w:val="8"/>
    </w:pPr>
    <w:rPr>
      <w:rFonts w:ascii="Calibri Light" w:eastAsia="Yu Gothic Light" w:hAnsi="Calibri Light" w:cs="Times New Roman"/>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CommentReference">
    <w:name w:val="annotation reference"/>
    <w:basedOn w:val="DefaultParagraphFont"/>
    <w:uiPriority w:val="99"/>
    <w:semiHidden/>
    <w:unhideWhenUsed/>
    <w:rsid w:val="00921D71"/>
    <w:rPr>
      <w:sz w:val="16"/>
      <w:szCs w:val="16"/>
    </w:rPr>
  </w:style>
  <w:style w:type="paragraph" w:styleId="CommentText">
    <w:name w:val="annotation text"/>
    <w:basedOn w:val="Normal"/>
    <w:link w:val="CommentTextChar"/>
    <w:uiPriority w:val="99"/>
    <w:unhideWhenUsed/>
    <w:rsid w:val="00921D71"/>
    <w:pPr>
      <w:spacing w:line="240" w:lineRule="auto"/>
    </w:pPr>
    <w:rPr>
      <w:sz w:val="20"/>
      <w:szCs w:val="20"/>
    </w:rPr>
  </w:style>
  <w:style w:type="character" w:customStyle="1" w:styleId="CommentTextChar">
    <w:name w:val="Comment Text Char"/>
    <w:basedOn w:val="DefaultParagraphFont"/>
    <w:link w:val="CommentText"/>
    <w:uiPriority w:val="99"/>
    <w:rsid w:val="00921D71"/>
    <w:rPr>
      <w:sz w:val="20"/>
      <w:szCs w:val="20"/>
    </w:rPr>
  </w:style>
  <w:style w:type="paragraph" w:styleId="CommentSubject">
    <w:name w:val="annotation subject"/>
    <w:basedOn w:val="CommentText"/>
    <w:next w:val="CommentText"/>
    <w:link w:val="CommentSubjectChar"/>
    <w:uiPriority w:val="99"/>
    <w:semiHidden/>
    <w:unhideWhenUsed/>
    <w:rsid w:val="00921D71"/>
    <w:rPr>
      <w:b/>
      <w:bCs/>
    </w:rPr>
  </w:style>
  <w:style w:type="character" w:customStyle="1" w:styleId="CommentSubjectChar">
    <w:name w:val="Comment Subject Char"/>
    <w:basedOn w:val="CommentTextChar"/>
    <w:link w:val="CommentSubject"/>
    <w:uiPriority w:val="99"/>
    <w:semiHidden/>
    <w:rsid w:val="00921D71"/>
    <w:rPr>
      <w:b/>
      <w:bCs/>
      <w:sz w:val="20"/>
      <w:szCs w:val="20"/>
    </w:rPr>
  </w:style>
  <w:style w:type="paragraph" w:customStyle="1" w:styleId="Heading71">
    <w:name w:val="Heading 71"/>
    <w:basedOn w:val="Normal"/>
    <w:next w:val="Normal"/>
    <w:uiPriority w:val="9"/>
    <w:semiHidden/>
    <w:unhideWhenUsed/>
    <w:qFormat/>
    <w:rsid w:val="00921D71"/>
    <w:pPr>
      <w:keepNext/>
      <w:keepLines/>
      <w:spacing w:before="40" w:after="0" w:line="259" w:lineRule="auto"/>
      <w:outlineLvl w:val="6"/>
    </w:pPr>
    <w:rPr>
      <w:rFonts w:ascii="Calibri Light" w:eastAsia="Yu Gothic Light" w:hAnsi="Calibri Light" w:cs="Times New Roman"/>
      <w:b/>
      <w:bCs/>
      <w:color w:val="1F3864"/>
    </w:rPr>
  </w:style>
  <w:style w:type="paragraph" w:customStyle="1" w:styleId="Heading81">
    <w:name w:val="Heading 81"/>
    <w:basedOn w:val="Normal"/>
    <w:next w:val="Normal"/>
    <w:uiPriority w:val="9"/>
    <w:semiHidden/>
    <w:unhideWhenUsed/>
    <w:qFormat/>
    <w:rsid w:val="00921D71"/>
    <w:pPr>
      <w:keepNext/>
      <w:keepLines/>
      <w:spacing w:before="40" w:after="0" w:line="259" w:lineRule="auto"/>
      <w:outlineLvl w:val="7"/>
    </w:pPr>
    <w:rPr>
      <w:rFonts w:ascii="Calibri Light" w:eastAsia="Yu Gothic Light" w:hAnsi="Calibri Light" w:cs="Times New Roman"/>
      <w:b/>
      <w:bCs/>
      <w:i/>
      <w:iCs/>
      <w:color w:val="1F3864"/>
    </w:rPr>
  </w:style>
  <w:style w:type="paragraph" w:customStyle="1" w:styleId="Heading91">
    <w:name w:val="Heading 91"/>
    <w:basedOn w:val="Normal"/>
    <w:next w:val="Normal"/>
    <w:uiPriority w:val="9"/>
    <w:semiHidden/>
    <w:unhideWhenUsed/>
    <w:qFormat/>
    <w:rsid w:val="00921D71"/>
    <w:pPr>
      <w:keepNext/>
      <w:keepLines/>
      <w:spacing w:before="40" w:after="0" w:line="259" w:lineRule="auto"/>
      <w:outlineLvl w:val="8"/>
    </w:pPr>
    <w:rPr>
      <w:rFonts w:ascii="Calibri Light" w:eastAsia="Yu Gothic Light" w:hAnsi="Calibri Light" w:cs="Times New Roman"/>
      <w:i/>
      <w:iCs/>
      <w:color w:val="1F3864"/>
    </w:rPr>
  </w:style>
  <w:style w:type="numbering" w:customStyle="1" w:styleId="NoList1">
    <w:name w:val="No List1"/>
    <w:next w:val="NoList"/>
    <w:uiPriority w:val="99"/>
    <w:semiHidden/>
    <w:unhideWhenUsed/>
    <w:rsid w:val="00921D71"/>
  </w:style>
  <w:style w:type="paragraph" w:customStyle="1" w:styleId="msonormal0">
    <w:name w:val="msonormal"/>
    <w:basedOn w:val="Normal"/>
    <w:rsid w:val="00921D7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921D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921D71"/>
  </w:style>
  <w:style w:type="character" w:customStyle="1" w:styleId="textrun">
    <w:name w:val="textrun"/>
    <w:basedOn w:val="DefaultParagraphFont"/>
    <w:rsid w:val="00921D71"/>
  </w:style>
  <w:style w:type="character" w:customStyle="1" w:styleId="normaltextrun">
    <w:name w:val="normaltextrun"/>
    <w:basedOn w:val="DefaultParagraphFont"/>
    <w:rsid w:val="00921D71"/>
  </w:style>
  <w:style w:type="paragraph" w:customStyle="1" w:styleId="outlineelement">
    <w:name w:val="outlineelement"/>
    <w:basedOn w:val="Normal"/>
    <w:rsid w:val="00921D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rackchangetextdeletionmarker">
    <w:name w:val="trackchangetextdeletionmarker"/>
    <w:basedOn w:val="DefaultParagraphFont"/>
    <w:rsid w:val="00921D71"/>
  </w:style>
  <w:style w:type="character" w:customStyle="1" w:styleId="trackchangetextinsertion">
    <w:name w:val="trackchangetextinsertion"/>
    <w:basedOn w:val="DefaultParagraphFont"/>
    <w:rsid w:val="00921D71"/>
  </w:style>
  <w:style w:type="character" w:customStyle="1" w:styleId="pagebreakblob">
    <w:name w:val="pagebreakblob"/>
    <w:basedOn w:val="DefaultParagraphFont"/>
    <w:rsid w:val="00921D71"/>
  </w:style>
  <w:style w:type="character" w:customStyle="1" w:styleId="pagebreakborderspan">
    <w:name w:val="pagebreakborderspan"/>
    <w:basedOn w:val="DefaultParagraphFont"/>
    <w:rsid w:val="00921D71"/>
  </w:style>
  <w:style w:type="character" w:customStyle="1" w:styleId="pagebreaktextspan">
    <w:name w:val="pagebreaktextspan"/>
    <w:basedOn w:val="DefaultParagraphFont"/>
    <w:rsid w:val="00921D71"/>
  </w:style>
  <w:style w:type="character" w:customStyle="1" w:styleId="tabrun">
    <w:name w:val="tabrun"/>
    <w:basedOn w:val="DefaultParagraphFont"/>
    <w:rsid w:val="00921D71"/>
  </w:style>
  <w:style w:type="character" w:customStyle="1" w:styleId="tabchar">
    <w:name w:val="tabchar"/>
    <w:basedOn w:val="DefaultParagraphFont"/>
    <w:rsid w:val="00921D71"/>
  </w:style>
  <w:style w:type="character" w:customStyle="1" w:styleId="tableaderchars">
    <w:name w:val="tableaderchars"/>
    <w:basedOn w:val="DefaultParagraphFont"/>
    <w:rsid w:val="00921D71"/>
  </w:style>
  <w:style w:type="character" w:customStyle="1" w:styleId="trackedchange">
    <w:name w:val="trackedchange"/>
    <w:basedOn w:val="DefaultParagraphFont"/>
    <w:rsid w:val="00921D71"/>
  </w:style>
  <w:style w:type="paragraph" w:styleId="Revision">
    <w:name w:val="Revision"/>
    <w:hidden/>
    <w:uiPriority w:val="99"/>
    <w:semiHidden/>
    <w:rsid w:val="00921D71"/>
    <w:pPr>
      <w:spacing w:after="0" w:line="240" w:lineRule="auto"/>
    </w:pPr>
    <w:rPr>
      <w:rFonts w:eastAsia="Yu Mincho"/>
    </w:rPr>
  </w:style>
  <w:style w:type="character" w:styleId="UnresolvedMention">
    <w:name w:val="Unresolved Mention"/>
    <w:basedOn w:val="DefaultParagraphFont"/>
    <w:uiPriority w:val="99"/>
    <w:semiHidden/>
    <w:unhideWhenUsed/>
    <w:rsid w:val="00921D71"/>
    <w:rPr>
      <w:color w:val="605E5C"/>
      <w:shd w:val="clear" w:color="auto" w:fill="E1DFDD"/>
    </w:rPr>
  </w:style>
  <w:style w:type="table" w:customStyle="1" w:styleId="TableGrid1">
    <w:name w:val="Table Grid1"/>
    <w:basedOn w:val="TableNormal"/>
    <w:next w:val="TableGrid"/>
    <w:uiPriority w:val="39"/>
    <w:rsid w:val="00921D71"/>
    <w:pPr>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921D71"/>
  </w:style>
  <w:style w:type="character" w:customStyle="1" w:styleId="ui-provider">
    <w:name w:val="ui-provider"/>
    <w:basedOn w:val="DefaultParagraphFont"/>
    <w:rsid w:val="00921D71"/>
  </w:style>
  <w:style w:type="paragraph" w:styleId="FootnoteText">
    <w:name w:val="footnote text"/>
    <w:basedOn w:val="Normal"/>
    <w:link w:val="FootnoteTextChar"/>
    <w:uiPriority w:val="99"/>
    <w:semiHidden/>
    <w:unhideWhenUsed/>
    <w:rsid w:val="00921D71"/>
    <w:pPr>
      <w:spacing w:after="0" w:line="240" w:lineRule="auto"/>
    </w:pPr>
    <w:rPr>
      <w:rFonts w:eastAsia="Yu Mincho"/>
      <w:sz w:val="20"/>
      <w:szCs w:val="20"/>
    </w:rPr>
  </w:style>
  <w:style w:type="character" w:customStyle="1" w:styleId="FootnoteTextChar">
    <w:name w:val="Footnote Text Char"/>
    <w:basedOn w:val="DefaultParagraphFont"/>
    <w:link w:val="FootnoteText"/>
    <w:uiPriority w:val="99"/>
    <w:semiHidden/>
    <w:rsid w:val="00921D71"/>
    <w:rPr>
      <w:rFonts w:eastAsia="Yu Mincho"/>
      <w:sz w:val="20"/>
      <w:szCs w:val="20"/>
    </w:rPr>
  </w:style>
  <w:style w:type="character" w:styleId="FootnoteReference">
    <w:name w:val="footnote reference"/>
    <w:basedOn w:val="DefaultParagraphFont"/>
    <w:uiPriority w:val="99"/>
    <w:semiHidden/>
    <w:unhideWhenUsed/>
    <w:rsid w:val="00921D71"/>
    <w:rPr>
      <w:vertAlign w:val="superscript"/>
    </w:rPr>
  </w:style>
  <w:style w:type="paragraph" w:customStyle="1" w:styleId="Level1">
    <w:name w:val="Level 1"/>
    <w:basedOn w:val="Normal"/>
    <w:link w:val="Level1Char"/>
    <w:rsid w:val="00921D71"/>
    <w:pPr>
      <w:spacing w:before="120" w:after="120" w:line="240" w:lineRule="auto"/>
      <w:textAlignment w:val="baseline"/>
    </w:pPr>
    <w:rPr>
      <w:rFonts w:eastAsia="Times New Roman" w:cs="Calibri"/>
      <w:b/>
      <w:bCs/>
      <w:sz w:val="48"/>
      <w:szCs w:val="48"/>
      <w:lang w:val="en-GB" w:eastAsia="en-AU"/>
    </w:rPr>
  </w:style>
  <w:style w:type="character" w:customStyle="1" w:styleId="Level1Char">
    <w:name w:val="Level 1 Char"/>
    <w:basedOn w:val="DefaultParagraphFont"/>
    <w:link w:val="Level1"/>
    <w:rsid w:val="00921D71"/>
    <w:rPr>
      <w:rFonts w:eastAsia="Times New Roman" w:cs="Calibri"/>
      <w:b/>
      <w:bCs/>
      <w:sz w:val="48"/>
      <w:szCs w:val="48"/>
      <w:lang w:val="en-GB" w:eastAsia="en-AU"/>
    </w:rPr>
  </w:style>
  <w:style w:type="paragraph" w:customStyle="1" w:styleId="Level2">
    <w:name w:val="Level 2"/>
    <w:basedOn w:val="Normal"/>
    <w:link w:val="Level2Char"/>
    <w:rsid w:val="00921D71"/>
    <w:pPr>
      <w:spacing w:before="120" w:after="120" w:line="240" w:lineRule="auto"/>
      <w:textAlignment w:val="baseline"/>
    </w:pPr>
    <w:rPr>
      <w:rFonts w:eastAsia="Times New Roman" w:cs="Calibri"/>
      <w:b/>
      <w:bCs/>
      <w:color w:val="343741"/>
      <w:sz w:val="32"/>
      <w:szCs w:val="32"/>
      <w:lang w:eastAsia="en-AU"/>
    </w:rPr>
  </w:style>
  <w:style w:type="character" w:customStyle="1" w:styleId="Level2Char">
    <w:name w:val="Level 2 Char"/>
    <w:basedOn w:val="DefaultParagraphFont"/>
    <w:link w:val="Level2"/>
    <w:rsid w:val="00921D71"/>
    <w:rPr>
      <w:rFonts w:eastAsia="Times New Roman" w:cs="Calibri"/>
      <w:b/>
      <w:bCs/>
      <w:color w:val="343741"/>
      <w:sz w:val="32"/>
      <w:szCs w:val="32"/>
      <w:lang w:eastAsia="en-AU"/>
    </w:rPr>
  </w:style>
  <w:style w:type="paragraph" w:customStyle="1" w:styleId="Level3">
    <w:name w:val="Level 3"/>
    <w:basedOn w:val="Normal"/>
    <w:link w:val="Level3Char"/>
    <w:rsid w:val="00921D71"/>
    <w:pPr>
      <w:spacing w:before="240" w:after="240" w:line="240" w:lineRule="auto"/>
      <w:textAlignment w:val="baseline"/>
    </w:pPr>
    <w:rPr>
      <w:rFonts w:eastAsia="Times New Roman"/>
      <w:bCs/>
      <w:i/>
      <w:sz w:val="26"/>
      <w:szCs w:val="26"/>
      <w:lang w:eastAsia="en-AU"/>
    </w:rPr>
  </w:style>
  <w:style w:type="character" w:customStyle="1" w:styleId="Level3Char">
    <w:name w:val="Level 3 Char"/>
    <w:basedOn w:val="DefaultParagraphFont"/>
    <w:link w:val="Level3"/>
    <w:rsid w:val="00921D71"/>
    <w:rPr>
      <w:rFonts w:eastAsia="Times New Roman"/>
      <w:bCs/>
      <w:i/>
      <w:sz w:val="26"/>
      <w:szCs w:val="26"/>
      <w:lang w:eastAsia="en-AU"/>
    </w:rPr>
  </w:style>
  <w:style w:type="paragraph" w:customStyle="1" w:styleId="Bullet1stlevel">
    <w:name w:val="Bullet 1st level"/>
    <w:basedOn w:val="Normal"/>
    <w:uiPriority w:val="1"/>
    <w:rsid w:val="00921D71"/>
    <w:pPr>
      <w:spacing w:before="60" w:after="60" w:line="259" w:lineRule="auto"/>
      <w:ind w:left="360" w:hanging="360"/>
    </w:pPr>
    <w:rPr>
      <w:rFonts w:ascii="Arial" w:eastAsia="Yu Mincho" w:hAnsi="Arial"/>
      <w:color w:val="000000"/>
      <w:sz w:val="20"/>
      <w:szCs w:val="20"/>
    </w:rPr>
  </w:style>
  <w:style w:type="paragraph" w:styleId="EndnoteText">
    <w:name w:val="endnote text"/>
    <w:basedOn w:val="Normal"/>
    <w:link w:val="EndnoteTextChar"/>
    <w:uiPriority w:val="99"/>
    <w:semiHidden/>
    <w:unhideWhenUsed/>
    <w:rsid w:val="00921D71"/>
    <w:pPr>
      <w:spacing w:after="0" w:line="240" w:lineRule="auto"/>
    </w:pPr>
    <w:rPr>
      <w:rFonts w:eastAsia="Yu Mincho"/>
      <w:sz w:val="20"/>
      <w:szCs w:val="20"/>
    </w:rPr>
  </w:style>
  <w:style w:type="character" w:customStyle="1" w:styleId="EndnoteTextChar">
    <w:name w:val="Endnote Text Char"/>
    <w:basedOn w:val="DefaultParagraphFont"/>
    <w:link w:val="EndnoteText"/>
    <w:uiPriority w:val="99"/>
    <w:semiHidden/>
    <w:rsid w:val="00921D71"/>
    <w:rPr>
      <w:rFonts w:eastAsia="Yu Mincho"/>
      <w:sz w:val="20"/>
      <w:szCs w:val="20"/>
    </w:rPr>
  </w:style>
  <w:style w:type="character" w:styleId="EndnoteReference">
    <w:name w:val="endnote reference"/>
    <w:basedOn w:val="DefaultParagraphFont"/>
    <w:uiPriority w:val="99"/>
    <w:semiHidden/>
    <w:unhideWhenUsed/>
    <w:rsid w:val="00921D71"/>
    <w:rPr>
      <w:vertAlign w:val="superscript"/>
    </w:rPr>
  </w:style>
  <w:style w:type="character" w:customStyle="1" w:styleId="Heading7Char">
    <w:name w:val="Heading 7 Char"/>
    <w:basedOn w:val="DefaultParagraphFont"/>
    <w:link w:val="Heading7"/>
    <w:uiPriority w:val="9"/>
    <w:semiHidden/>
    <w:rsid w:val="00921D71"/>
    <w:rPr>
      <w:rFonts w:ascii="Calibri Light" w:eastAsia="Yu Gothic Light" w:hAnsi="Calibri Light" w:cs="Times New Roman"/>
      <w:b/>
      <w:bCs/>
      <w:color w:val="1F3864"/>
    </w:rPr>
  </w:style>
  <w:style w:type="character" w:customStyle="1" w:styleId="Heading8Char">
    <w:name w:val="Heading 8 Char"/>
    <w:basedOn w:val="DefaultParagraphFont"/>
    <w:link w:val="Heading8"/>
    <w:uiPriority w:val="9"/>
    <w:semiHidden/>
    <w:rsid w:val="00921D71"/>
    <w:rPr>
      <w:rFonts w:ascii="Calibri Light" w:eastAsia="Yu Gothic Light" w:hAnsi="Calibri Light" w:cs="Times New Roman"/>
      <w:b/>
      <w:bCs/>
      <w:i/>
      <w:iCs/>
      <w:color w:val="1F3864"/>
    </w:rPr>
  </w:style>
  <w:style w:type="character" w:customStyle="1" w:styleId="Heading9Char">
    <w:name w:val="Heading 9 Char"/>
    <w:basedOn w:val="DefaultParagraphFont"/>
    <w:link w:val="Heading9"/>
    <w:uiPriority w:val="9"/>
    <w:semiHidden/>
    <w:rsid w:val="00921D71"/>
    <w:rPr>
      <w:rFonts w:ascii="Calibri Light" w:eastAsia="Yu Gothic Light" w:hAnsi="Calibri Light" w:cs="Times New Roman"/>
      <w:i/>
      <w:iCs/>
      <w:color w:val="1F3864"/>
    </w:rPr>
  </w:style>
  <w:style w:type="character" w:styleId="Emphasis">
    <w:name w:val="Emphasis"/>
    <w:basedOn w:val="DefaultParagraphFont"/>
    <w:uiPriority w:val="20"/>
    <w:qFormat/>
    <w:rsid w:val="00921D71"/>
    <w:rPr>
      <w:i/>
      <w:iCs/>
    </w:rPr>
  </w:style>
  <w:style w:type="paragraph" w:styleId="NoSpacing">
    <w:name w:val="No Spacing"/>
    <w:uiPriority w:val="1"/>
    <w:qFormat/>
    <w:rsid w:val="00921D71"/>
    <w:pPr>
      <w:spacing w:after="0" w:line="240" w:lineRule="auto"/>
    </w:pPr>
    <w:rPr>
      <w:rFonts w:eastAsia="Yu Mincho"/>
    </w:rPr>
  </w:style>
  <w:style w:type="paragraph" w:customStyle="1" w:styleId="IntenseQuote1">
    <w:name w:val="Intense Quote1"/>
    <w:basedOn w:val="Normal"/>
    <w:next w:val="Normal"/>
    <w:uiPriority w:val="30"/>
    <w:qFormat/>
    <w:rsid w:val="00921D71"/>
    <w:pPr>
      <w:spacing w:before="100" w:beforeAutospacing="1" w:after="240" w:line="240" w:lineRule="auto"/>
      <w:ind w:left="720"/>
      <w:jc w:val="center"/>
    </w:pPr>
    <w:rPr>
      <w:rFonts w:ascii="Calibri Light" w:eastAsia="Yu Gothic Light"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921D71"/>
    <w:rPr>
      <w:rFonts w:ascii="Calibri Light" w:eastAsia="Yu Gothic Light" w:hAnsi="Calibri Light" w:cs="Times New Roman"/>
      <w:color w:val="44546A"/>
      <w:spacing w:val="-6"/>
      <w:sz w:val="32"/>
      <w:szCs w:val="32"/>
    </w:rPr>
  </w:style>
  <w:style w:type="character" w:customStyle="1" w:styleId="SubtleEmphasis1">
    <w:name w:val="Subtle Emphasis1"/>
    <w:basedOn w:val="DefaultParagraphFont"/>
    <w:uiPriority w:val="19"/>
    <w:qFormat/>
    <w:rsid w:val="00921D71"/>
    <w:rPr>
      <w:i/>
      <w:iCs/>
      <w:color w:val="595959"/>
    </w:rPr>
  </w:style>
  <w:style w:type="character" w:styleId="IntenseEmphasis">
    <w:name w:val="Intense Emphasis"/>
    <w:basedOn w:val="DefaultParagraphFont"/>
    <w:uiPriority w:val="21"/>
    <w:qFormat/>
    <w:rsid w:val="00921D71"/>
    <w:rPr>
      <w:b/>
      <w:bCs/>
      <w:i/>
      <w:iCs/>
    </w:rPr>
  </w:style>
  <w:style w:type="character" w:customStyle="1" w:styleId="SubtleReference1">
    <w:name w:val="Subtle Reference1"/>
    <w:basedOn w:val="DefaultParagraphFont"/>
    <w:uiPriority w:val="31"/>
    <w:qFormat/>
    <w:rsid w:val="00921D71"/>
    <w:rPr>
      <w:smallCaps/>
      <w:color w:val="595959"/>
      <w:u w:val="none" w:color="7F7F7F"/>
      <w:bdr w:val="none" w:sz="0" w:space="0" w:color="auto"/>
    </w:rPr>
  </w:style>
  <w:style w:type="character" w:customStyle="1" w:styleId="IntenseReference1">
    <w:name w:val="Intense Reference1"/>
    <w:basedOn w:val="DefaultParagraphFont"/>
    <w:uiPriority w:val="32"/>
    <w:qFormat/>
    <w:rsid w:val="00921D71"/>
    <w:rPr>
      <w:b/>
      <w:bCs/>
      <w:smallCaps/>
      <w:color w:val="44546A"/>
      <w:u w:val="single"/>
    </w:rPr>
  </w:style>
  <w:style w:type="character" w:styleId="BookTitle">
    <w:name w:val="Book Title"/>
    <w:basedOn w:val="DefaultParagraphFont"/>
    <w:uiPriority w:val="33"/>
    <w:qFormat/>
    <w:rsid w:val="00921D71"/>
    <w:rPr>
      <w:b/>
      <w:bCs/>
      <w:smallCaps/>
      <w:spacing w:val="10"/>
    </w:rPr>
  </w:style>
  <w:style w:type="character" w:styleId="Mention">
    <w:name w:val="Mention"/>
    <w:basedOn w:val="DefaultParagraphFont"/>
    <w:uiPriority w:val="99"/>
    <w:unhideWhenUsed/>
    <w:rsid w:val="00921D71"/>
    <w:rPr>
      <w:color w:val="2B579A"/>
      <w:shd w:val="clear" w:color="auto" w:fill="E1DFDD"/>
    </w:rPr>
  </w:style>
  <w:style w:type="character" w:customStyle="1" w:styleId="Heading7Char1">
    <w:name w:val="Heading 7 Char1"/>
    <w:basedOn w:val="DefaultParagraphFont"/>
    <w:uiPriority w:val="9"/>
    <w:semiHidden/>
    <w:rsid w:val="00921D71"/>
    <w:rPr>
      <w:rFonts w:asciiTheme="majorHAnsi" w:eastAsiaTheme="majorEastAsia" w:hAnsiTheme="majorHAnsi" w:cstheme="majorBidi"/>
      <w:i/>
      <w:iCs/>
      <w:color w:val="00161F" w:themeColor="accent1" w:themeShade="7F"/>
    </w:rPr>
  </w:style>
  <w:style w:type="character" w:customStyle="1" w:styleId="Heading8Char1">
    <w:name w:val="Heading 8 Char1"/>
    <w:basedOn w:val="DefaultParagraphFont"/>
    <w:uiPriority w:val="9"/>
    <w:semiHidden/>
    <w:rsid w:val="00921D7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21D71"/>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semiHidden/>
    <w:rsid w:val="00921D71"/>
    <w:pPr>
      <w:pBdr>
        <w:top w:val="single" w:sz="4" w:space="10" w:color="002D3F" w:themeColor="accent1"/>
        <w:bottom w:val="single" w:sz="4" w:space="10" w:color="002D3F" w:themeColor="accent1"/>
      </w:pBdr>
      <w:spacing w:before="360" w:after="360"/>
      <w:ind w:left="864" w:right="864"/>
      <w:jc w:val="center"/>
    </w:pPr>
    <w:rPr>
      <w:rFonts w:ascii="Calibri Light" w:eastAsia="Yu Gothic Light" w:hAnsi="Calibri Light" w:cs="Times New Roman"/>
      <w:color w:val="44546A"/>
      <w:spacing w:val="-6"/>
      <w:sz w:val="32"/>
      <w:szCs w:val="32"/>
    </w:rPr>
  </w:style>
  <w:style w:type="character" w:customStyle="1" w:styleId="IntenseQuoteChar1">
    <w:name w:val="Intense Quote Char1"/>
    <w:basedOn w:val="DefaultParagraphFont"/>
    <w:uiPriority w:val="30"/>
    <w:semiHidden/>
    <w:rsid w:val="00921D71"/>
    <w:rPr>
      <w:i/>
      <w:iCs/>
      <w:color w:val="002D3F" w:themeColor="accent1"/>
    </w:rPr>
  </w:style>
  <w:style w:type="character" w:styleId="SubtleEmphasis">
    <w:name w:val="Subtle Emphasis"/>
    <w:basedOn w:val="DefaultParagraphFont"/>
    <w:uiPriority w:val="19"/>
    <w:semiHidden/>
    <w:rsid w:val="00921D71"/>
    <w:rPr>
      <w:i/>
      <w:iCs/>
      <w:color w:val="404040" w:themeColor="text1" w:themeTint="BF"/>
    </w:rPr>
  </w:style>
  <w:style w:type="character" w:styleId="SubtleReference">
    <w:name w:val="Subtle Reference"/>
    <w:basedOn w:val="DefaultParagraphFont"/>
    <w:uiPriority w:val="31"/>
    <w:semiHidden/>
    <w:rsid w:val="00921D71"/>
    <w:rPr>
      <w:smallCaps/>
      <w:color w:val="5A5A5A" w:themeColor="text1" w:themeTint="A5"/>
    </w:rPr>
  </w:style>
  <w:style w:type="character" w:styleId="IntenseReference">
    <w:name w:val="Intense Reference"/>
    <w:basedOn w:val="DefaultParagraphFont"/>
    <w:uiPriority w:val="32"/>
    <w:semiHidden/>
    <w:rsid w:val="00921D71"/>
    <w:rPr>
      <w:b/>
      <w:bCs/>
      <w:smallCaps/>
      <w:color w:val="002D3F"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837930">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s://www.aph.gov.au/Parliamentary_Business/Bills_Legislation/Bills_Search_Results/Result?bId=r68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wr.gov.au/migrant-workers-taskforce/resources/report-migrant-workers-taskfor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13713</Words>
  <Characters>78169</Characters>
  <Application>Microsoft Office Word</Application>
  <DocSecurity>0</DocSecurity>
  <Lines>651</Lines>
  <Paragraphs>183</Paragraphs>
  <ScaleCrop>false</ScaleCrop>
  <Company/>
  <LinksUpToDate>false</LinksUpToDate>
  <CharactersWithSpaces>91699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Fair Work Act Small Claims Procedure – Report – February 2024</dc:title>
  <dc:subject/>
  <dc:creator/>
  <cp:keywords/>
  <dc:description/>
  <cp:lastModifiedBy/>
  <cp:revision>1</cp:revision>
  <dcterms:created xsi:type="dcterms:W3CDTF">2025-01-28T23:25:00Z</dcterms:created>
  <dcterms:modified xsi:type="dcterms:W3CDTF">2025-01-28T23:25:00Z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2025-01-28T23:25:56Z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7fd92328-6fd7-4121-a4fc-f3a7e0d19587</vt:lpwstr>
  </property>
  <property fmtid="{D5CDD505-2E9C-101B-9397-08002B2CF9AE}" pid="8" name="MSIP_Label_79d889eb-932f-4752-8739-64d25806ef64_ContentBits">
    <vt:lpwstr>0</vt:lpwstr>
  </property>
</Properties>
</file>