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864B" w14:textId="1CBB0C66" w:rsidR="00E265FE" w:rsidRPr="00775EFA" w:rsidRDefault="00A5197F" w:rsidP="00775EFA">
      <w:pPr>
        <w:pStyle w:val="Heading1"/>
      </w:pPr>
      <w:r w:rsidRPr="00775EFA">
        <w:t>Practice Self-</w:t>
      </w:r>
      <w:r w:rsidR="0082520A">
        <w:t>C</w:t>
      </w:r>
      <w:r w:rsidRPr="00775EFA">
        <w:t>heck</w:t>
      </w:r>
      <w:r w:rsidR="001171ED">
        <w:t>:</w:t>
      </w:r>
      <w:r w:rsidRPr="00775EFA">
        <w:t xml:space="preserve"> Registered Training Organisation (RTO)</w:t>
      </w:r>
    </w:p>
    <w:p w14:paraId="3C70398C" w14:textId="0E37863B" w:rsidR="00870494" w:rsidRPr="00893279" w:rsidRDefault="00A5197F" w:rsidP="00893279">
      <w:bookmarkStart w:id="0" w:name="_Hlk102837869"/>
      <w:r w:rsidRPr="00893279">
        <w:t>This Self-</w:t>
      </w:r>
      <w:r w:rsidR="008B727D" w:rsidRPr="00893279">
        <w:t>c</w:t>
      </w:r>
      <w:r w:rsidRPr="00893279">
        <w:t xml:space="preserve">heck aims to help an RTO to reflect and self-assess the organisation’s responsiveness and capability to support students with disability, as well as </w:t>
      </w:r>
      <w:r w:rsidR="00AC3F36">
        <w:t>whether</w:t>
      </w:r>
      <w:r w:rsidRPr="00893279">
        <w:t xml:space="preserve"> </w:t>
      </w:r>
      <w:r w:rsidR="00870494" w:rsidRPr="00893279">
        <w:t xml:space="preserve">relevant legislative </w:t>
      </w:r>
      <w:r w:rsidRPr="00893279">
        <w:t>requirements</w:t>
      </w:r>
      <w:r w:rsidR="00AC3F36">
        <w:t xml:space="preserve"> are being met</w:t>
      </w:r>
      <w:r w:rsidR="00870494" w:rsidRPr="00893279">
        <w:t>. These include:</w:t>
      </w:r>
    </w:p>
    <w:p w14:paraId="48D3ACE4" w14:textId="1985329E" w:rsidR="005779FD" w:rsidRPr="000D6216" w:rsidRDefault="005779FD" w:rsidP="00310DDE">
      <w:pPr>
        <w:pStyle w:val="bullettedlist"/>
        <w:rPr>
          <w:rFonts w:eastAsia="DengXian"/>
          <w:i/>
          <w:iCs/>
          <w:color w:val="0563C1"/>
          <w:u w:val="single"/>
        </w:rPr>
      </w:pPr>
      <w:hyperlink r:id="rId11" w:history="1">
        <w:r w:rsidRPr="00CF7481">
          <w:rPr>
            <w:rStyle w:val="Hyperlink"/>
            <w:iCs/>
          </w:rPr>
          <w:t>National Vocational Education and Training Regulator (Outcomes Standards for NVR Registered Training Organisations) Instrument 2025</w:t>
        </w:r>
      </w:hyperlink>
      <w:r w:rsidR="00D73A46">
        <w:t>, a component of the 2025 Standards for Registered Training Organisations</w:t>
      </w:r>
    </w:p>
    <w:p w14:paraId="6B65FEA7" w14:textId="77777777" w:rsidR="000D6216" w:rsidRPr="00227AD5" w:rsidRDefault="000D6216" w:rsidP="000D6216">
      <w:pPr>
        <w:pStyle w:val="bullettedlist"/>
        <w:numPr>
          <w:ilvl w:val="0"/>
          <w:numId w:val="0"/>
        </w:numPr>
        <w:ind w:left="720"/>
      </w:pPr>
      <w:r w:rsidRPr="00227AD5">
        <w:rPr>
          <w:rFonts w:eastAsia="Arial"/>
          <w:b/>
          <w:bCs/>
          <w:color w:val="000000" w:themeColor="text1"/>
        </w:rPr>
        <w:t>Please note:</w:t>
      </w:r>
      <w:r w:rsidRPr="00227AD5">
        <w:rPr>
          <w:rFonts w:eastAsia="Arial"/>
          <w:color w:val="000000" w:themeColor="text1"/>
        </w:rPr>
        <w:t xml:space="preserve"> </w:t>
      </w:r>
      <w:r w:rsidRPr="00227AD5">
        <w:t xml:space="preserve">RTOs registered by the </w:t>
      </w:r>
      <w:r w:rsidRPr="00227AD5">
        <w:rPr>
          <w:i/>
          <w:iCs/>
        </w:rPr>
        <w:t>Victorian Registration and Qualifications Authority</w:t>
      </w:r>
      <w:r w:rsidRPr="00227AD5">
        <w:t xml:space="preserve"> or the </w:t>
      </w:r>
      <w:r w:rsidRPr="00227AD5">
        <w:rPr>
          <w:i/>
          <w:iCs/>
        </w:rPr>
        <w:t>Training Accreditation Council Western Australia</w:t>
      </w:r>
      <w:r w:rsidRPr="00227AD5">
        <w:t xml:space="preserve"> may refer to the following websites for requirements specific to you.</w:t>
      </w:r>
    </w:p>
    <w:p w14:paraId="42E74BAC" w14:textId="77777777" w:rsidR="000D6216" w:rsidRPr="00227AD5" w:rsidRDefault="000D6216" w:rsidP="000D6216">
      <w:pPr>
        <w:pStyle w:val="bullettedlist"/>
        <w:numPr>
          <w:ilvl w:val="0"/>
          <w:numId w:val="0"/>
        </w:numPr>
        <w:ind w:left="720"/>
        <w:rPr>
          <w:rFonts w:eastAsia="Arial"/>
          <w:color w:val="000000" w:themeColor="text1"/>
        </w:rPr>
      </w:pPr>
      <w:hyperlink r:id="rId12">
        <w:r w:rsidRPr="00227AD5">
          <w:rPr>
            <w:rFonts w:eastAsia="Arial"/>
            <w:i/>
            <w:iCs/>
            <w:color w:val="0563C1"/>
            <w:u w:val="single"/>
          </w:rPr>
          <w:t>Victorian Registration and Qualifications Authority</w:t>
        </w:r>
      </w:hyperlink>
    </w:p>
    <w:p w14:paraId="2E50D33E" w14:textId="0AF289B8" w:rsidR="000D6216" w:rsidRPr="000D6216" w:rsidRDefault="000D6216" w:rsidP="000D6216">
      <w:pPr>
        <w:pStyle w:val="bullettedlist"/>
        <w:numPr>
          <w:ilvl w:val="0"/>
          <w:numId w:val="0"/>
        </w:numPr>
        <w:ind w:left="720"/>
        <w:rPr>
          <w:rStyle w:val="Hyperlink"/>
          <w:rFonts w:eastAsia="Arial"/>
          <w:i w:val="0"/>
          <w:color w:val="000000" w:themeColor="text1"/>
          <w:u w:val="none"/>
        </w:rPr>
      </w:pPr>
      <w:hyperlink r:id="rId13">
        <w:r w:rsidRPr="00227AD5">
          <w:rPr>
            <w:rFonts w:eastAsia="Arial"/>
            <w:i/>
            <w:color w:val="0563C1"/>
            <w:u w:val="single"/>
          </w:rPr>
          <w:t>Training Accreditation Council Western Australia</w:t>
        </w:r>
      </w:hyperlink>
    </w:p>
    <w:p w14:paraId="703E97FD" w14:textId="33B9C227" w:rsidR="00870494" w:rsidRPr="00310DDE" w:rsidRDefault="00A5197F" w:rsidP="00310DDE">
      <w:pPr>
        <w:pStyle w:val="bullettedlist"/>
        <w:rPr>
          <w:i/>
          <w:iCs/>
        </w:rPr>
      </w:pPr>
      <w:hyperlink r:id="rId14" w:history="1">
        <w:r w:rsidRPr="00310DDE">
          <w:rPr>
            <w:rStyle w:val="Hyperlink"/>
            <w:iCs/>
          </w:rPr>
          <w:t xml:space="preserve">Disability Discrimination Act 1992 </w:t>
        </w:r>
        <w:r w:rsidR="7313ED95" w:rsidRPr="00310DDE">
          <w:rPr>
            <w:rStyle w:val="Hyperlink"/>
            <w:iCs/>
          </w:rPr>
          <w:t xml:space="preserve">(Cth) </w:t>
        </w:r>
        <w:r w:rsidR="68BA5EA5" w:rsidRPr="00310DDE">
          <w:rPr>
            <w:rStyle w:val="Hyperlink"/>
            <w:iCs/>
          </w:rPr>
          <w:t>(DDA)</w:t>
        </w:r>
      </w:hyperlink>
    </w:p>
    <w:p w14:paraId="76B0A753" w14:textId="2FBE0AA1" w:rsidR="00870494" w:rsidRPr="00D51E11" w:rsidRDefault="00A5197F" w:rsidP="00893279">
      <w:pPr>
        <w:pStyle w:val="bullettedlist"/>
        <w:rPr>
          <w:color w:val="0563C1" w:themeColor="hyperlink"/>
          <w:u w:val="single"/>
        </w:rPr>
      </w:pPr>
      <w:hyperlink r:id="rId15" w:history="1">
        <w:r w:rsidRPr="00AB47F4">
          <w:rPr>
            <w:rStyle w:val="Hyperlink"/>
            <w:iCs/>
          </w:rPr>
          <w:t>Disability Standards for Education 2005</w:t>
        </w:r>
        <w:r w:rsidR="025116A1" w:rsidRPr="00AB47F4">
          <w:rPr>
            <w:rStyle w:val="Hyperlink"/>
            <w:iCs/>
          </w:rPr>
          <w:t xml:space="preserve"> (</w:t>
        </w:r>
        <w:r w:rsidR="003F32E7" w:rsidRPr="00AB47F4">
          <w:rPr>
            <w:rStyle w:val="Hyperlink"/>
            <w:iCs/>
          </w:rPr>
          <w:t>Cth</w:t>
        </w:r>
        <w:r w:rsidR="025116A1" w:rsidRPr="00AB47F4">
          <w:rPr>
            <w:rStyle w:val="Hyperlink"/>
            <w:iCs/>
          </w:rPr>
          <w:t>)</w:t>
        </w:r>
        <w:r w:rsidRPr="00AB47F4">
          <w:rPr>
            <w:rStyle w:val="Hyperlink"/>
            <w:iCs/>
          </w:rPr>
          <w:t xml:space="preserve"> </w:t>
        </w:r>
        <w:r w:rsidR="003F32E7" w:rsidRPr="00AB47F4">
          <w:rPr>
            <w:rStyle w:val="Hyperlink"/>
            <w:iCs/>
          </w:rPr>
          <w:t>(DSE)</w:t>
        </w:r>
      </w:hyperlink>
    </w:p>
    <w:p w14:paraId="134ECB02" w14:textId="487CA91D" w:rsidR="00A5197F" w:rsidRDefault="00F43EB2" w:rsidP="00672DAF">
      <w:pPr>
        <w:spacing w:before="240"/>
      </w:pPr>
      <w:r w:rsidRPr="00CF7481">
        <w:t>The Self-check</w:t>
      </w:r>
      <w:r w:rsidR="00C46EB2" w:rsidRPr="00CF7481">
        <w:t xml:space="preserve"> </w:t>
      </w:r>
      <w:r w:rsidR="00A5197F" w:rsidRPr="00CF7481">
        <w:t xml:space="preserve">covers each area of the student journey as they are </w:t>
      </w:r>
      <w:r w:rsidR="00E76876" w:rsidRPr="00CF7481">
        <w:t>aligned</w:t>
      </w:r>
      <w:r w:rsidR="00C46EB2" w:rsidRPr="00CF7481">
        <w:t xml:space="preserve"> to the </w:t>
      </w:r>
      <w:r w:rsidR="00462513" w:rsidRPr="00CF7481">
        <w:t xml:space="preserve">relevant legislative </w:t>
      </w:r>
      <w:r w:rsidR="00C46EB2" w:rsidRPr="00CF7481">
        <w:t>r</w:t>
      </w:r>
      <w:r w:rsidR="00A5197F" w:rsidRPr="00CF7481">
        <w:t>equirements. The practice indicators help you reflect and guide your policies, procedures, practice and professional development to build capability and accountability across the organisation.</w:t>
      </w:r>
    </w:p>
    <w:bookmarkEnd w:id="0"/>
    <w:p w14:paraId="09B922D2" w14:textId="36A4EB0A" w:rsidR="00A5197F" w:rsidRPr="0069715F" w:rsidRDefault="00A5197F" w:rsidP="00893279">
      <w:r w:rsidRPr="0069715F">
        <w:t xml:space="preserve">The scale </w:t>
      </w:r>
      <w:r w:rsidR="00E35E03" w:rsidRPr="0069715F">
        <w:t>of</w:t>
      </w:r>
      <w:r w:rsidRPr="0069715F">
        <w:t xml:space="preserve"> practice indicators </w:t>
      </w:r>
      <w:r w:rsidR="0020107B">
        <w:t>has</w:t>
      </w:r>
      <w:r w:rsidR="0020107B" w:rsidRPr="0069715F">
        <w:t xml:space="preserve"> </w:t>
      </w:r>
      <w:r w:rsidRPr="0069715F">
        <w:t>been divided into three categories:</w:t>
      </w:r>
    </w:p>
    <w:p w14:paraId="60CD220C" w14:textId="271D2EAE" w:rsidR="00F56BC6" w:rsidRPr="0069715F" w:rsidRDefault="00A5197F" w:rsidP="00893279">
      <w:pPr>
        <w:pStyle w:val="bullettedlist"/>
      </w:pPr>
      <w:r w:rsidRPr="2CC92E5A">
        <w:rPr>
          <w:b/>
          <w:bCs/>
        </w:rPr>
        <w:t>Beginning (Starting)</w:t>
      </w:r>
      <w:r w:rsidRPr="2CC92E5A">
        <w:t xml:space="preserve"> – you are considering these practices and implementing a</w:t>
      </w:r>
      <w:r w:rsidR="00F56BC6" w:rsidRPr="2CC92E5A">
        <w:t xml:space="preserve"> few policies, procedures and practices t</w:t>
      </w:r>
      <w:r w:rsidR="004D42E5">
        <w:t>o</w:t>
      </w:r>
      <w:r w:rsidR="00F56BC6" w:rsidRPr="2CC92E5A">
        <w:t xml:space="preserve"> address these </w:t>
      </w:r>
      <w:r w:rsidRPr="2CC92E5A">
        <w:t>things</w:t>
      </w:r>
      <w:r w:rsidR="00AC4705" w:rsidRPr="2CC92E5A">
        <w:t>,</w:t>
      </w:r>
      <w:r w:rsidR="00F56BC6" w:rsidRPr="2CC92E5A">
        <w:t xml:space="preserve"> but</w:t>
      </w:r>
      <w:r w:rsidR="004D42E5">
        <w:t xml:space="preserve"> more</w:t>
      </w:r>
      <w:r w:rsidR="00F56BC6" w:rsidRPr="2CC92E5A">
        <w:t xml:space="preserve"> work </w:t>
      </w:r>
      <w:r w:rsidR="004D42E5">
        <w:t>is required</w:t>
      </w:r>
      <w:r w:rsidR="00F56BC6" w:rsidRPr="2CC92E5A">
        <w:t xml:space="preserve"> to further develop capability and achieve these indicators.</w:t>
      </w:r>
    </w:p>
    <w:p w14:paraId="780AC8EC" w14:textId="6714E189" w:rsidR="00A5197F" w:rsidRPr="0069715F" w:rsidRDefault="00A5197F" w:rsidP="00893279">
      <w:pPr>
        <w:pStyle w:val="bullettedlist"/>
      </w:pPr>
      <w:r w:rsidRPr="2CC92E5A">
        <w:rPr>
          <w:b/>
          <w:bCs/>
        </w:rPr>
        <w:t>Developing (Baseline)</w:t>
      </w:r>
      <w:r w:rsidRPr="2CC92E5A">
        <w:t xml:space="preserve"> – you </w:t>
      </w:r>
      <w:r w:rsidR="00F56BC6" w:rsidRPr="2CC92E5A">
        <w:t xml:space="preserve">have </w:t>
      </w:r>
      <w:bookmarkStart w:id="1" w:name="_Hlk102838204"/>
      <w:r w:rsidR="00F56BC6" w:rsidRPr="2CC92E5A">
        <w:t xml:space="preserve">policies, procedures and practices </w:t>
      </w:r>
      <w:r w:rsidR="0085488B" w:rsidRPr="2CC92E5A">
        <w:t>that address</w:t>
      </w:r>
      <w:r w:rsidR="00F56BC6" w:rsidRPr="2CC92E5A">
        <w:t xml:space="preserve"> these </w:t>
      </w:r>
      <w:r w:rsidRPr="2CC92E5A">
        <w:t>things</w:t>
      </w:r>
      <w:r w:rsidR="00F56BC6" w:rsidRPr="2CC92E5A">
        <w:t xml:space="preserve"> </w:t>
      </w:r>
      <w:r w:rsidRPr="2CC92E5A">
        <w:t xml:space="preserve">but </w:t>
      </w:r>
      <w:r w:rsidR="00F56BC6" w:rsidRPr="2CC92E5A">
        <w:t>there is</w:t>
      </w:r>
      <w:r w:rsidRPr="2CC92E5A">
        <w:t xml:space="preserve"> still</w:t>
      </w:r>
      <w:r w:rsidR="00F56BC6" w:rsidRPr="2CC92E5A">
        <w:t xml:space="preserve"> room for improvement</w:t>
      </w:r>
      <w:r w:rsidRPr="2CC92E5A">
        <w:t xml:space="preserve"> and</w:t>
      </w:r>
      <w:r w:rsidR="00F56BC6" w:rsidRPr="2CC92E5A">
        <w:t xml:space="preserve"> to further develop capability.</w:t>
      </w:r>
    </w:p>
    <w:bookmarkEnd w:id="1"/>
    <w:p w14:paraId="660E5BEC" w14:textId="25947EA3" w:rsidR="00C46EB2" w:rsidRDefault="00A5197F" w:rsidP="00893279">
      <w:pPr>
        <w:pStyle w:val="bullettedlist"/>
      </w:pPr>
      <w:r w:rsidRPr="2CC92E5A">
        <w:rPr>
          <w:b/>
          <w:bCs/>
        </w:rPr>
        <w:t>Competent (Confident)</w:t>
      </w:r>
      <w:r w:rsidR="00F56BC6" w:rsidRPr="2CC92E5A">
        <w:t xml:space="preserve"> – you have policies, procedures and practices that address these </w:t>
      </w:r>
      <w:r w:rsidRPr="2CC92E5A">
        <w:t>things,</w:t>
      </w:r>
      <w:r w:rsidR="00F56BC6" w:rsidRPr="2CC92E5A">
        <w:t xml:space="preserve"> </w:t>
      </w:r>
      <w:r w:rsidRPr="2CC92E5A">
        <w:t>s</w:t>
      </w:r>
      <w:r w:rsidR="00F56BC6" w:rsidRPr="2CC92E5A">
        <w:t xml:space="preserve">taff have access to ongoing professional development </w:t>
      </w:r>
      <w:r w:rsidRPr="2CC92E5A">
        <w:t xml:space="preserve">and </w:t>
      </w:r>
      <w:r w:rsidR="004D42E5">
        <w:t xml:space="preserve">can </w:t>
      </w:r>
      <w:r w:rsidR="00F56BC6" w:rsidRPr="2CC92E5A">
        <w:t xml:space="preserve">apply these </w:t>
      </w:r>
      <w:r w:rsidRPr="2CC92E5A">
        <w:t>things</w:t>
      </w:r>
      <w:r w:rsidR="00F56BC6" w:rsidRPr="2CC92E5A">
        <w:t xml:space="preserve"> effectively, and the organisation</w:t>
      </w:r>
      <w:r w:rsidR="004D42E5">
        <w:t xml:space="preserve"> maintains</w:t>
      </w:r>
      <w:r w:rsidR="00F56BC6" w:rsidRPr="2CC92E5A">
        <w:t xml:space="preserve"> a continuous improvement strategy that is actioned.</w:t>
      </w:r>
    </w:p>
    <w:p w14:paraId="06528D97" w14:textId="54DBA489" w:rsidR="00870494" w:rsidRDefault="00C46EB2" w:rsidP="00893279">
      <w:r w:rsidRPr="00C46EB2">
        <w:t xml:space="preserve">These practice indicators may look different in each RTO given </w:t>
      </w:r>
      <w:r w:rsidR="0085488B" w:rsidRPr="00C46EB2">
        <w:t>th</w:t>
      </w:r>
      <w:r w:rsidR="0085488B">
        <w:t>e</w:t>
      </w:r>
      <w:r w:rsidRPr="00C46EB2">
        <w:t xml:space="preserve"> size, structure and systems, location, training and assessment modes and </w:t>
      </w:r>
      <w:r w:rsidR="004D42E5" w:rsidRPr="00C46EB2">
        <w:t>method</w:t>
      </w:r>
      <w:r w:rsidR="004D42E5">
        <w:t>s.</w:t>
      </w:r>
      <w:r w:rsidR="00870494">
        <w:br w:type="page"/>
      </w:r>
    </w:p>
    <w:tbl>
      <w:tblPr>
        <w:tblStyle w:val="TableGrid"/>
        <w:tblW w:w="15309" w:type="dxa"/>
        <w:tblInd w:w="-5" w:type="dxa"/>
        <w:tblLayout w:type="fixed"/>
        <w:tblLook w:val="04A0" w:firstRow="1" w:lastRow="0" w:firstColumn="1" w:lastColumn="0" w:noHBand="0" w:noVBand="1"/>
      </w:tblPr>
      <w:tblGrid>
        <w:gridCol w:w="3402"/>
        <w:gridCol w:w="4962"/>
        <w:gridCol w:w="1134"/>
        <w:gridCol w:w="1275"/>
        <w:gridCol w:w="1276"/>
        <w:gridCol w:w="3260"/>
      </w:tblGrid>
      <w:tr w:rsidR="0021744F" w:rsidRPr="0069715F" w14:paraId="112DFF65" w14:textId="1DD22655" w:rsidTr="00AA5AF1">
        <w:trPr>
          <w:cantSplit/>
          <w:tblHeader/>
        </w:trPr>
        <w:tc>
          <w:tcPr>
            <w:tcW w:w="3402" w:type="dxa"/>
            <w:shd w:val="clear" w:color="auto" w:fill="E7E6E6" w:themeFill="background2"/>
          </w:tcPr>
          <w:p w14:paraId="0F420F93" w14:textId="2EC15661" w:rsidR="00A6466B" w:rsidRPr="004C31EA" w:rsidRDefault="00A6466B" w:rsidP="00182FB1">
            <w:pPr>
              <w:spacing w:before="0" w:after="0"/>
              <w:jc w:val="center"/>
              <w:rPr>
                <w:b/>
                <w:bCs/>
                <w:sz w:val="16"/>
                <w:szCs w:val="16"/>
              </w:rPr>
            </w:pPr>
            <w:bookmarkStart w:id="2" w:name="_Hlk102837968"/>
            <w:bookmarkStart w:id="3" w:name="Title_1" w:colFirst="0" w:colLast="0"/>
            <w:r w:rsidRPr="004C31EA">
              <w:rPr>
                <w:b/>
                <w:bCs/>
                <w:sz w:val="16"/>
                <w:szCs w:val="16"/>
              </w:rPr>
              <w:lastRenderedPageBreak/>
              <w:t>AREA</w:t>
            </w:r>
          </w:p>
        </w:tc>
        <w:tc>
          <w:tcPr>
            <w:tcW w:w="4962" w:type="dxa"/>
            <w:shd w:val="clear" w:color="auto" w:fill="E7E6E6" w:themeFill="background2"/>
          </w:tcPr>
          <w:p w14:paraId="745C434E" w14:textId="0101553D" w:rsidR="00A6466B" w:rsidRPr="00F61BC4" w:rsidRDefault="00BB0297" w:rsidP="00182FB1">
            <w:pPr>
              <w:spacing w:before="0" w:after="0"/>
              <w:jc w:val="center"/>
              <w:rPr>
                <w:b/>
                <w:bCs/>
                <w:sz w:val="16"/>
                <w:szCs w:val="16"/>
              </w:rPr>
            </w:pPr>
            <w:r w:rsidRPr="00F61BC4">
              <w:rPr>
                <w:b/>
                <w:bCs/>
                <w:sz w:val="16"/>
                <w:szCs w:val="16"/>
              </w:rPr>
              <w:t xml:space="preserve">RTO </w:t>
            </w:r>
            <w:r w:rsidR="00EC39AE" w:rsidRPr="00F61BC4">
              <w:rPr>
                <w:b/>
                <w:bCs/>
                <w:sz w:val="16"/>
                <w:szCs w:val="16"/>
              </w:rPr>
              <w:t>PRACTICE INDICATORS</w:t>
            </w:r>
          </w:p>
        </w:tc>
        <w:tc>
          <w:tcPr>
            <w:tcW w:w="1134" w:type="dxa"/>
            <w:shd w:val="clear" w:color="auto" w:fill="E7E6E6" w:themeFill="background2"/>
          </w:tcPr>
          <w:p w14:paraId="72345157" w14:textId="77777777" w:rsidR="00585D11" w:rsidRDefault="580BDC9A" w:rsidP="00182FB1">
            <w:pPr>
              <w:spacing w:before="0" w:after="0"/>
              <w:jc w:val="center"/>
              <w:rPr>
                <w:b/>
                <w:bCs/>
                <w:sz w:val="16"/>
                <w:szCs w:val="16"/>
              </w:rPr>
            </w:pPr>
            <w:r w:rsidRPr="00F61BC4">
              <w:rPr>
                <w:b/>
                <w:bCs/>
                <w:sz w:val="16"/>
                <w:szCs w:val="16"/>
              </w:rPr>
              <w:t>BEGINNING</w:t>
            </w:r>
          </w:p>
          <w:p w14:paraId="20958AAC" w14:textId="5C21729C" w:rsidR="00A6466B" w:rsidRPr="00F61BC4" w:rsidRDefault="580BDC9A" w:rsidP="00182FB1">
            <w:pPr>
              <w:spacing w:before="0" w:after="0"/>
              <w:jc w:val="center"/>
              <w:rPr>
                <w:b/>
                <w:bCs/>
                <w:sz w:val="16"/>
                <w:szCs w:val="16"/>
              </w:rPr>
            </w:pPr>
            <w:r w:rsidRPr="00F61BC4">
              <w:rPr>
                <w:b/>
                <w:bCs/>
                <w:sz w:val="16"/>
                <w:szCs w:val="16"/>
              </w:rPr>
              <w:t>(Starting)</w:t>
            </w:r>
          </w:p>
        </w:tc>
        <w:tc>
          <w:tcPr>
            <w:tcW w:w="1275" w:type="dxa"/>
            <w:shd w:val="clear" w:color="auto" w:fill="E7E6E6" w:themeFill="background2"/>
          </w:tcPr>
          <w:p w14:paraId="40BA077D" w14:textId="77777777" w:rsidR="00A6466B" w:rsidRPr="00F61BC4" w:rsidRDefault="00A6466B" w:rsidP="00182FB1">
            <w:pPr>
              <w:spacing w:before="0" w:after="0"/>
              <w:jc w:val="center"/>
              <w:rPr>
                <w:b/>
                <w:bCs/>
                <w:sz w:val="16"/>
                <w:szCs w:val="16"/>
              </w:rPr>
            </w:pPr>
            <w:r w:rsidRPr="00F61BC4">
              <w:rPr>
                <w:b/>
                <w:bCs/>
                <w:sz w:val="16"/>
                <w:szCs w:val="16"/>
              </w:rPr>
              <w:t>DEVELOPING</w:t>
            </w:r>
          </w:p>
          <w:p w14:paraId="129CFC44" w14:textId="04158A66" w:rsidR="00A6466B" w:rsidRPr="00F61BC4" w:rsidRDefault="00A6466B" w:rsidP="00182FB1">
            <w:pPr>
              <w:spacing w:before="0" w:after="0"/>
              <w:jc w:val="center"/>
              <w:rPr>
                <w:b/>
                <w:bCs/>
                <w:sz w:val="16"/>
                <w:szCs w:val="16"/>
              </w:rPr>
            </w:pPr>
            <w:r w:rsidRPr="00F61BC4">
              <w:rPr>
                <w:b/>
                <w:bCs/>
                <w:sz w:val="16"/>
                <w:szCs w:val="16"/>
              </w:rPr>
              <w:t>(Baseline)</w:t>
            </w:r>
          </w:p>
        </w:tc>
        <w:tc>
          <w:tcPr>
            <w:tcW w:w="1276" w:type="dxa"/>
            <w:shd w:val="clear" w:color="auto" w:fill="E7E6E6" w:themeFill="background2"/>
          </w:tcPr>
          <w:p w14:paraId="5C30F1CB" w14:textId="77777777" w:rsidR="00A6466B" w:rsidRPr="00F61BC4" w:rsidRDefault="00A6466B" w:rsidP="00182FB1">
            <w:pPr>
              <w:spacing w:before="0" w:after="0"/>
              <w:jc w:val="center"/>
              <w:rPr>
                <w:b/>
                <w:bCs/>
                <w:sz w:val="16"/>
                <w:szCs w:val="16"/>
              </w:rPr>
            </w:pPr>
            <w:r w:rsidRPr="00F61BC4">
              <w:rPr>
                <w:b/>
                <w:bCs/>
                <w:sz w:val="16"/>
                <w:szCs w:val="16"/>
              </w:rPr>
              <w:t>COMPETENT</w:t>
            </w:r>
          </w:p>
          <w:p w14:paraId="625BE5EC" w14:textId="5CB8F1E7" w:rsidR="00A6466B" w:rsidRPr="00F61BC4" w:rsidRDefault="00A6466B" w:rsidP="00182FB1">
            <w:pPr>
              <w:spacing w:before="0" w:after="0"/>
              <w:jc w:val="center"/>
              <w:rPr>
                <w:b/>
                <w:bCs/>
                <w:sz w:val="16"/>
                <w:szCs w:val="16"/>
              </w:rPr>
            </w:pPr>
            <w:r w:rsidRPr="00F61BC4">
              <w:rPr>
                <w:b/>
                <w:bCs/>
                <w:sz w:val="16"/>
                <w:szCs w:val="16"/>
              </w:rPr>
              <w:t>(Confident)</w:t>
            </w:r>
          </w:p>
        </w:tc>
        <w:tc>
          <w:tcPr>
            <w:tcW w:w="3260" w:type="dxa"/>
            <w:shd w:val="clear" w:color="auto" w:fill="E7E6E6" w:themeFill="background2"/>
          </w:tcPr>
          <w:p w14:paraId="22154BF5" w14:textId="3614AA6E" w:rsidR="00A6466B" w:rsidRPr="00F61BC4" w:rsidRDefault="00A6466B" w:rsidP="00182FB1">
            <w:pPr>
              <w:spacing w:before="0" w:after="0"/>
              <w:jc w:val="center"/>
              <w:rPr>
                <w:b/>
                <w:bCs/>
                <w:sz w:val="16"/>
                <w:szCs w:val="16"/>
              </w:rPr>
            </w:pPr>
            <w:r w:rsidRPr="00F61BC4">
              <w:rPr>
                <w:b/>
                <w:bCs/>
                <w:sz w:val="16"/>
                <w:szCs w:val="16"/>
              </w:rPr>
              <w:t>REFLECTIONS FOR</w:t>
            </w:r>
            <w:r w:rsidR="00182FB1">
              <w:rPr>
                <w:b/>
                <w:bCs/>
                <w:sz w:val="16"/>
                <w:szCs w:val="16"/>
              </w:rPr>
              <w:t xml:space="preserve"> </w:t>
            </w:r>
            <w:r w:rsidR="00A5197F" w:rsidRPr="00F61BC4">
              <w:rPr>
                <w:b/>
                <w:bCs/>
                <w:sz w:val="16"/>
                <w:szCs w:val="16"/>
              </w:rPr>
              <w:t>BUILDING CAPABILITY &amp;</w:t>
            </w:r>
            <w:r w:rsidRPr="00F61BC4">
              <w:rPr>
                <w:b/>
                <w:bCs/>
                <w:sz w:val="16"/>
                <w:szCs w:val="16"/>
              </w:rPr>
              <w:t xml:space="preserve"> IMPROVING PRACTICE</w:t>
            </w:r>
          </w:p>
        </w:tc>
      </w:tr>
      <w:bookmarkEnd w:id="2"/>
      <w:bookmarkEnd w:id="3"/>
      <w:tr w:rsidR="0021744F" w:rsidRPr="00526993" w14:paraId="14AAE351" w14:textId="260FB342" w:rsidTr="00AA5AF1">
        <w:trPr>
          <w:cantSplit/>
          <w:trHeight w:val="1055"/>
        </w:trPr>
        <w:tc>
          <w:tcPr>
            <w:tcW w:w="3402" w:type="dxa"/>
            <w:shd w:val="clear" w:color="auto" w:fill="FFFFFF" w:themeFill="background1"/>
          </w:tcPr>
          <w:p w14:paraId="38AE6210" w14:textId="10178001" w:rsidR="00A6466B" w:rsidRPr="004C31EA" w:rsidRDefault="580BDC9A" w:rsidP="00893279">
            <w:pPr>
              <w:rPr>
                <w:b/>
                <w:bCs/>
              </w:rPr>
            </w:pPr>
            <w:r w:rsidRPr="004C31EA">
              <w:rPr>
                <w:b/>
                <w:bCs/>
              </w:rPr>
              <w:t>Compliance and Legislation – Preventing Discrimination, Harassment and Victimisation</w:t>
            </w:r>
          </w:p>
        </w:tc>
        <w:tc>
          <w:tcPr>
            <w:tcW w:w="4962" w:type="dxa"/>
          </w:tcPr>
          <w:p w14:paraId="14F4CEDD" w14:textId="73889529" w:rsidR="00A6466B" w:rsidRPr="00526993" w:rsidRDefault="0039471F" w:rsidP="00893279">
            <w:pPr>
              <w:pStyle w:val="bullettedlist"/>
            </w:pPr>
            <w:r w:rsidRPr="00526993">
              <w:t xml:space="preserve">Access and Equity policies, procedures and practices to support inclusive </w:t>
            </w:r>
            <w:r w:rsidR="008869A1" w:rsidRPr="00526993">
              <w:t xml:space="preserve">training and assessment </w:t>
            </w:r>
            <w:r w:rsidR="00500FD2" w:rsidRPr="00526993">
              <w:t xml:space="preserve">are available. </w:t>
            </w:r>
          </w:p>
        </w:tc>
        <w:tc>
          <w:tcPr>
            <w:tcW w:w="1134" w:type="dxa"/>
          </w:tcPr>
          <w:p w14:paraId="1C4B9FFF" w14:textId="77777777" w:rsidR="00A6466B" w:rsidRPr="0021744F" w:rsidRDefault="00A6466B" w:rsidP="00893279"/>
        </w:tc>
        <w:tc>
          <w:tcPr>
            <w:tcW w:w="1275" w:type="dxa"/>
          </w:tcPr>
          <w:p w14:paraId="2DC12BBE" w14:textId="77777777" w:rsidR="00A6466B" w:rsidRPr="0021744F" w:rsidRDefault="00A6466B" w:rsidP="00893279"/>
        </w:tc>
        <w:tc>
          <w:tcPr>
            <w:tcW w:w="1276" w:type="dxa"/>
          </w:tcPr>
          <w:p w14:paraId="35B30BE7" w14:textId="77777777" w:rsidR="00A6466B" w:rsidRPr="0021744F" w:rsidRDefault="00A6466B" w:rsidP="00893279"/>
        </w:tc>
        <w:tc>
          <w:tcPr>
            <w:tcW w:w="3260" w:type="dxa"/>
          </w:tcPr>
          <w:p w14:paraId="435CC47B" w14:textId="77777777" w:rsidR="00A6466B" w:rsidRPr="00526993" w:rsidRDefault="00A6466B" w:rsidP="007E579F">
            <w:pPr>
              <w:ind w:right="-100"/>
            </w:pPr>
          </w:p>
        </w:tc>
      </w:tr>
      <w:tr w:rsidR="00526993" w:rsidRPr="00526993" w14:paraId="3DB4637F" w14:textId="77777777" w:rsidTr="00AA5AF1">
        <w:trPr>
          <w:cantSplit/>
          <w:trHeight w:val="560"/>
        </w:trPr>
        <w:tc>
          <w:tcPr>
            <w:tcW w:w="3402" w:type="dxa"/>
            <w:shd w:val="clear" w:color="auto" w:fill="FFFFFF" w:themeFill="background1"/>
          </w:tcPr>
          <w:p w14:paraId="6845446F" w14:textId="36BAB1B6" w:rsidR="0039471F" w:rsidRPr="004C31EA" w:rsidRDefault="3F92CC33" w:rsidP="00893279">
            <w:pPr>
              <w:rPr>
                <w:b/>
                <w:bCs/>
              </w:rPr>
            </w:pPr>
            <w:r w:rsidRPr="004C31EA">
              <w:rPr>
                <w:b/>
                <w:bCs/>
              </w:rPr>
              <w:t>Compliance and Legislation – Preventing Discrimination, Harassment and Victimisation</w:t>
            </w:r>
          </w:p>
        </w:tc>
        <w:tc>
          <w:tcPr>
            <w:tcW w:w="4962" w:type="dxa"/>
          </w:tcPr>
          <w:p w14:paraId="445F3D5A" w14:textId="0DFDC61D" w:rsidR="0039471F" w:rsidRPr="00526993" w:rsidRDefault="7DB8976B" w:rsidP="00893279">
            <w:pPr>
              <w:pStyle w:val="bullettedlist"/>
            </w:pPr>
            <w:r w:rsidRPr="00526993">
              <w:t>I</w:t>
            </w:r>
            <w:r w:rsidR="752E1986" w:rsidRPr="00526993">
              <w:t xml:space="preserve">nduction and orientation </w:t>
            </w:r>
            <w:r w:rsidR="00500FD2" w:rsidRPr="00526993">
              <w:t>are</w:t>
            </w:r>
            <w:r w:rsidRPr="00526993">
              <w:t xml:space="preserve"> provided </w:t>
            </w:r>
            <w:r w:rsidR="752E1986" w:rsidRPr="00526993">
              <w:t>for all staff about access</w:t>
            </w:r>
            <w:r w:rsidR="3D71B6FA" w:rsidRPr="00526993">
              <w:t>, equity</w:t>
            </w:r>
            <w:r w:rsidR="752E1986" w:rsidRPr="00526993">
              <w:t xml:space="preserve"> and inclusion obligations</w:t>
            </w:r>
            <w:r w:rsidR="5A4670EE" w:rsidRPr="00526993">
              <w:t xml:space="preserve">, and </w:t>
            </w:r>
            <w:r w:rsidRPr="00526993">
              <w:t xml:space="preserve">supported by </w:t>
            </w:r>
            <w:r w:rsidR="752E1986" w:rsidRPr="00526993">
              <w:t xml:space="preserve">regular ongoing training about disability awareness, discrimination, the </w:t>
            </w:r>
            <w:r w:rsidR="00500FD2" w:rsidRPr="00526993">
              <w:t>DDA</w:t>
            </w:r>
            <w:r w:rsidR="006E305E" w:rsidRPr="00526993">
              <w:t xml:space="preserve"> </w:t>
            </w:r>
            <w:r w:rsidR="752E1986" w:rsidRPr="00526993">
              <w:t xml:space="preserve">and </w:t>
            </w:r>
            <w:r w:rsidR="2431FA9D" w:rsidRPr="00526993">
              <w:t xml:space="preserve">the </w:t>
            </w:r>
            <w:r w:rsidR="00500FD2" w:rsidRPr="00526993">
              <w:t>DSE</w:t>
            </w:r>
            <w:r w:rsidR="752E1986" w:rsidRPr="00526993">
              <w:t>, and inclusive training and assessment</w:t>
            </w:r>
            <w:r w:rsidR="6A00CE4E" w:rsidRPr="00526993">
              <w:t>.</w:t>
            </w:r>
          </w:p>
        </w:tc>
        <w:tc>
          <w:tcPr>
            <w:tcW w:w="1134" w:type="dxa"/>
          </w:tcPr>
          <w:p w14:paraId="14C1762C" w14:textId="77777777" w:rsidR="0039471F" w:rsidRPr="0021744F" w:rsidRDefault="0039471F" w:rsidP="00893279"/>
        </w:tc>
        <w:tc>
          <w:tcPr>
            <w:tcW w:w="1275" w:type="dxa"/>
          </w:tcPr>
          <w:p w14:paraId="5CDF2C9B" w14:textId="77777777" w:rsidR="0039471F" w:rsidRPr="0021744F" w:rsidRDefault="0039471F" w:rsidP="00893279"/>
        </w:tc>
        <w:tc>
          <w:tcPr>
            <w:tcW w:w="1276" w:type="dxa"/>
          </w:tcPr>
          <w:p w14:paraId="78BF201B" w14:textId="77777777" w:rsidR="0039471F" w:rsidRPr="0021744F" w:rsidRDefault="0039471F" w:rsidP="00893279"/>
        </w:tc>
        <w:tc>
          <w:tcPr>
            <w:tcW w:w="3260" w:type="dxa"/>
          </w:tcPr>
          <w:p w14:paraId="573F97EE" w14:textId="77777777" w:rsidR="0039471F" w:rsidRPr="00526993" w:rsidRDefault="0039471F" w:rsidP="00893279"/>
        </w:tc>
      </w:tr>
      <w:tr w:rsidR="0021744F" w:rsidRPr="00526993" w14:paraId="0A475FB0" w14:textId="77777777" w:rsidTr="00AA5AF1">
        <w:trPr>
          <w:cantSplit/>
          <w:trHeight w:val="560"/>
        </w:trPr>
        <w:tc>
          <w:tcPr>
            <w:tcW w:w="3402" w:type="dxa"/>
            <w:shd w:val="clear" w:color="auto" w:fill="FFFFFF" w:themeFill="background1"/>
          </w:tcPr>
          <w:p w14:paraId="22988907" w14:textId="16C46031" w:rsidR="008869A1" w:rsidRPr="004C31EA" w:rsidRDefault="008869A1" w:rsidP="00893279">
            <w:pPr>
              <w:rPr>
                <w:b/>
                <w:bCs/>
              </w:rPr>
            </w:pPr>
            <w:r w:rsidRPr="004C31EA">
              <w:rPr>
                <w:b/>
                <w:bCs/>
              </w:rPr>
              <w:t>Compliance and Legislation – Preventing Discrimination, Harassment and Victimisation</w:t>
            </w:r>
          </w:p>
        </w:tc>
        <w:tc>
          <w:tcPr>
            <w:tcW w:w="4962" w:type="dxa"/>
          </w:tcPr>
          <w:p w14:paraId="50CDA503" w14:textId="0AA31865" w:rsidR="008869A1" w:rsidRPr="00526993" w:rsidRDefault="00500FD2" w:rsidP="00893279">
            <w:pPr>
              <w:pStyle w:val="bullettedlist"/>
            </w:pPr>
            <w:r w:rsidRPr="00526993">
              <w:t>An A</w:t>
            </w:r>
            <w:r w:rsidR="008869A1" w:rsidRPr="00526993">
              <w:t xml:space="preserve">ction Plan </w:t>
            </w:r>
            <w:r w:rsidRPr="00526993">
              <w:t>(Diversity and Inclusion</w:t>
            </w:r>
            <w:r w:rsidR="000535F4" w:rsidRPr="00526993">
              <w:t>/</w:t>
            </w:r>
            <w:r w:rsidRPr="00526993">
              <w:t xml:space="preserve"> Disability) </w:t>
            </w:r>
            <w:r w:rsidR="00B123F5" w:rsidRPr="00526993">
              <w:t xml:space="preserve">is in place </w:t>
            </w:r>
            <w:r w:rsidR="008869A1" w:rsidRPr="00526993">
              <w:t>which has clear achievable goals and outcomes, including a reporting framework and set timelines.</w:t>
            </w:r>
          </w:p>
        </w:tc>
        <w:tc>
          <w:tcPr>
            <w:tcW w:w="1134" w:type="dxa"/>
          </w:tcPr>
          <w:p w14:paraId="7C404B43" w14:textId="77777777" w:rsidR="008869A1" w:rsidRPr="0021744F" w:rsidRDefault="008869A1" w:rsidP="00893279"/>
        </w:tc>
        <w:tc>
          <w:tcPr>
            <w:tcW w:w="1275" w:type="dxa"/>
          </w:tcPr>
          <w:p w14:paraId="49944E1D" w14:textId="77777777" w:rsidR="008869A1" w:rsidRPr="0021744F" w:rsidRDefault="008869A1" w:rsidP="00893279"/>
        </w:tc>
        <w:tc>
          <w:tcPr>
            <w:tcW w:w="1276" w:type="dxa"/>
          </w:tcPr>
          <w:p w14:paraId="59858347" w14:textId="77777777" w:rsidR="008869A1" w:rsidRPr="0021744F" w:rsidRDefault="008869A1" w:rsidP="00893279"/>
        </w:tc>
        <w:tc>
          <w:tcPr>
            <w:tcW w:w="3260" w:type="dxa"/>
          </w:tcPr>
          <w:p w14:paraId="720A2557" w14:textId="77777777" w:rsidR="008869A1" w:rsidRPr="00526993" w:rsidRDefault="008869A1" w:rsidP="00893279"/>
        </w:tc>
      </w:tr>
      <w:tr w:rsidR="0021744F" w:rsidRPr="00526993" w14:paraId="4C98FA6A" w14:textId="77777777" w:rsidTr="00AA5AF1">
        <w:trPr>
          <w:cantSplit/>
        </w:trPr>
        <w:tc>
          <w:tcPr>
            <w:tcW w:w="3402" w:type="dxa"/>
            <w:shd w:val="clear" w:color="auto" w:fill="FFFFFF" w:themeFill="background1"/>
          </w:tcPr>
          <w:p w14:paraId="32A02D14" w14:textId="5CA7F727" w:rsidR="009C3E24" w:rsidRPr="004C31EA" w:rsidRDefault="009C3E24" w:rsidP="00893279">
            <w:pPr>
              <w:rPr>
                <w:b/>
                <w:bCs/>
              </w:rPr>
            </w:pPr>
            <w:r w:rsidRPr="004C31EA">
              <w:rPr>
                <w:b/>
                <w:bCs/>
              </w:rPr>
              <w:t>Compliance and Legislation – Preventing Discrimination, Harassment and Victimisation</w:t>
            </w:r>
          </w:p>
        </w:tc>
        <w:tc>
          <w:tcPr>
            <w:tcW w:w="4962" w:type="dxa"/>
          </w:tcPr>
          <w:p w14:paraId="45EE35C7" w14:textId="0C1967F8" w:rsidR="009C3E24" w:rsidRPr="00526993" w:rsidRDefault="00B123F5" w:rsidP="00893279">
            <w:pPr>
              <w:pStyle w:val="bullettedlist"/>
              <w:rPr>
                <w:rFonts w:eastAsia="Times New Roman"/>
              </w:rPr>
            </w:pPr>
            <w:r w:rsidRPr="00526993">
              <w:t>P</w:t>
            </w:r>
            <w:r w:rsidR="00C2068B" w:rsidRPr="00526993">
              <w:t>rocurement</w:t>
            </w:r>
            <w:r w:rsidR="009C3E24" w:rsidRPr="00526993">
              <w:t xml:space="preserve"> and engagement policies an</w:t>
            </w:r>
            <w:r w:rsidR="00C2068B" w:rsidRPr="00526993">
              <w:t>d</w:t>
            </w:r>
            <w:r w:rsidR="009C3E24" w:rsidRPr="00526993">
              <w:t xml:space="preserve"> </w:t>
            </w:r>
            <w:r w:rsidR="00C2068B" w:rsidRPr="00526993">
              <w:t>procedures</w:t>
            </w:r>
            <w:r w:rsidR="009C3E24" w:rsidRPr="00526993">
              <w:t xml:space="preserve"> </w:t>
            </w:r>
            <w:r w:rsidRPr="00526993">
              <w:t xml:space="preserve">are in place to </w:t>
            </w:r>
            <w:r w:rsidR="009C3E24" w:rsidRPr="00526993">
              <w:t xml:space="preserve">ensure </w:t>
            </w:r>
            <w:r w:rsidR="004113A5" w:rsidRPr="00526993">
              <w:t>accessibility</w:t>
            </w:r>
            <w:r w:rsidR="000A7CC7" w:rsidRPr="00526993">
              <w:t xml:space="preserve"> </w:t>
            </w:r>
            <w:r w:rsidR="004113A5" w:rsidRPr="00526993">
              <w:t xml:space="preserve">of </w:t>
            </w:r>
            <w:r w:rsidR="007B1D43" w:rsidRPr="00526993">
              <w:t xml:space="preserve">purchased </w:t>
            </w:r>
            <w:r w:rsidR="009C3E24" w:rsidRPr="00526993">
              <w:t>services, supports,</w:t>
            </w:r>
            <w:r w:rsidR="008869A1" w:rsidRPr="00526993">
              <w:t xml:space="preserve"> technologies,</w:t>
            </w:r>
            <w:r w:rsidR="007B1D43" w:rsidRPr="00526993">
              <w:t xml:space="preserve"> tools, </w:t>
            </w:r>
            <w:r w:rsidR="008869A1" w:rsidRPr="00526993">
              <w:t>e</w:t>
            </w:r>
            <w:r w:rsidR="007B1D43" w:rsidRPr="00526993">
              <w:t xml:space="preserve">quipment, materials </w:t>
            </w:r>
            <w:r w:rsidR="00D0685F" w:rsidRPr="00526993">
              <w:t>and</w:t>
            </w:r>
            <w:r w:rsidR="00141390" w:rsidRPr="00526993">
              <w:t xml:space="preserve"> </w:t>
            </w:r>
            <w:r w:rsidR="00D0685F" w:rsidRPr="00526993">
              <w:t>resources</w:t>
            </w:r>
            <w:r w:rsidR="00BE1D64" w:rsidRPr="00526993">
              <w:t>.</w:t>
            </w:r>
          </w:p>
        </w:tc>
        <w:tc>
          <w:tcPr>
            <w:tcW w:w="1134" w:type="dxa"/>
          </w:tcPr>
          <w:p w14:paraId="5E91E124" w14:textId="77777777" w:rsidR="009C3E24" w:rsidRPr="0021744F" w:rsidRDefault="009C3E24" w:rsidP="00893279"/>
        </w:tc>
        <w:tc>
          <w:tcPr>
            <w:tcW w:w="1275" w:type="dxa"/>
          </w:tcPr>
          <w:p w14:paraId="1D7717B8" w14:textId="77777777" w:rsidR="009C3E24" w:rsidRPr="0021744F" w:rsidRDefault="009C3E24" w:rsidP="00893279"/>
        </w:tc>
        <w:tc>
          <w:tcPr>
            <w:tcW w:w="1276" w:type="dxa"/>
          </w:tcPr>
          <w:p w14:paraId="7CD5A80F" w14:textId="77777777" w:rsidR="009C3E24" w:rsidRPr="0021744F" w:rsidRDefault="009C3E24" w:rsidP="00893279"/>
        </w:tc>
        <w:tc>
          <w:tcPr>
            <w:tcW w:w="3260" w:type="dxa"/>
          </w:tcPr>
          <w:p w14:paraId="2B9D4CD3" w14:textId="77777777" w:rsidR="009C3E24" w:rsidRPr="00526993" w:rsidRDefault="009C3E24" w:rsidP="00893279"/>
        </w:tc>
      </w:tr>
      <w:tr w:rsidR="0021744F" w:rsidRPr="00526993" w14:paraId="37A50ED0" w14:textId="77777777" w:rsidTr="00AA5AF1">
        <w:trPr>
          <w:cantSplit/>
        </w:trPr>
        <w:tc>
          <w:tcPr>
            <w:tcW w:w="3402" w:type="dxa"/>
          </w:tcPr>
          <w:p w14:paraId="2D59B217" w14:textId="7215B276" w:rsidR="00C06B30" w:rsidRPr="004C31EA" w:rsidRDefault="00C06B30" w:rsidP="00893279">
            <w:pPr>
              <w:rPr>
                <w:b/>
                <w:bCs/>
              </w:rPr>
            </w:pPr>
            <w:r w:rsidRPr="004C31EA">
              <w:rPr>
                <w:b/>
                <w:bCs/>
              </w:rPr>
              <w:t>Curriculum, Qualification &amp; Accreditation (Course Design &amp; Development)</w:t>
            </w:r>
          </w:p>
        </w:tc>
        <w:tc>
          <w:tcPr>
            <w:tcW w:w="4962" w:type="dxa"/>
          </w:tcPr>
          <w:p w14:paraId="6511F67E" w14:textId="49FFA068" w:rsidR="00C06B30" w:rsidRPr="00526993" w:rsidRDefault="00141390" w:rsidP="00893279">
            <w:pPr>
              <w:pStyle w:val="bullettedlist"/>
            </w:pPr>
            <w:r w:rsidRPr="00526993">
              <w:t>S</w:t>
            </w:r>
            <w:r w:rsidR="00B123F5" w:rsidRPr="00526993">
              <w:t xml:space="preserve">taff are supported to </w:t>
            </w:r>
            <w:r w:rsidR="00C06B30" w:rsidRPr="00526993">
              <w:t>participat</w:t>
            </w:r>
            <w:r w:rsidR="00B123F5" w:rsidRPr="00526993">
              <w:t>e</w:t>
            </w:r>
            <w:r w:rsidR="00C06B30" w:rsidRPr="00526993">
              <w:t xml:space="preserve"> in discussion</w:t>
            </w:r>
            <w:r w:rsidR="00EC5F04" w:rsidRPr="00526993">
              <w:t>s</w:t>
            </w:r>
            <w:r w:rsidR="00C06B30" w:rsidRPr="00526993">
              <w:t xml:space="preserve"> </w:t>
            </w:r>
            <w:r w:rsidR="008869A1" w:rsidRPr="00526993">
              <w:t xml:space="preserve">and consultations </w:t>
            </w:r>
            <w:r w:rsidR="00C06B30" w:rsidRPr="00526993">
              <w:t xml:space="preserve">about </w:t>
            </w:r>
            <w:r w:rsidR="00EC5F04" w:rsidRPr="00526993">
              <w:t xml:space="preserve">curriculum </w:t>
            </w:r>
            <w:r w:rsidR="00C06B30" w:rsidRPr="00526993">
              <w:t>development</w:t>
            </w:r>
            <w:r w:rsidR="00B123F5" w:rsidRPr="00526993">
              <w:t xml:space="preserve"> and</w:t>
            </w:r>
            <w:r w:rsidR="00C06B30" w:rsidRPr="00526993">
              <w:t xml:space="preserve"> to</w:t>
            </w:r>
            <w:r w:rsidR="00EC5F04" w:rsidRPr="00526993">
              <w:t xml:space="preserve"> </w:t>
            </w:r>
            <w:r w:rsidR="00BC193F" w:rsidRPr="00526993">
              <w:t xml:space="preserve">communicate </w:t>
            </w:r>
            <w:r w:rsidR="00C06B30" w:rsidRPr="00526993">
              <w:t>experiences</w:t>
            </w:r>
            <w:r w:rsidR="00D57B48" w:rsidRPr="00526993">
              <w:t xml:space="preserve"> of students with disability</w:t>
            </w:r>
            <w:r w:rsidR="00C06B30" w:rsidRPr="00526993">
              <w:t xml:space="preserve"> where the training packages,</w:t>
            </w:r>
            <w:r w:rsidR="00EC5F04" w:rsidRPr="00526993">
              <w:t xml:space="preserve"> qualifications, skill sets, units of competency,</w:t>
            </w:r>
            <w:r w:rsidR="00C06B30" w:rsidRPr="00526993">
              <w:t xml:space="preserve"> </w:t>
            </w:r>
            <w:r w:rsidR="00D57B48" w:rsidRPr="00526993">
              <w:t xml:space="preserve">VET </w:t>
            </w:r>
            <w:r w:rsidR="00C06B30" w:rsidRPr="00526993">
              <w:t xml:space="preserve">accredited courses, </w:t>
            </w:r>
            <w:r w:rsidR="00EC5F04" w:rsidRPr="00526993">
              <w:t>and micro</w:t>
            </w:r>
            <w:r w:rsidR="0021744F">
              <w:t>-</w:t>
            </w:r>
            <w:r w:rsidR="00EC5F04" w:rsidRPr="00526993">
              <w:t>credentials</w:t>
            </w:r>
            <w:r w:rsidR="00C06B30" w:rsidRPr="00526993">
              <w:t xml:space="preserve"> are not inclusive. </w:t>
            </w:r>
          </w:p>
        </w:tc>
        <w:tc>
          <w:tcPr>
            <w:tcW w:w="1134" w:type="dxa"/>
          </w:tcPr>
          <w:p w14:paraId="7D2A2D51" w14:textId="77777777" w:rsidR="00C06B30" w:rsidRPr="0021744F" w:rsidRDefault="00C06B30" w:rsidP="00893279"/>
        </w:tc>
        <w:tc>
          <w:tcPr>
            <w:tcW w:w="1275" w:type="dxa"/>
          </w:tcPr>
          <w:p w14:paraId="56196BB1" w14:textId="77777777" w:rsidR="00C06B30" w:rsidRPr="0021744F" w:rsidRDefault="00C06B30" w:rsidP="00893279"/>
        </w:tc>
        <w:tc>
          <w:tcPr>
            <w:tcW w:w="1276" w:type="dxa"/>
          </w:tcPr>
          <w:p w14:paraId="28455B77" w14:textId="77777777" w:rsidR="00C06B30" w:rsidRPr="0021744F" w:rsidRDefault="00C06B30" w:rsidP="00893279"/>
        </w:tc>
        <w:tc>
          <w:tcPr>
            <w:tcW w:w="3260" w:type="dxa"/>
          </w:tcPr>
          <w:p w14:paraId="07D2A8DE" w14:textId="77777777" w:rsidR="00C06B30" w:rsidRPr="00526993" w:rsidRDefault="00C06B30" w:rsidP="00893279"/>
        </w:tc>
      </w:tr>
      <w:tr w:rsidR="0021744F" w:rsidRPr="00526993" w14:paraId="057C942A" w14:textId="77777777" w:rsidTr="00AA5AF1">
        <w:trPr>
          <w:cantSplit/>
        </w:trPr>
        <w:tc>
          <w:tcPr>
            <w:tcW w:w="3402" w:type="dxa"/>
          </w:tcPr>
          <w:p w14:paraId="3A771934" w14:textId="19B9B458" w:rsidR="00C06B30" w:rsidRPr="004C31EA" w:rsidRDefault="00C06B30" w:rsidP="00893279">
            <w:pPr>
              <w:rPr>
                <w:b/>
                <w:bCs/>
              </w:rPr>
            </w:pPr>
            <w:r w:rsidRPr="004C31EA">
              <w:rPr>
                <w:b/>
                <w:bCs/>
              </w:rPr>
              <w:lastRenderedPageBreak/>
              <w:t>Curriculum, Qualification &amp; Accreditation (Course Design &amp; Development)</w:t>
            </w:r>
          </w:p>
        </w:tc>
        <w:tc>
          <w:tcPr>
            <w:tcW w:w="4962" w:type="dxa"/>
          </w:tcPr>
          <w:p w14:paraId="060EA8CD" w14:textId="5BA5F238" w:rsidR="00C06B30" w:rsidRPr="00526993" w:rsidRDefault="68053807" w:rsidP="00893279">
            <w:pPr>
              <w:pStyle w:val="bullettedlist"/>
            </w:pPr>
            <w:r w:rsidRPr="00526993">
              <w:t>A</w:t>
            </w:r>
            <w:r w:rsidR="00AC4705" w:rsidRPr="00526993">
              <w:t xml:space="preserve"> systematic approach </w:t>
            </w:r>
            <w:r w:rsidR="1F33E7CE" w:rsidRPr="00526993">
              <w:t xml:space="preserve">is in place </w:t>
            </w:r>
            <w:r w:rsidR="00AC4705" w:rsidRPr="00526993">
              <w:t>for i</w:t>
            </w:r>
            <w:r w:rsidR="7715D14D" w:rsidRPr="00526993">
              <w:t>dentify</w:t>
            </w:r>
            <w:r w:rsidR="00AC4705" w:rsidRPr="00526993">
              <w:t xml:space="preserve">ing </w:t>
            </w:r>
            <w:r w:rsidR="41429C71" w:rsidRPr="00526993">
              <w:t>a</w:t>
            </w:r>
            <w:r w:rsidR="02102D5E" w:rsidRPr="00526993">
              <w:t>nd</w:t>
            </w:r>
            <w:r w:rsidR="00AC4705" w:rsidRPr="00526993">
              <w:t xml:space="preserve"> recording </w:t>
            </w:r>
            <w:r w:rsidR="7715D14D" w:rsidRPr="00526993">
              <w:t xml:space="preserve">implementation issues </w:t>
            </w:r>
            <w:r w:rsidR="00AC4705" w:rsidRPr="00526993">
              <w:t>that affect students with disability</w:t>
            </w:r>
            <w:r w:rsidR="4888E292" w:rsidRPr="00526993">
              <w:t>, and</w:t>
            </w:r>
            <w:r w:rsidR="1F33E7CE" w:rsidRPr="00526993">
              <w:t xml:space="preserve"> this </w:t>
            </w:r>
            <w:r w:rsidR="7715D14D" w:rsidRPr="00526993">
              <w:t xml:space="preserve">feedback </w:t>
            </w:r>
            <w:r w:rsidR="1F33E7CE" w:rsidRPr="00526993">
              <w:t xml:space="preserve">is provided </w:t>
            </w:r>
            <w:r w:rsidR="7715D14D" w:rsidRPr="00526993">
              <w:t xml:space="preserve">to the relevant bodies e.g. Industry Reference Committees or </w:t>
            </w:r>
            <w:r w:rsidR="6097143F" w:rsidRPr="00526993">
              <w:rPr>
                <w:rFonts w:eastAsia="Times New Roman"/>
                <w:color w:val="1B1B1B"/>
              </w:rPr>
              <w:t>State/Territory Training Authority (STA)</w:t>
            </w:r>
            <w:r w:rsidR="2B0E938D" w:rsidRPr="00526993">
              <w:rPr>
                <w:rFonts w:eastAsia="Times New Roman"/>
                <w:color w:val="1B1B1B"/>
              </w:rPr>
              <w:t>.</w:t>
            </w:r>
          </w:p>
        </w:tc>
        <w:tc>
          <w:tcPr>
            <w:tcW w:w="1134" w:type="dxa"/>
          </w:tcPr>
          <w:p w14:paraId="7B6E69D4" w14:textId="77777777" w:rsidR="00C06B30" w:rsidRPr="0021744F" w:rsidRDefault="00C06B30" w:rsidP="00893279"/>
        </w:tc>
        <w:tc>
          <w:tcPr>
            <w:tcW w:w="1275" w:type="dxa"/>
          </w:tcPr>
          <w:p w14:paraId="55DEF468" w14:textId="77777777" w:rsidR="00C06B30" w:rsidRPr="0021744F" w:rsidRDefault="00C06B30" w:rsidP="00893279"/>
        </w:tc>
        <w:tc>
          <w:tcPr>
            <w:tcW w:w="1276" w:type="dxa"/>
          </w:tcPr>
          <w:p w14:paraId="65532680" w14:textId="77777777" w:rsidR="00C06B30" w:rsidRPr="0021744F" w:rsidRDefault="00C06B30" w:rsidP="00893279"/>
        </w:tc>
        <w:tc>
          <w:tcPr>
            <w:tcW w:w="3260" w:type="dxa"/>
          </w:tcPr>
          <w:p w14:paraId="41F8EBD8" w14:textId="77777777" w:rsidR="00C06B30" w:rsidRPr="00526993" w:rsidRDefault="00C06B30" w:rsidP="00893279"/>
        </w:tc>
      </w:tr>
      <w:tr w:rsidR="0021744F" w:rsidRPr="00526993" w14:paraId="3C2232E9" w14:textId="77777777" w:rsidTr="00AA5AF1">
        <w:trPr>
          <w:cantSplit/>
        </w:trPr>
        <w:tc>
          <w:tcPr>
            <w:tcW w:w="3402" w:type="dxa"/>
          </w:tcPr>
          <w:p w14:paraId="68A8CC92" w14:textId="360C27DA" w:rsidR="00EC39AE" w:rsidRPr="004C31EA" w:rsidRDefault="005177CE" w:rsidP="00893279">
            <w:pPr>
              <w:rPr>
                <w:b/>
                <w:bCs/>
                <w:color w:val="2F5496" w:themeColor="accent1" w:themeShade="BF"/>
              </w:rPr>
            </w:pPr>
            <w:r w:rsidRPr="004C31EA">
              <w:rPr>
                <w:b/>
                <w:bCs/>
              </w:rPr>
              <w:t>System for Quality, Self</w:t>
            </w:r>
            <w:r w:rsidR="00C06B30" w:rsidRPr="004C31EA">
              <w:rPr>
                <w:b/>
                <w:bCs/>
              </w:rPr>
              <w:t>-</w:t>
            </w:r>
            <w:r w:rsidRPr="004C31EA">
              <w:rPr>
                <w:b/>
                <w:bCs/>
              </w:rPr>
              <w:t>Assurance and Continuous Improvement</w:t>
            </w:r>
          </w:p>
        </w:tc>
        <w:tc>
          <w:tcPr>
            <w:tcW w:w="4962" w:type="dxa"/>
          </w:tcPr>
          <w:p w14:paraId="2EBCFB86" w14:textId="7BAC9054" w:rsidR="00EC39AE" w:rsidRPr="00526993" w:rsidRDefault="002252C5" w:rsidP="00893279">
            <w:pPr>
              <w:pStyle w:val="bullettedlist"/>
              <w:rPr>
                <w:rFonts w:eastAsia="Times New Roman"/>
              </w:rPr>
            </w:pPr>
            <w:r w:rsidRPr="00526993">
              <w:t>A</w:t>
            </w:r>
            <w:r w:rsidR="00AC4705" w:rsidRPr="00526993">
              <w:t xml:space="preserve"> system</w:t>
            </w:r>
            <w:r w:rsidRPr="00526993">
              <w:t xml:space="preserve"> is in place for </w:t>
            </w:r>
            <w:r w:rsidR="00AC4705" w:rsidRPr="00526993">
              <w:t>gathering</w:t>
            </w:r>
            <w:r w:rsidR="00D57B48" w:rsidRPr="00526993">
              <w:t xml:space="preserve">, evaluating, reporting and actioning feedback </w:t>
            </w:r>
            <w:r w:rsidR="003567C5" w:rsidRPr="00526993">
              <w:t>about the accessibility, usability and inclusiveness</w:t>
            </w:r>
            <w:r w:rsidR="00AC4705" w:rsidRPr="00526993">
              <w:t xml:space="preserve"> </w:t>
            </w:r>
            <w:r w:rsidR="004D42E5">
              <w:t>of</w:t>
            </w:r>
            <w:r w:rsidR="00AC4705" w:rsidRPr="00526993">
              <w:t xml:space="preserve"> all </w:t>
            </w:r>
            <w:r w:rsidR="0069715F" w:rsidRPr="00526993">
              <w:t>activities, services and facilities</w:t>
            </w:r>
            <w:r w:rsidR="00340281" w:rsidRPr="00526993">
              <w:t xml:space="preserve">. </w:t>
            </w:r>
          </w:p>
        </w:tc>
        <w:tc>
          <w:tcPr>
            <w:tcW w:w="1134" w:type="dxa"/>
          </w:tcPr>
          <w:p w14:paraId="2309FF2D" w14:textId="77777777" w:rsidR="00EC39AE" w:rsidRPr="0021744F" w:rsidRDefault="00EC39AE" w:rsidP="00893279"/>
        </w:tc>
        <w:tc>
          <w:tcPr>
            <w:tcW w:w="1275" w:type="dxa"/>
          </w:tcPr>
          <w:p w14:paraId="518F1D5D" w14:textId="77777777" w:rsidR="00EC39AE" w:rsidRPr="0021744F" w:rsidRDefault="00EC39AE" w:rsidP="00893279"/>
        </w:tc>
        <w:tc>
          <w:tcPr>
            <w:tcW w:w="1276" w:type="dxa"/>
          </w:tcPr>
          <w:p w14:paraId="7A666594" w14:textId="77777777" w:rsidR="00EC39AE" w:rsidRPr="0021744F" w:rsidRDefault="00EC39AE" w:rsidP="00893279"/>
        </w:tc>
        <w:tc>
          <w:tcPr>
            <w:tcW w:w="3260" w:type="dxa"/>
          </w:tcPr>
          <w:p w14:paraId="4553D514" w14:textId="77777777" w:rsidR="00EC39AE" w:rsidRPr="0021744F" w:rsidRDefault="00EC39AE" w:rsidP="00893279"/>
        </w:tc>
      </w:tr>
      <w:tr w:rsidR="0021744F" w:rsidRPr="00526993" w14:paraId="2306A3C7" w14:textId="77777777" w:rsidTr="00AA5AF1">
        <w:trPr>
          <w:cantSplit/>
        </w:trPr>
        <w:tc>
          <w:tcPr>
            <w:tcW w:w="3402" w:type="dxa"/>
          </w:tcPr>
          <w:p w14:paraId="10C7FF14" w14:textId="00C531DA" w:rsidR="00C06B30" w:rsidRPr="004C31EA" w:rsidRDefault="00C06B30" w:rsidP="00893279">
            <w:pPr>
              <w:rPr>
                <w:rFonts w:eastAsia="Times New Roman"/>
                <w:b/>
                <w:bCs/>
              </w:rPr>
            </w:pPr>
            <w:bookmarkStart w:id="4" w:name="_Hlk102838836"/>
            <w:r w:rsidRPr="004C31EA">
              <w:rPr>
                <w:b/>
                <w:bCs/>
              </w:rPr>
              <w:t>System for Quality, Self-Assurance and Continuous Improvement</w:t>
            </w:r>
          </w:p>
        </w:tc>
        <w:tc>
          <w:tcPr>
            <w:tcW w:w="4962" w:type="dxa"/>
          </w:tcPr>
          <w:p w14:paraId="6391543E" w14:textId="48A3BA12" w:rsidR="00C06B30" w:rsidRPr="00526993" w:rsidRDefault="002252C5" w:rsidP="00893279">
            <w:pPr>
              <w:pStyle w:val="bullettedlist"/>
            </w:pPr>
            <w:r w:rsidRPr="00526993">
              <w:t>C</w:t>
            </w:r>
            <w:r w:rsidR="0039471F" w:rsidRPr="00526993">
              <w:t xml:space="preserve">onsultations </w:t>
            </w:r>
            <w:r w:rsidRPr="00526993">
              <w:t xml:space="preserve">are facilitated </w:t>
            </w:r>
            <w:r w:rsidR="004851E2" w:rsidRPr="00526993">
              <w:t xml:space="preserve">with </w:t>
            </w:r>
            <w:r w:rsidR="0039471F" w:rsidRPr="00526993">
              <w:t xml:space="preserve">students with disability and industry partners </w:t>
            </w:r>
            <w:r w:rsidR="00C06B30" w:rsidRPr="00526993">
              <w:t>about</w:t>
            </w:r>
            <w:r w:rsidR="00BE1D64" w:rsidRPr="00526993">
              <w:t xml:space="preserve"> the appropriateness and effectiveness of </w:t>
            </w:r>
            <w:r w:rsidR="004851E2" w:rsidRPr="00526993">
              <w:t xml:space="preserve">proposed or implemented </w:t>
            </w:r>
            <w:r w:rsidR="00C06B30" w:rsidRPr="00526993">
              <w:t xml:space="preserve">access and equity </w:t>
            </w:r>
            <w:r w:rsidR="00BE1D64" w:rsidRPr="00526993">
              <w:t>s</w:t>
            </w:r>
            <w:r w:rsidR="00C06B30" w:rsidRPr="00526993">
              <w:t>trategies</w:t>
            </w:r>
            <w:r w:rsidR="00BE1D64" w:rsidRPr="00526993">
              <w:t xml:space="preserve">. </w:t>
            </w:r>
          </w:p>
        </w:tc>
        <w:tc>
          <w:tcPr>
            <w:tcW w:w="1134" w:type="dxa"/>
          </w:tcPr>
          <w:p w14:paraId="5959AE48" w14:textId="77777777" w:rsidR="00C06B30" w:rsidRPr="0021744F" w:rsidRDefault="00C06B30" w:rsidP="00893279"/>
        </w:tc>
        <w:tc>
          <w:tcPr>
            <w:tcW w:w="1275" w:type="dxa"/>
          </w:tcPr>
          <w:p w14:paraId="607FDF3D" w14:textId="77777777" w:rsidR="00C06B30" w:rsidRPr="0021744F" w:rsidRDefault="00C06B30" w:rsidP="00893279"/>
        </w:tc>
        <w:tc>
          <w:tcPr>
            <w:tcW w:w="1276" w:type="dxa"/>
          </w:tcPr>
          <w:p w14:paraId="24A41442" w14:textId="77777777" w:rsidR="00C06B30" w:rsidRPr="0021744F" w:rsidRDefault="00C06B30" w:rsidP="00893279"/>
        </w:tc>
        <w:tc>
          <w:tcPr>
            <w:tcW w:w="3260" w:type="dxa"/>
          </w:tcPr>
          <w:p w14:paraId="45A9ED6F" w14:textId="77777777" w:rsidR="00C06B30" w:rsidRPr="00526993" w:rsidRDefault="00C06B30" w:rsidP="00893279"/>
        </w:tc>
      </w:tr>
      <w:tr w:rsidR="0021744F" w:rsidRPr="00526993" w14:paraId="310642A0" w14:textId="77777777" w:rsidTr="00AA5AF1">
        <w:trPr>
          <w:cantSplit/>
        </w:trPr>
        <w:tc>
          <w:tcPr>
            <w:tcW w:w="3402" w:type="dxa"/>
          </w:tcPr>
          <w:p w14:paraId="03670E6B" w14:textId="755CB9BE" w:rsidR="00C06B30" w:rsidRPr="004C31EA" w:rsidRDefault="00C06B30" w:rsidP="00893279">
            <w:pPr>
              <w:rPr>
                <w:rFonts w:eastAsia="Times New Roman"/>
                <w:b/>
                <w:bCs/>
              </w:rPr>
            </w:pPr>
            <w:r w:rsidRPr="004C31EA">
              <w:rPr>
                <w:b/>
                <w:bCs/>
              </w:rPr>
              <w:t>System for Quality, Self-Assurance and Continuous Improvement</w:t>
            </w:r>
          </w:p>
        </w:tc>
        <w:tc>
          <w:tcPr>
            <w:tcW w:w="4962" w:type="dxa"/>
          </w:tcPr>
          <w:p w14:paraId="23A0DAE4" w14:textId="24EDA82A" w:rsidR="00C06B30" w:rsidRPr="00526993" w:rsidRDefault="00DD38C6" w:rsidP="00893279">
            <w:pPr>
              <w:pStyle w:val="bullettedlist"/>
            </w:pPr>
            <w:r w:rsidRPr="00526993">
              <w:t xml:space="preserve">Where the RTO has </w:t>
            </w:r>
            <w:r w:rsidR="0039471F" w:rsidRPr="00526993">
              <w:t>initiatives or a</w:t>
            </w:r>
            <w:r w:rsidRPr="00526993">
              <w:t xml:space="preserve">ction </w:t>
            </w:r>
            <w:r w:rsidR="0039471F" w:rsidRPr="00526993">
              <w:t>p</w:t>
            </w:r>
            <w:r w:rsidRPr="00526993">
              <w:t>lan</w:t>
            </w:r>
            <w:r w:rsidR="0039471F" w:rsidRPr="00526993">
              <w:t>s</w:t>
            </w:r>
            <w:r w:rsidRPr="00526993">
              <w:t xml:space="preserve"> </w:t>
            </w:r>
            <w:r w:rsidR="00BE1D64" w:rsidRPr="00526993">
              <w:t xml:space="preserve">about </w:t>
            </w:r>
            <w:r w:rsidRPr="00526993">
              <w:t>diversity, access and inclusion</w:t>
            </w:r>
            <w:r w:rsidR="00AF15E5" w:rsidRPr="00526993">
              <w:t>,</w:t>
            </w:r>
            <w:r w:rsidRPr="00526993">
              <w:t xml:space="preserve"> the</w:t>
            </w:r>
            <w:r w:rsidR="00D57B48" w:rsidRPr="00526993">
              <w:t xml:space="preserve"> goa</w:t>
            </w:r>
            <w:r w:rsidR="00C06B30" w:rsidRPr="00526993">
              <w:t>ls</w:t>
            </w:r>
            <w:r w:rsidRPr="00526993">
              <w:t xml:space="preserve"> and </w:t>
            </w:r>
            <w:r w:rsidR="00C06B30" w:rsidRPr="00526993">
              <w:t>key performance indicator</w:t>
            </w:r>
            <w:r w:rsidRPr="00526993">
              <w:t xml:space="preserve">s </w:t>
            </w:r>
            <w:r w:rsidR="00D57B48" w:rsidRPr="00526993">
              <w:t xml:space="preserve">are actioned and </w:t>
            </w:r>
            <w:r w:rsidR="00BC193F" w:rsidRPr="00526993">
              <w:t xml:space="preserve">reported </w:t>
            </w:r>
            <w:r w:rsidR="0069715F" w:rsidRPr="00526993">
              <w:t>with</w:t>
            </w:r>
            <w:r w:rsidR="00D57B48" w:rsidRPr="00526993">
              <w:t xml:space="preserve">in </w:t>
            </w:r>
            <w:r w:rsidR="00C06B30" w:rsidRPr="00526993">
              <w:t xml:space="preserve">timelines. </w:t>
            </w:r>
          </w:p>
        </w:tc>
        <w:tc>
          <w:tcPr>
            <w:tcW w:w="1134" w:type="dxa"/>
          </w:tcPr>
          <w:p w14:paraId="6CFA2342" w14:textId="77777777" w:rsidR="00C06B30" w:rsidRPr="0021744F" w:rsidRDefault="00C06B30" w:rsidP="00893279"/>
        </w:tc>
        <w:tc>
          <w:tcPr>
            <w:tcW w:w="1275" w:type="dxa"/>
          </w:tcPr>
          <w:p w14:paraId="5327914A" w14:textId="77777777" w:rsidR="00C06B30" w:rsidRPr="0021744F" w:rsidRDefault="00C06B30" w:rsidP="00893279"/>
        </w:tc>
        <w:tc>
          <w:tcPr>
            <w:tcW w:w="1276" w:type="dxa"/>
          </w:tcPr>
          <w:p w14:paraId="2FFD9688" w14:textId="77777777" w:rsidR="00C06B30" w:rsidRPr="0021744F" w:rsidRDefault="00C06B30" w:rsidP="00893279"/>
        </w:tc>
        <w:tc>
          <w:tcPr>
            <w:tcW w:w="3260" w:type="dxa"/>
          </w:tcPr>
          <w:p w14:paraId="2E84A04C" w14:textId="77777777" w:rsidR="00C06B30" w:rsidRPr="00526993" w:rsidRDefault="00C06B30" w:rsidP="00893279"/>
        </w:tc>
      </w:tr>
      <w:bookmarkEnd w:id="4"/>
      <w:tr w:rsidR="00526993" w:rsidRPr="00526993" w14:paraId="67A96107" w14:textId="77777777" w:rsidTr="00AA5AF1">
        <w:trPr>
          <w:cantSplit/>
        </w:trPr>
        <w:tc>
          <w:tcPr>
            <w:tcW w:w="3402" w:type="dxa"/>
          </w:tcPr>
          <w:p w14:paraId="2F1E01D2" w14:textId="19FDB380" w:rsidR="003567C5" w:rsidRPr="004C31EA" w:rsidRDefault="003567C5" w:rsidP="00893279">
            <w:pPr>
              <w:rPr>
                <w:b/>
                <w:bCs/>
              </w:rPr>
            </w:pPr>
            <w:r w:rsidRPr="004C31EA">
              <w:rPr>
                <w:b/>
                <w:bCs/>
              </w:rPr>
              <w:t>Transition</w:t>
            </w:r>
            <w:r w:rsidR="00E35E03" w:rsidRPr="004C31EA">
              <w:rPr>
                <w:b/>
                <w:bCs/>
              </w:rPr>
              <w:t xml:space="preserve"> from School</w:t>
            </w:r>
          </w:p>
        </w:tc>
        <w:tc>
          <w:tcPr>
            <w:tcW w:w="4962" w:type="dxa"/>
          </w:tcPr>
          <w:p w14:paraId="2D38B127" w14:textId="4573E952" w:rsidR="003567C5" w:rsidRPr="00526993" w:rsidRDefault="00AF15E5" w:rsidP="00893279">
            <w:pPr>
              <w:pStyle w:val="bullettedlist"/>
            </w:pPr>
            <w:r w:rsidRPr="00526993">
              <w:t>S</w:t>
            </w:r>
            <w:r w:rsidR="00D57B48" w:rsidRPr="00526993">
              <w:t>trategies</w:t>
            </w:r>
            <w:r w:rsidRPr="00526993">
              <w:t xml:space="preserve"> are in place</w:t>
            </w:r>
            <w:r w:rsidR="00D57B48" w:rsidRPr="00526993">
              <w:t xml:space="preserve"> to participate in careers events to provide relevant </w:t>
            </w:r>
            <w:r w:rsidR="00C71D74">
              <w:t xml:space="preserve">and accessible </w:t>
            </w:r>
            <w:r w:rsidR="00D57B48" w:rsidRPr="00526993">
              <w:t>information to assist in transition plannin</w:t>
            </w:r>
            <w:r w:rsidR="00E35E03" w:rsidRPr="00526993">
              <w:t>g</w:t>
            </w:r>
            <w:r w:rsidR="002252C5" w:rsidRPr="00526993">
              <w:t xml:space="preserve"> for </w:t>
            </w:r>
            <w:r w:rsidR="003567C5" w:rsidRPr="00526993">
              <w:t>students</w:t>
            </w:r>
            <w:r w:rsidR="008869A1" w:rsidRPr="00526993">
              <w:t xml:space="preserve"> with disability</w:t>
            </w:r>
            <w:r w:rsidR="003567C5" w:rsidRPr="00526993">
              <w:t xml:space="preserve">, their associates, </w:t>
            </w:r>
            <w:r w:rsidR="0069715F" w:rsidRPr="00526993">
              <w:t xml:space="preserve">and </w:t>
            </w:r>
            <w:r w:rsidR="003567C5" w:rsidRPr="00526993">
              <w:t>schools</w:t>
            </w:r>
            <w:r w:rsidR="002252C5" w:rsidRPr="00526993">
              <w:t>.</w:t>
            </w:r>
          </w:p>
        </w:tc>
        <w:tc>
          <w:tcPr>
            <w:tcW w:w="1134" w:type="dxa"/>
          </w:tcPr>
          <w:p w14:paraId="72F0F32A" w14:textId="77777777" w:rsidR="003567C5" w:rsidRPr="0021744F" w:rsidRDefault="003567C5" w:rsidP="00893279"/>
        </w:tc>
        <w:tc>
          <w:tcPr>
            <w:tcW w:w="1275" w:type="dxa"/>
          </w:tcPr>
          <w:p w14:paraId="20AD95D6" w14:textId="77777777" w:rsidR="003567C5" w:rsidRPr="00526993" w:rsidRDefault="003567C5" w:rsidP="00893279"/>
        </w:tc>
        <w:tc>
          <w:tcPr>
            <w:tcW w:w="1276" w:type="dxa"/>
          </w:tcPr>
          <w:p w14:paraId="3E59E4B8" w14:textId="77777777" w:rsidR="003567C5" w:rsidRPr="00526993" w:rsidRDefault="003567C5" w:rsidP="00893279"/>
        </w:tc>
        <w:tc>
          <w:tcPr>
            <w:tcW w:w="3260" w:type="dxa"/>
          </w:tcPr>
          <w:p w14:paraId="19A8469B" w14:textId="77777777" w:rsidR="003567C5" w:rsidRPr="00526993" w:rsidRDefault="003567C5" w:rsidP="00893279"/>
        </w:tc>
      </w:tr>
      <w:tr w:rsidR="00526993" w:rsidRPr="00526993" w14:paraId="1CDE4CA7" w14:textId="77777777" w:rsidTr="00AA5AF1">
        <w:trPr>
          <w:cantSplit/>
        </w:trPr>
        <w:tc>
          <w:tcPr>
            <w:tcW w:w="3402" w:type="dxa"/>
          </w:tcPr>
          <w:p w14:paraId="3D99CF6A" w14:textId="62D01958" w:rsidR="008869A1" w:rsidRPr="004C31EA" w:rsidRDefault="008869A1" w:rsidP="00893279">
            <w:pPr>
              <w:rPr>
                <w:b/>
                <w:bCs/>
              </w:rPr>
            </w:pPr>
            <w:r w:rsidRPr="004C31EA">
              <w:rPr>
                <w:b/>
                <w:bCs/>
              </w:rPr>
              <w:lastRenderedPageBreak/>
              <w:t>Transition from School</w:t>
            </w:r>
          </w:p>
        </w:tc>
        <w:tc>
          <w:tcPr>
            <w:tcW w:w="4962" w:type="dxa"/>
          </w:tcPr>
          <w:p w14:paraId="50B6E322" w14:textId="40C558C7" w:rsidR="008869A1" w:rsidRPr="00526993" w:rsidRDefault="002252C5" w:rsidP="00893279">
            <w:pPr>
              <w:pStyle w:val="bullettedlist"/>
            </w:pPr>
            <w:r w:rsidRPr="00526993">
              <w:t>P</w:t>
            </w:r>
            <w:r w:rsidR="008869A1" w:rsidRPr="00526993">
              <w:t>rospective students with disability, and their associates</w:t>
            </w:r>
            <w:r w:rsidR="00BE1D64" w:rsidRPr="00526993">
              <w:t xml:space="preserve"> </w:t>
            </w:r>
            <w:r w:rsidRPr="00526993">
              <w:t xml:space="preserve">are informed </w:t>
            </w:r>
            <w:r w:rsidR="00BE1D64" w:rsidRPr="00526993">
              <w:t xml:space="preserve">about the similarities and differences between school and VET to help manage their expectations and encourage them </w:t>
            </w:r>
            <w:r w:rsidR="008869A1" w:rsidRPr="00526993">
              <w:t xml:space="preserve">to </w:t>
            </w:r>
            <w:r w:rsidR="00BE1D64" w:rsidRPr="00526993">
              <w:t>plan and prepare early</w:t>
            </w:r>
            <w:r w:rsidR="008869A1" w:rsidRPr="00526993">
              <w:t xml:space="preserve"> as a means for a successful transition</w:t>
            </w:r>
            <w:r w:rsidRPr="00526993">
              <w:t>.</w:t>
            </w:r>
          </w:p>
        </w:tc>
        <w:tc>
          <w:tcPr>
            <w:tcW w:w="1134" w:type="dxa"/>
          </w:tcPr>
          <w:p w14:paraId="13347016" w14:textId="77777777" w:rsidR="008869A1" w:rsidRPr="0021744F" w:rsidRDefault="008869A1" w:rsidP="00893279"/>
        </w:tc>
        <w:tc>
          <w:tcPr>
            <w:tcW w:w="1275" w:type="dxa"/>
          </w:tcPr>
          <w:p w14:paraId="5DBCC293" w14:textId="77777777" w:rsidR="008869A1" w:rsidRPr="00526993" w:rsidRDefault="008869A1" w:rsidP="00893279"/>
        </w:tc>
        <w:tc>
          <w:tcPr>
            <w:tcW w:w="1276" w:type="dxa"/>
          </w:tcPr>
          <w:p w14:paraId="2D815F4A" w14:textId="77777777" w:rsidR="008869A1" w:rsidRPr="00526993" w:rsidRDefault="008869A1" w:rsidP="00893279"/>
        </w:tc>
        <w:tc>
          <w:tcPr>
            <w:tcW w:w="3260" w:type="dxa"/>
          </w:tcPr>
          <w:p w14:paraId="57316436" w14:textId="77777777" w:rsidR="008869A1" w:rsidRPr="00526993" w:rsidRDefault="008869A1" w:rsidP="00893279"/>
        </w:tc>
      </w:tr>
      <w:tr w:rsidR="00526993" w:rsidRPr="00526993" w14:paraId="1E23B6D3" w14:textId="77777777" w:rsidTr="00AA5AF1">
        <w:trPr>
          <w:cantSplit/>
        </w:trPr>
        <w:tc>
          <w:tcPr>
            <w:tcW w:w="3402" w:type="dxa"/>
          </w:tcPr>
          <w:p w14:paraId="478EE612" w14:textId="60CA1215" w:rsidR="00DD38C6" w:rsidRPr="004C31EA" w:rsidRDefault="00DD38C6" w:rsidP="00893279">
            <w:pPr>
              <w:rPr>
                <w:b/>
                <w:bCs/>
              </w:rPr>
            </w:pPr>
            <w:r w:rsidRPr="004C31EA">
              <w:rPr>
                <w:b/>
                <w:bCs/>
              </w:rPr>
              <w:t>Pre-Enrolment</w:t>
            </w:r>
          </w:p>
        </w:tc>
        <w:tc>
          <w:tcPr>
            <w:tcW w:w="4962" w:type="dxa"/>
          </w:tcPr>
          <w:p w14:paraId="501D234B" w14:textId="301F7DC1" w:rsidR="00DD38C6" w:rsidRPr="00526993" w:rsidRDefault="00B31C78" w:rsidP="00893279">
            <w:pPr>
              <w:pStyle w:val="bullettedlist"/>
            </w:pPr>
            <w:r w:rsidRPr="00526993">
              <w:t>M</w:t>
            </w:r>
            <w:r w:rsidR="00032100" w:rsidRPr="00526993">
              <w:t>arketing, promotional and course information materials</w:t>
            </w:r>
            <w:r w:rsidR="008869A1" w:rsidRPr="00526993">
              <w:t xml:space="preserve"> and activities</w:t>
            </w:r>
            <w:r w:rsidR="00032100" w:rsidRPr="00526993">
              <w:t xml:space="preserve"> </w:t>
            </w:r>
            <w:r w:rsidR="009C3E24" w:rsidRPr="00526993">
              <w:t>inform</w:t>
            </w:r>
            <w:r w:rsidR="007B1D43" w:rsidRPr="00526993">
              <w:t xml:space="preserve"> prospective students </w:t>
            </w:r>
            <w:r w:rsidR="009C3E24" w:rsidRPr="00526993">
              <w:t xml:space="preserve">about </w:t>
            </w:r>
            <w:r w:rsidR="009B7624" w:rsidRPr="00526993">
              <w:t>course requirements</w:t>
            </w:r>
            <w:r w:rsidR="00A507D5" w:rsidRPr="00526993">
              <w:t xml:space="preserve">, </w:t>
            </w:r>
            <w:r w:rsidR="009B7624" w:rsidRPr="00526993">
              <w:t xml:space="preserve">and </w:t>
            </w:r>
            <w:r w:rsidR="009C3E24" w:rsidRPr="00526993">
              <w:t>the support</w:t>
            </w:r>
            <w:r w:rsidR="00E35E03" w:rsidRPr="00526993">
              <w:t>s</w:t>
            </w:r>
            <w:r w:rsidR="00032100" w:rsidRPr="00526993">
              <w:t xml:space="preserve"> </w:t>
            </w:r>
            <w:r w:rsidR="00E35E03" w:rsidRPr="00526993">
              <w:t>and serv</w:t>
            </w:r>
            <w:r w:rsidR="00032100" w:rsidRPr="00526993">
              <w:t>i</w:t>
            </w:r>
            <w:r w:rsidR="00E35E03" w:rsidRPr="00526993">
              <w:t xml:space="preserve">ces </w:t>
            </w:r>
            <w:r w:rsidR="00032100" w:rsidRPr="00526993">
              <w:t>available</w:t>
            </w:r>
            <w:r w:rsidR="009B7624" w:rsidRPr="00526993">
              <w:t xml:space="preserve"> to </w:t>
            </w:r>
            <w:r w:rsidR="00A507D5" w:rsidRPr="00526993">
              <w:t xml:space="preserve">them. </w:t>
            </w:r>
          </w:p>
        </w:tc>
        <w:tc>
          <w:tcPr>
            <w:tcW w:w="1134" w:type="dxa"/>
          </w:tcPr>
          <w:p w14:paraId="08DFDD86" w14:textId="77777777" w:rsidR="00DD38C6" w:rsidRPr="0021744F" w:rsidRDefault="00DD38C6" w:rsidP="00893279"/>
        </w:tc>
        <w:tc>
          <w:tcPr>
            <w:tcW w:w="1275" w:type="dxa"/>
          </w:tcPr>
          <w:p w14:paraId="0F421907" w14:textId="77777777" w:rsidR="00DD38C6" w:rsidRPr="00526993" w:rsidRDefault="00DD38C6" w:rsidP="00893279"/>
        </w:tc>
        <w:tc>
          <w:tcPr>
            <w:tcW w:w="1276" w:type="dxa"/>
          </w:tcPr>
          <w:p w14:paraId="75C6CF9F" w14:textId="77777777" w:rsidR="00DD38C6" w:rsidRPr="00526993" w:rsidRDefault="00DD38C6" w:rsidP="00893279"/>
        </w:tc>
        <w:tc>
          <w:tcPr>
            <w:tcW w:w="3260" w:type="dxa"/>
          </w:tcPr>
          <w:p w14:paraId="6717FBCC" w14:textId="77777777" w:rsidR="00DD38C6" w:rsidRPr="00526993" w:rsidRDefault="00DD38C6" w:rsidP="00893279"/>
        </w:tc>
      </w:tr>
      <w:tr w:rsidR="00526993" w:rsidRPr="00526993" w14:paraId="5C60EA8C" w14:textId="77777777" w:rsidTr="00AA5AF1">
        <w:trPr>
          <w:cantSplit/>
        </w:trPr>
        <w:tc>
          <w:tcPr>
            <w:tcW w:w="3402" w:type="dxa"/>
          </w:tcPr>
          <w:p w14:paraId="4F68D259" w14:textId="636BA4CC" w:rsidR="00BE1D64" w:rsidRPr="004C31EA" w:rsidRDefault="00BE1D64" w:rsidP="00893279">
            <w:pPr>
              <w:rPr>
                <w:b/>
                <w:bCs/>
              </w:rPr>
            </w:pPr>
            <w:r w:rsidRPr="004C31EA">
              <w:rPr>
                <w:b/>
                <w:bCs/>
              </w:rPr>
              <w:t>Pre-Enrolment</w:t>
            </w:r>
          </w:p>
        </w:tc>
        <w:tc>
          <w:tcPr>
            <w:tcW w:w="4962" w:type="dxa"/>
          </w:tcPr>
          <w:p w14:paraId="035A918D" w14:textId="1F5C0B9A" w:rsidR="00BE1D64" w:rsidRPr="00526993" w:rsidRDefault="7E292B24" w:rsidP="00893279">
            <w:pPr>
              <w:pStyle w:val="bullettedlist"/>
            </w:pPr>
            <w:r w:rsidRPr="00526993">
              <w:t xml:space="preserve">Marketing, promotional and course information materials are accessible, in multiple formats, easy to find, and uses inclusive language and imagery e.g. images include a diverse range of </w:t>
            </w:r>
            <w:r w:rsidR="56884C1B" w:rsidRPr="00526993">
              <w:t>students</w:t>
            </w:r>
            <w:r w:rsidRPr="00526993">
              <w:t>.</w:t>
            </w:r>
          </w:p>
        </w:tc>
        <w:tc>
          <w:tcPr>
            <w:tcW w:w="1134" w:type="dxa"/>
          </w:tcPr>
          <w:p w14:paraId="448E934E" w14:textId="77777777" w:rsidR="00BE1D64" w:rsidRPr="0021744F" w:rsidRDefault="00BE1D64" w:rsidP="00893279"/>
        </w:tc>
        <w:tc>
          <w:tcPr>
            <w:tcW w:w="1275" w:type="dxa"/>
          </w:tcPr>
          <w:p w14:paraId="2CB6034F" w14:textId="77777777" w:rsidR="00BE1D64" w:rsidRPr="00526993" w:rsidRDefault="00BE1D64" w:rsidP="00893279"/>
        </w:tc>
        <w:tc>
          <w:tcPr>
            <w:tcW w:w="1276" w:type="dxa"/>
          </w:tcPr>
          <w:p w14:paraId="5DA9BDB9" w14:textId="77777777" w:rsidR="00BE1D64" w:rsidRPr="00526993" w:rsidRDefault="00BE1D64" w:rsidP="00893279"/>
        </w:tc>
        <w:tc>
          <w:tcPr>
            <w:tcW w:w="3260" w:type="dxa"/>
          </w:tcPr>
          <w:p w14:paraId="53E03BBF" w14:textId="77777777" w:rsidR="00BE1D64" w:rsidRPr="00526993" w:rsidRDefault="00BE1D64" w:rsidP="00893279"/>
        </w:tc>
      </w:tr>
      <w:tr w:rsidR="00FC0890" w:rsidRPr="00526993" w14:paraId="0903486C" w14:textId="77777777" w:rsidTr="00AA5AF1">
        <w:trPr>
          <w:cantSplit/>
        </w:trPr>
        <w:tc>
          <w:tcPr>
            <w:tcW w:w="3402" w:type="dxa"/>
          </w:tcPr>
          <w:p w14:paraId="2A69AEFC" w14:textId="35BAC94B" w:rsidR="00FC0890" w:rsidRPr="004C31EA" w:rsidRDefault="00FC0890" w:rsidP="00893279">
            <w:pPr>
              <w:rPr>
                <w:b/>
                <w:bCs/>
              </w:rPr>
            </w:pPr>
            <w:r w:rsidRPr="004C31EA">
              <w:rPr>
                <w:b/>
                <w:bCs/>
              </w:rPr>
              <w:t>Pre-Enrolment</w:t>
            </w:r>
          </w:p>
        </w:tc>
        <w:tc>
          <w:tcPr>
            <w:tcW w:w="4962" w:type="dxa"/>
          </w:tcPr>
          <w:p w14:paraId="336AB38B" w14:textId="11BAC3F0" w:rsidR="00FC0890" w:rsidRPr="00526993" w:rsidRDefault="00117673" w:rsidP="00893279">
            <w:pPr>
              <w:pStyle w:val="bullettedlist"/>
            </w:pPr>
            <w:r w:rsidRPr="00526993">
              <w:t>Processes and information identify and inform students about the supports, services and adjustments available during enrolment</w:t>
            </w:r>
            <w:r w:rsidR="006D6EEE">
              <w:t xml:space="preserve"> and provide opportunities to discuss</w:t>
            </w:r>
            <w:r w:rsidR="005E431B">
              <w:t xml:space="preserve"> potential reasonable adjustments with student</w:t>
            </w:r>
            <w:r w:rsidRPr="00526993">
              <w:t>.</w:t>
            </w:r>
          </w:p>
        </w:tc>
        <w:tc>
          <w:tcPr>
            <w:tcW w:w="1134" w:type="dxa"/>
          </w:tcPr>
          <w:p w14:paraId="1F76A59A" w14:textId="77777777" w:rsidR="00FC0890" w:rsidRPr="0021744F" w:rsidRDefault="00FC0890" w:rsidP="00893279"/>
        </w:tc>
        <w:tc>
          <w:tcPr>
            <w:tcW w:w="1275" w:type="dxa"/>
          </w:tcPr>
          <w:p w14:paraId="25BBD113" w14:textId="77777777" w:rsidR="00FC0890" w:rsidRPr="00526993" w:rsidRDefault="00FC0890" w:rsidP="00893279"/>
        </w:tc>
        <w:tc>
          <w:tcPr>
            <w:tcW w:w="1276" w:type="dxa"/>
          </w:tcPr>
          <w:p w14:paraId="31508E5C" w14:textId="77777777" w:rsidR="00FC0890" w:rsidRPr="00526993" w:rsidRDefault="00FC0890" w:rsidP="00893279"/>
        </w:tc>
        <w:tc>
          <w:tcPr>
            <w:tcW w:w="3260" w:type="dxa"/>
          </w:tcPr>
          <w:p w14:paraId="7A722BB2" w14:textId="77777777" w:rsidR="00FC0890" w:rsidRPr="00526993" w:rsidRDefault="00FC0890" w:rsidP="00893279"/>
        </w:tc>
      </w:tr>
      <w:tr w:rsidR="00526993" w:rsidRPr="00526993" w14:paraId="0C10D06F" w14:textId="77777777" w:rsidTr="00AA5AF1">
        <w:trPr>
          <w:cantSplit/>
        </w:trPr>
        <w:tc>
          <w:tcPr>
            <w:tcW w:w="3402" w:type="dxa"/>
          </w:tcPr>
          <w:p w14:paraId="569813D9" w14:textId="625AE7A7" w:rsidR="00DD38C6" w:rsidRPr="004C31EA" w:rsidRDefault="00DD38C6" w:rsidP="00893279">
            <w:pPr>
              <w:rPr>
                <w:b/>
                <w:bCs/>
                <w:color w:val="2F5496" w:themeColor="accent1" w:themeShade="BF"/>
              </w:rPr>
            </w:pPr>
            <w:r w:rsidRPr="004C31EA">
              <w:rPr>
                <w:b/>
                <w:bCs/>
              </w:rPr>
              <w:t>Enrolment</w:t>
            </w:r>
          </w:p>
        </w:tc>
        <w:tc>
          <w:tcPr>
            <w:tcW w:w="4962" w:type="dxa"/>
          </w:tcPr>
          <w:p w14:paraId="233E4AEB" w14:textId="0CDC3ADF" w:rsidR="00DD38C6" w:rsidRPr="00526993" w:rsidRDefault="00C02433" w:rsidP="00893279">
            <w:pPr>
              <w:pStyle w:val="bullettedlist"/>
            </w:pPr>
            <w:r w:rsidRPr="00526993">
              <w:t>E</w:t>
            </w:r>
            <w:r w:rsidR="002E616C" w:rsidRPr="00526993">
              <w:t xml:space="preserve">nrolment processes and information are accessible and usable to meet </w:t>
            </w:r>
            <w:r w:rsidR="002252C5" w:rsidRPr="00526993">
              <w:t xml:space="preserve">the needs of </w:t>
            </w:r>
            <w:r w:rsidR="002E616C" w:rsidRPr="00526993">
              <w:t xml:space="preserve">a wide range of </w:t>
            </w:r>
            <w:r w:rsidR="002252C5" w:rsidRPr="00526993">
              <w:t>students</w:t>
            </w:r>
            <w:r w:rsidR="00A507D5" w:rsidRPr="00526993">
              <w:t>.</w:t>
            </w:r>
            <w:r w:rsidR="002E616C" w:rsidRPr="00526993">
              <w:t xml:space="preserve"> </w:t>
            </w:r>
          </w:p>
        </w:tc>
        <w:tc>
          <w:tcPr>
            <w:tcW w:w="1134" w:type="dxa"/>
          </w:tcPr>
          <w:p w14:paraId="27CCE01B" w14:textId="77777777" w:rsidR="00DD38C6" w:rsidRPr="0021744F" w:rsidRDefault="00DD38C6" w:rsidP="00893279"/>
        </w:tc>
        <w:tc>
          <w:tcPr>
            <w:tcW w:w="1275" w:type="dxa"/>
          </w:tcPr>
          <w:p w14:paraId="79BE3144" w14:textId="77777777" w:rsidR="00DD38C6" w:rsidRPr="00526993" w:rsidRDefault="00DD38C6" w:rsidP="00893279"/>
        </w:tc>
        <w:tc>
          <w:tcPr>
            <w:tcW w:w="1276" w:type="dxa"/>
          </w:tcPr>
          <w:p w14:paraId="1074E628" w14:textId="77777777" w:rsidR="00DD38C6" w:rsidRPr="00526993" w:rsidRDefault="00DD38C6" w:rsidP="00893279"/>
        </w:tc>
        <w:tc>
          <w:tcPr>
            <w:tcW w:w="3260" w:type="dxa"/>
          </w:tcPr>
          <w:p w14:paraId="6FAE4819" w14:textId="77777777" w:rsidR="00DD38C6" w:rsidRPr="00526993" w:rsidRDefault="00DD38C6" w:rsidP="00893279"/>
        </w:tc>
      </w:tr>
      <w:tr w:rsidR="00526993" w:rsidRPr="00526993" w14:paraId="3B40D707" w14:textId="77777777" w:rsidTr="00AA5AF1">
        <w:trPr>
          <w:cantSplit/>
        </w:trPr>
        <w:tc>
          <w:tcPr>
            <w:tcW w:w="3402" w:type="dxa"/>
          </w:tcPr>
          <w:p w14:paraId="73669B62" w14:textId="54EDFEA2" w:rsidR="00DD38C6" w:rsidRPr="004C31EA" w:rsidRDefault="00DD38C6" w:rsidP="00893279">
            <w:pPr>
              <w:rPr>
                <w:b/>
                <w:bCs/>
                <w:color w:val="2F5496" w:themeColor="accent1" w:themeShade="BF"/>
              </w:rPr>
            </w:pPr>
            <w:r w:rsidRPr="004C31EA">
              <w:rPr>
                <w:b/>
                <w:bCs/>
              </w:rPr>
              <w:lastRenderedPageBreak/>
              <w:t>Enrolment</w:t>
            </w:r>
          </w:p>
        </w:tc>
        <w:tc>
          <w:tcPr>
            <w:tcW w:w="4962" w:type="dxa"/>
          </w:tcPr>
          <w:p w14:paraId="4263F12B" w14:textId="7A6E0527" w:rsidR="00DD38C6" w:rsidRPr="00526993" w:rsidRDefault="002252C5" w:rsidP="00893279">
            <w:pPr>
              <w:pStyle w:val="bullettedlist"/>
            </w:pPr>
            <w:r w:rsidRPr="00526993">
              <w:t xml:space="preserve">Processes and information identify and inform students </w:t>
            </w:r>
            <w:r w:rsidR="00E35E03" w:rsidRPr="00526993">
              <w:t>about the support</w:t>
            </w:r>
            <w:r w:rsidRPr="00526993">
              <w:t>s, services</w:t>
            </w:r>
            <w:r w:rsidR="00E35E03" w:rsidRPr="00526993">
              <w:t xml:space="preserve"> </w:t>
            </w:r>
            <w:r w:rsidR="0064278E" w:rsidRPr="00526993">
              <w:t xml:space="preserve">and adjustments </w:t>
            </w:r>
            <w:r w:rsidRPr="00526993">
              <w:t xml:space="preserve">available </w:t>
            </w:r>
            <w:r w:rsidR="00E35E03" w:rsidRPr="00526993">
              <w:t xml:space="preserve">during enrolment. </w:t>
            </w:r>
          </w:p>
        </w:tc>
        <w:tc>
          <w:tcPr>
            <w:tcW w:w="1134" w:type="dxa"/>
          </w:tcPr>
          <w:p w14:paraId="0F27E50D" w14:textId="77777777" w:rsidR="00DD38C6" w:rsidRPr="0021744F" w:rsidRDefault="00DD38C6" w:rsidP="00893279"/>
        </w:tc>
        <w:tc>
          <w:tcPr>
            <w:tcW w:w="1275" w:type="dxa"/>
          </w:tcPr>
          <w:p w14:paraId="088AE2D1" w14:textId="77777777" w:rsidR="00DD38C6" w:rsidRPr="00526993" w:rsidRDefault="00DD38C6" w:rsidP="00893279"/>
        </w:tc>
        <w:tc>
          <w:tcPr>
            <w:tcW w:w="1276" w:type="dxa"/>
          </w:tcPr>
          <w:p w14:paraId="532C1D27" w14:textId="77777777" w:rsidR="00DD38C6" w:rsidRPr="00526993" w:rsidRDefault="00DD38C6" w:rsidP="00893279"/>
        </w:tc>
        <w:tc>
          <w:tcPr>
            <w:tcW w:w="3260" w:type="dxa"/>
          </w:tcPr>
          <w:p w14:paraId="5E6747F8" w14:textId="77777777" w:rsidR="00DD38C6" w:rsidRPr="00526993" w:rsidRDefault="00DD38C6" w:rsidP="00893279"/>
        </w:tc>
      </w:tr>
      <w:tr w:rsidR="00A313D9" w:rsidRPr="00526993" w14:paraId="3ACF582B" w14:textId="77777777" w:rsidTr="00AA5AF1">
        <w:trPr>
          <w:cantSplit/>
        </w:trPr>
        <w:tc>
          <w:tcPr>
            <w:tcW w:w="3402" w:type="dxa"/>
          </w:tcPr>
          <w:p w14:paraId="4521CF3D" w14:textId="5FE15A9E" w:rsidR="00A313D9" w:rsidRPr="004C31EA" w:rsidRDefault="00A313D9" w:rsidP="00893279">
            <w:pPr>
              <w:rPr>
                <w:b/>
                <w:bCs/>
              </w:rPr>
            </w:pPr>
            <w:r w:rsidRPr="004C31EA">
              <w:rPr>
                <w:b/>
                <w:bCs/>
              </w:rPr>
              <w:t>Enrolment</w:t>
            </w:r>
          </w:p>
        </w:tc>
        <w:tc>
          <w:tcPr>
            <w:tcW w:w="4962" w:type="dxa"/>
          </w:tcPr>
          <w:p w14:paraId="3D182742" w14:textId="65D0BF14" w:rsidR="00A313D9" w:rsidRPr="00526993" w:rsidRDefault="00245622" w:rsidP="00893279">
            <w:pPr>
              <w:pStyle w:val="bullettedlist"/>
            </w:pPr>
            <w:r>
              <w:t>Students with disability have the opportunity to consult</w:t>
            </w:r>
            <w:r w:rsidR="00C47433">
              <w:t xml:space="preserve"> on the development and monitoring </w:t>
            </w:r>
            <w:r w:rsidR="004C2D1A">
              <w:t>their Student Support/Learning Plans</w:t>
            </w:r>
            <w:r w:rsidR="004E4E30">
              <w:t>.</w:t>
            </w:r>
          </w:p>
        </w:tc>
        <w:tc>
          <w:tcPr>
            <w:tcW w:w="1134" w:type="dxa"/>
          </w:tcPr>
          <w:p w14:paraId="62A6EF7B" w14:textId="77777777" w:rsidR="00A313D9" w:rsidRPr="0021744F" w:rsidRDefault="00A313D9" w:rsidP="00893279"/>
        </w:tc>
        <w:tc>
          <w:tcPr>
            <w:tcW w:w="1275" w:type="dxa"/>
          </w:tcPr>
          <w:p w14:paraId="393E4017" w14:textId="77777777" w:rsidR="00A313D9" w:rsidRPr="00526993" w:rsidRDefault="00A313D9" w:rsidP="00893279"/>
        </w:tc>
        <w:tc>
          <w:tcPr>
            <w:tcW w:w="1276" w:type="dxa"/>
          </w:tcPr>
          <w:p w14:paraId="242D763E" w14:textId="77777777" w:rsidR="00A313D9" w:rsidRPr="00526993" w:rsidRDefault="00A313D9" w:rsidP="00893279"/>
        </w:tc>
        <w:tc>
          <w:tcPr>
            <w:tcW w:w="3260" w:type="dxa"/>
          </w:tcPr>
          <w:p w14:paraId="7F1DF1BA" w14:textId="77777777" w:rsidR="00A313D9" w:rsidRPr="00526993" w:rsidRDefault="00A313D9" w:rsidP="00893279"/>
        </w:tc>
      </w:tr>
      <w:tr w:rsidR="00526993" w:rsidRPr="00526993" w14:paraId="670FB011" w14:textId="77777777" w:rsidTr="00AA5AF1">
        <w:trPr>
          <w:cantSplit/>
        </w:trPr>
        <w:tc>
          <w:tcPr>
            <w:tcW w:w="3402" w:type="dxa"/>
          </w:tcPr>
          <w:p w14:paraId="4C78E0A3" w14:textId="225E3760" w:rsidR="00614E1A" w:rsidRPr="004C31EA" w:rsidRDefault="00614E1A" w:rsidP="00893279">
            <w:pPr>
              <w:rPr>
                <w:b/>
                <w:bCs/>
                <w:color w:val="2F5496" w:themeColor="accent1" w:themeShade="BF"/>
              </w:rPr>
            </w:pPr>
            <w:r w:rsidRPr="004C31EA">
              <w:rPr>
                <w:b/>
                <w:bCs/>
              </w:rPr>
              <w:t>Participation</w:t>
            </w:r>
          </w:p>
        </w:tc>
        <w:tc>
          <w:tcPr>
            <w:tcW w:w="4962" w:type="dxa"/>
          </w:tcPr>
          <w:p w14:paraId="544EB630" w14:textId="2CCD7D53" w:rsidR="00614E1A" w:rsidRPr="00526993" w:rsidRDefault="00C02433" w:rsidP="00893279">
            <w:pPr>
              <w:pStyle w:val="bullettedlist"/>
            </w:pPr>
            <w:r w:rsidRPr="00526993">
              <w:t>S</w:t>
            </w:r>
            <w:r w:rsidR="00E35E03" w:rsidRPr="00526993">
              <w:t xml:space="preserve">tudents with disability have access to all experiences, services </w:t>
            </w:r>
            <w:r w:rsidR="004B7F4E" w:rsidRPr="00526993">
              <w:t xml:space="preserve">and </w:t>
            </w:r>
            <w:r w:rsidR="00E35E03" w:rsidRPr="00526993">
              <w:t xml:space="preserve">facilities </w:t>
            </w:r>
            <w:r w:rsidR="00614E1A" w:rsidRPr="00526993">
              <w:t>on the same basis as a student without disability</w:t>
            </w:r>
            <w:r w:rsidR="00141390" w:rsidRPr="00526993">
              <w:t xml:space="preserve">. </w:t>
            </w:r>
          </w:p>
        </w:tc>
        <w:tc>
          <w:tcPr>
            <w:tcW w:w="1134" w:type="dxa"/>
          </w:tcPr>
          <w:p w14:paraId="6AB03BA2" w14:textId="77777777" w:rsidR="00614E1A" w:rsidRPr="0021744F" w:rsidRDefault="00614E1A" w:rsidP="00893279"/>
        </w:tc>
        <w:tc>
          <w:tcPr>
            <w:tcW w:w="1275" w:type="dxa"/>
          </w:tcPr>
          <w:p w14:paraId="05EC9AC9" w14:textId="77777777" w:rsidR="00614E1A" w:rsidRPr="00526993" w:rsidRDefault="00614E1A" w:rsidP="00893279"/>
        </w:tc>
        <w:tc>
          <w:tcPr>
            <w:tcW w:w="1276" w:type="dxa"/>
          </w:tcPr>
          <w:p w14:paraId="60FAB7D5" w14:textId="77777777" w:rsidR="00614E1A" w:rsidRPr="00526993" w:rsidRDefault="00614E1A" w:rsidP="00893279"/>
        </w:tc>
        <w:tc>
          <w:tcPr>
            <w:tcW w:w="3260" w:type="dxa"/>
          </w:tcPr>
          <w:p w14:paraId="0D6B43AB" w14:textId="77777777" w:rsidR="00614E1A" w:rsidRPr="00526993" w:rsidRDefault="00614E1A" w:rsidP="00893279"/>
        </w:tc>
      </w:tr>
      <w:tr w:rsidR="00526993" w:rsidRPr="00526993" w14:paraId="1EE2CBC9" w14:textId="77777777" w:rsidTr="00AA5AF1">
        <w:trPr>
          <w:cantSplit/>
        </w:trPr>
        <w:tc>
          <w:tcPr>
            <w:tcW w:w="3402" w:type="dxa"/>
          </w:tcPr>
          <w:p w14:paraId="4C504726" w14:textId="4261143A" w:rsidR="00DD38C6" w:rsidRPr="004C31EA" w:rsidRDefault="00DD38C6" w:rsidP="00893279">
            <w:pPr>
              <w:rPr>
                <w:b/>
                <w:bCs/>
              </w:rPr>
            </w:pPr>
            <w:r w:rsidRPr="004C31EA">
              <w:rPr>
                <w:b/>
                <w:bCs/>
              </w:rPr>
              <w:t>Participation</w:t>
            </w:r>
          </w:p>
        </w:tc>
        <w:tc>
          <w:tcPr>
            <w:tcW w:w="4962" w:type="dxa"/>
          </w:tcPr>
          <w:p w14:paraId="3EC6603C" w14:textId="573ACA14" w:rsidR="00DD38C6" w:rsidRPr="00526993" w:rsidRDefault="4888E292" w:rsidP="00893279">
            <w:pPr>
              <w:pStyle w:val="bullettedlist"/>
            </w:pPr>
            <w:r w:rsidRPr="00526993">
              <w:t>Course or program activities are sufficiently flexible to enable a range of students to participate</w:t>
            </w:r>
            <w:r w:rsidR="5E7272FE" w:rsidRPr="00526993">
              <w:t xml:space="preserve"> without compromising the integrity of the course/program</w:t>
            </w:r>
            <w:r w:rsidRPr="00526993">
              <w:t xml:space="preserve">. This includes activities conducted </w:t>
            </w:r>
            <w:r w:rsidR="1F33E7CE" w:rsidRPr="00526993">
              <w:t>o</w:t>
            </w:r>
            <w:r w:rsidR="5D7B9DBD" w:rsidRPr="00526993">
              <w:t>ff-</w:t>
            </w:r>
            <w:r w:rsidR="1F33E7CE" w:rsidRPr="00526993">
              <w:t xml:space="preserve">site </w:t>
            </w:r>
            <w:bookmarkStart w:id="5" w:name="_Int_gZNgc4X0"/>
            <w:r w:rsidR="1F33E7CE" w:rsidRPr="00526993">
              <w:t>e.g.</w:t>
            </w:r>
            <w:bookmarkEnd w:id="5"/>
            <w:r w:rsidR="1F33E7CE" w:rsidRPr="00526993">
              <w:t xml:space="preserve"> </w:t>
            </w:r>
            <w:r w:rsidR="004D42E5">
              <w:t>v</w:t>
            </w:r>
            <w:r w:rsidR="1F33E7CE" w:rsidRPr="00526993">
              <w:t xml:space="preserve">ocational </w:t>
            </w:r>
            <w:r w:rsidR="004D42E5">
              <w:t>p</w:t>
            </w:r>
            <w:r w:rsidR="1F33E7CE" w:rsidRPr="00526993">
              <w:t xml:space="preserve">lacement. </w:t>
            </w:r>
          </w:p>
        </w:tc>
        <w:tc>
          <w:tcPr>
            <w:tcW w:w="1134" w:type="dxa"/>
          </w:tcPr>
          <w:p w14:paraId="5B66B90F" w14:textId="77777777" w:rsidR="00DD38C6" w:rsidRPr="0021744F" w:rsidRDefault="00DD38C6" w:rsidP="00893279"/>
        </w:tc>
        <w:tc>
          <w:tcPr>
            <w:tcW w:w="1275" w:type="dxa"/>
          </w:tcPr>
          <w:p w14:paraId="0ED6576F" w14:textId="77777777" w:rsidR="00DD38C6" w:rsidRPr="00526993" w:rsidRDefault="00DD38C6" w:rsidP="00893279"/>
        </w:tc>
        <w:tc>
          <w:tcPr>
            <w:tcW w:w="1276" w:type="dxa"/>
          </w:tcPr>
          <w:p w14:paraId="4FE4EEC7" w14:textId="77777777" w:rsidR="00DD38C6" w:rsidRPr="00526993" w:rsidRDefault="00DD38C6" w:rsidP="00893279"/>
        </w:tc>
        <w:tc>
          <w:tcPr>
            <w:tcW w:w="3260" w:type="dxa"/>
          </w:tcPr>
          <w:p w14:paraId="1CA91DA4" w14:textId="77777777" w:rsidR="00DD38C6" w:rsidRPr="00526993" w:rsidRDefault="00DD38C6" w:rsidP="00893279"/>
        </w:tc>
      </w:tr>
      <w:tr w:rsidR="00526993" w:rsidRPr="00526993" w14:paraId="6D1A412D" w14:textId="77777777" w:rsidTr="00AA5AF1">
        <w:trPr>
          <w:cantSplit/>
        </w:trPr>
        <w:tc>
          <w:tcPr>
            <w:tcW w:w="3402" w:type="dxa"/>
          </w:tcPr>
          <w:p w14:paraId="7422835D" w14:textId="797F585A" w:rsidR="00141390" w:rsidRPr="004C31EA" w:rsidRDefault="00141390" w:rsidP="00893279">
            <w:pPr>
              <w:rPr>
                <w:b/>
                <w:bCs/>
              </w:rPr>
            </w:pPr>
            <w:r w:rsidRPr="004C31EA">
              <w:rPr>
                <w:b/>
                <w:bCs/>
              </w:rPr>
              <w:t>Participation</w:t>
            </w:r>
          </w:p>
        </w:tc>
        <w:tc>
          <w:tcPr>
            <w:tcW w:w="4962" w:type="dxa"/>
          </w:tcPr>
          <w:p w14:paraId="6B167993" w14:textId="6D8798A4" w:rsidR="00141390" w:rsidRPr="00526993" w:rsidDel="00C02433" w:rsidRDefault="00141390" w:rsidP="00893279">
            <w:pPr>
              <w:pStyle w:val="bullettedlist"/>
            </w:pPr>
            <w:r w:rsidRPr="00526993">
              <w:t>Student supports, services and adjustments are appropriate to assist the student to achieve the intended learning outcomes.</w:t>
            </w:r>
          </w:p>
        </w:tc>
        <w:tc>
          <w:tcPr>
            <w:tcW w:w="1134" w:type="dxa"/>
          </w:tcPr>
          <w:p w14:paraId="5842E0BB" w14:textId="77777777" w:rsidR="00141390" w:rsidRPr="0021744F" w:rsidRDefault="00141390" w:rsidP="00893279"/>
        </w:tc>
        <w:tc>
          <w:tcPr>
            <w:tcW w:w="1275" w:type="dxa"/>
          </w:tcPr>
          <w:p w14:paraId="18B4482B" w14:textId="77777777" w:rsidR="00141390" w:rsidRPr="00526993" w:rsidRDefault="00141390" w:rsidP="00893279"/>
        </w:tc>
        <w:tc>
          <w:tcPr>
            <w:tcW w:w="1276" w:type="dxa"/>
          </w:tcPr>
          <w:p w14:paraId="5741521E" w14:textId="77777777" w:rsidR="00141390" w:rsidRPr="00526993" w:rsidRDefault="00141390" w:rsidP="00893279"/>
        </w:tc>
        <w:tc>
          <w:tcPr>
            <w:tcW w:w="3260" w:type="dxa"/>
          </w:tcPr>
          <w:p w14:paraId="7FF82116" w14:textId="77777777" w:rsidR="00141390" w:rsidRPr="00526993" w:rsidRDefault="00141390" w:rsidP="00893279"/>
        </w:tc>
      </w:tr>
      <w:tr w:rsidR="00526993" w:rsidRPr="00526993" w14:paraId="11ACB2F4" w14:textId="77777777" w:rsidTr="00AA5AF1">
        <w:trPr>
          <w:cantSplit/>
        </w:trPr>
        <w:tc>
          <w:tcPr>
            <w:tcW w:w="3402" w:type="dxa"/>
          </w:tcPr>
          <w:p w14:paraId="34522D7F" w14:textId="204A0C9E" w:rsidR="00DD38C6" w:rsidRPr="004C31EA" w:rsidRDefault="00DD38C6" w:rsidP="00893279">
            <w:pPr>
              <w:rPr>
                <w:b/>
                <w:bCs/>
              </w:rPr>
            </w:pPr>
            <w:r w:rsidRPr="004C31EA">
              <w:rPr>
                <w:b/>
                <w:bCs/>
              </w:rPr>
              <w:t>Participation</w:t>
            </w:r>
          </w:p>
        </w:tc>
        <w:tc>
          <w:tcPr>
            <w:tcW w:w="4962" w:type="dxa"/>
          </w:tcPr>
          <w:p w14:paraId="4FA82180" w14:textId="5FE56CC1" w:rsidR="00DD38C6" w:rsidRPr="00526993" w:rsidRDefault="00955188" w:rsidP="00893279">
            <w:pPr>
              <w:pStyle w:val="bullettedlist"/>
            </w:pPr>
            <w:r w:rsidRPr="00526993">
              <w:t>A</w:t>
            </w:r>
            <w:r w:rsidR="00DD38C6" w:rsidRPr="00526993">
              <w:t>ppropriate processes</w:t>
            </w:r>
            <w:r w:rsidRPr="00526993">
              <w:t xml:space="preserve"> are in place</w:t>
            </w:r>
            <w:r w:rsidR="00DD38C6" w:rsidRPr="00526993">
              <w:t xml:space="preserve"> to </w:t>
            </w:r>
            <w:r w:rsidR="00A35883" w:rsidRPr="00526993">
              <w:t xml:space="preserve">determine, </w:t>
            </w:r>
            <w:r w:rsidR="00DD38C6" w:rsidRPr="00526993">
              <w:t>negotiate, agree</w:t>
            </w:r>
            <w:r w:rsidR="00AE002C" w:rsidRPr="00526993">
              <w:t>, record</w:t>
            </w:r>
            <w:r w:rsidR="00DD38C6" w:rsidRPr="00526993">
              <w:t xml:space="preserve"> and implement supports, services and adjustments to enable participation</w:t>
            </w:r>
            <w:r w:rsidR="00A35883" w:rsidRPr="00526993">
              <w:t>.</w:t>
            </w:r>
            <w:r w:rsidR="00DD38C6" w:rsidRPr="00526993">
              <w:t xml:space="preserve"> </w:t>
            </w:r>
          </w:p>
        </w:tc>
        <w:tc>
          <w:tcPr>
            <w:tcW w:w="1134" w:type="dxa"/>
          </w:tcPr>
          <w:p w14:paraId="001A0678" w14:textId="77777777" w:rsidR="00DD38C6" w:rsidRPr="0021744F" w:rsidRDefault="00DD38C6" w:rsidP="00893279"/>
        </w:tc>
        <w:tc>
          <w:tcPr>
            <w:tcW w:w="1275" w:type="dxa"/>
          </w:tcPr>
          <w:p w14:paraId="0176CA57" w14:textId="77777777" w:rsidR="00DD38C6" w:rsidRPr="00526993" w:rsidRDefault="00DD38C6" w:rsidP="00893279"/>
        </w:tc>
        <w:tc>
          <w:tcPr>
            <w:tcW w:w="1276" w:type="dxa"/>
          </w:tcPr>
          <w:p w14:paraId="453D2D8B" w14:textId="77777777" w:rsidR="00DD38C6" w:rsidRPr="00526993" w:rsidRDefault="00DD38C6" w:rsidP="00893279"/>
        </w:tc>
        <w:tc>
          <w:tcPr>
            <w:tcW w:w="3260" w:type="dxa"/>
          </w:tcPr>
          <w:p w14:paraId="57090FB7" w14:textId="77777777" w:rsidR="00DD38C6" w:rsidRPr="00526993" w:rsidRDefault="00DD38C6" w:rsidP="00893279"/>
        </w:tc>
      </w:tr>
      <w:tr w:rsidR="00526993" w:rsidRPr="00526993" w14:paraId="6E0CEA68" w14:textId="77777777" w:rsidTr="00AA5AF1">
        <w:trPr>
          <w:cantSplit/>
        </w:trPr>
        <w:tc>
          <w:tcPr>
            <w:tcW w:w="3402" w:type="dxa"/>
          </w:tcPr>
          <w:p w14:paraId="6FC2B31F" w14:textId="6DCE127A" w:rsidR="0024146B" w:rsidRPr="004C31EA" w:rsidRDefault="0024146B" w:rsidP="00893279">
            <w:pPr>
              <w:rPr>
                <w:b/>
                <w:bCs/>
                <w:color w:val="2F5496" w:themeColor="accent1" w:themeShade="BF"/>
              </w:rPr>
            </w:pPr>
            <w:r w:rsidRPr="004C31EA">
              <w:rPr>
                <w:b/>
                <w:bCs/>
              </w:rPr>
              <w:lastRenderedPageBreak/>
              <w:t xml:space="preserve">Curriculum </w:t>
            </w:r>
            <w:r w:rsidR="00224903" w:rsidRPr="004C31EA">
              <w:rPr>
                <w:b/>
                <w:bCs/>
              </w:rPr>
              <w:t xml:space="preserve">- </w:t>
            </w:r>
            <w:r w:rsidR="00E35E03" w:rsidRPr="004C31EA">
              <w:rPr>
                <w:b/>
                <w:bCs/>
              </w:rPr>
              <w:t>Training</w:t>
            </w:r>
            <w:r w:rsidR="00224903" w:rsidRPr="004C31EA">
              <w:rPr>
                <w:b/>
                <w:bCs/>
              </w:rPr>
              <w:t xml:space="preserve"> &amp; Assessment</w:t>
            </w:r>
            <w:r w:rsidRPr="004C31EA">
              <w:rPr>
                <w:b/>
                <w:bCs/>
              </w:rPr>
              <w:t xml:space="preserve"> </w:t>
            </w:r>
          </w:p>
        </w:tc>
        <w:tc>
          <w:tcPr>
            <w:tcW w:w="4962" w:type="dxa"/>
          </w:tcPr>
          <w:p w14:paraId="1B5EA1C9" w14:textId="1A05E92B" w:rsidR="0024146B" w:rsidRPr="00526993" w:rsidRDefault="002252C5" w:rsidP="00893279">
            <w:pPr>
              <w:pStyle w:val="bullettedlist"/>
            </w:pPr>
            <w:r w:rsidRPr="00526993">
              <w:t>P</w:t>
            </w:r>
            <w:r w:rsidR="002E616C" w:rsidRPr="00526993">
              <w:t>olicies</w:t>
            </w:r>
            <w:r w:rsidR="00630A2C" w:rsidRPr="00526993">
              <w:t xml:space="preserve">, </w:t>
            </w:r>
            <w:r w:rsidR="00C2068B" w:rsidRPr="00526993">
              <w:t>procedures</w:t>
            </w:r>
            <w:r w:rsidR="00630A2C" w:rsidRPr="00526993">
              <w:t xml:space="preserve"> and practices</w:t>
            </w:r>
            <w:r w:rsidRPr="00526993">
              <w:t xml:space="preserve"> are in place</w:t>
            </w:r>
            <w:r w:rsidR="00630A2C" w:rsidRPr="00526993">
              <w:t xml:space="preserve"> </w:t>
            </w:r>
            <w:r w:rsidR="002E616C" w:rsidRPr="00526993">
              <w:t xml:space="preserve">to develop training and assessment strategies that </w:t>
            </w:r>
            <w:r w:rsidR="00500FD2" w:rsidRPr="00526993">
              <w:t xml:space="preserve">cater to </w:t>
            </w:r>
            <w:r w:rsidR="00A35883" w:rsidRPr="00526993">
              <w:t>a range of studen</w:t>
            </w:r>
            <w:r w:rsidR="0024146B" w:rsidRPr="00526993">
              <w:t>ts with</w:t>
            </w:r>
            <w:r w:rsidR="00A35883" w:rsidRPr="00526993">
              <w:t xml:space="preserve"> differing needs </w:t>
            </w:r>
            <w:r w:rsidR="00500FD2" w:rsidRPr="00526993">
              <w:t>including d</w:t>
            </w:r>
            <w:r w:rsidR="0024146B" w:rsidRPr="00526993">
              <w:t>isability</w:t>
            </w:r>
            <w:r w:rsidR="00500FD2" w:rsidRPr="00526993">
              <w:t>.</w:t>
            </w:r>
            <w:r w:rsidR="00137F20" w:rsidRPr="00526993">
              <w:t xml:space="preserve"> </w:t>
            </w:r>
          </w:p>
        </w:tc>
        <w:tc>
          <w:tcPr>
            <w:tcW w:w="1134" w:type="dxa"/>
          </w:tcPr>
          <w:p w14:paraId="18716E5E" w14:textId="77777777" w:rsidR="0024146B" w:rsidRPr="0021744F" w:rsidRDefault="0024146B" w:rsidP="00893279"/>
        </w:tc>
        <w:tc>
          <w:tcPr>
            <w:tcW w:w="1275" w:type="dxa"/>
          </w:tcPr>
          <w:p w14:paraId="52A3D787" w14:textId="77777777" w:rsidR="0024146B" w:rsidRPr="00526993" w:rsidRDefault="0024146B" w:rsidP="00893279"/>
        </w:tc>
        <w:tc>
          <w:tcPr>
            <w:tcW w:w="1276" w:type="dxa"/>
          </w:tcPr>
          <w:p w14:paraId="7290258A" w14:textId="77777777" w:rsidR="0024146B" w:rsidRPr="00526993" w:rsidRDefault="0024146B" w:rsidP="00893279"/>
        </w:tc>
        <w:tc>
          <w:tcPr>
            <w:tcW w:w="3260" w:type="dxa"/>
          </w:tcPr>
          <w:p w14:paraId="1EFD149F" w14:textId="77777777" w:rsidR="0024146B" w:rsidRPr="00526993" w:rsidRDefault="0024146B" w:rsidP="00893279"/>
        </w:tc>
      </w:tr>
      <w:tr w:rsidR="00526993" w:rsidRPr="00526993" w14:paraId="6A762288" w14:textId="77777777" w:rsidTr="00AA5AF1">
        <w:trPr>
          <w:cantSplit/>
        </w:trPr>
        <w:tc>
          <w:tcPr>
            <w:tcW w:w="3402" w:type="dxa"/>
          </w:tcPr>
          <w:p w14:paraId="2D921103" w14:textId="0F70A3BC" w:rsidR="00DD38C6" w:rsidRPr="004C31EA" w:rsidRDefault="00DD38C6" w:rsidP="00893279">
            <w:pPr>
              <w:rPr>
                <w:b/>
                <w:bCs/>
              </w:rPr>
            </w:pPr>
            <w:r w:rsidRPr="004C31EA">
              <w:rPr>
                <w:b/>
                <w:bCs/>
              </w:rPr>
              <w:t xml:space="preserve">Curriculum - </w:t>
            </w:r>
            <w:r w:rsidR="00E35E03" w:rsidRPr="004C31EA">
              <w:rPr>
                <w:b/>
                <w:bCs/>
              </w:rPr>
              <w:t>Training</w:t>
            </w:r>
            <w:r w:rsidRPr="004C31EA">
              <w:rPr>
                <w:b/>
                <w:bCs/>
              </w:rPr>
              <w:t xml:space="preserve"> &amp; Assessment </w:t>
            </w:r>
          </w:p>
        </w:tc>
        <w:tc>
          <w:tcPr>
            <w:tcW w:w="4962" w:type="dxa"/>
          </w:tcPr>
          <w:p w14:paraId="57A362C7" w14:textId="45A609B7" w:rsidR="00DD38C6" w:rsidRPr="00526993" w:rsidRDefault="00F80B02" w:rsidP="00893279">
            <w:pPr>
              <w:pStyle w:val="bullettedlist"/>
            </w:pPr>
            <w:r w:rsidRPr="00526993">
              <w:t>P</w:t>
            </w:r>
            <w:r w:rsidR="002E616C" w:rsidRPr="00526993">
              <w:t xml:space="preserve">rofessional development </w:t>
            </w:r>
            <w:r w:rsidR="002252C5" w:rsidRPr="00526993">
              <w:t xml:space="preserve">is provided </w:t>
            </w:r>
            <w:r w:rsidR="002E616C" w:rsidRPr="00526993">
              <w:t xml:space="preserve">about inclusive </w:t>
            </w:r>
            <w:r w:rsidR="00A35883" w:rsidRPr="00526993">
              <w:t>training</w:t>
            </w:r>
            <w:r w:rsidR="002E616C" w:rsidRPr="00526993">
              <w:t xml:space="preserve"> and assessment approaches </w:t>
            </w:r>
            <w:r w:rsidR="00C2068B" w:rsidRPr="00526993">
              <w:t>including</w:t>
            </w:r>
            <w:r w:rsidR="002E616C" w:rsidRPr="00526993">
              <w:t xml:space="preserve"> Universal </w:t>
            </w:r>
            <w:r w:rsidR="00C2068B" w:rsidRPr="00526993">
              <w:t>Design</w:t>
            </w:r>
            <w:r w:rsidR="002E616C" w:rsidRPr="00526993">
              <w:t xml:space="preserve"> for </w:t>
            </w:r>
            <w:r w:rsidR="00C2068B" w:rsidRPr="00526993">
              <w:t>Learning</w:t>
            </w:r>
            <w:r w:rsidR="002252C5" w:rsidRPr="00526993">
              <w:t>.</w:t>
            </w:r>
          </w:p>
        </w:tc>
        <w:tc>
          <w:tcPr>
            <w:tcW w:w="1134" w:type="dxa"/>
          </w:tcPr>
          <w:p w14:paraId="32115019" w14:textId="77777777" w:rsidR="00DD38C6" w:rsidRPr="0021744F" w:rsidRDefault="00DD38C6" w:rsidP="00893279"/>
        </w:tc>
        <w:tc>
          <w:tcPr>
            <w:tcW w:w="1275" w:type="dxa"/>
          </w:tcPr>
          <w:p w14:paraId="5D3AA6D2" w14:textId="77777777" w:rsidR="00DD38C6" w:rsidRPr="00526993" w:rsidRDefault="00DD38C6" w:rsidP="00893279"/>
        </w:tc>
        <w:tc>
          <w:tcPr>
            <w:tcW w:w="1276" w:type="dxa"/>
          </w:tcPr>
          <w:p w14:paraId="2E1EBB07" w14:textId="77777777" w:rsidR="00DD38C6" w:rsidRPr="00526993" w:rsidRDefault="00DD38C6" w:rsidP="00893279"/>
        </w:tc>
        <w:tc>
          <w:tcPr>
            <w:tcW w:w="3260" w:type="dxa"/>
          </w:tcPr>
          <w:p w14:paraId="6BF9D53B" w14:textId="77777777" w:rsidR="00DD38C6" w:rsidRPr="00526993" w:rsidRDefault="00DD38C6" w:rsidP="00893279"/>
        </w:tc>
      </w:tr>
      <w:tr w:rsidR="00526993" w:rsidRPr="00526993" w14:paraId="086DC28A" w14:textId="77777777" w:rsidTr="00AA5AF1">
        <w:trPr>
          <w:cantSplit/>
        </w:trPr>
        <w:tc>
          <w:tcPr>
            <w:tcW w:w="3402" w:type="dxa"/>
          </w:tcPr>
          <w:p w14:paraId="4EFE3C46" w14:textId="2E3D146B" w:rsidR="00DD38C6" w:rsidRPr="004C31EA" w:rsidRDefault="00DD38C6" w:rsidP="00893279">
            <w:pPr>
              <w:rPr>
                <w:b/>
                <w:bCs/>
              </w:rPr>
            </w:pPr>
            <w:r w:rsidRPr="004C31EA">
              <w:rPr>
                <w:b/>
                <w:bCs/>
              </w:rPr>
              <w:t xml:space="preserve">Curriculum - </w:t>
            </w:r>
            <w:r w:rsidR="00E35E03" w:rsidRPr="004C31EA">
              <w:rPr>
                <w:b/>
                <w:bCs/>
              </w:rPr>
              <w:t>Training</w:t>
            </w:r>
            <w:r w:rsidRPr="004C31EA">
              <w:rPr>
                <w:b/>
                <w:bCs/>
              </w:rPr>
              <w:t xml:space="preserve"> &amp; Assessment </w:t>
            </w:r>
          </w:p>
        </w:tc>
        <w:tc>
          <w:tcPr>
            <w:tcW w:w="4962" w:type="dxa"/>
          </w:tcPr>
          <w:p w14:paraId="0A5B15EF" w14:textId="7C4F5B9A" w:rsidR="00DD38C6" w:rsidRPr="00526993" w:rsidRDefault="00F80B02" w:rsidP="00893279">
            <w:pPr>
              <w:pStyle w:val="bullettedlist"/>
            </w:pPr>
            <w:r w:rsidRPr="00526993">
              <w:t>T</w:t>
            </w:r>
            <w:r w:rsidR="00A35883" w:rsidRPr="00526993">
              <w:t xml:space="preserve">raining </w:t>
            </w:r>
            <w:r w:rsidR="00137F20" w:rsidRPr="00526993">
              <w:t>and assessment strategies are flexible and adjustable to meet the needs of a range of students</w:t>
            </w:r>
            <w:r w:rsidR="009B7624" w:rsidRPr="00526993">
              <w:t xml:space="preserve">, </w:t>
            </w:r>
            <w:r w:rsidR="00500FD2" w:rsidRPr="00526993">
              <w:t>whilst ensuring the integrity of the training package</w:t>
            </w:r>
            <w:r w:rsidR="004D42E5">
              <w:t xml:space="preserve"> and/or training</w:t>
            </w:r>
            <w:r w:rsidR="00500FD2" w:rsidRPr="00526993">
              <w:t xml:space="preserve"> is maintained</w:t>
            </w:r>
            <w:r w:rsidR="00BD19D9" w:rsidRPr="00526993">
              <w:t>.</w:t>
            </w:r>
          </w:p>
        </w:tc>
        <w:tc>
          <w:tcPr>
            <w:tcW w:w="1134" w:type="dxa"/>
          </w:tcPr>
          <w:p w14:paraId="636536C2" w14:textId="77777777" w:rsidR="00DD38C6" w:rsidRPr="0021744F" w:rsidRDefault="00DD38C6" w:rsidP="00893279"/>
        </w:tc>
        <w:tc>
          <w:tcPr>
            <w:tcW w:w="1275" w:type="dxa"/>
          </w:tcPr>
          <w:p w14:paraId="3CF28E83" w14:textId="77777777" w:rsidR="00DD38C6" w:rsidRPr="00526993" w:rsidRDefault="00DD38C6" w:rsidP="00893279"/>
        </w:tc>
        <w:tc>
          <w:tcPr>
            <w:tcW w:w="1276" w:type="dxa"/>
          </w:tcPr>
          <w:p w14:paraId="40520FDB" w14:textId="77777777" w:rsidR="00DD38C6" w:rsidRPr="00526993" w:rsidRDefault="00DD38C6" w:rsidP="00893279"/>
        </w:tc>
        <w:tc>
          <w:tcPr>
            <w:tcW w:w="3260" w:type="dxa"/>
          </w:tcPr>
          <w:p w14:paraId="27371D5A" w14:textId="77777777" w:rsidR="00DD38C6" w:rsidRPr="00526993" w:rsidRDefault="00DD38C6" w:rsidP="00893279"/>
        </w:tc>
      </w:tr>
      <w:tr w:rsidR="00526993" w:rsidRPr="00526993" w14:paraId="2455FCF6" w14:textId="77777777" w:rsidTr="00AA5AF1">
        <w:trPr>
          <w:cantSplit/>
        </w:trPr>
        <w:tc>
          <w:tcPr>
            <w:tcW w:w="3402" w:type="dxa"/>
          </w:tcPr>
          <w:p w14:paraId="41B479ED" w14:textId="162A7464" w:rsidR="00DD38C6" w:rsidRPr="004C31EA" w:rsidRDefault="00DD38C6" w:rsidP="00893279">
            <w:pPr>
              <w:rPr>
                <w:b/>
                <w:bCs/>
              </w:rPr>
            </w:pPr>
            <w:r w:rsidRPr="004C31EA">
              <w:rPr>
                <w:b/>
                <w:bCs/>
              </w:rPr>
              <w:t xml:space="preserve">Curriculum - </w:t>
            </w:r>
            <w:r w:rsidR="00E35E03" w:rsidRPr="004C31EA">
              <w:rPr>
                <w:b/>
                <w:bCs/>
              </w:rPr>
              <w:t>Training</w:t>
            </w:r>
            <w:r w:rsidRPr="004C31EA">
              <w:rPr>
                <w:b/>
                <w:bCs/>
              </w:rPr>
              <w:t xml:space="preserve"> &amp; Assessment </w:t>
            </w:r>
          </w:p>
        </w:tc>
        <w:tc>
          <w:tcPr>
            <w:tcW w:w="4962" w:type="dxa"/>
          </w:tcPr>
          <w:p w14:paraId="43B65988" w14:textId="610A929C" w:rsidR="00DD38C6" w:rsidRPr="00526993" w:rsidRDefault="00F80B02" w:rsidP="00893279">
            <w:pPr>
              <w:pStyle w:val="bullettedlist"/>
            </w:pPr>
            <w:r w:rsidRPr="00526993">
              <w:t>S</w:t>
            </w:r>
            <w:r w:rsidR="00C2068B" w:rsidRPr="00526993">
              <w:t>trategies</w:t>
            </w:r>
            <w:r w:rsidRPr="00526993">
              <w:t xml:space="preserve"> are in place</w:t>
            </w:r>
            <w:r w:rsidR="002E616C" w:rsidRPr="00526993">
              <w:t xml:space="preserve"> to </w:t>
            </w:r>
            <w:r w:rsidR="00DD38C6" w:rsidRPr="00526993">
              <w:t>review and improve courses based on experiences and feedback from students with disability</w:t>
            </w:r>
            <w:r w:rsidR="009A25EB" w:rsidRPr="00526993">
              <w:t>.</w:t>
            </w:r>
          </w:p>
        </w:tc>
        <w:tc>
          <w:tcPr>
            <w:tcW w:w="1134" w:type="dxa"/>
          </w:tcPr>
          <w:p w14:paraId="4595877B" w14:textId="77777777" w:rsidR="00DD38C6" w:rsidRPr="0021744F" w:rsidRDefault="00DD38C6" w:rsidP="00893279"/>
        </w:tc>
        <w:tc>
          <w:tcPr>
            <w:tcW w:w="1275" w:type="dxa"/>
          </w:tcPr>
          <w:p w14:paraId="147B41B1" w14:textId="77777777" w:rsidR="00DD38C6" w:rsidRPr="00526993" w:rsidRDefault="00DD38C6" w:rsidP="00893279"/>
        </w:tc>
        <w:tc>
          <w:tcPr>
            <w:tcW w:w="1276" w:type="dxa"/>
          </w:tcPr>
          <w:p w14:paraId="5793EC21" w14:textId="77777777" w:rsidR="00DD38C6" w:rsidRPr="00526993" w:rsidRDefault="00DD38C6" w:rsidP="00893279"/>
        </w:tc>
        <w:tc>
          <w:tcPr>
            <w:tcW w:w="3260" w:type="dxa"/>
          </w:tcPr>
          <w:p w14:paraId="60D69D1B" w14:textId="77777777" w:rsidR="00DD38C6" w:rsidRPr="00526993" w:rsidRDefault="00DD38C6" w:rsidP="00893279"/>
        </w:tc>
      </w:tr>
      <w:tr w:rsidR="00526993" w:rsidRPr="00526993" w14:paraId="333B617C" w14:textId="77777777" w:rsidTr="00AA5AF1">
        <w:trPr>
          <w:cantSplit/>
        </w:trPr>
        <w:tc>
          <w:tcPr>
            <w:tcW w:w="3402" w:type="dxa"/>
          </w:tcPr>
          <w:p w14:paraId="1350BB4F" w14:textId="480F6808" w:rsidR="0024146B" w:rsidRPr="004C31EA" w:rsidRDefault="0024146B" w:rsidP="00FB0AD6">
            <w:pPr>
              <w:rPr>
                <w:b/>
                <w:bCs/>
              </w:rPr>
            </w:pPr>
            <w:r w:rsidRPr="004C31EA">
              <w:rPr>
                <w:b/>
                <w:bCs/>
              </w:rPr>
              <w:t>Inclusive Design &amp; Development</w:t>
            </w:r>
          </w:p>
        </w:tc>
        <w:tc>
          <w:tcPr>
            <w:tcW w:w="4962" w:type="dxa"/>
          </w:tcPr>
          <w:p w14:paraId="1B2E6EEA" w14:textId="1BB7D3E4" w:rsidR="0024146B" w:rsidRPr="00526993" w:rsidRDefault="002252C5" w:rsidP="00893279">
            <w:pPr>
              <w:pStyle w:val="bullettedlist"/>
            </w:pPr>
            <w:r w:rsidRPr="00526993">
              <w:t>P</w:t>
            </w:r>
            <w:r w:rsidR="002E616C" w:rsidRPr="00526993">
              <w:t>olicies</w:t>
            </w:r>
            <w:r w:rsidR="007B1D43" w:rsidRPr="00526993">
              <w:t xml:space="preserve">, </w:t>
            </w:r>
            <w:r w:rsidR="002E616C" w:rsidRPr="00526993">
              <w:t xml:space="preserve">procedures </w:t>
            </w:r>
            <w:r w:rsidR="007B1D43" w:rsidRPr="00526993">
              <w:t>and guidelines</w:t>
            </w:r>
            <w:r w:rsidRPr="00526993">
              <w:t xml:space="preserve"> are in place</w:t>
            </w:r>
            <w:r w:rsidR="007B1D43" w:rsidRPr="00526993">
              <w:t xml:space="preserve"> </w:t>
            </w:r>
            <w:r w:rsidR="002E616C" w:rsidRPr="00526993">
              <w:t xml:space="preserve">to ensure </w:t>
            </w:r>
            <w:r w:rsidRPr="00526993">
              <w:t xml:space="preserve">accessible, usable and inclusive </w:t>
            </w:r>
            <w:r w:rsidR="00C2068B" w:rsidRPr="00526993">
              <w:t>design</w:t>
            </w:r>
            <w:r w:rsidR="002E616C" w:rsidRPr="00526993">
              <w:t xml:space="preserve"> and development of</w:t>
            </w:r>
            <w:r w:rsidR="00137F20" w:rsidRPr="00526993">
              <w:t xml:space="preserve"> training</w:t>
            </w:r>
            <w:r w:rsidR="0024146B" w:rsidRPr="00526993">
              <w:t xml:space="preserve"> </w:t>
            </w:r>
            <w:r w:rsidR="002E616C" w:rsidRPr="00526993">
              <w:t xml:space="preserve">and assessment </w:t>
            </w:r>
            <w:r w:rsidR="0024146B" w:rsidRPr="00526993">
              <w:t>materials and resources,</w:t>
            </w:r>
            <w:r w:rsidR="002E616C" w:rsidRPr="00526993">
              <w:t xml:space="preserve"> equipment,</w:t>
            </w:r>
            <w:r w:rsidR="0024146B" w:rsidRPr="00526993">
              <w:t xml:space="preserve"> platforms</w:t>
            </w:r>
            <w:r w:rsidR="00BD19D9" w:rsidRPr="00526993">
              <w:t>,</w:t>
            </w:r>
            <w:r w:rsidR="0024146B" w:rsidRPr="00526993">
              <w:t xml:space="preserve"> technology and tools</w:t>
            </w:r>
            <w:r w:rsidR="00A35883" w:rsidRPr="00526993">
              <w:t>.</w:t>
            </w:r>
          </w:p>
        </w:tc>
        <w:tc>
          <w:tcPr>
            <w:tcW w:w="1134" w:type="dxa"/>
          </w:tcPr>
          <w:p w14:paraId="5F61B6BC" w14:textId="77777777" w:rsidR="0024146B" w:rsidRPr="0021744F" w:rsidRDefault="0024146B" w:rsidP="00893279"/>
        </w:tc>
        <w:tc>
          <w:tcPr>
            <w:tcW w:w="1275" w:type="dxa"/>
          </w:tcPr>
          <w:p w14:paraId="42AC3F2F" w14:textId="77777777" w:rsidR="0024146B" w:rsidRPr="00526993" w:rsidRDefault="0024146B" w:rsidP="00893279"/>
        </w:tc>
        <w:tc>
          <w:tcPr>
            <w:tcW w:w="1276" w:type="dxa"/>
          </w:tcPr>
          <w:p w14:paraId="6500D5B3" w14:textId="77777777" w:rsidR="0024146B" w:rsidRPr="00526993" w:rsidRDefault="0024146B" w:rsidP="00893279"/>
        </w:tc>
        <w:tc>
          <w:tcPr>
            <w:tcW w:w="3260" w:type="dxa"/>
          </w:tcPr>
          <w:p w14:paraId="6C1315E2" w14:textId="77777777" w:rsidR="0024146B" w:rsidRPr="00526993" w:rsidRDefault="0024146B" w:rsidP="00893279"/>
        </w:tc>
      </w:tr>
      <w:tr w:rsidR="00526993" w:rsidRPr="00526993" w14:paraId="21508B52" w14:textId="77777777" w:rsidTr="00AA5AF1">
        <w:trPr>
          <w:cantSplit/>
        </w:trPr>
        <w:tc>
          <w:tcPr>
            <w:tcW w:w="3402" w:type="dxa"/>
          </w:tcPr>
          <w:p w14:paraId="0E11B6BF" w14:textId="41395631" w:rsidR="00DD38C6" w:rsidRPr="004C31EA" w:rsidRDefault="00DD38C6" w:rsidP="00893279">
            <w:pPr>
              <w:rPr>
                <w:b/>
                <w:bCs/>
              </w:rPr>
            </w:pPr>
            <w:r w:rsidRPr="004C31EA">
              <w:rPr>
                <w:b/>
                <w:bCs/>
              </w:rPr>
              <w:lastRenderedPageBreak/>
              <w:t>Inclusive Design &amp; Development</w:t>
            </w:r>
          </w:p>
        </w:tc>
        <w:tc>
          <w:tcPr>
            <w:tcW w:w="4962" w:type="dxa"/>
          </w:tcPr>
          <w:p w14:paraId="589C8850" w14:textId="7C2D544F" w:rsidR="00DD38C6" w:rsidRPr="00526993" w:rsidRDefault="00BD19D9" w:rsidP="00893279">
            <w:pPr>
              <w:pStyle w:val="bullettedlist"/>
            </w:pPr>
            <w:r w:rsidRPr="00526993">
              <w:t>A</w:t>
            </w:r>
            <w:r w:rsidR="00137F20" w:rsidRPr="00526993">
              <w:t xml:space="preserve"> range of resources and supports</w:t>
            </w:r>
            <w:r w:rsidR="00A71F59" w:rsidRPr="00526993">
              <w:t xml:space="preserve"> exist</w:t>
            </w:r>
            <w:r w:rsidR="00137F20" w:rsidRPr="00526993">
              <w:t xml:space="preserve"> for staff to </w:t>
            </w:r>
            <w:r w:rsidR="0064278E" w:rsidRPr="00526993">
              <w:t>design and develop i</w:t>
            </w:r>
            <w:r w:rsidR="00137F20" w:rsidRPr="00526993">
              <w:t xml:space="preserve">nclusive </w:t>
            </w:r>
            <w:r w:rsidR="0064278E" w:rsidRPr="00526993">
              <w:t>training and assessment experiences, materials and resources</w:t>
            </w:r>
            <w:r w:rsidR="00DC693D" w:rsidRPr="00526993">
              <w:t xml:space="preserve">, including conversion of materials and resources into accessible and alternative formats </w:t>
            </w:r>
            <w:r w:rsidR="004015FB" w:rsidRPr="00526993">
              <w:t xml:space="preserve">and accessibility </w:t>
            </w:r>
            <w:r w:rsidR="0064278E" w:rsidRPr="00526993">
              <w:t>check</w:t>
            </w:r>
            <w:r w:rsidR="004015FB" w:rsidRPr="00526993">
              <w:t>ing</w:t>
            </w:r>
            <w:r w:rsidR="0064278E" w:rsidRPr="00526993">
              <w:t>.</w:t>
            </w:r>
            <w:r w:rsidR="00DD38C6" w:rsidRPr="00526993">
              <w:t xml:space="preserve"> </w:t>
            </w:r>
          </w:p>
        </w:tc>
        <w:tc>
          <w:tcPr>
            <w:tcW w:w="1134" w:type="dxa"/>
          </w:tcPr>
          <w:p w14:paraId="0826577B" w14:textId="77777777" w:rsidR="00DD38C6" w:rsidRPr="0021744F" w:rsidRDefault="00DD38C6" w:rsidP="00893279"/>
        </w:tc>
        <w:tc>
          <w:tcPr>
            <w:tcW w:w="1275" w:type="dxa"/>
          </w:tcPr>
          <w:p w14:paraId="41F6CB2C" w14:textId="77777777" w:rsidR="00DD38C6" w:rsidRPr="00526993" w:rsidRDefault="00DD38C6" w:rsidP="00893279"/>
        </w:tc>
        <w:tc>
          <w:tcPr>
            <w:tcW w:w="1276" w:type="dxa"/>
          </w:tcPr>
          <w:p w14:paraId="33DD2762" w14:textId="77777777" w:rsidR="00DD38C6" w:rsidRPr="00526993" w:rsidRDefault="00DD38C6" w:rsidP="00893279"/>
        </w:tc>
        <w:tc>
          <w:tcPr>
            <w:tcW w:w="3260" w:type="dxa"/>
          </w:tcPr>
          <w:p w14:paraId="463CB09F" w14:textId="77777777" w:rsidR="00DD38C6" w:rsidRPr="00526993" w:rsidRDefault="00DD38C6" w:rsidP="00893279"/>
        </w:tc>
      </w:tr>
      <w:tr w:rsidR="00526993" w:rsidRPr="00526993" w14:paraId="6DD9F08D" w14:textId="77777777" w:rsidTr="00AA5AF1">
        <w:trPr>
          <w:cantSplit/>
        </w:trPr>
        <w:tc>
          <w:tcPr>
            <w:tcW w:w="3402" w:type="dxa"/>
          </w:tcPr>
          <w:p w14:paraId="2D2F1849" w14:textId="39242F61" w:rsidR="00A35883" w:rsidRPr="004C31EA" w:rsidRDefault="00A35883" w:rsidP="00893279">
            <w:pPr>
              <w:rPr>
                <w:b/>
                <w:bCs/>
              </w:rPr>
            </w:pPr>
            <w:r w:rsidRPr="004C31EA">
              <w:rPr>
                <w:b/>
                <w:bCs/>
              </w:rPr>
              <w:t xml:space="preserve">Inclusive Training and Assessment </w:t>
            </w:r>
          </w:p>
        </w:tc>
        <w:tc>
          <w:tcPr>
            <w:tcW w:w="4962" w:type="dxa"/>
          </w:tcPr>
          <w:p w14:paraId="02C38403" w14:textId="17678F69" w:rsidR="00A35883" w:rsidRPr="00526993" w:rsidRDefault="00A71F59" w:rsidP="00893279">
            <w:pPr>
              <w:pStyle w:val="bullettedlist"/>
            </w:pPr>
            <w:r w:rsidRPr="00526993">
              <w:t>I</w:t>
            </w:r>
            <w:r w:rsidR="00A35883" w:rsidRPr="00526993">
              <w:t>nclusive standards or guidelines</w:t>
            </w:r>
            <w:r w:rsidRPr="00526993">
              <w:t xml:space="preserve"> exist</w:t>
            </w:r>
            <w:r w:rsidR="00A35883" w:rsidRPr="00526993">
              <w:t xml:space="preserve"> to ensure </w:t>
            </w:r>
            <w:r w:rsidR="009B7624" w:rsidRPr="00526993">
              <w:t xml:space="preserve">delivery of </w:t>
            </w:r>
            <w:r w:rsidR="00A35883" w:rsidRPr="00526993">
              <w:t>accessible and universally designed training and assessment.</w:t>
            </w:r>
            <w:r w:rsidR="00DC693D" w:rsidRPr="00526993">
              <w:t xml:space="preserve"> </w:t>
            </w:r>
          </w:p>
        </w:tc>
        <w:tc>
          <w:tcPr>
            <w:tcW w:w="1134" w:type="dxa"/>
          </w:tcPr>
          <w:p w14:paraId="21AC1240" w14:textId="77777777" w:rsidR="00A35883" w:rsidRPr="0021744F" w:rsidRDefault="00A35883" w:rsidP="00893279"/>
        </w:tc>
        <w:tc>
          <w:tcPr>
            <w:tcW w:w="1275" w:type="dxa"/>
          </w:tcPr>
          <w:p w14:paraId="6144ECB4" w14:textId="77777777" w:rsidR="00A35883" w:rsidRPr="00526993" w:rsidRDefault="00A35883" w:rsidP="00893279"/>
        </w:tc>
        <w:tc>
          <w:tcPr>
            <w:tcW w:w="1276" w:type="dxa"/>
          </w:tcPr>
          <w:p w14:paraId="2C39A2DD" w14:textId="77777777" w:rsidR="00A35883" w:rsidRPr="00526993" w:rsidRDefault="00A35883" w:rsidP="00893279"/>
        </w:tc>
        <w:tc>
          <w:tcPr>
            <w:tcW w:w="3260" w:type="dxa"/>
          </w:tcPr>
          <w:p w14:paraId="3A29BA39" w14:textId="77777777" w:rsidR="00A35883" w:rsidRPr="00526993" w:rsidRDefault="00A35883" w:rsidP="00893279"/>
        </w:tc>
      </w:tr>
      <w:tr w:rsidR="00526993" w:rsidRPr="00526993" w14:paraId="5A0BA730" w14:textId="77777777" w:rsidTr="00AA5AF1">
        <w:trPr>
          <w:cantSplit/>
        </w:trPr>
        <w:tc>
          <w:tcPr>
            <w:tcW w:w="3402" w:type="dxa"/>
          </w:tcPr>
          <w:p w14:paraId="7DC0630A" w14:textId="55125A38" w:rsidR="00A35883" w:rsidRPr="004C31EA" w:rsidRDefault="00A35883" w:rsidP="00893279">
            <w:pPr>
              <w:rPr>
                <w:b/>
                <w:bCs/>
              </w:rPr>
            </w:pPr>
            <w:r w:rsidRPr="004C31EA">
              <w:rPr>
                <w:b/>
                <w:bCs/>
              </w:rPr>
              <w:t xml:space="preserve">Inclusive Training and Assessment </w:t>
            </w:r>
          </w:p>
        </w:tc>
        <w:tc>
          <w:tcPr>
            <w:tcW w:w="4962" w:type="dxa"/>
          </w:tcPr>
          <w:p w14:paraId="58A471AA" w14:textId="02FCC055" w:rsidR="00A35883" w:rsidRPr="00526993" w:rsidRDefault="00A507D5" w:rsidP="00893279">
            <w:pPr>
              <w:pStyle w:val="bullettedlist"/>
            </w:pPr>
            <w:r w:rsidRPr="00526993">
              <w:t>A</w:t>
            </w:r>
            <w:r w:rsidR="00A35883" w:rsidRPr="00526993">
              <w:t xml:space="preserve"> range of resources and supports </w:t>
            </w:r>
            <w:r w:rsidRPr="00526993">
              <w:t xml:space="preserve">are available </w:t>
            </w:r>
            <w:r w:rsidR="00A35883" w:rsidRPr="00526993">
              <w:t xml:space="preserve">for staff to </w:t>
            </w:r>
            <w:r w:rsidR="00A71F59" w:rsidRPr="00526993">
              <w:t>en</w:t>
            </w:r>
            <w:r w:rsidR="00A35883" w:rsidRPr="00526993">
              <w:t xml:space="preserve">able </w:t>
            </w:r>
            <w:r w:rsidR="009B7624" w:rsidRPr="00526993">
              <w:t xml:space="preserve">the delivery of </w:t>
            </w:r>
            <w:r w:rsidR="00A35883" w:rsidRPr="00526993">
              <w:t>training and assessment in an accessible, usable and inclusive way</w:t>
            </w:r>
            <w:r w:rsidR="009B7624" w:rsidRPr="00526993">
              <w:t>.</w:t>
            </w:r>
          </w:p>
        </w:tc>
        <w:tc>
          <w:tcPr>
            <w:tcW w:w="1134" w:type="dxa"/>
          </w:tcPr>
          <w:p w14:paraId="37A96A7D" w14:textId="77777777" w:rsidR="00A35883" w:rsidRPr="0021744F" w:rsidRDefault="00A35883" w:rsidP="00893279"/>
        </w:tc>
        <w:tc>
          <w:tcPr>
            <w:tcW w:w="1275" w:type="dxa"/>
          </w:tcPr>
          <w:p w14:paraId="79670E2E" w14:textId="77777777" w:rsidR="00A35883" w:rsidRPr="00526993" w:rsidRDefault="00A35883" w:rsidP="00893279"/>
        </w:tc>
        <w:tc>
          <w:tcPr>
            <w:tcW w:w="1276" w:type="dxa"/>
          </w:tcPr>
          <w:p w14:paraId="0197F393" w14:textId="77777777" w:rsidR="00A35883" w:rsidRPr="00526993" w:rsidRDefault="00A35883" w:rsidP="00893279"/>
        </w:tc>
        <w:tc>
          <w:tcPr>
            <w:tcW w:w="3260" w:type="dxa"/>
          </w:tcPr>
          <w:p w14:paraId="3D68016E" w14:textId="77777777" w:rsidR="00A35883" w:rsidRPr="00526993" w:rsidRDefault="00A35883" w:rsidP="00893279"/>
        </w:tc>
      </w:tr>
      <w:tr w:rsidR="00526993" w:rsidRPr="00526993" w14:paraId="7BD0C6E9" w14:textId="77777777" w:rsidTr="00AA5AF1">
        <w:trPr>
          <w:cantSplit/>
        </w:trPr>
        <w:tc>
          <w:tcPr>
            <w:tcW w:w="3402" w:type="dxa"/>
          </w:tcPr>
          <w:p w14:paraId="22031BD0" w14:textId="7A6BA210" w:rsidR="00DD38C6" w:rsidRPr="004C31EA" w:rsidRDefault="00A35883" w:rsidP="00893279">
            <w:pPr>
              <w:rPr>
                <w:b/>
                <w:bCs/>
              </w:rPr>
            </w:pPr>
            <w:r w:rsidRPr="004C31EA">
              <w:rPr>
                <w:b/>
                <w:bCs/>
              </w:rPr>
              <w:t>Inclusive Training and Assessment</w:t>
            </w:r>
          </w:p>
        </w:tc>
        <w:tc>
          <w:tcPr>
            <w:tcW w:w="4962" w:type="dxa"/>
          </w:tcPr>
          <w:p w14:paraId="6C4EAC3D" w14:textId="0590D9A2" w:rsidR="00DD38C6" w:rsidRPr="00526993" w:rsidRDefault="00A71F59" w:rsidP="00893279">
            <w:pPr>
              <w:pStyle w:val="bullettedlist"/>
            </w:pPr>
            <w:r w:rsidRPr="00526993">
              <w:t>P</w:t>
            </w:r>
            <w:r w:rsidR="002E616C" w:rsidRPr="00526993">
              <w:t>rocesses</w:t>
            </w:r>
            <w:r w:rsidRPr="00526993">
              <w:t xml:space="preserve"> are in place</w:t>
            </w:r>
            <w:r w:rsidR="002E616C" w:rsidRPr="00526993">
              <w:t xml:space="preserve"> to </w:t>
            </w:r>
            <w:r w:rsidR="00DD38C6" w:rsidRPr="00526993">
              <w:t xml:space="preserve">gather feedback from </w:t>
            </w:r>
            <w:r w:rsidR="00A507D5" w:rsidRPr="00526993">
              <w:t>students</w:t>
            </w:r>
            <w:r w:rsidR="00DD38C6" w:rsidRPr="00526993">
              <w:t xml:space="preserve"> about the accessibility, usability and inclusiveness of</w:t>
            </w:r>
            <w:r w:rsidR="00A35883" w:rsidRPr="00526993">
              <w:t xml:space="preserve"> training and assessment.</w:t>
            </w:r>
          </w:p>
        </w:tc>
        <w:tc>
          <w:tcPr>
            <w:tcW w:w="1134" w:type="dxa"/>
          </w:tcPr>
          <w:p w14:paraId="21328A69" w14:textId="77777777" w:rsidR="00DD38C6" w:rsidRPr="0021744F" w:rsidRDefault="00DD38C6" w:rsidP="00893279"/>
        </w:tc>
        <w:tc>
          <w:tcPr>
            <w:tcW w:w="1275" w:type="dxa"/>
          </w:tcPr>
          <w:p w14:paraId="2AF4A780" w14:textId="77777777" w:rsidR="00DD38C6" w:rsidRPr="00526993" w:rsidRDefault="00DD38C6" w:rsidP="00893279"/>
        </w:tc>
        <w:tc>
          <w:tcPr>
            <w:tcW w:w="1276" w:type="dxa"/>
          </w:tcPr>
          <w:p w14:paraId="06CAACAD" w14:textId="77777777" w:rsidR="00DD38C6" w:rsidRPr="00526993" w:rsidRDefault="00DD38C6" w:rsidP="00893279"/>
        </w:tc>
        <w:tc>
          <w:tcPr>
            <w:tcW w:w="3260" w:type="dxa"/>
          </w:tcPr>
          <w:p w14:paraId="284F0DCA" w14:textId="77777777" w:rsidR="00DD38C6" w:rsidRPr="00526993" w:rsidRDefault="00DD38C6" w:rsidP="00893279"/>
        </w:tc>
      </w:tr>
      <w:tr w:rsidR="00526993" w:rsidRPr="00526993" w14:paraId="6EB88DCD" w14:textId="77777777" w:rsidTr="00AA5AF1">
        <w:trPr>
          <w:cantSplit/>
        </w:trPr>
        <w:tc>
          <w:tcPr>
            <w:tcW w:w="3402" w:type="dxa"/>
          </w:tcPr>
          <w:p w14:paraId="6528F5A0" w14:textId="5E56C50F" w:rsidR="00137F20" w:rsidRPr="004C31EA" w:rsidRDefault="00137F20" w:rsidP="00893279">
            <w:pPr>
              <w:rPr>
                <w:b/>
                <w:bCs/>
              </w:rPr>
            </w:pPr>
            <w:r w:rsidRPr="004C31EA">
              <w:rPr>
                <w:b/>
                <w:bCs/>
              </w:rPr>
              <w:t>Reasonable Adjustments</w:t>
            </w:r>
          </w:p>
        </w:tc>
        <w:tc>
          <w:tcPr>
            <w:tcW w:w="4962" w:type="dxa"/>
          </w:tcPr>
          <w:p w14:paraId="6F63F5DB" w14:textId="627E08FE" w:rsidR="00137F20" w:rsidRPr="00526993" w:rsidRDefault="00A507D5" w:rsidP="00893279">
            <w:pPr>
              <w:pStyle w:val="bullettedlist"/>
            </w:pPr>
            <w:r w:rsidRPr="00526993">
              <w:t>P</w:t>
            </w:r>
            <w:r w:rsidR="00137F20" w:rsidRPr="00526993">
              <w:t xml:space="preserve">olicies, procedures, and templates </w:t>
            </w:r>
            <w:r w:rsidRPr="00526993">
              <w:t xml:space="preserve">are in place to </w:t>
            </w:r>
            <w:r w:rsidR="00137F20" w:rsidRPr="00526993">
              <w:t>support the negotiation,</w:t>
            </w:r>
            <w:r w:rsidR="004015FB" w:rsidRPr="00526993">
              <w:t xml:space="preserve"> determination,</w:t>
            </w:r>
            <w:r w:rsidR="00137F20" w:rsidRPr="00526993">
              <w:t xml:space="preserve"> documentation</w:t>
            </w:r>
            <w:r w:rsidR="009B7624" w:rsidRPr="00526993">
              <w:t>,</w:t>
            </w:r>
            <w:r w:rsidR="00137F20" w:rsidRPr="00526993">
              <w:t xml:space="preserve"> implementation and review of </w:t>
            </w:r>
            <w:r w:rsidR="004015FB" w:rsidRPr="00526993">
              <w:t xml:space="preserve">supports and </w:t>
            </w:r>
            <w:r w:rsidR="00137F20" w:rsidRPr="00526993">
              <w:t>reasonable adjustments</w:t>
            </w:r>
            <w:r w:rsidR="004015FB" w:rsidRPr="00526993">
              <w:t>.</w:t>
            </w:r>
            <w:r w:rsidR="00137F20" w:rsidRPr="00526993">
              <w:t xml:space="preserve"> </w:t>
            </w:r>
          </w:p>
        </w:tc>
        <w:tc>
          <w:tcPr>
            <w:tcW w:w="1134" w:type="dxa"/>
          </w:tcPr>
          <w:p w14:paraId="68DBC0A0" w14:textId="77777777" w:rsidR="00137F20" w:rsidRPr="0021744F" w:rsidRDefault="00137F20" w:rsidP="00893279"/>
        </w:tc>
        <w:tc>
          <w:tcPr>
            <w:tcW w:w="1275" w:type="dxa"/>
          </w:tcPr>
          <w:p w14:paraId="5179B3E2" w14:textId="77777777" w:rsidR="00137F20" w:rsidRPr="00526993" w:rsidRDefault="00137F20" w:rsidP="00893279"/>
        </w:tc>
        <w:tc>
          <w:tcPr>
            <w:tcW w:w="1276" w:type="dxa"/>
          </w:tcPr>
          <w:p w14:paraId="44F6C54F" w14:textId="77777777" w:rsidR="00137F20" w:rsidRPr="00526993" w:rsidRDefault="00137F20" w:rsidP="00893279"/>
        </w:tc>
        <w:tc>
          <w:tcPr>
            <w:tcW w:w="3260" w:type="dxa"/>
          </w:tcPr>
          <w:p w14:paraId="49FC4A3B" w14:textId="77777777" w:rsidR="00137F20" w:rsidRPr="00526993" w:rsidRDefault="00137F20" w:rsidP="00893279"/>
        </w:tc>
      </w:tr>
      <w:tr w:rsidR="00526993" w:rsidRPr="00526993" w14:paraId="0838804E" w14:textId="77777777" w:rsidTr="00AA5AF1">
        <w:trPr>
          <w:cantSplit/>
          <w:trHeight w:val="709"/>
        </w:trPr>
        <w:tc>
          <w:tcPr>
            <w:tcW w:w="3402" w:type="dxa"/>
          </w:tcPr>
          <w:p w14:paraId="4F5B9B48" w14:textId="79AF676E" w:rsidR="005B4698" w:rsidRPr="004C31EA" w:rsidRDefault="00137F20" w:rsidP="00FB0AD6">
            <w:pPr>
              <w:rPr>
                <w:b/>
                <w:bCs/>
              </w:rPr>
            </w:pPr>
            <w:r w:rsidRPr="004C31EA">
              <w:rPr>
                <w:b/>
                <w:bCs/>
              </w:rPr>
              <w:lastRenderedPageBreak/>
              <w:t>Reasonable Adjustments</w:t>
            </w:r>
          </w:p>
        </w:tc>
        <w:tc>
          <w:tcPr>
            <w:tcW w:w="4962" w:type="dxa"/>
          </w:tcPr>
          <w:p w14:paraId="0860FBB1" w14:textId="0D0C413D" w:rsidR="00137F20" w:rsidRPr="00526993" w:rsidRDefault="00C46FCE" w:rsidP="00893279">
            <w:pPr>
              <w:pStyle w:val="bullettedlist"/>
            </w:pPr>
            <w:r w:rsidRPr="00526993">
              <w:t>R</w:t>
            </w:r>
            <w:r w:rsidR="00065FAF" w:rsidRPr="00526993">
              <w:t xml:space="preserve">egular and ongoing </w:t>
            </w:r>
            <w:r w:rsidR="00137F20" w:rsidRPr="00526993">
              <w:t xml:space="preserve">professional development </w:t>
            </w:r>
            <w:r w:rsidRPr="00526993">
              <w:t xml:space="preserve">is available for staff </w:t>
            </w:r>
            <w:r w:rsidR="009B7624" w:rsidRPr="00526993">
              <w:t xml:space="preserve">who will </w:t>
            </w:r>
            <w:r w:rsidR="00137F20" w:rsidRPr="00526993">
              <w:t>apply the policy, procedures</w:t>
            </w:r>
            <w:r w:rsidR="009B7624" w:rsidRPr="00526993">
              <w:t xml:space="preserve"> </w:t>
            </w:r>
            <w:r w:rsidRPr="00526993">
              <w:t>and</w:t>
            </w:r>
            <w:r w:rsidR="00137F20" w:rsidRPr="00526993">
              <w:t xml:space="preserve"> templates, </w:t>
            </w:r>
            <w:r w:rsidR="00A35883" w:rsidRPr="00526993">
              <w:t xml:space="preserve">and </w:t>
            </w:r>
            <w:r w:rsidR="004015FB" w:rsidRPr="00526993">
              <w:t xml:space="preserve">evidence </w:t>
            </w:r>
            <w:r w:rsidR="00137F20" w:rsidRPr="00526993">
              <w:t>decision making</w:t>
            </w:r>
            <w:r w:rsidR="004015FB" w:rsidRPr="00526993">
              <w:t xml:space="preserve"> about </w:t>
            </w:r>
            <w:r w:rsidR="00A35883" w:rsidRPr="00526993">
              <w:t>inherent requirements, reasonable adjustments and course integrity</w:t>
            </w:r>
            <w:r w:rsidR="00137F20" w:rsidRPr="00526993">
              <w:t>.</w:t>
            </w:r>
          </w:p>
        </w:tc>
        <w:tc>
          <w:tcPr>
            <w:tcW w:w="1134" w:type="dxa"/>
          </w:tcPr>
          <w:p w14:paraId="0BA4634F" w14:textId="77777777" w:rsidR="00137F20" w:rsidRPr="0021744F" w:rsidRDefault="00137F20" w:rsidP="00893279"/>
        </w:tc>
        <w:tc>
          <w:tcPr>
            <w:tcW w:w="1275" w:type="dxa"/>
          </w:tcPr>
          <w:p w14:paraId="3C829568" w14:textId="77777777" w:rsidR="00137F20" w:rsidRPr="00526993" w:rsidRDefault="00137F20" w:rsidP="00893279"/>
        </w:tc>
        <w:tc>
          <w:tcPr>
            <w:tcW w:w="1276" w:type="dxa"/>
          </w:tcPr>
          <w:p w14:paraId="78AA8A19" w14:textId="77777777" w:rsidR="00137F20" w:rsidRPr="00526993" w:rsidRDefault="00137F20" w:rsidP="00893279"/>
        </w:tc>
        <w:tc>
          <w:tcPr>
            <w:tcW w:w="3260" w:type="dxa"/>
          </w:tcPr>
          <w:p w14:paraId="4180E0AF" w14:textId="77777777" w:rsidR="00137F20" w:rsidRPr="00526993" w:rsidRDefault="00137F20" w:rsidP="00893279"/>
        </w:tc>
      </w:tr>
      <w:tr w:rsidR="00526993" w:rsidRPr="00526993" w14:paraId="1658613F" w14:textId="77777777" w:rsidTr="00AA5AF1">
        <w:trPr>
          <w:cantSplit/>
        </w:trPr>
        <w:tc>
          <w:tcPr>
            <w:tcW w:w="3402" w:type="dxa"/>
          </w:tcPr>
          <w:p w14:paraId="7A9EE4EF" w14:textId="4EDDB0E0" w:rsidR="00137F20" w:rsidRPr="004C31EA" w:rsidRDefault="00137F20" w:rsidP="00893279">
            <w:pPr>
              <w:rPr>
                <w:b/>
                <w:bCs/>
              </w:rPr>
            </w:pPr>
            <w:r w:rsidRPr="004C31EA">
              <w:rPr>
                <w:b/>
                <w:bCs/>
              </w:rPr>
              <w:t>Reasonable Adjustments</w:t>
            </w:r>
          </w:p>
        </w:tc>
        <w:tc>
          <w:tcPr>
            <w:tcW w:w="4962" w:type="dxa"/>
          </w:tcPr>
          <w:p w14:paraId="3CC1924C" w14:textId="60A60A0D" w:rsidR="00137F20" w:rsidRPr="00526993" w:rsidRDefault="00D13707" w:rsidP="00893279">
            <w:pPr>
              <w:pStyle w:val="bullettedlist"/>
            </w:pPr>
            <w:r w:rsidRPr="00526993">
              <w:t>A</w:t>
            </w:r>
            <w:r w:rsidR="00137F20" w:rsidRPr="00526993">
              <w:t>ccess to specialised services and supports</w:t>
            </w:r>
            <w:r w:rsidR="00A507D5" w:rsidRPr="00526993">
              <w:t xml:space="preserve"> is available to students</w:t>
            </w:r>
            <w:r w:rsidR="00137F20" w:rsidRPr="00526993">
              <w:t>,</w:t>
            </w:r>
            <w:r w:rsidRPr="00526993">
              <w:t xml:space="preserve"> </w:t>
            </w:r>
            <w:r w:rsidR="00A507D5" w:rsidRPr="00526993">
              <w:t>and staff are informed about h</w:t>
            </w:r>
            <w:r w:rsidR="00137F20" w:rsidRPr="00526993">
              <w:t xml:space="preserve">ow </w:t>
            </w:r>
            <w:r w:rsidRPr="00526993">
              <w:t>these</w:t>
            </w:r>
            <w:r w:rsidR="00A507D5" w:rsidRPr="00526993">
              <w:t xml:space="preserve"> can be utilised</w:t>
            </w:r>
            <w:r w:rsidRPr="00526993">
              <w:t xml:space="preserve">. </w:t>
            </w:r>
          </w:p>
        </w:tc>
        <w:tc>
          <w:tcPr>
            <w:tcW w:w="1134" w:type="dxa"/>
          </w:tcPr>
          <w:p w14:paraId="69162F9E" w14:textId="77777777" w:rsidR="00137F20" w:rsidRPr="0021744F" w:rsidRDefault="00137F20" w:rsidP="00893279"/>
        </w:tc>
        <w:tc>
          <w:tcPr>
            <w:tcW w:w="1275" w:type="dxa"/>
          </w:tcPr>
          <w:p w14:paraId="132DC194" w14:textId="77777777" w:rsidR="00137F20" w:rsidRPr="00526993" w:rsidRDefault="00137F20" w:rsidP="00893279"/>
        </w:tc>
        <w:tc>
          <w:tcPr>
            <w:tcW w:w="1276" w:type="dxa"/>
          </w:tcPr>
          <w:p w14:paraId="5D6803EF" w14:textId="77777777" w:rsidR="00137F20" w:rsidRPr="00526993" w:rsidRDefault="00137F20" w:rsidP="00893279"/>
        </w:tc>
        <w:tc>
          <w:tcPr>
            <w:tcW w:w="3260" w:type="dxa"/>
          </w:tcPr>
          <w:p w14:paraId="7A6BD85D" w14:textId="77777777" w:rsidR="00137F20" w:rsidRPr="00526993" w:rsidRDefault="00137F20" w:rsidP="00893279"/>
        </w:tc>
      </w:tr>
      <w:tr w:rsidR="00526993" w:rsidRPr="00526993" w14:paraId="049FAEBD" w14:textId="77777777" w:rsidTr="00AA5AF1">
        <w:trPr>
          <w:cantSplit/>
        </w:trPr>
        <w:tc>
          <w:tcPr>
            <w:tcW w:w="3402" w:type="dxa"/>
          </w:tcPr>
          <w:p w14:paraId="7731C52E" w14:textId="0B021A51" w:rsidR="00A8768C" w:rsidRPr="004C31EA" w:rsidRDefault="00A8768C" w:rsidP="00FB0AD6">
            <w:pPr>
              <w:rPr>
                <w:b/>
                <w:bCs/>
              </w:rPr>
            </w:pPr>
            <w:r w:rsidRPr="004C31EA">
              <w:rPr>
                <w:b/>
                <w:bCs/>
              </w:rPr>
              <w:t>Progression and Completion</w:t>
            </w:r>
          </w:p>
        </w:tc>
        <w:tc>
          <w:tcPr>
            <w:tcW w:w="4962" w:type="dxa"/>
          </w:tcPr>
          <w:p w14:paraId="4B665E9C" w14:textId="6DEB9332" w:rsidR="00A8768C" w:rsidRPr="00526993" w:rsidRDefault="00A507D5" w:rsidP="00893279">
            <w:pPr>
              <w:pStyle w:val="bullettedlist"/>
              <w:rPr>
                <w:rFonts w:eastAsia="Times New Roman"/>
              </w:rPr>
            </w:pPr>
            <w:r w:rsidRPr="00526993">
              <w:t>P</w:t>
            </w:r>
            <w:r w:rsidR="00DC693D" w:rsidRPr="00526993">
              <w:t>olic</w:t>
            </w:r>
            <w:r w:rsidRPr="00526993">
              <w:t>ies</w:t>
            </w:r>
            <w:r w:rsidR="00DC693D" w:rsidRPr="00526993">
              <w:t xml:space="preserve"> and procedures</w:t>
            </w:r>
            <w:r w:rsidRPr="00526993">
              <w:t xml:space="preserve"> are available for</w:t>
            </w:r>
            <w:r w:rsidR="009B7624" w:rsidRPr="00526993">
              <w:t xml:space="preserve"> monitoring, informing and</w:t>
            </w:r>
            <w:r w:rsidR="00D13707" w:rsidRPr="00526993">
              <w:t xml:space="preserve"> </w:t>
            </w:r>
            <w:r w:rsidR="009B7624" w:rsidRPr="00526993">
              <w:t xml:space="preserve">managing </w:t>
            </w:r>
            <w:r w:rsidR="00593913" w:rsidRPr="00526993">
              <w:t xml:space="preserve">student </w:t>
            </w:r>
            <w:r w:rsidR="009B7624" w:rsidRPr="00526993">
              <w:t>expectations</w:t>
            </w:r>
            <w:r w:rsidR="0064278E" w:rsidRPr="00526993">
              <w:t xml:space="preserve"> and</w:t>
            </w:r>
            <w:r w:rsidR="009B7624" w:rsidRPr="00526993">
              <w:t xml:space="preserve"> progression</w:t>
            </w:r>
            <w:r w:rsidR="0064278E" w:rsidRPr="00526993">
              <w:t xml:space="preserve">, </w:t>
            </w:r>
            <w:r w:rsidR="009B7624" w:rsidRPr="00526993">
              <w:t xml:space="preserve">including planning and </w:t>
            </w:r>
            <w:r w:rsidR="00D13707" w:rsidRPr="00526993">
              <w:t>early</w:t>
            </w:r>
            <w:r w:rsidR="00DC693D" w:rsidRPr="00526993">
              <w:t xml:space="preserve"> interve</w:t>
            </w:r>
            <w:r w:rsidR="00D13707" w:rsidRPr="00526993">
              <w:t>ntion</w:t>
            </w:r>
            <w:r w:rsidR="0064278E" w:rsidRPr="00526993">
              <w:t>.</w:t>
            </w:r>
            <w:r w:rsidR="00DC693D" w:rsidRPr="00526993">
              <w:t xml:space="preserve"> </w:t>
            </w:r>
          </w:p>
        </w:tc>
        <w:tc>
          <w:tcPr>
            <w:tcW w:w="1134" w:type="dxa"/>
          </w:tcPr>
          <w:p w14:paraId="31486BE7" w14:textId="77777777" w:rsidR="00A8768C" w:rsidRPr="0021744F" w:rsidRDefault="00A8768C" w:rsidP="00893279"/>
        </w:tc>
        <w:tc>
          <w:tcPr>
            <w:tcW w:w="1275" w:type="dxa"/>
          </w:tcPr>
          <w:p w14:paraId="42603F9B" w14:textId="77777777" w:rsidR="00A8768C" w:rsidRPr="00526993" w:rsidRDefault="00A8768C" w:rsidP="00893279"/>
        </w:tc>
        <w:tc>
          <w:tcPr>
            <w:tcW w:w="1276" w:type="dxa"/>
          </w:tcPr>
          <w:p w14:paraId="0174EA1D" w14:textId="77777777" w:rsidR="00A8768C" w:rsidRPr="00526993" w:rsidRDefault="00A8768C" w:rsidP="00893279"/>
        </w:tc>
        <w:tc>
          <w:tcPr>
            <w:tcW w:w="3260" w:type="dxa"/>
          </w:tcPr>
          <w:p w14:paraId="7D4614FA" w14:textId="77777777" w:rsidR="00A8768C" w:rsidRPr="00526993" w:rsidRDefault="00A8768C" w:rsidP="00893279"/>
        </w:tc>
      </w:tr>
      <w:tr w:rsidR="00526993" w:rsidRPr="00526993" w14:paraId="0F8401FD" w14:textId="77777777" w:rsidTr="00AA5AF1">
        <w:trPr>
          <w:cantSplit/>
        </w:trPr>
        <w:tc>
          <w:tcPr>
            <w:tcW w:w="3402" w:type="dxa"/>
          </w:tcPr>
          <w:p w14:paraId="233A52F9" w14:textId="35A61F99" w:rsidR="002E616C" w:rsidRPr="004C31EA" w:rsidRDefault="002E616C" w:rsidP="00893279">
            <w:pPr>
              <w:rPr>
                <w:b/>
                <w:bCs/>
              </w:rPr>
            </w:pPr>
            <w:r w:rsidRPr="004C31EA">
              <w:rPr>
                <w:b/>
                <w:bCs/>
              </w:rPr>
              <w:t>Progression and Completion</w:t>
            </w:r>
          </w:p>
        </w:tc>
        <w:tc>
          <w:tcPr>
            <w:tcW w:w="4962" w:type="dxa"/>
          </w:tcPr>
          <w:p w14:paraId="0F8DCFA9" w14:textId="05673BC8" w:rsidR="002E616C" w:rsidRPr="00526993" w:rsidRDefault="00BA6D6A" w:rsidP="00893279">
            <w:pPr>
              <w:pStyle w:val="bullettedlist"/>
            </w:pPr>
            <w:r w:rsidRPr="00526993">
              <w:rPr>
                <w:rFonts w:eastAsia="Times New Roman"/>
              </w:rPr>
              <w:t>S</w:t>
            </w:r>
            <w:r w:rsidR="00DC693D" w:rsidRPr="00526993">
              <w:rPr>
                <w:rFonts w:eastAsia="Times New Roman"/>
              </w:rPr>
              <w:t>tudents</w:t>
            </w:r>
            <w:r w:rsidRPr="00526993">
              <w:rPr>
                <w:rFonts w:eastAsia="Times New Roman"/>
              </w:rPr>
              <w:t xml:space="preserve"> are informed</w:t>
            </w:r>
            <w:r w:rsidR="00DC693D" w:rsidRPr="00526993">
              <w:rPr>
                <w:rFonts w:eastAsia="Times New Roman"/>
              </w:rPr>
              <w:t xml:space="preserve"> about expectations </w:t>
            </w:r>
            <w:r w:rsidR="00A507D5" w:rsidRPr="00526993">
              <w:rPr>
                <w:rFonts w:eastAsia="Times New Roman"/>
              </w:rPr>
              <w:t xml:space="preserve">and </w:t>
            </w:r>
            <w:r w:rsidR="004D42E5">
              <w:rPr>
                <w:rFonts w:eastAsia="Times New Roman"/>
              </w:rPr>
              <w:t>outcomes</w:t>
            </w:r>
            <w:r w:rsidR="00A507D5" w:rsidRPr="00526993">
              <w:rPr>
                <w:rFonts w:eastAsia="Times New Roman"/>
              </w:rPr>
              <w:t xml:space="preserve"> </w:t>
            </w:r>
            <w:r w:rsidR="00DC693D" w:rsidRPr="00526993">
              <w:rPr>
                <w:rFonts w:eastAsia="Times New Roman"/>
              </w:rPr>
              <w:t>regarding progression and completion</w:t>
            </w:r>
            <w:r w:rsidR="00065FAF" w:rsidRPr="00526993">
              <w:rPr>
                <w:rFonts w:eastAsia="Times New Roman"/>
              </w:rPr>
              <w:t>,</w:t>
            </w:r>
            <w:r w:rsidR="00DC693D" w:rsidRPr="00526993">
              <w:rPr>
                <w:rFonts w:eastAsia="Times New Roman"/>
              </w:rPr>
              <w:t xml:space="preserve"> and</w:t>
            </w:r>
            <w:r w:rsidR="002E616C" w:rsidRPr="00526993">
              <w:t xml:space="preserve"> supports, services, tools and strategies </w:t>
            </w:r>
            <w:r w:rsidR="00A507D5" w:rsidRPr="00526993">
              <w:t xml:space="preserve">available </w:t>
            </w:r>
            <w:r w:rsidR="00F5708E" w:rsidRPr="00526993">
              <w:t>to</w:t>
            </w:r>
            <w:r w:rsidR="002E616C" w:rsidRPr="00526993">
              <w:t xml:space="preserve"> </w:t>
            </w:r>
            <w:r w:rsidR="00593913" w:rsidRPr="00526993">
              <w:t xml:space="preserve">achieve </w:t>
            </w:r>
            <w:r w:rsidR="002E616C" w:rsidRPr="00526993">
              <w:t>course requirements and progression</w:t>
            </w:r>
            <w:r w:rsidR="00065FAF" w:rsidRPr="00526993">
              <w:t>.</w:t>
            </w:r>
          </w:p>
        </w:tc>
        <w:tc>
          <w:tcPr>
            <w:tcW w:w="1134" w:type="dxa"/>
          </w:tcPr>
          <w:p w14:paraId="4E643885" w14:textId="77777777" w:rsidR="002E616C" w:rsidRPr="0021744F" w:rsidRDefault="002E616C" w:rsidP="00893279"/>
        </w:tc>
        <w:tc>
          <w:tcPr>
            <w:tcW w:w="1275" w:type="dxa"/>
          </w:tcPr>
          <w:p w14:paraId="75D93402" w14:textId="77777777" w:rsidR="002E616C" w:rsidRPr="00526993" w:rsidRDefault="002E616C" w:rsidP="00893279"/>
        </w:tc>
        <w:tc>
          <w:tcPr>
            <w:tcW w:w="1276" w:type="dxa"/>
          </w:tcPr>
          <w:p w14:paraId="28AD2DEF" w14:textId="77777777" w:rsidR="002E616C" w:rsidRPr="00526993" w:rsidRDefault="002E616C" w:rsidP="00893279"/>
        </w:tc>
        <w:tc>
          <w:tcPr>
            <w:tcW w:w="3260" w:type="dxa"/>
          </w:tcPr>
          <w:p w14:paraId="16C7F162" w14:textId="77777777" w:rsidR="002E616C" w:rsidRPr="00526993" w:rsidRDefault="002E616C" w:rsidP="00893279"/>
        </w:tc>
      </w:tr>
      <w:tr w:rsidR="00526993" w:rsidRPr="00526993" w14:paraId="535CB2D8" w14:textId="77777777" w:rsidTr="00AA5AF1">
        <w:trPr>
          <w:cantSplit/>
        </w:trPr>
        <w:tc>
          <w:tcPr>
            <w:tcW w:w="3402" w:type="dxa"/>
          </w:tcPr>
          <w:p w14:paraId="02DC5C04" w14:textId="190BCDC5" w:rsidR="002E616C" w:rsidRPr="004C31EA" w:rsidRDefault="002E616C" w:rsidP="00893279">
            <w:pPr>
              <w:rPr>
                <w:b/>
                <w:bCs/>
              </w:rPr>
            </w:pPr>
            <w:r w:rsidRPr="004C31EA">
              <w:rPr>
                <w:b/>
                <w:bCs/>
              </w:rPr>
              <w:t>Progression and Completion</w:t>
            </w:r>
          </w:p>
        </w:tc>
        <w:tc>
          <w:tcPr>
            <w:tcW w:w="4962" w:type="dxa"/>
          </w:tcPr>
          <w:p w14:paraId="5AC2C7C3" w14:textId="374EC5B1" w:rsidR="002E616C" w:rsidRPr="00526993" w:rsidRDefault="4888E292" w:rsidP="00893279">
            <w:pPr>
              <w:pStyle w:val="bullettedlist"/>
            </w:pPr>
            <w:r w:rsidRPr="00526993">
              <w:t xml:space="preserve">The training and assessment </w:t>
            </w:r>
            <w:r w:rsidR="5D7B9DBD" w:rsidRPr="00526993">
              <w:t xml:space="preserve">systems and </w:t>
            </w:r>
            <w:r w:rsidRPr="00526993">
              <w:t xml:space="preserve">methods </w:t>
            </w:r>
            <w:r w:rsidR="6D28D74C" w:rsidRPr="00526993">
              <w:t>monitor</w:t>
            </w:r>
            <w:r w:rsidR="497DE1E9" w:rsidRPr="00526993">
              <w:t xml:space="preserve"> </w:t>
            </w:r>
            <w:r w:rsidR="077521CF" w:rsidRPr="00526993">
              <w:t>progression</w:t>
            </w:r>
            <w:r w:rsidRPr="00526993">
              <w:t xml:space="preserve"> and </w:t>
            </w:r>
            <w:r w:rsidR="4A8F8A02" w:rsidRPr="00526993">
              <w:t xml:space="preserve">inform both </w:t>
            </w:r>
            <w:r w:rsidR="6D28D74C" w:rsidRPr="00526993">
              <w:t xml:space="preserve">staff </w:t>
            </w:r>
            <w:r w:rsidR="077521CF" w:rsidRPr="00526993">
              <w:t>and student</w:t>
            </w:r>
            <w:r w:rsidR="6D28D74C" w:rsidRPr="00526993">
              <w:t>s</w:t>
            </w:r>
            <w:r w:rsidR="077521CF" w:rsidRPr="00526993">
              <w:t xml:space="preserve"> </w:t>
            </w:r>
            <w:bookmarkStart w:id="6" w:name="_Int_9VZ15ILp"/>
            <w:r w:rsidR="41429C71" w:rsidRPr="00526993">
              <w:t>e.g.</w:t>
            </w:r>
            <w:bookmarkEnd w:id="6"/>
            <w:r w:rsidR="235B1814" w:rsidRPr="00526993">
              <w:t xml:space="preserve"> </w:t>
            </w:r>
            <w:r w:rsidR="5D7B9DBD" w:rsidRPr="00526993">
              <w:t>assessment submission schedules, r</w:t>
            </w:r>
            <w:r w:rsidRPr="00526993">
              <w:t xml:space="preserve">egular </w:t>
            </w:r>
            <w:r w:rsidR="51BEF1B5" w:rsidRPr="00526993">
              <w:t xml:space="preserve">reviews and </w:t>
            </w:r>
            <w:r w:rsidRPr="00526993">
              <w:t xml:space="preserve">feedback, progression toolbars, </w:t>
            </w:r>
            <w:r w:rsidR="235B1814" w:rsidRPr="00526993">
              <w:t>auto reminders</w:t>
            </w:r>
            <w:r w:rsidR="006E08CF">
              <w:t>,</w:t>
            </w:r>
            <w:r w:rsidR="41429C71" w:rsidRPr="00526993">
              <w:t xml:space="preserve"> etc</w:t>
            </w:r>
            <w:r w:rsidR="6E20B35E" w:rsidRPr="00526993">
              <w:t>.</w:t>
            </w:r>
            <w:r w:rsidR="4209571E" w:rsidRPr="00526993">
              <w:t xml:space="preserve"> </w:t>
            </w:r>
          </w:p>
        </w:tc>
        <w:tc>
          <w:tcPr>
            <w:tcW w:w="1134" w:type="dxa"/>
          </w:tcPr>
          <w:p w14:paraId="7D767A86" w14:textId="77777777" w:rsidR="002E616C" w:rsidRPr="0021744F" w:rsidRDefault="002E616C" w:rsidP="00893279"/>
        </w:tc>
        <w:tc>
          <w:tcPr>
            <w:tcW w:w="1275" w:type="dxa"/>
          </w:tcPr>
          <w:p w14:paraId="45477318" w14:textId="77777777" w:rsidR="002E616C" w:rsidRPr="00526993" w:rsidRDefault="002E616C" w:rsidP="00893279"/>
        </w:tc>
        <w:tc>
          <w:tcPr>
            <w:tcW w:w="1276" w:type="dxa"/>
          </w:tcPr>
          <w:p w14:paraId="611748D7" w14:textId="77777777" w:rsidR="002E616C" w:rsidRPr="00526993" w:rsidRDefault="002E616C" w:rsidP="00893279"/>
        </w:tc>
        <w:tc>
          <w:tcPr>
            <w:tcW w:w="3260" w:type="dxa"/>
          </w:tcPr>
          <w:p w14:paraId="55525A3D" w14:textId="77777777" w:rsidR="002E616C" w:rsidRPr="00526993" w:rsidRDefault="002E616C" w:rsidP="00893279"/>
        </w:tc>
      </w:tr>
      <w:tr w:rsidR="00526993" w:rsidRPr="00526993" w14:paraId="3DA37F08" w14:textId="77777777" w:rsidTr="00AA5AF1">
        <w:trPr>
          <w:cantSplit/>
        </w:trPr>
        <w:tc>
          <w:tcPr>
            <w:tcW w:w="3402" w:type="dxa"/>
          </w:tcPr>
          <w:p w14:paraId="6C7E429C" w14:textId="52520803" w:rsidR="002E616C" w:rsidRPr="004C31EA" w:rsidRDefault="002E616C" w:rsidP="00893279">
            <w:pPr>
              <w:rPr>
                <w:b/>
                <w:bCs/>
              </w:rPr>
            </w:pPr>
            <w:r w:rsidRPr="004C31EA">
              <w:rPr>
                <w:b/>
                <w:bCs/>
              </w:rPr>
              <w:lastRenderedPageBreak/>
              <w:t>Progression and Completion</w:t>
            </w:r>
          </w:p>
        </w:tc>
        <w:tc>
          <w:tcPr>
            <w:tcW w:w="4962" w:type="dxa"/>
          </w:tcPr>
          <w:p w14:paraId="42CE4C90" w14:textId="28201D38" w:rsidR="002E616C" w:rsidRPr="00526993" w:rsidRDefault="000F68FC" w:rsidP="00893279">
            <w:pPr>
              <w:pStyle w:val="bullettedlist"/>
            </w:pPr>
            <w:r w:rsidRPr="00526993">
              <w:t>S</w:t>
            </w:r>
            <w:r w:rsidR="002E616C" w:rsidRPr="00526993">
              <w:t xml:space="preserve">tudents </w:t>
            </w:r>
            <w:r w:rsidRPr="00526993">
              <w:t xml:space="preserve">are </w:t>
            </w:r>
            <w:r w:rsidR="002E616C" w:rsidRPr="00526993">
              <w:t>informed about any changes that may affect the training or services</w:t>
            </w:r>
            <w:r w:rsidR="00141390" w:rsidRPr="00526993">
              <w:t>, including i</w:t>
            </w:r>
            <w:r w:rsidR="00DC693D" w:rsidRPr="00526993">
              <w:t xml:space="preserve">nformation about </w:t>
            </w:r>
            <w:r w:rsidR="00137F20" w:rsidRPr="00526993">
              <w:t>next steps</w:t>
            </w:r>
            <w:r w:rsidR="004015FB" w:rsidRPr="00526993">
              <w:t xml:space="preserve"> and pathways.</w:t>
            </w:r>
          </w:p>
        </w:tc>
        <w:tc>
          <w:tcPr>
            <w:tcW w:w="1134" w:type="dxa"/>
          </w:tcPr>
          <w:p w14:paraId="7F5C0DBF" w14:textId="77777777" w:rsidR="002E616C" w:rsidRPr="0021744F" w:rsidRDefault="002E616C" w:rsidP="00893279"/>
        </w:tc>
        <w:tc>
          <w:tcPr>
            <w:tcW w:w="1275" w:type="dxa"/>
          </w:tcPr>
          <w:p w14:paraId="098845A3" w14:textId="77777777" w:rsidR="002E616C" w:rsidRPr="00526993" w:rsidRDefault="002E616C" w:rsidP="00893279"/>
        </w:tc>
        <w:tc>
          <w:tcPr>
            <w:tcW w:w="1276" w:type="dxa"/>
          </w:tcPr>
          <w:p w14:paraId="4BE42B65" w14:textId="77777777" w:rsidR="002E616C" w:rsidRPr="00526993" w:rsidRDefault="002E616C" w:rsidP="00893279"/>
        </w:tc>
        <w:tc>
          <w:tcPr>
            <w:tcW w:w="3260" w:type="dxa"/>
          </w:tcPr>
          <w:p w14:paraId="0B61AFD7" w14:textId="77777777" w:rsidR="002E616C" w:rsidRPr="00526993" w:rsidRDefault="002E616C" w:rsidP="00893279"/>
        </w:tc>
      </w:tr>
      <w:tr w:rsidR="00526993" w:rsidRPr="00526993" w14:paraId="6D91A993" w14:textId="77777777" w:rsidTr="00AA5AF1">
        <w:trPr>
          <w:cantSplit/>
        </w:trPr>
        <w:tc>
          <w:tcPr>
            <w:tcW w:w="3402" w:type="dxa"/>
          </w:tcPr>
          <w:p w14:paraId="10F3718B" w14:textId="11A552E8" w:rsidR="00A8768C" w:rsidRPr="004C31EA" w:rsidRDefault="004851E2" w:rsidP="00FB0AD6">
            <w:pPr>
              <w:rPr>
                <w:b/>
                <w:bCs/>
              </w:rPr>
            </w:pPr>
            <w:r w:rsidRPr="004C31EA">
              <w:rPr>
                <w:b/>
                <w:bCs/>
              </w:rPr>
              <w:t xml:space="preserve">Student </w:t>
            </w:r>
            <w:r w:rsidR="00A8768C" w:rsidRPr="004C31EA">
              <w:rPr>
                <w:b/>
                <w:bCs/>
              </w:rPr>
              <w:t>Supports and Services</w:t>
            </w:r>
          </w:p>
        </w:tc>
        <w:tc>
          <w:tcPr>
            <w:tcW w:w="4962" w:type="dxa"/>
          </w:tcPr>
          <w:p w14:paraId="6657A501" w14:textId="6B771F89" w:rsidR="00A8768C" w:rsidRPr="00526993" w:rsidRDefault="00163E46" w:rsidP="00893279">
            <w:pPr>
              <w:pStyle w:val="bullettedlist"/>
            </w:pPr>
            <w:r w:rsidRPr="00526993">
              <w:t>A</w:t>
            </w:r>
            <w:r w:rsidR="00A8768C" w:rsidRPr="00526993">
              <w:t xml:space="preserve"> range of </w:t>
            </w:r>
            <w:r w:rsidR="00BE1D64" w:rsidRPr="00526993">
              <w:t xml:space="preserve">accessible </w:t>
            </w:r>
            <w:r w:rsidR="00A8768C" w:rsidRPr="00526993">
              <w:t xml:space="preserve">general and specialised student </w:t>
            </w:r>
            <w:r w:rsidR="008869A1" w:rsidRPr="00526993">
              <w:t>supports</w:t>
            </w:r>
            <w:r w:rsidR="00A8768C" w:rsidRPr="00526993">
              <w:t xml:space="preserve"> and services are available to all </w:t>
            </w:r>
            <w:r w:rsidR="00A507D5" w:rsidRPr="00526993">
              <w:t>students</w:t>
            </w:r>
            <w:r w:rsidR="00A8768C" w:rsidRPr="00526993">
              <w:t xml:space="preserve"> </w:t>
            </w:r>
            <w:r w:rsidRPr="00526993">
              <w:t>including</w:t>
            </w:r>
            <w:r w:rsidR="00A8768C" w:rsidRPr="00526993">
              <w:t xml:space="preserve"> those with disability</w:t>
            </w:r>
            <w:r w:rsidRPr="00526993">
              <w:t>.</w:t>
            </w:r>
            <w:r w:rsidR="00DC693D" w:rsidRPr="00526993">
              <w:t xml:space="preserve"> </w:t>
            </w:r>
          </w:p>
        </w:tc>
        <w:tc>
          <w:tcPr>
            <w:tcW w:w="1134" w:type="dxa"/>
          </w:tcPr>
          <w:p w14:paraId="4B620A74" w14:textId="77777777" w:rsidR="00A8768C" w:rsidRPr="0021744F" w:rsidRDefault="00A8768C" w:rsidP="00893279"/>
        </w:tc>
        <w:tc>
          <w:tcPr>
            <w:tcW w:w="1275" w:type="dxa"/>
          </w:tcPr>
          <w:p w14:paraId="0B37DDFC" w14:textId="77777777" w:rsidR="00A8768C" w:rsidRPr="00526993" w:rsidRDefault="00A8768C" w:rsidP="00893279"/>
        </w:tc>
        <w:tc>
          <w:tcPr>
            <w:tcW w:w="1276" w:type="dxa"/>
          </w:tcPr>
          <w:p w14:paraId="794BB7DA" w14:textId="77777777" w:rsidR="00A8768C" w:rsidRPr="00526993" w:rsidRDefault="00A8768C" w:rsidP="00893279"/>
        </w:tc>
        <w:tc>
          <w:tcPr>
            <w:tcW w:w="3260" w:type="dxa"/>
          </w:tcPr>
          <w:p w14:paraId="68D925F2" w14:textId="77777777" w:rsidR="00A8768C" w:rsidRPr="00526993" w:rsidRDefault="00A8768C" w:rsidP="00893279"/>
        </w:tc>
      </w:tr>
      <w:tr w:rsidR="00526993" w:rsidRPr="00526993" w14:paraId="2486D22D" w14:textId="77777777" w:rsidTr="00AA5AF1">
        <w:trPr>
          <w:cantSplit/>
        </w:trPr>
        <w:tc>
          <w:tcPr>
            <w:tcW w:w="3402" w:type="dxa"/>
          </w:tcPr>
          <w:p w14:paraId="6CF05A2E" w14:textId="1AAE3F70" w:rsidR="002E616C" w:rsidRPr="004C31EA" w:rsidRDefault="004851E2" w:rsidP="00FB0AD6">
            <w:pPr>
              <w:rPr>
                <w:b/>
                <w:bCs/>
              </w:rPr>
            </w:pPr>
            <w:r w:rsidRPr="004C31EA">
              <w:rPr>
                <w:b/>
                <w:bCs/>
              </w:rPr>
              <w:t xml:space="preserve">Student </w:t>
            </w:r>
            <w:r w:rsidR="002E616C" w:rsidRPr="004C31EA">
              <w:rPr>
                <w:b/>
                <w:bCs/>
              </w:rPr>
              <w:t>Supports and Services</w:t>
            </w:r>
          </w:p>
        </w:tc>
        <w:tc>
          <w:tcPr>
            <w:tcW w:w="4962" w:type="dxa"/>
          </w:tcPr>
          <w:p w14:paraId="5BC09749" w14:textId="3DCF3B48" w:rsidR="002E616C" w:rsidRPr="00526993" w:rsidRDefault="00163E46" w:rsidP="00893279">
            <w:pPr>
              <w:pStyle w:val="bullettedlist"/>
            </w:pPr>
            <w:r w:rsidRPr="00526993">
              <w:t>P</w:t>
            </w:r>
            <w:r w:rsidR="002E616C" w:rsidRPr="00526993">
              <w:t>rofessional development</w:t>
            </w:r>
            <w:r w:rsidRPr="00526993">
              <w:t xml:space="preserve"> is provided to all staff to</w:t>
            </w:r>
            <w:r w:rsidR="002E616C" w:rsidRPr="00526993">
              <w:t xml:space="preserve"> ensure</w:t>
            </w:r>
            <w:r w:rsidRPr="00526993">
              <w:t xml:space="preserve"> they </w:t>
            </w:r>
            <w:r w:rsidR="002E616C" w:rsidRPr="00526993">
              <w:t>are aware of the available student supports and services (general</w:t>
            </w:r>
            <w:r w:rsidR="00BE1D64" w:rsidRPr="00526993">
              <w:t xml:space="preserve"> </w:t>
            </w:r>
            <w:r w:rsidR="002E616C" w:rsidRPr="00526993">
              <w:t>and specialised) and how students access them</w:t>
            </w:r>
            <w:r w:rsidR="009714A5" w:rsidRPr="00526993">
              <w:t>.</w:t>
            </w:r>
          </w:p>
        </w:tc>
        <w:tc>
          <w:tcPr>
            <w:tcW w:w="1134" w:type="dxa"/>
          </w:tcPr>
          <w:p w14:paraId="0678C009" w14:textId="77777777" w:rsidR="002E616C" w:rsidRPr="0021744F" w:rsidRDefault="002E616C" w:rsidP="00893279"/>
        </w:tc>
        <w:tc>
          <w:tcPr>
            <w:tcW w:w="1275" w:type="dxa"/>
          </w:tcPr>
          <w:p w14:paraId="616BDE0D" w14:textId="77777777" w:rsidR="002E616C" w:rsidRPr="00526993" w:rsidRDefault="002E616C" w:rsidP="00893279"/>
        </w:tc>
        <w:tc>
          <w:tcPr>
            <w:tcW w:w="1276" w:type="dxa"/>
          </w:tcPr>
          <w:p w14:paraId="02328F30" w14:textId="77777777" w:rsidR="002E616C" w:rsidRPr="00526993" w:rsidRDefault="002E616C" w:rsidP="00893279"/>
        </w:tc>
        <w:tc>
          <w:tcPr>
            <w:tcW w:w="3260" w:type="dxa"/>
          </w:tcPr>
          <w:p w14:paraId="68ABDE94" w14:textId="77777777" w:rsidR="002E616C" w:rsidRPr="00526993" w:rsidRDefault="002E616C" w:rsidP="00893279"/>
        </w:tc>
      </w:tr>
      <w:tr w:rsidR="00526993" w:rsidRPr="00526993" w14:paraId="38D35204" w14:textId="77777777" w:rsidTr="00AA5AF1">
        <w:trPr>
          <w:cantSplit/>
        </w:trPr>
        <w:tc>
          <w:tcPr>
            <w:tcW w:w="3402" w:type="dxa"/>
          </w:tcPr>
          <w:p w14:paraId="6339BCDF" w14:textId="5FCE95F9" w:rsidR="002E616C" w:rsidRPr="004C31EA" w:rsidRDefault="004851E2" w:rsidP="00FB0AD6">
            <w:pPr>
              <w:rPr>
                <w:b/>
                <w:bCs/>
              </w:rPr>
            </w:pPr>
            <w:r w:rsidRPr="004C31EA">
              <w:rPr>
                <w:b/>
                <w:bCs/>
              </w:rPr>
              <w:t xml:space="preserve">Student </w:t>
            </w:r>
            <w:r w:rsidR="002E616C" w:rsidRPr="004C31EA">
              <w:rPr>
                <w:b/>
                <w:bCs/>
              </w:rPr>
              <w:t>Supports and Services</w:t>
            </w:r>
          </w:p>
        </w:tc>
        <w:tc>
          <w:tcPr>
            <w:tcW w:w="4962" w:type="dxa"/>
          </w:tcPr>
          <w:p w14:paraId="390F9D84" w14:textId="2F64626B" w:rsidR="002E616C" w:rsidRPr="00526993" w:rsidRDefault="0064278E" w:rsidP="00893279">
            <w:pPr>
              <w:pStyle w:val="bullettedlist"/>
            </w:pPr>
            <w:r w:rsidRPr="00526993">
              <w:t>P</w:t>
            </w:r>
            <w:r w:rsidR="002E616C" w:rsidRPr="00526993">
              <w:t>rocess</w:t>
            </w:r>
            <w:r w:rsidRPr="00526993">
              <w:t>es are i</w:t>
            </w:r>
            <w:r w:rsidR="00A47F2D" w:rsidRPr="00526993">
              <w:t xml:space="preserve">n place </w:t>
            </w:r>
            <w:r w:rsidR="002E616C" w:rsidRPr="00526993">
              <w:t xml:space="preserve">to ensure all students are informed and aware of </w:t>
            </w:r>
            <w:r w:rsidRPr="00526993">
              <w:t xml:space="preserve">the </w:t>
            </w:r>
            <w:r w:rsidR="002E616C" w:rsidRPr="00526993">
              <w:t>supports and services available and how to access them.</w:t>
            </w:r>
          </w:p>
        </w:tc>
        <w:tc>
          <w:tcPr>
            <w:tcW w:w="1134" w:type="dxa"/>
          </w:tcPr>
          <w:p w14:paraId="271A9703" w14:textId="77777777" w:rsidR="002E616C" w:rsidRPr="0021744F" w:rsidRDefault="002E616C" w:rsidP="00893279"/>
        </w:tc>
        <w:tc>
          <w:tcPr>
            <w:tcW w:w="1275" w:type="dxa"/>
          </w:tcPr>
          <w:p w14:paraId="4220218F" w14:textId="77777777" w:rsidR="002E616C" w:rsidRPr="00526993" w:rsidRDefault="002E616C" w:rsidP="00893279"/>
        </w:tc>
        <w:tc>
          <w:tcPr>
            <w:tcW w:w="1276" w:type="dxa"/>
          </w:tcPr>
          <w:p w14:paraId="65B45220" w14:textId="77777777" w:rsidR="002E616C" w:rsidRPr="00526993" w:rsidRDefault="002E616C" w:rsidP="00893279"/>
        </w:tc>
        <w:tc>
          <w:tcPr>
            <w:tcW w:w="3260" w:type="dxa"/>
          </w:tcPr>
          <w:p w14:paraId="51BF7409" w14:textId="77777777" w:rsidR="002E616C" w:rsidRPr="00526993" w:rsidRDefault="002E616C" w:rsidP="00893279"/>
        </w:tc>
      </w:tr>
    </w:tbl>
    <w:p w14:paraId="7EC73612" w14:textId="240EC154" w:rsidR="00B8546D" w:rsidRPr="001566C5" w:rsidRDefault="00D5645B" w:rsidP="001566C5">
      <w:pPr>
        <w:pStyle w:val="Heading2"/>
      </w:pPr>
      <w:r w:rsidRPr="001566C5">
        <w:t>D</w:t>
      </w:r>
      <w:r w:rsidR="00B8546D" w:rsidRPr="001566C5">
        <w:t>isclaimer</w:t>
      </w:r>
    </w:p>
    <w:p w14:paraId="4B917331" w14:textId="30D51519" w:rsidR="007E5EC0" w:rsidRPr="007E5EC0" w:rsidRDefault="007E5EC0" w:rsidP="007E5EC0">
      <w:pPr>
        <w:rPr>
          <w:rFonts w:eastAsia="DengXian"/>
        </w:rPr>
      </w:pPr>
      <w:r w:rsidRPr="007E5EC0">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3487378C" w14:textId="4AFF4FE8" w:rsidR="003567C5" w:rsidRPr="00C8284D" w:rsidRDefault="007E5EC0" w:rsidP="007E5EC0">
      <w:r w:rsidRPr="007E5EC0">
        <w:rPr>
          <w:rFonts w:eastAsia="DengXian"/>
        </w:rPr>
        <w:t xml:space="preserve">This resource is funded by the Australian Government Department of Employment and Workplace Relations through the </w:t>
      </w:r>
      <w:r w:rsidR="009243DF" w:rsidRPr="009243DF">
        <w:rPr>
          <w:rFonts w:eastAsia="DengXian"/>
        </w:rPr>
        <w:t>Supporting Students with Disability in VET project</w:t>
      </w:r>
      <w:r w:rsidRPr="007E5EC0">
        <w:rPr>
          <w:rFonts w:eastAsia="DengXian"/>
        </w:rPr>
        <w:t>.</w:t>
      </w:r>
    </w:p>
    <w:sectPr w:rsidR="003567C5" w:rsidRPr="00C8284D" w:rsidSect="000A26AC">
      <w:footerReference w:type="default" r:id="rId16"/>
      <w:pgSz w:w="16838" w:h="11906" w:orient="landscape"/>
      <w:pgMar w:top="720" w:right="720" w:bottom="720" w:left="72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61A8" w14:textId="77777777" w:rsidR="00060621" w:rsidRDefault="00060621" w:rsidP="00893279">
      <w:r>
        <w:separator/>
      </w:r>
    </w:p>
  </w:endnote>
  <w:endnote w:type="continuationSeparator" w:id="0">
    <w:p w14:paraId="3E3CD70C" w14:textId="77777777" w:rsidR="00060621" w:rsidRDefault="00060621" w:rsidP="00893279">
      <w:r>
        <w:continuationSeparator/>
      </w:r>
    </w:p>
  </w:endnote>
  <w:endnote w:type="continuationNotice" w:id="1">
    <w:p w14:paraId="4C48A1AF" w14:textId="77777777" w:rsidR="00060621" w:rsidRDefault="000606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2655" w14:textId="2E221A4D" w:rsidR="00893279" w:rsidRDefault="005C4A1A" w:rsidP="00FA2EDD">
    <w:pPr>
      <w:pStyle w:val="Footer"/>
      <w:pBdr>
        <w:top w:val="single" w:sz="4" w:space="1" w:color="auto"/>
      </w:pBdr>
      <w:tabs>
        <w:tab w:val="clear" w:pos="4513"/>
        <w:tab w:val="clear" w:pos="9026"/>
        <w:tab w:val="center" w:pos="7655"/>
        <w:tab w:val="right" w:pos="15309"/>
      </w:tabs>
      <w:spacing w:before="0" w:after="0"/>
      <w:rPr>
        <w:sz w:val="20"/>
        <w:szCs w:val="20"/>
      </w:rPr>
    </w:pPr>
    <w:r w:rsidRPr="005C4A1A">
      <w:rPr>
        <w:sz w:val="20"/>
        <w:szCs w:val="20"/>
      </w:rPr>
      <w:t>Supporting Resources</w:t>
    </w:r>
    <w:r>
      <w:rPr>
        <w:sz w:val="20"/>
        <w:szCs w:val="20"/>
      </w:rPr>
      <w:t xml:space="preserve"> - </w:t>
    </w:r>
    <w:r w:rsidR="00813E0B" w:rsidRPr="00893279">
      <w:rPr>
        <w:sz w:val="20"/>
        <w:szCs w:val="20"/>
      </w:rPr>
      <w:t>Practice Self-</w:t>
    </w:r>
    <w:r w:rsidR="0082520A">
      <w:rPr>
        <w:sz w:val="20"/>
        <w:szCs w:val="20"/>
      </w:rPr>
      <w:t>C</w:t>
    </w:r>
    <w:r w:rsidR="00813E0B" w:rsidRPr="00893279">
      <w:rPr>
        <w:sz w:val="20"/>
        <w:szCs w:val="20"/>
      </w:rPr>
      <w:t xml:space="preserve">heck </w:t>
    </w:r>
    <w:r w:rsidR="005A2408">
      <w:rPr>
        <w:sz w:val="20"/>
        <w:szCs w:val="20"/>
      </w:rPr>
      <w:t>-</w:t>
    </w:r>
    <w:r w:rsidR="00813E0B">
      <w:rPr>
        <w:sz w:val="20"/>
        <w:szCs w:val="20"/>
      </w:rPr>
      <w:t xml:space="preserve"> </w:t>
    </w:r>
    <w:r w:rsidR="000A049B" w:rsidRPr="000A049B">
      <w:rPr>
        <w:sz w:val="20"/>
        <w:szCs w:val="20"/>
      </w:rPr>
      <w:t>Registered Training Organisation (RTO)</w:t>
    </w:r>
    <w:r w:rsidR="005A2408">
      <w:rPr>
        <w:sz w:val="20"/>
        <w:szCs w:val="20"/>
      </w:rPr>
      <w:tab/>
    </w:r>
    <w:r w:rsidR="00893279">
      <w:rPr>
        <w:sz w:val="20"/>
        <w:szCs w:val="20"/>
      </w:rPr>
      <w:tab/>
    </w:r>
    <w:r w:rsidR="00936519" w:rsidRPr="00936519">
      <w:rPr>
        <w:sz w:val="20"/>
        <w:szCs w:val="20"/>
      </w:rPr>
      <w:fldChar w:fldCharType="begin"/>
    </w:r>
    <w:r w:rsidR="00936519" w:rsidRPr="00936519">
      <w:rPr>
        <w:sz w:val="20"/>
        <w:szCs w:val="20"/>
      </w:rPr>
      <w:instrText xml:space="preserve"> PAGE   \* MERGEFORMAT </w:instrText>
    </w:r>
    <w:r w:rsidR="00936519" w:rsidRPr="00936519">
      <w:rPr>
        <w:sz w:val="20"/>
        <w:szCs w:val="20"/>
      </w:rPr>
      <w:fldChar w:fldCharType="separate"/>
    </w:r>
    <w:r w:rsidR="00936519" w:rsidRPr="00936519">
      <w:rPr>
        <w:noProof/>
        <w:sz w:val="20"/>
        <w:szCs w:val="20"/>
      </w:rPr>
      <w:t>1</w:t>
    </w:r>
    <w:r w:rsidR="00936519" w:rsidRPr="00936519">
      <w:rPr>
        <w:noProof/>
        <w:sz w:val="20"/>
        <w:szCs w:val="20"/>
      </w:rPr>
      <w:fldChar w:fldCharType="end"/>
    </w:r>
  </w:p>
  <w:p w14:paraId="293D548B" w14:textId="0D2A5B41" w:rsidR="00F31CE9" w:rsidRPr="00E949E9" w:rsidRDefault="004B7197" w:rsidP="009243DF">
    <w:pPr>
      <w:pStyle w:val="Footer"/>
      <w:spacing w:before="0" w:after="0"/>
    </w:pPr>
    <w:r w:rsidRPr="00893279">
      <w:rPr>
        <w:sz w:val="20"/>
        <w:szCs w:val="20"/>
      </w:rPr>
      <w:t>Supporting Students with Disability in VET</w:t>
    </w:r>
    <w:r w:rsidR="00001803" w:rsidRPr="007E5EC0" w:rsidDel="00001803">
      <w:rPr>
        <w:rFonts w:eastAsia="SimSu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61DC" w14:textId="77777777" w:rsidR="00060621" w:rsidRDefault="00060621" w:rsidP="00893279">
      <w:r>
        <w:separator/>
      </w:r>
    </w:p>
  </w:footnote>
  <w:footnote w:type="continuationSeparator" w:id="0">
    <w:p w14:paraId="5F3A2BF3" w14:textId="77777777" w:rsidR="00060621" w:rsidRDefault="00060621" w:rsidP="00893279">
      <w:r>
        <w:continuationSeparator/>
      </w:r>
    </w:p>
  </w:footnote>
  <w:footnote w:type="continuationNotice" w:id="1">
    <w:p w14:paraId="16F2ADA7" w14:textId="77777777" w:rsidR="00060621" w:rsidRDefault="00060621">
      <w:pPr>
        <w:spacing w:before="0" w:after="0"/>
      </w:pPr>
    </w:p>
  </w:footnote>
</w:footnotes>
</file>

<file path=word/intelligence2.xml><?xml version="1.0" encoding="utf-8"?>
<int2:intelligence xmlns:int2="http://schemas.microsoft.com/office/intelligence/2020/intelligence" xmlns:oel="http://schemas.microsoft.com/office/2019/extlst">
  <int2:observations>
    <int2:textHash int2:hashCode="a00OwrjQSnyOPK" int2:id="4OfxiO6f">
      <int2:state int2:value="Rejected" int2:type="LegacyProofing"/>
    </int2:textHash>
    <int2:bookmark int2:bookmarkName="_Int_9VZ15ILp" int2:invalidationBookmarkName="" int2:hashCode="f1OmjTJDRvyEV6" int2:id="ucFGTLJX">
      <int2:state int2:value="Rejected" int2:type="LegacyProofing"/>
    </int2:bookmark>
    <int2:bookmark int2:bookmarkName="_Int_gZNgc4X0" int2:invalidationBookmarkName="" int2:hashCode="f1OmjTJDRvyEV6" int2:id="y9bdQ4cg">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090001"/>
    <w:lvl w:ilvl="0">
      <w:start w:val="1"/>
      <w:numFmt w:val="bullet"/>
      <w:lvlText w:val=""/>
      <w:lvlJc w:val="left"/>
      <w:pPr>
        <w:ind w:left="720" w:hanging="360"/>
      </w:pPr>
      <w:rPr>
        <w:rFonts w:ascii="Symbol" w:hAnsi="Symbol" w:hint="default"/>
        <w:sz w:val="24"/>
        <w:szCs w:val="24"/>
      </w:rPr>
    </w:lvl>
  </w:abstractNum>
  <w:abstractNum w:abstractNumId="1" w15:restartNumberingAfterBreak="0">
    <w:nsid w:val="1017681F"/>
    <w:multiLevelType w:val="hybridMultilevel"/>
    <w:tmpl w:val="50D20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820546"/>
    <w:multiLevelType w:val="hybridMultilevel"/>
    <w:tmpl w:val="F5BA6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B0B3455"/>
    <w:multiLevelType w:val="hybridMultilevel"/>
    <w:tmpl w:val="CB14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F63321"/>
    <w:multiLevelType w:val="hybridMultilevel"/>
    <w:tmpl w:val="7570E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40752C"/>
    <w:multiLevelType w:val="hybridMultilevel"/>
    <w:tmpl w:val="F29E4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1361BA"/>
    <w:multiLevelType w:val="hybridMultilevel"/>
    <w:tmpl w:val="F03CB19E"/>
    <w:lvl w:ilvl="0" w:tplc="0C090001">
      <w:start w:val="1"/>
      <w:numFmt w:val="bullet"/>
      <w:pStyle w:val="EC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9C7FD0"/>
    <w:multiLevelType w:val="hybridMultilevel"/>
    <w:tmpl w:val="8E0E59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28C49BD"/>
    <w:multiLevelType w:val="multilevel"/>
    <w:tmpl w:val="F1AAA8AC"/>
    <w:lvl w:ilvl="0">
      <w:start w:val="1"/>
      <w:numFmt w:val="bullet"/>
      <w:pStyle w:val="bullettedlist"/>
      <w:lvlText w:val=""/>
      <w:lvlJc w:val="left"/>
      <w:pPr>
        <w:ind w:left="360" w:hanging="360"/>
      </w:pPr>
      <w:rPr>
        <w:rFonts w:ascii="Wingdings" w:hAnsi="Wingdings" w:hint="default"/>
        <w:b w:val="0"/>
        <w:i w:val="0"/>
        <w:color w:val="auto"/>
        <w:sz w:val="22"/>
        <w:u w:color="1F3864" w:themeColor="accent1" w:themeShade="8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37044"/>
    <w:multiLevelType w:val="hybridMultilevel"/>
    <w:tmpl w:val="5CAED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797492"/>
    <w:multiLevelType w:val="hybridMultilevel"/>
    <w:tmpl w:val="9AE83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D4294C"/>
    <w:multiLevelType w:val="hybridMultilevel"/>
    <w:tmpl w:val="E3D29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267D1F"/>
    <w:multiLevelType w:val="hybridMultilevel"/>
    <w:tmpl w:val="E5CE9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DDA7B39"/>
    <w:multiLevelType w:val="multilevel"/>
    <w:tmpl w:val="098E0D0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735863089">
    <w:abstractNumId w:val="0"/>
  </w:num>
  <w:num w:numId="2" w16cid:durableId="1746491778">
    <w:abstractNumId w:val="2"/>
  </w:num>
  <w:num w:numId="3" w16cid:durableId="268205125">
    <w:abstractNumId w:val="6"/>
  </w:num>
  <w:num w:numId="4" w16cid:durableId="1408577851">
    <w:abstractNumId w:val="4"/>
  </w:num>
  <w:num w:numId="5" w16cid:durableId="522480554">
    <w:abstractNumId w:val="13"/>
  </w:num>
  <w:num w:numId="6" w16cid:durableId="1695955047">
    <w:abstractNumId w:val="1"/>
  </w:num>
  <w:num w:numId="7" w16cid:durableId="617373168">
    <w:abstractNumId w:val="7"/>
  </w:num>
  <w:num w:numId="8" w16cid:durableId="825707027">
    <w:abstractNumId w:val="9"/>
  </w:num>
  <w:num w:numId="9" w16cid:durableId="1859584209">
    <w:abstractNumId w:val="3"/>
  </w:num>
  <w:num w:numId="10" w16cid:durableId="1449741142">
    <w:abstractNumId w:val="10"/>
  </w:num>
  <w:num w:numId="11" w16cid:durableId="1201670515">
    <w:abstractNumId w:val="12"/>
  </w:num>
  <w:num w:numId="12" w16cid:durableId="1657566286">
    <w:abstractNumId w:val="8"/>
  </w:num>
  <w:num w:numId="13" w16cid:durableId="131680414">
    <w:abstractNumId w:val="8"/>
  </w:num>
  <w:num w:numId="14" w16cid:durableId="1736513934">
    <w:abstractNumId w:val="11"/>
  </w:num>
  <w:num w:numId="15" w16cid:durableId="612976468">
    <w:abstractNumId w:val="5"/>
  </w:num>
  <w:num w:numId="16" w16cid:durableId="317374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FE"/>
    <w:rsid w:val="00001803"/>
    <w:rsid w:val="00010A41"/>
    <w:rsid w:val="00032100"/>
    <w:rsid w:val="00042184"/>
    <w:rsid w:val="00044160"/>
    <w:rsid w:val="00051143"/>
    <w:rsid w:val="000516E5"/>
    <w:rsid w:val="000535F4"/>
    <w:rsid w:val="00060621"/>
    <w:rsid w:val="00065FAF"/>
    <w:rsid w:val="000851D9"/>
    <w:rsid w:val="000A049B"/>
    <w:rsid w:val="000A26AC"/>
    <w:rsid w:val="000A49F4"/>
    <w:rsid w:val="000A7CC7"/>
    <w:rsid w:val="000B7B12"/>
    <w:rsid w:val="000C47A5"/>
    <w:rsid w:val="000D3024"/>
    <w:rsid w:val="000D6216"/>
    <w:rsid w:val="000F68FC"/>
    <w:rsid w:val="001011DA"/>
    <w:rsid w:val="001171ED"/>
    <w:rsid w:val="00117673"/>
    <w:rsid w:val="00122F45"/>
    <w:rsid w:val="00123006"/>
    <w:rsid w:val="001307A8"/>
    <w:rsid w:val="00137F20"/>
    <w:rsid w:val="00141390"/>
    <w:rsid w:val="001566C5"/>
    <w:rsid w:val="001618C6"/>
    <w:rsid w:val="001638BB"/>
    <w:rsid w:val="00163E46"/>
    <w:rsid w:val="001762A1"/>
    <w:rsid w:val="00182FB1"/>
    <w:rsid w:val="001B322A"/>
    <w:rsid w:val="001B4B95"/>
    <w:rsid w:val="001C2E1E"/>
    <w:rsid w:val="001C3C77"/>
    <w:rsid w:val="001D5696"/>
    <w:rsid w:val="001F4019"/>
    <w:rsid w:val="0020107B"/>
    <w:rsid w:val="0021744F"/>
    <w:rsid w:val="00224903"/>
    <w:rsid w:val="002252C5"/>
    <w:rsid w:val="00225F55"/>
    <w:rsid w:val="00234740"/>
    <w:rsid w:val="0024146B"/>
    <w:rsid w:val="00245622"/>
    <w:rsid w:val="002B7B9B"/>
    <w:rsid w:val="002C48D7"/>
    <w:rsid w:val="002E1BF8"/>
    <w:rsid w:val="002E616C"/>
    <w:rsid w:val="003018AD"/>
    <w:rsid w:val="00310DDE"/>
    <w:rsid w:val="00313B1F"/>
    <w:rsid w:val="00325E01"/>
    <w:rsid w:val="0033585A"/>
    <w:rsid w:val="00340281"/>
    <w:rsid w:val="00350FF8"/>
    <w:rsid w:val="003567C5"/>
    <w:rsid w:val="0039471F"/>
    <w:rsid w:val="003A4A28"/>
    <w:rsid w:val="003B3573"/>
    <w:rsid w:val="003F32E7"/>
    <w:rsid w:val="004015FB"/>
    <w:rsid w:val="004113A5"/>
    <w:rsid w:val="00423D88"/>
    <w:rsid w:val="004251B0"/>
    <w:rsid w:val="00430BA4"/>
    <w:rsid w:val="00451A71"/>
    <w:rsid w:val="00462513"/>
    <w:rsid w:val="004851E2"/>
    <w:rsid w:val="004A2262"/>
    <w:rsid w:val="004B6C7B"/>
    <w:rsid w:val="004B7197"/>
    <w:rsid w:val="004B7F4E"/>
    <w:rsid w:val="004C2D1A"/>
    <w:rsid w:val="004C31EA"/>
    <w:rsid w:val="004D42E5"/>
    <w:rsid w:val="004E4E30"/>
    <w:rsid w:val="00500FD2"/>
    <w:rsid w:val="0051353E"/>
    <w:rsid w:val="005177CE"/>
    <w:rsid w:val="005248B3"/>
    <w:rsid w:val="00526993"/>
    <w:rsid w:val="005422C5"/>
    <w:rsid w:val="00554247"/>
    <w:rsid w:val="005779FD"/>
    <w:rsid w:val="00580F03"/>
    <w:rsid w:val="00585B9D"/>
    <w:rsid w:val="00585D11"/>
    <w:rsid w:val="00585E08"/>
    <w:rsid w:val="00593913"/>
    <w:rsid w:val="005A2408"/>
    <w:rsid w:val="005B4698"/>
    <w:rsid w:val="005C4A1A"/>
    <w:rsid w:val="005D49D1"/>
    <w:rsid w:val="005E431B"/>
    <w:rsid w:val="005F1E9D"/>
    <w:rsid w:val="0060228A"/>
    <w:rsid w:val="006136FD"/>
    <w:rsid w:val="00614E1A"/>
    <w:rsid w:val="006168D6"/>
    <w:rsid w:val="00617FE3"/>
    <w:rsid w:val="00630A2C"/>
    <w:rsid w:val="0064278E"/>
    <w:rsid w:val="00647E44"/>
    <w:rsid w:val="00672DAF"/>
    <w:rsid w:val="006763A5"/>
    <w:rsid w:val="006969FA"/>
    <w:rsid w:val="0069715F"/>
    <w:rsid w:val="006A6736"/>
    <w:rsid w:val="006C0690"/>
    <w:rsid w:val="006C0848"/>
    <w:rsid w:val="006C6535"/>
    <w:rsid w:val="006D6EEE"/>
    <w:rsid w:val="006E08CF"/>
    <w:rsid w:val="006E305E"/>
    <w:rsid w:val="006F0170"/>
    <w:rsid w:val="006F587C"/>
    <w:rsid w:val="007042FD"/>
    <w:rsid w:val="00707A3E"/>
    <w:rsid w:val="00726AC1"/>
    <w:rsid w:val="00736A77"/>
    <w:rsid w:val="007373EA"/>
    <w:rsid w:val="00737612"/>
    <w:rsid w:val="00766566"/>
    <w:rsid w:val="00775EFA"/>
    <w:rsid w:val="00782AFC"/>
    <w:rsid w:val="00793213"/>
    <w:rsid w:val="007B1D43"/>
    <w:rsid w:val="007B5273"/>
    <w:rsid w:val="007B6DF2"/>
    <w:rsid w:val="007B7A9A"/>
    <w:rsid w:val="007C522A"/>
    <w:rsid w:val="007D4FFB"/>
    <w:rsid w:val="007D6657"/>
    <w:rsid w:val="007E579F"/>
    <w:rsid w:val="007E5EC0"/>
    <w:rsid w:val="00813E0B"/>
    <w:rsid w:val="00816286"/>
    <w:rsid w:val="00821D4C"/>
    <w:rsid w:val="00821F2F"/>
    <w:rsid w:val="00824E64"/>
    <w:rsid w:val="0082520A"/>
    <w:rsid w:val="008438B3"/>
    <w:rsid w:val="008471FA"/>
    <w:rsid w:val="00847C34"/>
    <w:rsid w:val="0085488B"/>
    <w:rsid w:val="00870494"/>
    <w:rsid w:val="008869A1"/>
    <w:rsid w:val="00893279"/>
    <w:rsid w:val="008B727D"/>
    <w:rsid w:val="008D0017"/>
    <w:rsid w:val="008D303D"/>
    <w:rsid w:val="008F4023"/>
    <w:rsid w:val="00903864"/>
    <w:rsid w:val="009039D4"/>
    <w:rsid w:val="009206DE"/>
    <w:rsid w:val="009243DF"/>
    <w:rsid w:val="0092602D"/>
    <w:rsid w:val="009301BF"/>
    <w:rsid w:val="00935D80"/>
    <w:rsid w:val="00936519"/>
    <w:rsid w:val="00955188"/>
    <w:rsid w:val="009714A5"/>
    <w:rsid w:val="009819E8"/>
    <w:rsid w:val="009966E3"/>
    <w:rsid w:val="00996E7E"/>
    <w:rsid w:val="009A25EB"/>
    <w:rsid w:val="009A396D"/>
    <w:rsid w:val="009A696A"/>
    <w:rsid w:val="009B7624"/>
    <w:rsid w:val="009C3E24"/>
    <w:rsid w:val="00A313D9"/>
    <w:rsid w:val="00A35883"/>
    <w:rsid w:val="00A4496A"/>
    <w:rsid w:val="00A47F2D"/>
    <w:rsid w:val="00A5064D"/>
    <w:rsid w:val="00A507D5"/>
    <w:rsid w:val="00A5197F"/>
    <w:rsid w:val="00A540E0"/>
    <w:rsid w:val="00A632E8"/>
    <w:rsid w:val="00A6466B"/>
    <w:rsid w:val="00A71F59"/>
    <w:rsid w:val="00A804C2"/>
    <w:rsid w:val="00A85A89"/>
    <w:rsid w:val="00A8768C"/>
    <w:rsid w:val="00A93CF2"/>
    <w:rsid w:val="00AA5AF1"/>
    <w:rsid w:val="00AB47F4"/>
    <w:rsid w:val="00AC009E"/>
    <w:rsid w:val="00AC3F36"/>
    <w:rsid w:val="00AC4705"/>
    <w:rsid w:val="00AE002C"/>
    <w:rsid w:val="00AF15E5"/>
    <w:rsid w:val="00B00DC5"/>
    <w:rsid w:val="00B077EA"/>
    <w:rsid w:val="00B11ED7"/>
    <w:rsid w:val="00B123F5"/>
    <w:rsid w:val="00B31C78"/>
    <w:rsid w:val="00B32933"/>
    <w:rsid w:val="00B540BD"/>
    <w:rsid w:val="00B60E50"/>
    <w:rsid w:val="00B8546D"/>
    <w:rsid w:val="00B9167D"/>
    <w:rsid w:val="00BA6D6A"/>
    <w:rsid w:val="00BB0297"/>
    <w:rsid w:val="00BB7291"/>
    <w:rsid w:val="00BC193F"/>
    <w:rsid w:val="00BC3B7D"/>
    <w:rsid w:val="00BD15C2"/>
    <w:rsid w:val="00BD19D9"/>
    <w:rsid w:val="00BE1D64"/>
    <w:rsid w:val="00C0029B"/>
    <w:rsid w:val="00C02433"/>
    <w:rsid w:val="00C050C7"/>
    <w:rsid w:val="00C06B30"/>
    <w:rsid w:val="00C07567"/>
    <w:rsid w:val="00C14862"/>
    <w:rsid w:val="00C2036E"/>
    <w:rsid w:val="00C2068B"/>
    <w:rsid w:val="00C246FE"/>
    <w:rsid w:val="00C32B20"/>
    <w:rsid w:val="00C34D9F"/>
    <w:rsid w:val="00C46EB2"/>
    <w:rsid w:val="00C46FCE"/>
    <w:rsid w:val="00C47433"/>
    <w:rsid w:val="00C479F7"/>
    <w:rsid w:val="00C66256"/>
    <w:rsid w:val="00C71D74"/>
    <w:rsid w:val="00C74095"/>
    <w:rsid w:val="00C800CA"/>
    <w:rsid w:val="00C8284D"/>
    <w:rsid w:val="00C865C1"/>
    <w:rsid w:val="00C86DD0"/>
    <w:rsid w:val="00CB2C7A"/>
    <w:rsid w:val="00CD54D7"/>
    <w:rsid w:val="00CE72F8"/>
    <w:rsid w:val="00CF7481"/>
    <w:rsid w:val="00D0685F"/>
    <w:rsid w:val="00D0722D"/>
    <w:rsid w:val="00D13707"/>
    <w:rsid w:val="00D2505D"/>
    <w:rsid w:val="00D46962"/>
    <w:rsid w:val="00D51E11"/>
    <w:rsid w:val="00D53552"/>
    <w:rsid w:val="00D5645B"/>
    <w:rsid w:val="00D57B48"/>
    <w:rsid w:val="00D613F9"/>
    <w:rsid w:val="00D72348"/>
    <w:rsid w:val="00D73A46"/>
    <w:rsid w:val="00DC693D"/>
    <w:rsid w:val="00DD38C6"/>
    <w:rsid w:val="00DE16AA"/>
    <w:rsid w:val="00E203CA"/>
    <w:rsid w:val="00E265FE"/>
    <w:rsid w:val="00E26E7E"/>
    <w:rsid w:val="00E30F5E"/>
    <w:rsid w:val="00E35E03"/>
    <w:rsid w:val="00E5109E"/>
    <w:rsid w:val="00E75033"/>
    <w:rsid w:val="00E75E6C"/>
    <w:rsid w:val="00E76876"/>
    <w:rsid w:val="00E949E9"/>
    <w:rsid w:val="00E94F2C"/>
    <w:rsid w:val="00EB04FB"/>
    <w:rsid w:val="00EB0A65"/>
    <w:rsid w:val="00EC39AE"/>
    <w:rsid w:val="00EC5F04"/>
    <w:rsid w:val="00ED13CA"/>
    <w:rsid w:val="00ED5693"/>
    <w:rsid w:val="00F000D2"/>
    <w:rsid w:val="00F220D3"/>
    <w:rsid w:val="00F258EB"/>
    <w:rsid w:val="00F31CE9"/>
    <w:rsid w:val="00F43EB2"/>
    <w:rsid w:val="00F46270"/>
    <w:rsid w:val="00F52B1B"/>
    <w:rsid w:val="00F54001"/>
    <w:rsid w:val="00F56BC6"/>
    <w:rsid w:val="00F5708E"/>
    <w:rsid w:val="00F61BC4"/>
    <w:rsid w:val="00F70559"/>
    <w:rsid w:val="00F80B02"/>
    <w:rsid w:val="00F85B0A"/>
    <w:rsid w:val="00F87E6C"/>
    <w:rsid w:val="00FA2EDD"/>
    <w:rsid w:val="00FB0AD6"/>
    <w:rsid w:val="00FB35CA"/>
    <w:rsid w:val="00FB5239"/>
    <w:rsid w:val="00FB543D"/>
    <w:rsid w:val="00FC0890"/>
    <w:rsid w:val="00FF6203"/>
    <w:rsid w:val="01CCE47F"/>
    <w:rsid w:val="02102D5E"/>
    <w:rsid w:val="025116A1"/>
    <w:rsid w:val="027DD50A"/>
    <w:rsid w:val="02EDFD48"/>
    <w:rsid w:val="030BBBE6"/>
    <w:rsid w:val="036A60CE"/>
    <w:rsid w:val="050264A8"/>
    <w:rsid w:val="05074C3E"/>
    <w:rsid w:val="077521CF"/>
    <w:rsid w:val="0EF9ECF2"/>
    <w:rsid w:val="117CFC28"/>
    <w:rsid w:val="151B2E72"/>
    <w:rsid w:val="180F6788"/>
    <w:rsid w:val="1C37305B"/>
    <w:rsid w:val="1E1B6BF2"/>
    <w:rsid w:val="1F33E7CE"/>
    <w:rsid w:val="1F3AB05E"/>
    <w:rsid w:val="232B81D7"/>
    <w:rsid w:val="235B1814"/>
    <w:rsid w:val="2431FA9D"/>
    <w:rsid w:val="2B0E938D"/>
    <w:rsid w:val="2CC92E5A"/>
    <w:rsid w:val="357B0016"/>
    <w:rsid w:val="38ECDF93"/>
    <w:rsid w:val="39314DF8"/>
    <w:rsid w:val="3A073135"/>
    <w:rsid w:val="3A3A6E40"/>
    <w:rsid w:val="3D71B6FA"/>
    <w:rsid w:val="3E069E5E"/>
    <w:rsid w:val="3EBE05EE"/>
    <w:rsid w:val="3F4E05F6"/>
    <w:rsid w:val="3F92CC33"/>
    <w:rsid w:val="410E9A87"/>
    <w:rsid w:val="41429C71"/>
    <w:rsid w:val="4209571E"/>
    <w:rsid w:val="429693A0"/>
    <w:rsid w:val="458E9CDD"/>
    <w:rsid w:val="46855293"/>
    <w:rsid w:val="4888E292"/>
    <w:rsid w:val="497DE1E9"/>
    <w:rsid w:val="4A8F8A02"/>
    <w:rsid w:val="4D7AA79A"/>
    <w:rsid w:val="4F7D042E"/>
    <w:rsid w:val="51BEF1B5"/>
    <w:rsid w:val="537844FB"/>
    <w:rsid w:val="54507551"/>
    <w:rsid w:val="55669E42"/>
    <w:rsid w:val="56884C1B"/>
    <w:rsid w:val="580BDC9A"/>
    <w:rsid w:val="580FDEEF"/>
    <w:rsid w:val="59DEDB5F"/>
    <w:rsid w:val="5A4670EE"/>
    <w:rsid w:val="5D5887CA"/>
    <w:rsid w:val="5D7B9DBD"/>
    <w:rsid w:val="5E7272FE"/>
    <w:rsid w:val="5EF4582B"/>
    <w:rsid w:val="6097143F"/>
    <w:rsid w:val="625ACB08"/>
    <w:rsid w:val="625E69AA"/>
    <w:rsid w:val="62A86A9A"/>
    <w:rsid w:val="63C7C94E"/>
    <w:rsid w:val="64443AFB"/>
    <w:rsid w:val="6459BED6"/>
    <w:rsid w:val="65D07BB8"/>
    <w:rsid w:val="66DD0412"/>
    <w:rsid w:val="68053807"/>
    <w:rsid w:val="68BA5EA5"/>
    <w:rsid w:val="6A00CE4E"/>
    <w:rsid w:val="6BB07535"/>
    <w:rsid w:val="6C467D83"/>
    <w:rsid w:val="6D28D74C"/>
    <w:rsid w:val="6E20B35E"/>
    <w:rsid w:val="6FE3C575"/>
    <w:rsid w:val="717F95D6"/>
    <w:rsid w:val="7313ED95"/>
    <w:rsid w:val="752E1986"/>
    <w:rsid w:val="7715D14D"/>
    <w:rsid w:val="77A770C8"/>
    <w:rsid w:val="7812AEC9"/>
    <w:rsid w:val="7A11A041"/>
    <w:rsid w:val="7D99F2C9"/>
    <w:rsid w:val="7DB8976B"/>
    <w:rsid w:val="7E292B24"/>
    <w:rsid w:val="7E35992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006A1"/>
  <w15:chartTrackingRefBased/>
  <w15:docId w15:val="{91062E6E-56E2-490E-8792-8D83B249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79"/>
    <w:pPr>
      <w:spacing w:before="120" w:after="120"/>
    </w:pPr>
    <w:rPr>
      <w:rFonts w:ascii="Arial" w:eastAsiaTheme="minorEastAsia" w:hAnsi="Arial"/>
      <w:sz w:val="24"/>
      <w:szCs w:val="24"/>
      <w:lang w:eastAsia="en-AU"/>
    </w:rPr>
  </w:style>
  <w:style w:type="paragraph" w:styleId="Heading1">
    <w:name w:val="heading 1"/>
    <w:basedOn w:val="Normal"/>
    <w:link w:val="Heading1Char"/>
    <w:uiPriority w:val="9"/>
    <w:qFormat/>
    <w:rsid w:val="00775EFA"/>
    <w:pPr>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Heading3"/>
    <w:link w:val="Heading2Char"/>
    <w:uiPriority w:val="9"/>
    <w:qFormat/>
    <w:rsid w:val="001566C5"/>
    <w:pPr>
      <w:keepNext w:val="0"/>
      <w:keepLines w:val="0"/>
      <w:spacing w:before="360"/>
      <w:outlineLvl w:val="1"/>
    </w:pPr>
    <w:rPr>
      <w:spacing w:val="-10"/>
      <w:kern w:val="28"/>
      <w:sz w:val="36"/>
      <w:szCs w:val="56"/>
    </w:rPr>
  </w:style>
  <w:style w:type="paragraph" w:styleId="Heading3">
    <w:name w:val="heading 3"/>
    <w:basedOn w:val="Normal"/>
    <w:next w:val="Normal"/>
    <w:link w:val="Heading3Char"/>
    <w:uiPriority w:val="9"/>
    <w:unhideWhenUsed/>
    <w:qFormat/>
    <w:rsid w:val="00F000D2"/>
    <w:pPr>
      <w:keepNext/>
      <w:keepLines/>
      <w:spacing w:before="24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F000D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6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8D7"/>
    <w:pPr>
      <w:ind w:left="720"/>
      <w:contextualSpacing/>
    </w:pPr>
  </w:style>
  <w:style w:type="paragraph" w:styleId="Header">
    <w:name w:val="header"/>
    <w:basedOn w:val="Normal"/>
    <w:link w:val="HeaderChar"/>
    <w:uiPriority w:val="99"/>
    <w:unhideWhenUsed/>
    <w:rsid w:val="00A6466B"/>
    <w:pPr>
      <w:tabs>
        <w:tab w:val="center" w:pos="4513"/>
        <w:tab w:val="right" w:pos="9026"/>
      </w:tabs>
    </w:pPr>
  </w:style>
  <w:style w:type="character" w:customStyle="1" w:styleId="HeaderChar">
    <w:name w:val="Header Char"/>
    <w:basedOn w:val="DefaultParagraphFont"/>
    <w:link w:val="Header"/>
    <w:uiPriority w:val="99"/>
    <w:rsid w:val="00A6466B"/>
  </w:style>
  <w:style w:type="paragraph" w:styleId="Footer">
    <w:name w:val="footer"/>
    <w:basedOn w:val="Normal"/>
    <w:link w:val="FooterChar"/>
    <w:uiPriority w:val="99"/>
    <w:unhideWhenUsed/>
    <w:rsid w:val="00A6466B"/>
    <w:pPr>
      <w:tabs>
        <w:tab w:val="center" w:pos="4513"/>
        <w:tab w:val="right" w:pos="9026"/>
      </w:tabs>
    </w:pPr>
  </w:style>
  <w:style w:type="character" w:customStyle="1" w:styleId="FooterChar">
    <w:name w:val="Footer Char"/>
    <w:basedOn w:val="DefaultParagraphFont"/>
    <w:link w:val="Footer"/>
    <w:uiPriority w:val="99"/>
    <w:rsid w:val="00A6466B"/>
  </w:style>
  <w:style w:type="character" w:styleId="CommentReference">
    <w:name w:val="annotation reference"/>
    <w:basedOn w:val="DefaultParagraphFont"/>
    <w:uiPriority w:val="99"/>
    <w:semiHidden/>
    <w:unhideWhenUsed/>
    <w:rsid w:val="005177CE"/>
    <w:rPr>
      <w:sz w:val="16"/>
      <w:szCs w:val="16"/>
    </w:rPr>
  </w:style>
  <w:style w:type="paragraph" w:styleId="CommentText">
    <w:name w:val="annotation text"/>
    <w:basedOn w:val="Normal"/>
    <w:link w:val="CommentTextChar"/>
    <w:uiPriority w:val="99"/>
    <w:unhideWhenUsed/>
    <w:rsid w:val="005177CE"/>
    <w:rPr>
      <w:sz w:val="20"/>
      <w:szCs w:val="20"/>
      <w:lang w:val="en-GB"/>
    </w:rPr>
  </w:style>
  <w:style w:type="character" w:customStyle="1" w:styleId="CommentTextChar">
    <w:name w:val="Comment Text Char"/>
    <w:basedOn w:val="DefaultParagraphFont"/>
    <w:link w:val="CommentText"/>
    <w:uiPriority w:val="99"/>
    <w:rsid w:val="005177CE"/>
    <w:rPr>
      <w:sz w:val="20"/>
      <w:szCs w:val="20"/>
      <w:lang w:val="en-GB"/>
    </w:rPr>
  </w:style>
  <w:style w:type="paragraph" w:customStyle="1" w:styleId="ECPoint">
    <w:name w:val="EC Point"/>
    <w:link w:val="ECPointChar"/>
    <w:rsid w:val="005177CE"/>
    <w:pPr>
      <w:numPr>
        <w:numId w:val="3"/>
      </w:numPr>
      <w:spacing w:after="120"/>
    </w:pPr>
    <w:rPr>
      <w:szCs w:val="24"/>
    </w:rPr>
  </w:style>
  <w:style w:type="character" w:customStyle="1" w:styleId="ECPointChar">
    <w:name w:val="EC Point Char"/>
    <w:basedOn w:val="DefaultParagraphFont"/>
    <w:link w:val="ECPoint"/>
    <w:rsid w:val="005177CE"/>
    <w:rPr>
      <w:rFonts w:cs="Times New Roman"/>
      <w:szCs w:val="24"/>
    </w:rPr>
  </w:style>
  <w:style w:type="character" w:styleId="Hyperlink">
    <w:name w:val="Hyperlink"/>
    <w:uiPriority w:val="99"/>
    <w:unhideWhenUsed/>
    <w:rsid w:val="007E5EC0"/>
    <w:rPr>
      <w:rFonts w:eastAsia="DengXian"/>
      <w:i/>
      <w:color w:val="0563C1"/>
      <w:u w:val="single"/>
    </w:rPr>
  </w:style>
  <w:style w:type="paragraph" w:styleId="NormalWeb">
    <w:name w:val="Normal (Web)"/>
    <w:basedOn w:val="Normal"/>
    <w:uiPriority w:val="99"/>
    <w:unhideWhenUsed/>
    <w:rsid w:val="0024146B"/>
    <w:pPr>
      <w:spacing w:before="100" w:beforeAutospacing="1" w:after="100" w:afterAutospacing="1"/>
    </w:pPr>
    <w:rPr>
      <w:rFonts w:ascii="Times New Roman" w:hAnsi="Times New Roman"/>
    </w:rPr>
  </w:style>
  <w:style w:type="paragraph" w:styleId="ListBullet">
    <w:name w:val="List Bullet"/>
    <w:basedOn w:val="Normal"/>
    <w:uiPriority w:val="99"/>
    <w:unhideWhenUsed/>
    <w:rsid w:val="00D2505D"/>
    <w:pPr>
      <w:spacing w:line="256" w:lineRule="auto"/>
      <w:contextualSpacing/>
    </w:pPr>
  </w:style>
  <w:style w:type="character" w:customStyle="1" w:styleId="Heading1Char">
    <w:name w:val="Heading 1 Char"/>
    <w:basedOn w:val="DefaultParagraphFont"/>
    <w:link w:val="Heading1"/>
    <w:uiPriority w:val="9"/>
    <w:rsid w:val="00775EFA"/>
    <w:rPr>
      <w:rFonts w:ascii="Arial" w:eastAsiaTheme="majorEastAsia" w:hAnsi="Arial" w:cstheme="majorBidi"/>
      <w:color w:val="2F5496" w:themeColor="accent1" w:themeShade="BF"/>
      <w:spacing w:val="-10"/>
      <w:kern w:val="28"/>
      <w:sz w:val="52"/>
      <w:szCs w:val="56"/>
      <w:lang w:eastAsia="en-AU"/>
    </w:rPr>
  </w:style>
  <w:style w:type="paragraph" w:styleId="Revision">
    <w:name w:val="Revision"/>
    <w:hidden/>
    <w:uiPriority w:val="99"/>
    <w:semiHidden/>
    <w:rsid w:val="0020107B"/>
  </w:style>
  <w:style w:type="paragraph" w:styleId="CommentSubject">
    <w:name w:val="annotation subject"/>
    <w:basedOn w:val="CommentText"/>
    <w:next w:val="CommentText"/>
    <w:link w:val="CommentSubjectChar"/>
    <w:uiPriority w:val="99"/>
    <w:semiHidden/>
    <w:unhideWhenUsed/>
    <w:rsid w:val="0020107B"/>
    <w:rPr>
      <w:b/>
      <w:bCs/>
      <w:lang w:val="en-AU"/>
    </w:rPr>
  </w:style>
  <w:style w:type="character" w:customStyle="1" w:styleId="CommentSubjectChar">
    <w:name w:val="Comment Subject Char"/>
    <w:basedOn w:val="CommentTextChar"/>
    <w:link w:val="CommentSubject"/>
    <w:uiPriority w:val="99"/>
    <w:semiHidden/>
    <w:rsid w:val="0020107B"/>
    <w:rPr>
      <w:b/>
      <w:bCs/>
      <w:sz w:val="20"/>
      <w:szCs w:val="20"/>
      <w:lang w:val="en-GB"/>
    </w:rPr>
  </w:style>
  <w:style w:type="paragraph" w:customStyle="1" w:styleId="indent">
    <w:name w:val="indent"/>
    <w:basedOn w:val="NormalWeb"/>
    <w:qFormat/>
    <w:rsid w:val="00F000D2"/>
    <w:pPr>
      <w:spacing w:before="120" w:beforeAutospacing="0"/>
      <w:ind w:left="720"/>
    </w:pPr>
    <w:rPr>
      <w:rFonts w:ascii="Arial" w:hAnsi="Arial" w:cs="Arial"/>
      <w:i/>
      <w:iCs/>
      <w:lang w:eastAsia="en-US"/>
    </w:rPr>
  </w:style>
  <w:style w:type="paragraph" w:customStyle="1" w:styleId="bullettedlist">
    <w:name w:val="bulletted list"/>
    <w:basedOn w:val="Normal"/>
    <w:qFormat/>
    <w:rsid w:val="00F000D2"/>
    <w:pPr>
      <w:numPr>
        <w:numId w:val="13"/>
      </w:numPr>
      <w:contextualSpacing/>
    </w:pPr>
    <w:rPr>
      <w:rFonts w:cs="Arial"/>
    </w:rPr>
  </w:style>
  <w:style w:type="character" w:customStyle="1" w:styleId="Heading2Char">
    <w:name w:val="Heading 2 Char"/>
    <w:basedOn w:val="DefaultParagraphFont"/>
    <w:link w:val="Heading2"/>
    <w:uiPriority w:val="9"/>
    <w:rsid w:val="001566C5"/>
    <w:rPr>
      <w:rFonts w:ascii="Arial" w:eastAsiaTheme="majorEastAsia" w:hAnsi="Arial" w:cstheme="majorBidi"/>
      <w:color w:val="2F5496" w:themeColor="accent1" w:themeShade="BF"/>
      <w:spacing w:val="-10"/>
      <w:kern w:val="28"/>
      <w:sz w:val="36"/>
      <w:szCs w:val="56"/>
      <w:lang w:eastAsia="en-AU"/>
    </w:rPr>
  </w:style>
  <w:style w:type="character" w:customStyle="1" w:styleId="Heading3Char">
    <w:name w:val="Heading 3 Char"/>
    <w:basedOn w:val="DefaultParagraphFont"/>
    <w:link w:val="Heading3"/>
    <w:uiPriority w:val="9"/>
    <w:rsid w:val="00F000D2"/>
    <w:rPr>
      <w:rFonts w:ascii="Arial" w:eastAsiaTheme="majorEastAsia" w:hAnsi="Arial" w:cstheme="majorBidi"/>
      <w:color w:val="2F5496" w:themeColor="accent1" w:themeShade="BF"/>
      <w:sz w:val="28"/>
      <w:szCs w:val="24"/>
    </w:rPr>
  </w:style>
  <w:style w:type="character" w:customStyle="1" w:styleId="Heading4Char">
    <w:name w:val="Heading 4 Char"/>
    <w:basedOn w:val="DefaultParagraphFont"/>
    <w:link w:val="Heading4"/>
    <w:uiPriority w:val="9"/>
    <w:semiHidden/>
    <w:rsid w:val="00F000D2"/>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F000D2"/>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F000D2"/>
    <w:rPr>
      <w:rFonts w:ascii="Arial" w:eastAsiaTheme="majorEastAsia" w:hAnsi="Arial" w:cstheme="majorBidi"/>
      <w:color w:val="2F5496" w:themeColor="accent1" w:themeShade="BF"/>
      <w:spacing w:val="-10"/>
      <w:kern w:val="28"/>
      <w:sz w:val="52"/>
      <w:szCs w:val="56"/>
    </w:rPr>
  </w:style>
  <w:style w:type="character" w:styleId="Strong">
    <w:name w:val="Strong"/>
    <w:basedOn w:val="DefaultParagraphFont"/>
    <w:uiPriority w:val="22"/>
    <w:qFormat/>
    <w:rsid w:val="00F000D2"/>
    <w:rPr>
      <w:b/>
      <w:bCs/>
    </w:rPr>
  </w:style>
  <w:style w:type="character" w:styleId="Emphasis">
    <w:name w:val="Emphasis"/>
    <w:basedOn w:val="DefaultParagraphFont"/>
    <w:uiPriority w:val="20"/>
    <w:qFormat/>
    <w:rsid w:val="00F000D2"/>
    <w:rPr>
      <w:i/>
      <w:iCs/>
    </w:rPr>
  </w:style>
  <w:style w:type="paragraph" w:styleId="TOCHeading">
    <w:name w:val="TOC Heading"/>
    <w:basedOn w:val="Heading1"/>
    <w:next w:val="Normal"/>
    <w:uiPriority w:val="39"/>
    <w:semiHidden/>
    <w:unhideWhenUsed/>
    <w:qFormat/>
    <w:rsid w:val="00F000D2"/>
    <w:pPr>
      <w:keepNext/>
      <w:keepLines/>
      <w:spacing w:after="0" w:line="259" w:lineRule="auto"/>
      <w:outlineLvl w:val="9"/>
    </w:pPr>
    <w:rPr>
      <w:rFonts w:asciiTheme="majorHAnsi" w:hAnsiTheme="majorHAnsi"/>
      <w:b/>
      <w:bCs/>
      <w:kern w:val="0"/>
      <w:sz w:val="32"/>
      <w:szCs w:val="32"/>
      <w:lang w:val="en-US"/>
    </w:rPr>
  </w:style>
  <w:style w:type="character" w:customStyle="1" w:styleId="normaltextrun">
    <w:name w:val="normaltextrun"/>
    <w:basedOn w:val="DefaultParagraphFont"/>
    <w:rsid w:val="004B7197"/>
  </w:style>
  <w:style w:type="character" w:customStyle="1" w:styleId="eop">
    <w:name w:val="eop"/>
    <w:basedOn w:val="DefaultParagraphFont"/>
    <w:rsid w:val="004B7197"/>
  </w:style>
  <w:style w:type="character" w:styleId="UnresolvedMention">
    <w:name w:val="Unresolved Mention"/>
    <w:basedOn w:val="DefaultParagraphFont"/>
    <w:uiPriority w:val="99"/>
    <w:semiHidden/>
    <w:unhideWhenUsed/>
    <w:rsid w:val="006C6535"/>
    <w:rPr>
      <w:color w:val="605E5C"/>
      <w:shd w:val="clear" w:color="auto" w:fill="E1DFDD"/>
    </w:rPr>
  </w:style>
  <w:style w:type="character" w:styleId="FollowedHyperlink">
    <w:name w:val="FollowedHyperlink"/>
    <w:basedOn w:val="DefaultParagraphFont"/>
    <w:uiPriority w:val="99"/>
    <w:semiHidden/>
    <w:unhideWhenUsed/>
    <w:rsid w:val="004A22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7328">
      <w:bodyDiv w:val="1"/>
      <w:marLeft w:val="0"/>
      <w:marRight w:val="0"/>
      <w:marTop w:val="0"/>
      <w:marBottom w:val="0"/>
      <w:divBdr>
        <w:top w:val="none" w:sz="0" w:space="0" w:color="auto"/>
        <w:left w:val="none" w:sz="0" w:space="0" w:color="auto"/>
        <w:bottom w:val="none" w:sz="0" w:space="0" w:color="auto"/>
        <w:right w:val="none" w:sz="0" w:space="0" w:color="auto"/>
      </w:divBdr>
    </w:div>
    <w:div w:id="219678643">
      <w:bodyDiv w:val="1"/>
      <w:marLeft w:val="0"/>
      <w:marRight w:val="0"/>
      <w:marTop w:val="0"/>
      <w:marBottom w:val="0"/>
      <w:divBdr>
        <w:top w:val="none" w:sz="0" w:space="0" w:color="auto"/>
        <w:left w:val="none" w:sz="0" w:space="0" w:color="auto"/>
        <w:bottom w:val="none" w:sz="0" w:space="0" w:color="auto"/>
        <w:right w:val="none" w:sz="0" w:space="0" w:color="auto"/>
      </w:divBdr>
    </w:div>
    <w:div w:id="618679189">
      <w:bodyDiv w:val="1"/>
      <w:marLeft w:val="0"/>
      <w:marRight w:val="0"/>
      <w:marTop w:val="0"/>
      <w:marBottom w:val="0"/>
      <w:divBdr>
        <w:top w:val="none" w:sz="0" w:space="0" w:color="auto"/>
        <w:left w:val="none" w:sz="0" w:space="0" w:color="auto"/>
        <w:bottom w:val="none" w:sz="0" w:space="0" w:color="auto"/>
        <w:right w:val="none" w:sz="0" w:space="0" w:color="auto"/>
      </w:divBdr>
    </w:div>
    <w:div w:id="708846683">
      <w:bodyDiv w:val="1"/>
      <w:marLeft w:val="0"/>
      <w:marRight w:val="0"/>
      <w:marTop w:val="0"/>
      <w:marBottom w:val="0"/>
      <w:divBdr>
        <w:top w:val="none" w:sz="0" w:space="0" w:color="auto"/>
        <w:left w:val="none" w:sz="0" w:space="0" w:color="auto"/>
        <w:bottom w:val="none" w:sz="0" w:space="0" w:color="auto"/>
        <w:right w:val="none" w:sz="0" w:space="0" w:color="auto"/>
      </w:divBdr>
    </w:div>
    <w:div w:id="748577347">
      <w:bodyDiv w:val="1"/>
      <w:marLeft w:val="0"/>
      <w:marRight w:val="0"/>
      <w:marTop w:val="0"/>
      <w:marBottom w:val="0"/>
      <w:divBdr>
        <w:top w:val="none" w:sz="0" w:space="0" w:color="auto"/>
        <w:left w:val="none" w:sz="0" w:space="0" w:color="auto"/>
        <w:bottom w:val="none" w:sz="0" w:space="0" w:color="auto"/>
        <w:right w:val="none" w:sz="0" w:space="0" w:color="auto"/>
      </w:divBdr>
    </w:div>
    <w:div w:id="884374045">
      <w:bodyDiv w:val="1"/>
      <w:marLeft w:val="0"/>
      <w:marRight w:val="0"/>
      <w:marTop w:val="0"/>
      <w:marBottom w:val="0"/>
      <w:divBdr>
        <w:top w:val="none" w:sz="0" w:space="0" w:color="auto"/>
        <w:left w:val="none" w:sz="0" w:space="0" w:color="auto"/>
        <w:bottom w:val="none" w:sz="0" w:space="0" w:color="auto"/>
        <w:right w:val="none" w:sz="0" w:space="0" w:color="auto"/>
      </w:divBdr>
    </w:div>
    <w:div w:id="888302800">
      <w:bodyDiv w:val="1"/>
      <w:marLeft w:val="0"/>
      <w:marRight w:val="0"/>
      <w:marTop w:val="0"/>
      <w:marBottom w:val="0"/>
      <w:divBdr>
        <w:top w:val="none" w:sz="0" w:space="0" w:color="auto"/>
        <w:left w:val="none" w:sz="0" w:space="0" w:color="auto"/>
        <w:bottom w:val="none" w:sz="0" w:space="0" w:color="auto"/>
        <w:right w:val="none" w:sz="0" w:space="0" w:color="auto"/>
      </w:divBdr>
    </w:div>
    <w:div w:id="1293442790">
      <w:bodyDiv w:val="1"/>
      <w:marLeft w:val="0"/>
      <w:marRight w:val="0"/>
      <w:marTop w:val="0"/>
      <w:marBottom w:val="0"/>
      <w:divBdr>
        <w:top w:val="none" w:sz="0" w:space="0" w:color="auto"/>
        <w:left w:val="none" w:sz="0" w:space="0" w:color="auto"/>
        <w:bottom w:val="none" w:sz="0" w:space="0" w:color="auto"/>
        <w:right w:val="none" w:sz="0" w:space="0" w:color="auto"/>
      </w:divBdr>
    </w:div>
    <w:div w:id="1336494330">
      <w:bodyDiv w:val="1"/>
      <w:marLeft w:val="0"/>
      <w:marRight w:val="0"/>
      <w:marTop w:val="0"/>
      <w:marBottom w:val="0"/>
      <w:divBdr>
        <w:top w:val="none" w:sz="0" w:space="0" w:color="auto"/>
        <w:left w:val="none" w:sz="0" w:space="0" w:color="auto"/>
        <w:bottom w:val="none" w:sz="0" w:space="0" w:color="auto"/>
        <w:right w:val="none" w:sz="0" w:space="0" w:color="auto"/>
      </w:divBdr>
    </w:div>
    <w:div w:id="1393769297">
      <w:bodyDiv w:val="1"/>
      <w:marLeft w:val="0"/>
      <w:marRight w:val="0"/>
      <w:marTop w:val="0"/>
      <w:marBottom w:val="0"/>
      <w:divBdr>
        <w:top w:val="none" w:sz="0" w:space="0" w:color="auto"/>
        <w:left w:val="none" w:sz="0" w:space="0" w:color="auto"/>
        <w:bottom w:val="none" w:sz="0" w:space="0" w:color="auto"/>
        <w:right w:val="none" w:sz="0" w:space="0" w:color="auto"/>
      </w:divBdr>
    </w:div>
    <w:div w:id="1516266714">
      <w:bodyDiv w:val="1"/>
      <w:marLeft w:val="0"/>
      <w:marRight w:val="0"/>
      <w:marTop w:val="0"/>
      <w:marBottom w:val="0"/>
      <w:divBdr>
        <w:top w:val="none" w:sz="0" w:space="0" w:color="auto"/>
        <w:left w:val="none" w:sz="0" w:space="0" w:color="auto"/>
        <w:bottom w:val="none" w:sz="0" w:space="0" w:color="auto"/>
        <w:right w:val="none" w:sz="0" w:space="0" w:color="auto"/>
      </w:divBdr>
    </w:div>
    <w:div w:id="1820688206">
      <w:bodyDiv w:val="1"/>
      <w:marLeft w:val="0"/>
      <w:marRight w:val="0"/>
      <w:marTop w:val="0"/>
      <w:marBottom w:val="0"/>
      <w:divBdr>
        <w:top w:val="none" w:sz="0" w:space="0" w:color="auto"/>
        <w:left w:val="none" w:sz="0" w:space="0" w:color="auto"/>
        <w:bottom w:val="none" w:sz="0" w:space="0" w:color="auto"/>
        <w:right w:val="none" w:sz="0" w:space="0" w:color="auto"/>
      </w:divBdr>
    </w:div>
    <w:div w:id="1927424946">
      <w:bodyDiv w:val="1"/>
      <w:marLeft w:val="0"/>
      <w:marRight w:val="0"/>
      <w:marTop w:val="0"/>
      <w:marBottom w:val="0"/>
      <w:divBdr>
        <w:top w:val="none" w:sz="0" w:space="0" w:color="auto"/>
        <w:left w:val="none" w:sz="0" w:space="0" w:color="auto"/>
        <w:bottom w:val="none" w:sz="0" w:space="0" w:color="auto"/>
        <w:right w:val="none" w:sz="0" w:space="0" w:color="auto"/>
      </w:divBdr>
    </w:div>
    <w:div w:id="208884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organisation/training-accreditation-council/training-accreditation-council-regulatory-framewor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rqa.vic.gov.au/VET/Pages/defaul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5L00354/asmade/text" TargetMode="External"/><Relationship Id="rId5" Type="http://schemas.openxmlformats.org/officeDocument/2006/relationships/numbering" Target="numbering.xml"/><Relationship Id="rId15" Type="http://schemas.openxmlformats.org/officeDocument/2006/relationships/hyperlink" Target="https://www.legislation.gov.au/Details/F2005L00767"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4426/lates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4923D-34D3-431A-90D8-F210E6942BD6}">
  <ds:schemaRefs>
    <ds:schemaRef ds:uri="http://schemas.openxmlformats.org/officeDocument/2006/bibliography"/>
  </ds:schemaRefs>
</ds:datastoreItem>
</file>

<file path=customXml/itemProps2.xml><?xml version="1.0" encoding="utf-8"?>
<ds:datastoreItem xmlns:ds="http://schemas.openxmlformats.org/officeDocument/2006/customXml" ds:itemID="{4CFBF3FD-2245-405A-893F-732D93569334}">
  <ds:schemaRefs>
    <ds:schemaRef ds:uri="http://schemas.microsoft.com/sharepoint/v3/contenttype/forms"/>
  </ds:schemaRefs>
</ds:datastoreItem>
</file>

<file path=customXml/itemProps3.xml><?xml version="1.0" encoding="utf-8"?>
<ds:datastoreItem xmlns:ds="http://schemas.openxmlformats.org/officeDocument/2006/customXml" ds:itemID="{431E72D9-FCC6-45CF-8E19-56FBB2B047BA}">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4.xml><?xml version="1.0" encoding="utf-8"?>
<ds:datastoreItem xmlns:ds="http://schemas.openxmlformats.org/officeDocument/2006/customXml" ds:itemID="{8030246C-C414-4840-8EAA-9C0EA95FB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9</Pages>
  <Words>1579</Words>
  <Characters>10270</Characters>
  <Application>Microsoft Office Word</Application>
  <DocSecurity>0</DocSecurity>
  <Lines>604</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Kate Lehmensich</cp:lastModifiedBy>
  <cp:revision>132</cp:revision>
  <cp:lastPrinted>2022-09-15T23:16:00Z</cp:lastPrinted>
  <dcterms:created xsi:type="dcterms:W3CDTF">2023-02-02T03:51:00Z</dcterms:created>
  <dcterms:modified xsi:type="dcterms:W3CDTF">2025-11-03T05:01:00Z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SIP_Label_79d889eb-932f-4752-8739-64d25806ef64_Enabled">
    <vt:lpwstr>true</vt:lpwstr>
  </property>
  <property fmtid="{D5CDD505-2E9C-101B-9397-08002B2CF9AE}" pid="4" name="MSIP_Label_79d889eb-932f-4752-8739-64d25806ef64_SetDate">
    <vt:lpwstr>2022-09-05T08:11:09Z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0ed14a07-6a32-4614-a7b4-9892466f3d96</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Order">
    <vt:r8>53600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