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57FA7" w14:textId="29F55BE5" w:rsidR="00092225" w:rsidRPr="00435B7B" w:rsidRDefault="00204682" w:rsidP="00092225">
      <w:pPr>
        <w:ind w:left="-1440"/>
      </w:pPr>
      <w:bookmarkStart w:id="0" w:name="_Hlk522713022"/>
      <w:bookmarkStart w:id="1" w:name="_GoBack"/>
      <w:bookmarkEnd w:id="1"/>
      <w:r>
        <w:rPr>
          <w:noProof/>
          <w:lang w:eastAsia="en-AU"/>
        </w:rPr>
        <w:drawing>
          <wp:anchor distT="0" distB="0" distL="114300" distR="114300" simplePos="0" relativeHeight="251662336" behindDoc="1" locked="0" layoutInCell="1" allowOverlap="1" wp14:anchorId="59D6D008" wp14:editId="4288B2CE">
            <wp:simplePos x="0" y="0"/>
            <wp:positionH relativeFrom="page">
              <wp:align>center</wp:align>
            </wp:positionH>
            <wp:positionV relativeFrom="paragraph">
              <wp:posOffset>-779780</wp:posOffset>
            </wp:positionV>
            <wp:extent cx="7581600" cy="10720800"/>
            <wp:effectExtent l="0" t="0" r="635" b="444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_0001 EMP Word Template navy_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p>
    <w:p w14:paraId="673EF951" w14:textId="62ECC764" w:rsidR="00092225" w:rsidRDefault="00092225" w:rsidP="00092225">
      <w:pPr>
        <w:spacing w:after="1560"/>
      </w:pPr>
      <w:r>
        <w:rPr>
          <w:noProof/>
          <w:lang w:eastAsia="en-AU"/>
        </w:rPr>
        <w:drawing>
          <wp:inline distT="0" distB="0" distL="0" distR="0" wp14:anchorId="4A39BDF1" wp14:editId="0CC3DDE5">
            <wp:extent cx="3616938" cy="647700"/>
            <wp:effectExtent l="0" t="0" r="3175" b="0"/>
            <wp:docPr id="3" name="Picture 3" descr="Department of Jobs and Small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9">
                      <a:extLst>
                        <a:ext uri="{28A0092B-C50C-407E-A947-70E740481C1C}">
                          <a14:useLocalDpi xmlns:a14="http://schemas.microsoft.com/office/drawing/2010/main" val="0"/>
                        </a:ext>
                      </a:extLst>
                    </a:blip>
                    <a:stretch>
                      <a:fillRect/>
                    </a:stretch>
                  </pic:blipFill>
                  <pic:spPr>
                    <a:xfrm>
                      <a:off x="0" y="0"/>
                      <a:ext cx="3622752" cy="648741"/>
                    </a:xfrm>
                    <a:prstGeom prst="rect">
                      <a:avLst/>
                    </a:prstGeom>
                  </pic:spPr>
                </pic:pic>
              </a:graphicData>
            </a:graphic>
          </wp:inline>
        </w:drawing>
      </w:r>
    </w:p>
    <w:p w14:paraId="01D78BF6" w14:textId="46D6F260" w:rsidR="00204682" w:rsidRPr="007F76D6" w:rsidRDefault="00092225" w:rsidP="007F76D6">
      <w:pPr>
        <w:pStyle w:val="Title"/>
        <w:ind w:left="426"/>
      </w:pPr>
      <w:r w:rsidRPr="00563034">
        <w:t xml:space="preserve">Review of the </w:t>
      </w:r>
      <w:r w:rsidRPr="00563034">
        <w:rPr>
          <w:i/>
        </w:rPr>
        <w:t>Building and Construction Industry (Improving Productivity) Act 2016</w:t>
      </w:r>
    </w:p>
    <w:p w14:paraId="4A7DFF82" w14:textId="77777777" w:rsidR="00204682" w:rsidRPr="001E12D6" w:rsidRDefault="00204682" w:rsidP="007F76D6">
      <w:pPr>
        <w:spacing w:before="1440" w:after="0"/>
        <w:jc w:val="right"/>
        <w:rPr>
          <w:color w:val="E7E6E6" w:themeColor="background2"/>
          <w:sz w:val="40"/>
          <w:szCs w:val="40"/>
        </w:rPr>
      </w:pPr>
      <w:r w:rsidRPr="001E12D6">
        <w:rPr>
          <w:color w:val="E7E6E6" w:themeColor="background2"/>
          <w:sz w:val="40"/>
          <w:szCs w:val="40"/>
        </w:rPr>
        <w:t>Rex Deighton-Smith</w:t>
      </w:r>
    </w:p>
    <w:p w14:paraId="5EBFFB36" w14:textId="77777777" w:rsidR="00204682" w:rsidRPr="001E12D6" w:rsidRDefault="00204682" w:rsidP="00204682">
      <w:pPr>
        <w:jc w:val="right"/>
        <w:rPr>
          <w:color w:val="E7E6E6" w:themeColor="background2"/>
          <w:sz w:val="40"/>
          <w:szCs w:val="40"/>
        </w:rPr>
      </w:pPr>
      <w:r w:rsidRPr="001E12D6">
        <w:rPr>
          <w:color w:val="E7E6E6" w:themeColor="background2"/>
          <w:sz w:val="40"/>
          <w:szCs w:val="40"/>
        </w:rPr>
        <w:t>Jaguar Consulting Pty Ltd</w:t>
      </w:r>
    </w:p>
    <w:p w14:paraId="0615306B" w14:textId="77777777" w:rsidR="00204682" w:rsidRPr="001E12D6" w:rsidRDefault="00204682" w:rsidP="00204682">
      <w:pPr>
        <w:jc w:val="right"/>
        <w:rPr>
          <w:color w:val="E7E6E6" w:themeColor="background2"/>
          <w:sz w:val="36"/>
          <w:szCs w:val="36"/>
        </w:rPr>
      </w:pPr>
      <w:r>
        <w:rPr>
          <w:color w:val="E7E6E6" w:themeColor="background2"/>
          <w:sz w:val="40"/>
          <w:szCs w:val="40"/>
        </w:rPr>
        <w:t xml:space="preserve">October </w:t>
      </w:r>
      <w:r w:rsidRPr="001E12D6">
        <w:rPr>
          <w:color w:val="E7E6E6" w:themeColor="background2"/>
          <w:sz w:val="40"/>
          <w:szCs w:val="40"/>
        </w:rPr>
        <w:t>2018</w:t>
      </w:r>
    </w:p>
    <w:p w14:paraId="7E7B06CF" w14:textId="208FBC4D" w:rsidR="00092225" w:rsidRPr="00F43AE3" w:rsidRDefault="00092225" w:rsidP="00092225">
      <w:pPr>
        <w:pStyle w:val="Subtitle"/>
        <w:ind w:left="1624" w:right="545"/>
        <w:jc w:val="right"/>
      </w:pPr>
      <w:r w:rsidRPr="00BF10F4">
        <w:rPr>
          <w:color w:val="1E3D6B"/>
          <w:sz w:val="36"/>
          <w:szCs w:val="36"/>
        </w:rPr>
        <w:br w:type="page"/>
      </w:r>
    </w:p>
    <w:p w14:paraId="50C141A3" w14:textId="77777777" w:rsidR="00092225" w:rsidRDefault="00092225" w:rsidP="00092225">
      <w:pPr>
        <w:pStyle w:val="BodyText"/>
        <w:sectPr w:rsidR="00092225" w:rsidSect="00204682">
          <w:footerReference w:type="default" r:id="rId10"/>
          <w:pgSz w:w="11906" w:h="16838"/>
          <w:pgMar w:top="1276" w:right="1274" w:bottom="1134" w:left="1440" w:header="708" w:footer="708" w:gutter="0"/>
          <w:cols w:space="708"/>
          <w:titlePg/>
          <w:docGrid w:linePitch="360"/>
        </w:sectPr>
      </w:pPr>
    </w:p>
    <w:p w14:paraId="20FFEF98" w14:textId="2D8C7692" w:rsidR="00092225" w:rsidRPr="008E4DA0" w:rsidRDefault="00092225" w:rsidP="00092225">
      <w:r w:rsidRPr="008E4DA0">
        <w:lastRenderedPageBreak/>
        <w:t>ISBN</w:t>
      </w:r>
    </w:p>
    <w:p w14:paraId="15976AD8" w14:textId="77777777" w:rsidR="00092225" w:rsidRPr="007D58FB" w:rsidRDefault="00092225" w:rsidP="00092225">
      <w:pPr>
        <w:rPr>
          <w:szCs w:val="20"/>
        </w:rPr>
      </w:pPr>
      <w:r w:rsidRPr="00502430">
        <w:rPr>
          <w:szCs w:val="20"/>
        </w:rPr>
        <w:t>978-1-76051-567-6</w:t>
      </w:r>
      <w:r w:rsidRPr="008E4DA0">
        <w:rPr>
          <w:szCs w:val="20"/>
        </w:rPr>
        <w:t xml:space="preserve"> [PDF]</w:t>
      </w:r>
      <w:r w:rsidRPr="008E4DA0">
        <w:rPr>
          <w:szCs w:val="20"/>
        </w:rPr>
        <w:br/>
      </w:r>
      <w:r w:rsidRPr="00502430">
        <w:rPr>
          <w:szCs w:val="20"/>
        </w:rPr>
        <w:t>978-1-76051-568-3</w:t>
      </w:r>
      <w:r w:rsidRPr="008E4DA0">
        <w:rPr>
          <w:szCs w:val="20"/>
        </w:rPr>
        <w:t xml:space="preserve"> [DOCX]</w:t>
      </w:r>
    </w:p>
    <w:p w14:paraId="6CEAA507" w14:textId="77777777" w:rsidR="00092225" w:rsidRDefault="00092225" w:rsidP="00092225">
      <w:pPr>
        <w:pStyle w:val="numberedpara"/>
        <w:numPr>
          <w:ilvl w:val="0"/>
          <w:numId w:val="0"/>
        </w:numPr>
        <w:tabs>
          <w:tab w:val="left" w:pos="720"/>
        </w:tabs>
        <w:rPr>
          <w:sz w:val="20"/>
          <w:szCs w:val="20"/>
        </w:rPr>
      </w:pPr>
      <w:r>
        <w:rPr>
          <w:noProof/>
          <w:sz w:val="20"/>
          <w:szCs w:val="20"/>
        </w:rPr>
        <w:drawing>
          <wp:inline distT="0" distB="0" distL="0" distR="0" wp14:anchorId="61332946" wp14:editId="02C35B71">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1" r:link="rId1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0C9DF1B" w14:textId="77777777" w:rsidR="00092225" w:rsidRPr="000462F1" w:rsidRDefault="00092225" w:rsidP="00092225">
      <w:r w:rsidRPr="000462F1">
        <w:t xml:space="preserve">With the exception of the Commonwealth Coat of Arms, the Department’s logo, any material protected by a trade mark and where otherwise noted all material presented in this document is provided under a </w:t>
      </w:r>
      <w:hyperlink r:id="rId13" w:history="1">
        <w:r w:rsidRPr="00EC78E7">
          <w:rPr>
            <w:rStyle w:val="Hyperlink"/>
          </w:rPr>
          <w:t>Creative Commons Attribution 3.0 Australia</w:t>
        </w:r>
      </w:hyperlink>
      <w:r>
        <w:t xml:space="preserve"> </w:t>
      </w:r>
      <w:r w:rsidRPr="000462F1">
        <w:t>(</w:t>
      </w:r>
      <w:r w:rsidRPr="00EC78E7">
        <w:t>http://creativecommons.org/licenses/by/3.0/au/</w:t>
      </w:r>
      <w:r w:rsidRPr="000462F1">
        <w:t xml:space="preserve">) licence. </w:t>
      </w:r>
    </w:p>
    <w:p w14:paraId="5B80AF1A" w14:textId="77777777" w:rsidR="00092225" w:rsidRPr="000462F1" w:rsidRDefault="00092225" w:rsidP="00092225">
      <w:r w:rsidRPr="000462F1">
        <w:t xml:space="preserve">The details of the relevant licence conditions are available on the Creative Commons website (accessible using the links provided) as is the full legal code for the </w:t>
      </w:r>
      <w:hyperlink r:id="rId14"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72CA5D4C" w14:textId="1D45A4B0" w:rsidR="00092225" w:rsidRDefault="00092225" w:rsidP="00092225">
      <w:r w:rsidRPr="000462F1">
        <w:t>The document must be attributed as the</w:t>
      </w:r>
      <w:r>
        <w:t xml:space="preserve"> Review of the </w:t>
      </w:r>
      <w:r w:rsidRPr="00563034">
        <w:rPr>
          <w:i/>
        </w:rPr>
        <w:t>Building and Construction Indust</w:t>
      </w:r>
      <w:r w:rsidR="00C01C9D">
        <w:rPr>
          <w:i/>
        </w:rPr>
        <w:t>ry (Improving Productivity) Act </w:t>
      </w:r>
      <w:r w:rsidRPr="00563034">
        <w:rPr>
          <w:i/>
        </w:rPr>
        <w:t>2016</w:t>
      </w:r>
      <w:r>
        <w:t>.</w:t>
      </w:r>
    </w:p>
    <w:p w14:paraId="586A24A5" w14:textId="77777777" w:rsidR="00092225" w:rsidRDefault="00092225" w:rsidP="00092225"/>
    <w:p w14:paraId="7B0CA77A" w14:textId="77777777" w:rsidR="00092225" w:rsidRPr="00563034" w:rsidRDefault="00092225" w:rsidP="00092225">
      <w:r w:rsidRPr="00563034">
        <w:t>Disclaimer:</w:t>
      </w:r>
    </w:p>
    <w:p w14:paraId="2F81F5D9" w14:textId="024231F6" w:rsidR="00092225" w:rsidRDefault="00092225" w:rsidP="00092225">
      <w:r w:rsidRPr="00563034">
        <w:t xml:space="preserve">The </w:t>
      </w:r>
      <w:r>
        <w:t xml:space="preserve">Review of the </w:t>
      </w:r>
      <w:r w:rsidRPr="00076F25">
        <w:rPr>
          <w:i/>
        </w:rPr>
        <w:t>Building and Construction Industry (I</w:t>
      </w:r>
      <w:r w:rsidR="00C01C9D">
        <w:rPr>
          <w:i/>
        </w:rPr>
        <w:t>mproving Productivity) Act </w:t>
      </w:r>
      <w:r w:rsidRPr="00076F25">
        <w:rPr>
          <w:i/>
        </w:rPr>
        <w:t>2016</w:t>
      </w:r>
      <w:r>
        <w:t xml:space="preserve"> was conducted </w:t>
      </w:r>
      <w:r w:rsidRPr="00563034">
        <w:t xml:space="preserve">by </w:t>
      </w:r>
      <w:r>
        <w:t>Mr Rex Deighton-Smith of Jaguar Consulting Pty Ltd with assistance from the Department</w:t>
      </w:r>
      <w:r w:rsidRPr="00563034">
        <w:t>. The</w:t>
      </w:r>
      <w:r>
        <w:t xml:space="preserve"> </w:t>
      </w:r>
      <w:r w:rsidRPr="00563034">
        <w:t>views and opinions expressed in the materials do not necessaril</w:t>
      </w:r>
      <w:r>
        <w:t xml:space="preserve">y reflect the views or have the </w:t>
      </w:r>
      <w:r w:rsidRPr="00563034">
        <w:t>endorsement of the Australian Government or of any minister, or indic</w:t>
      </w:r>
      <w:r>
        <w:t xml:space="preserve">ate the Australian Government’s </w:t>
      </w:r>
      <w:r w:rsidRPr="00563034">
        <w:t>commitment to a particular course of action. While care has been t</w:t>
      </w:r>
      <w:r>
        <w:t xml:space="preserve">aken to ensure that information </w:t>
      </w:r>
      <w:r w:rsidRPr="00563034">
        <w:t>contained in this report is true and correct at the time of publication, cha</w:t>
      </w:r>
      <w:r>
        <w:t xml:space="preserve">nges in circumstances after the </w:t>
      </w:r>
      <w:r w:rsidRPr="00563034">
        <w:t>time of publication may impact on the accuracy of this information. Th</w:t>
      </w:r>
      <w:r>
        <w:t xml:space="preserve">e Australian Government, Jaguar Consulting and the Department </w:t>
      </w:r>
      <w:r w:rsidRPr="00563034">
        <w:t>give no warranty or assurance, and m</w:t>
      </w:r>
      <w:r>
        <w:t xml:space="preserve">ake no representation as to the </w:t>
      </w:r>
      <w:r w:rsidRPr="00563034">
        <w:t>accuracy of any information or advice contained, or that it is suitable for your intended use.</w:t>
      </w:r>
    </w:p>
    <w:p w14:paraId="6F47330C" w14:textId="1BCC6652" w:rsidR="000C7A9D" w:rsidRDefault="000C7A9D" w:rsidP="0018648B">
      <w:pPr>
        <w:spacing w:after="0"/>
        <w:rPr>
          <w:sz w:val="36"/>
          <w:szCs w:val="36"/>
        </w:rPr>
        <w:sectPr w:rsidR="000C7A9D" w:rsidSect="004706A4">
          <w:headerReference w:type="default" r:id="rId15"/>
          <w:footerReference w:type="default" r:id="rId16"/>
          <w:pgSz w:w="11906" w:h="16838"/>
          <w:pgMar w:top="6804" w:right="1440" w:bottom="1440" w:left="1440" w:header="709" w:footer="709" w:gutter="0"/>
          <w:cols w:space="720"/>
        </w:sectPr>
      </w:pPr>
    </w:p>
    <w:p w14:paraId="0598A223" w14:textId="400EDD66" w:rsidR="00082071" w:rsidRDefault="00AE1F88" w:rsidP="00AE1F88">
      <w:pPr>
        <w:pStyle w:val="Heading1"/>
      </w:pPr>
      <w:bookmarkStart w:id="2" w:name="_Toc527632978"/>
      <w:r>
        <w:lastRenderedPageBreak/>
        <w:t>Letter of transmittal</w:t>
      </w:r>
      <w:bookmarkEnd w:id="2"/>
    </w:p>
    <w:p w14:paraId="34E52935" w14:textId="07AF204A" w:rsidR="000218CE" w:rsidRDefault="000218CE" w:rsidP="000218CE">
      <w:r w:rsidRPr="000E44A9">
        <w:rPr>
          <w:noProof/>
          <w:lang w:eastAsia="en-AU"/>
        </w:rPr>
        <w:drawing>
          <wp:anchor distT="0" distB="0" distL="114300" distR="114300" simplePos="0" relativeHeight="251667456" behindDoc="0" locked="0" layoutInCell="1" allowOverlap="1" wp14:anchorId="522ED8A2" wp14:editId="39E78241">
            <wp:simplePos x="0" y="0"/>
            <wp:positionH relativeFrom="column">
              <wp:posOffset>0</wp:posOffset>
            </wp:positionH>
            <wp:positionV relativeFrom="paragraph">
              <wp:posOffset>6985</wp:posOffset>
            </wp:positionV>
            <wp:extent cx="5829300" cy="8227283"/>
            <wp:effectExtent l="0" t="0" r="0" b="2540"/>
            <wp:wrapNone/>
            <wp:docPr id="7" name="Picture 7" descr="Letter of Transmittal - text available 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10000" contrast="24000"/>
                      <a:extLst>
                        <a:ext uri="{28A0092B-C50C-407E-A947-70E740481C1C}">
                          <a14:useLocalDpi xmlns:a14="http://schemas.microsoft.com/office/drawing/2010/main" val="0"/>
                        </a:ext>
                      </a:extLst>
                    </a:blip>
                    <a:srcRect/>
                    <a:stretch>
                      <a:fillRect/>
                    </a:stretch>
                  </pic:blipFill>
                  <pic:spPr bwMode="auto">
                    <a:xfrm>
                      <a:off x="0" y="0"/>
                      <a:ext cx="5829919" cy="822815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Hon Kelly </w:t>
      </w:r>
      <w:proofErr w:type="spellStart"/>
      <w:r>
        <w:t>O'Dwyer</w:t>
      </w:r>
      <w:proofErr w:type="spellEnd"/>
      <w:r>
        <w:t xml:space="preserve"> MP </w:t>
      </w:r>
    </w:p>
    <w:p w14:paraId="566AAB99" w14:textId="1C1D0E01" w:rsidR="000218CE" w:rsidRDefault="000218CE" w:rsidP="000218CE">
      <w:r>
        <w:t>Minister for Jobs, Industrial Relations and Women</w:t>
      </w:r>
    </w:p>
    <w:p w14:paraId="5545E226" w14:textId="77777777" w:rsidR="000218CE" w:rsidRDefault="000218CE" w:rsidP="000218CE">
      <w:r>
        <w:t>PO Box 6022</w:t>
      </w:r>
    </w:p>
    <w:p w14:paraId="7501B646" w14:textId="77777777" w:rsidR="000218CE" w:rsidRDefault="000218CE" w:rsidP="000218CE">
      <w:r>
        <w:t>House of Representatives</w:t>
      </w:r>
    </w:p>
    <w:p w14:paraId="5DBA9FE7" w14:textId="77777777" w:rsidR="000218CE" w:rsidRDefault="000218CE" w:rsidP="000218CE">
      <w:r>
        <w:t xml:space="preserve">Parliament House </w:t>
      </w:r>
    </w:p>
    <w:p w14:paraId="07CAECD7" w14:textId="444315F5" w:rsidR="000218CE" w:rsidRDefault="000218CE" w:rsidP="000218CE">
      <w:proofErr w:type="gramStart"/>
      <w:r>
        <w:t>CANBERRA  ACT</w:t>
      </w:r>
      <w:proofErr w:type="gramEnd"/>
      <w:r>
        <w:t xml:space="preserve">  2600</w:t>
      </w:r>
    </w:p>
    <w:p w14:paraId="295B7FFD" w14:textId="064E96E8" w:rsidR="000218CE" w:rsidRDefault="000218CE" w:rsidP="000218CE">
      <w:r>
        <w:t>Dear Minister</w:t>
      </w:r>
    </w:p>
    <w:p w14:paraId="4C48A3DF" w14:textId="6636EC78" w:rsidR="000218CE" w:rsidRDefault="000218CE" w:rsidP="000218CE">
      <w:r>
        <w:t>Review of the Building and Construction Industry (Improving Productivity) Act 2016</w:t>
      </w:r>
    </w:p>
    <w:p w14:paraId="79B87FC8" w14:textId="381043BB" w:rsidR="000218CE" w:rsidRDefault="000218CE" w:rsidP="000218CE">
      <w:r>
        <w:t xml:space="preserve">I am pleased to present to you for tabling in Parliament my report on the Review of the Building and Construction Industry (Improving Productivity) Act 2016, which I have undertaken in accordance with the terms of reference established by the then Minister for Employment, Senator the Hon </w:t>
      </w:r>
      <w:proofErr w:type="spellStart"/>
      <w:r>
        <w:t>Michaelia</w:t>
      </w:r>
      <w:proofErr w:type="spellEnd"/>
      <w:r>
        <w:t xml:space="preserve"> Cash.</w:t>
      </w:r>
    </w:p>
    <w:p w14:paraId="6086B7B5" w14:textId="7CDC36F0" w:rsidR="000218CE" w:rsidRDefault="000218CE" w:rsidP="000218CE">
      <w:r>
        <w:t>Yours sincerely</w:t>
      </w:r>
    </w:p>
    <w:p w14:paraId="2F37E020" w14:textId="30A447C9" w:rsidR="000218CE" w:rsidRDefault="000218CE" w:rsidP="000218CE">
      <w:r>
        <w:t>(Signature)</w:t>
      </w:r>
    </w:p>
    <w:p w14:paraId="0D9DF8F4" w14:textId="77777777" w:rsidR="000218CE" w:rsidRDefault="000218CE" w:rsidP="000218CE">
      <w:r>
        <w:t>Rex Deighton-Smith</w:t>
      </w:r>
    </w:p>
    <w:p w14:paraId="00646D81" w14:textId="77777777" w:rsidR="000218CE" w:rsidRDefault="000218CE" w:rsidP="000218CE">
      <w:r>
        <w:t>Director</w:t>
      </w:r>
    </w:p>
    <w:p w14:paraId="7CD4FD0F" w14:textId="74E45754" w:rsidR="000218CE" w:rsidRDefault="000218CE" w:rsidP="000218CE">
      <w:r>
        <w:t>Jaguar Consulting Pty Ltd</w:t>
      </w:r>
    </w:p>
    <w:p w14:paraId="1E995FFA" w14:textId="11FD359E" w:rsidR="000218CE" w:rsidRPr="000218CE" w:rsidRDefault="000218CE" w:rsidP="000218CE">
      <w:r>
        <w:t>17 October 2018</w:t>
      </w:r>
    </w:p>
    <w:p w14:paraId="0D981E90" w14:textId="03484C98" w:rsidR="000E44A9" w:rsidRDefault="000E44A9" w:rsidP="00AE1F88">
      <w:pPr>
        <w:spacing w:after="0"/>
      </w:pPr>
    </w:p>
    <w:p w14:paraId="72588A66" w14:textId="447109A4" w:rsidR="00C3250D" w:rsidRDefault="00C3250D" w:rsidP="000C7A9D">
      <w:pPr>
        <w:spacing w:after="0"/>
      </w:pPr>
    </w:p>
    <w:p w14:paraId="3F8BC214" w14:textId="77777777" w:rsidR="00C3250D" w:rsidRDefault="00C3250D" w:rsidP="000C7A9D">
      <w:pPr>
        <w:spacing w:after="0"/>
        <w:sectPr w:rsidR="00C3250D" w:rsidSect="004706A4">
          <w:footerReference w:type="default" r:id="rId18"/>
          <w:pgSz w:w="11906" w:h="16838"/>
          <w:pgMar w:top="1440" w:right="1440" w:bottom="1440" w:left="1440" w:header="709" w:footer="709" w:gutter="0"/>
          <w:pgNumType w:fmt="lowerRoman" w:start="1"/>
          <w:cols w:space="720"/>
        </w:sectPr>
      </w:pPr>
    </w:p>
    <w:bookmarkStart w:id="3" w:name="_Toc523154915" w:displacedByCustomXml="next"/>
    <w:bookmarkStart w:id="4" w:name="_Toc527632979" w:displacedByCustomXml="next"/>
    <w:sdt>
      <w:sdtPr>
        <w:rPr>
          <w:rFonts w:asciiTheme="minorHAnsi" w:eastAsiaTheme="minorHAnsi" w:hAnsiTheme="minorHAnsi" w:cstheme="minorBidi"/>
          <w:b w:val="0"/>
          <w:bCs w:val="0"/>
          <w:color w:val="auto"/>
          <w:sz w:val="22"/>
          <w:szCs w:val="22"/>
        </w:rPr>
        <w:id w:val="-1331982448"/>
        <w:docPartObj>
          <w:docPartGallery w:val="Table of Contents"/>
          <w:docPartUnique/>
        </w:docPartObj>
      </w:sdtPr>
      <w:sdtEndPr>
        <w:rPr>
          <w:noProof/>
        </w:rPr>
      </w:sdtEndPr>
      <w:sdtContent>
        <w:p w14:paraId="0A7F9A5E" w14:textId="77777777" w:rsidR="00666485" w:rsidRDefault="00666485" w:rsidP="00AE1F88">
          <w:pPr>
            <w:pStyle w:val="Heading1"/>
          </w:pPr>
          <w:r>
            <w:t>Contents</w:t>
          </w:r>
          <w:bookmarkEnd w:id="4"/>
        </w:p>
        <w:bookmarkEnd w:id="3"/>
        <w:p w14:paraId="05741C5E" w14:textId="3A0F4459" w:rsidR="0028630D" w:rsidRDefault="000C7A9D" w:rsidP="007F76D6">
          <w:pPr>
            <w:pStyle w:val="TOC1"/>
            <w:tabs>
              <w:tab w:val="right" w:pos="9016"/>
            </w:tabs>
            <w:rPr>
              <w:noProof/>
              <w:lang w:eastAsia="en-AU"/>
            </w:rPr>
          </w:pPr>
          <w:r>
            <w:fldChar w:fldCharType="begin"/>
          </w:r>
          <w:r>
            <w:instrText xml:space="preserve"> TOC \o "1-3" \h \z \u </w:instrText>
          </w:r>
          <w:r>
            <w:fldChar w:fldCharType="separate"/>
          </w:r>
          <w:hyperlink w:anchor="_Toc527632978" w:history="1">
            <w:r w:rsidR="0028630D" w:rsidRPr="00F97F87">
              <w:rPr>
                <w:rStyle w:val="Hyperlink"/>
                <w:noProof/>
              </w:rPr>
              <w:t>Letter of transmittal</w:t>
            </w:r>
            <w:r w:rsidR="0028630D">
              <w:rPr>
                <w:noProof/>
                <w:webHidden/>
              </w:rPr>
              <w:tab/>
            </w:r>
            <w:r w:rsidR="0028630D">
              <w:rPr>
                <w:noProof/>
                <w:webHidden/>
              </w:rPr>
              <w:fldChar w:fldCharType="begin"/>
            </w:r>
            <w:r w:rsidR="0028630D">
              <w:rPr>
                <w:noProof/>
                <w:webHidden/>
              </w:rPr>
              <w:instrText xml:space="preserve"> PAGEREF _Toc527632978 \h </w:instrText>
            </w:r>
            <w:r w:rsidR="0028630D">
              <w:rPr>
                <w:noProof/>
                <w:webHidden/>
              </w:rPr>
            </w:r>
            <w:r w:rsidR="0028630D">
              <w:rPr>
                <w:noProof/>
                <w:webHidden/>
              </w:rPr>
              <w:fldChar w:fldCharType="separate"/>
            </w:r>
            <w:r w:rsidR="00052657">
              <w:rPr>
                <w:noProof/>
                <w:webHidden/>
              </w:rPr>
              <w:t>i</w:t>
            </w:r>
            <w:r w:rsidR="0028630D">
              <w:rPr>
                <w:noProof/>
                <w:webHidden/>
              </w:rPr>
              <w:fldChar w:fldCharType="end"/>
            </w:r>
          </w:hyperlink>
        </w:p>
        <w:p w14:paraId="5270E73D" w14:textId="6D63039A" w:rsidR="0028630D" w:rsidRDefault="004F17A1" w:rsidP="007F76D6">
          <w:pPr>
            <w:pStyle w:val="TOC1"/>
            <w:tabs>
              <w:tab w:val="right" w:pos="9016"/>
            </w:tabs>
            <w:rPr>
              <w:noProof/>
              <w:lang w:eastAsia="en-AU"/>
            </w:rPr>
          </w:pPr>
          <w:hyperlink w:anchor="_Toc527632979" w:history="1">
            <w:r w:rsidR="0028630D" w:rsidRPr="00F97F87">
              <w:rPr>
                <w:rStyle w:val="Hyperlink"/>
                <w:noProof/>
              </w:rPr>
              <w:t>Contents</w:t>
            </w:r>
            <w:r w:rsidR="0028630D">
              <w:rPr>
                <w:noProof/>
                <w:webHidden/>
              </w:rPr>
              <w:tab/>
            </w:r>
            <w:r w:rsidR="0028630D">
              <w:rPr>
                <w:noProof/>
                <w:webHidden/>
              </w:rPr>
              <w:fldChar w:fldCharType="begin"/>
            </w:r>
            <w:r w:rsidR="0028630D">
              <w:rPr>
                <w:noProof/>
                <w:webHidden/>
              </w:rPr>
              <w:instrText xml:space="preserve"> PAGEREF _Toc527632979 \h </w:instrText>
            </w:r>
            <w:r w:rsidR="0028630D">
              <w:rPr>
                <w:noProof/>
                <w:webHidden/>
              </w:rPr>
            </w:r>
            <w:r w:rsidR="0028630D">
              <w:rPr>
                <w:noProof/>
                <w:webHidden/>
              </w:rPr>
              <w:fldChar w:fldCharType="separate"/>
            </w:r>
            <w:r w:rsidR="00052657">
              <w:rPr>
                <w:noProof/>
                <w:webHidden/>
              </w:rPr>
              <w:t>ii</w:t>
            </w:r>
            <w:r w:rsidR="0028630D">
              <w:rPr>
                <w:noProof/>
                <w:webHidden/>
              </w:rPr>
              <w:fldChar w:fldCharType="end"/>
            </w:r>
          </w:hyperlink>
        </w:p>
        <w:p w14:paraId="5063E5A0" w14:textId="0AB2A736" w:rsidR="0028630D" w:rsidRDefault="004F17A1" w:rsidP="007F76D6">
          <w:pPr>
            <w:pStyle w:val="TOC1"/>
            <w:tabs>
              <w:tab w:val="right" w:pos="9016"/>
            </w:tabs>
            <w:rPr>
              <w:noProof/>
              <w:lang w:eastAsia="en-AU"/>
            </w:rPr>
          </w:pPr>
          <w:hyperlink w:anchor="_Toc527632980" w:history="1">
            <w:r w:rsidR="0028630D" w:rsidRPr="00F97F87">
              <w:rPr>
                <w:rStyle w:val="Hyperlink"/>
                <w:noProof/>
              </w:rPr>
              <w:t>Acronyms and abbreviations</w:t>
            </w:r>
            <w:r w:rsidR="0028630D">
              <w:rPr>
                <w:noProof/>
                <w:webHidden/>
              </w:rPr>
              <w:tab/>
            </w:r>
            <w:r w:rsidR="0028630D">
              <w:rPr>
                <w:noProof/>
                <w:webHidden/>
              </w:rPr>
              <w:fldChar w:fldCharType="begin"/>
            </w:r>
            <w:r w:rsidR="0028630D">
              <w:rPr>
                <w:noProof/>
                <w:webHidden/>
              </w:rPr>
              <w:instrText xml:space="preserve"> PAGEREF _Toc527632980 \h </w:instrText>
            </w:r>
            <w:r w:rsidR="0028630D">
              <w:rPr>
                <w:noProof/>
                <w:webHidden/>
              </w:rPr>
            </w:r>
            <w:r w:rsidR="0028630D">
              <w:rPr>
                <w:noProof/>
                <w:webHidden/>
              </w:rPr>
              <w:fldChar w:fldCharType="separate"/>
            </w:r>
            <w:r w:rsidR="00052657">
              <w:rPr>
                <w:noProof/>
                <w:webHidden/>
              </w:rPr>
              <w:t>v</w:t>
            </w:r>
            <w:r w:rsidR="0028630D">
              <w:rPr>
                <w:noProof/>
                <w:webHidden/>
              </w:rPr>
              <w:fldChar w:fldCharType="end"/>
            </w:r>
          </w:hyperlink>
        </w:p>
        <w:p w14:paraId="236D1C7E" w14:textId="6C86E5EE" w:rsidR="0028630D" w:rsidRDefault="004F17A1" w:rsidP="007F76D6">
          <w:pPr>
            <w:pStyle w:val="TOC1"/>
            <w:tabs>
              <w:tab w:val="right" w:pos="9016"/>
            </w:tabs>
            <w:rPr>
              <w:noProof/>
              <w:lang w:eastAsia="en-AU"/>
            </w:rPr>
          </w:pPr>
          <w:hyperlink w:anchor="_Toc527632981" w:history="1">
            <w:r w:rsidR="0028630D" w:rsidRPr="00F97F87">
              <w:rPr>
                <w:rStyle w:val="Hyperlink"/>
                <w:noProof/>
              </w:rPr>
              <w:t>Summary and recommendations</w:t>
            </w:r>
            <w:r w:rsidR="0028630D">
              <w:rPr>
                <w:noProof/>
                <w:webHidden/>
              </w:rPr>
              <w:tab/>
            </w:r>
            <w:r w:rsidR="0028630D">
              <w:rPr>
                <w:noProof/>
                <w:webHidden/>
              </w:rPr>
              <w:fldChar w:fldCharType="begin"/>
            </w:r>
            <w:r w:rsidR="0028630D">
              <w:rPr>
                <w:noProof/>
                <w:webHidden/>
              </w:rPr>
              <w:instrText xml:space="preserve"> PAGEREF _Toc527632981 \h </w:instrText>
            </w:r>
            <w:r w:rsidR="0028630D">
              <w:rPr>
                <w:noProof/>
                <w:webHidden/>
              </w:rPr>
            </w:r>
            <w:r w:rsidR="0028630D">
              <w:rPr>
                <w:noProof/>
                <w:webHidden/>
              </w:rPr>
              <w:fldChar w:fldCharType="separate"/>
            </w:r>
            <w:r w:rsidR="00052657">
              <w:rPr>
                <w:noProof/>
                <w:webHidden/>
              </w:rPr>
              <w:t>1</w:t>
            </w:r>
            <w:r w:rsidR="0028630D">
              <w:rPr>
                <w:noProof/>
                <w:webHidden/>
              </w:rPr>
              <w:fldChar w:fldCharType="end"/>
            </w:r>
          </w:hyperlink>
        </w:p>
        <w:p w14:paraId="31797FE7" w14:textId="5CBD54FF" w:rsidR="0028630D" w:rsidRDefault="004F17A1" w:rsidP="007F76D6">
          <w:pPr>
            <w:pStyle w:val="TOC1"/>
            <w:tabs>
              <w:tab w:val="right" w:pos="9016"/>
            </w:tabs>
            <w:rPr>
              <w:noProof/>
              <w:lang w:eastAsia="en-AU"/>
            </w:rPr>
          </w:pPr>
          <w:hyperlink w:anchor="_Toc527632995" w:history="1">
            <w:r w:rsidR="0028630D" w:rsidRPr="00F97F87">
              <w:rPr>
                <w:rStyle w:val="Hyperlink"/>
                <w:noProof/>
              </w:rPr>
              <w:t>Introduction</w:t>
            </w:r>
            <w:r w:rsidR="0028630D">
              <w:rPr>
                <w:noProof/>
                <w:webHidden/>
              </w:rPr>
              <w:tab/>
            </w:r>
            <w:r w:rsidR="0028630D">
              <w:rPr>
                <w:noProof/>
                <w:webHidden/>
              </w:rPr>
              <w:fldChar w:fldCharType="begin"/>
            </w:r>
            <w:r w:rsidR="0028630D">
              <w:rPr>
                <w:noProof/>
                <w:webHidden/>
              </w:rPr>
              <w:instrText xml:space="preserve"> PAGEREF _Toc527632995 \h </w:instrText>
            </w:r>
            <w:r w:rsidR="0028630D">
              <w:rPr>
                <w:noProof/>
                <w:webHidden/>
              </w:rPr>
            </w:r>
            <w:r w:rsidR="0028630D">
              <w:rPr>
                <w:noProof/>
                <w:webHidden/>
              </w:rPr>
              <w:fldChar w:fldCharType="separate"/>
            </w:r>
            <w:r w:rsidR="00052657">
              <w:rPr>
                <w:noProof/>
                <w:webHidden/>
              </w:rPr>
              <w:t>11</w:t>
            </w:r>
            <w:r w:rsidR="0028630D">
              <w:rPr>
                <w:noProof/>
                <w:webHidden/>
              </w:rPr>
              <w:fldChar w:fldCharType="end"/>
            </w:r>
          </w:hyperlink>
        </w:p>
        <w:p w14:paraId="1D2C7C91" w14:textId="598246C5" w:rsidR="0028630D" w:rsidRDefault="004F17A1" w:rsidP="007F76D6">
          <w:pPr>
            <w:pStyle w:val="TOC2"/>
            <w:tabs>
              <w:tab w:val="right" w:pos="9016"/>
            </w:tabs>
            <w:rPr>
              <w:noProof/>
              <w:lang w:eastAsia="en-AU"/>
            </w:rPr>
          </w:pPr>
          <w:hyperlink w:anchor="_Toc527632996" w:history="1">
            <w:r w:rsidR="0028630D" w:rsidRPr="00F97F87">
              <w:rPr>
                <w:rStyle w:val="Hyperlink"/>
                <w:noProof/>
              </w:rPr>
              <w:t>Background to the review</w:t>
            </w:r>
            <w:r w:rsidR="0028630D">
              <w:rPr>
                <w:noProof/>
                <w:webHidden/>
              </w:rPr>
              <w:tab/>
            </w:r>
            <w:r w:rsidR="0028630D">
              <w:rPr>
                <w:noProof/>
                <w:webHidden/>
              </w:rPr>
              <w:fldChar w:fldCharType="begin"/>
            </w:r>
            <w:r w:rsidR="0028630D">
              <w:rPr>
                <w:noProof/>
                <w:webHidden/>
              </w:rPr>
              <w:instrText xml:space="preserve"> PAGEREF _Toc527632996 \h </w:instrText>
            </w:r>
            <w:r w:rsidR="0028630D">
              <w:rPr>
                <w:noProof/>
                <w:webHidden/>
              </w:rPr>
            </w:r>
            <w:r w:rsidR="0028630D">
              <w:rPr>
                <w:noProof/>
                <w:webHidden/>
              </w:rPr>
              <w:fldChar w:fldCharType="separate"/>
            </w:r>
            <w:r w:rsidR="00052657">
              <w:rPr>
                <w:noProof/>
                <w:webHidden/>
              </w:rPr>
              <w:t>11</w:t>
            </w:r>
            <w:r w:rsidR="0028630D">
              <w:rPr>
                <w:noProof/>
                <w:webHidden/>
              </w:rPr>
              <w:fldChar w:fldCharType="end"/>
            </w:r>
          </w:hyperlink>
        </w:p>
        <w:p w14:paraId="4EB38145" w14:textId="73413890" w:rsidR="0028630D" w:rsidRDefault="004F17A1" w:rsidP="007F76D6">
          <w:pPr>
            <w:pStyle w:val="TOC2"/>
            <w:tabs>
              <w:tab w:val="right" w:pos="9016"/>
            </w:tabs>
            <w:rPr>
              <w:noProof/>
              <w:lang w:eastAsia="en-AU"/>
            </w:rPr>
          </w:pPr>
          <w:hyperlink w:anchor="_Toc527632997" w:history="1">
            <w:r w:rsidR="0028630D" w:rsidRPr="00F97F87">
              <w:rPr>
                <w:rStyle w:val="Hyperlink"/>
                <w:noProof/>
              </w:rPr>
              <w:t xml:space="preserve">Background to the </w:t>
            </w:r>
            <w:r w:rsidR="0028630D" w:rsidRPr="00F97F87">
              <w:rPr>
                <w:rStyle w:val="Hyperlink"/>
                <w:i/>
                <w:noProof/>
              </w:rPr>
              <w:t>Building and Construction Industry (Improving Productivity) Act 2016</w:t>
            </w:r>
            <w:r w:rsidR="0028630D">
              <w:rPr>
                <w:noProof/>
                <w:webHidden/>
              </w:rPr>
              <w:tab/>
            </w:r>
            <w:r w:rsidR="0028630D">
              <w:rPr>
                <w:noProof/>
                <w:webHidden/>
              </w:rPr>
              <w:fldChar w:fldCharType="begin"/>
            </w:r>
            <w:r w:rsidR="0028630D">
              <w:rPr>
                <w:noProof/>
                <w:webHidden/>
              </w:rPr>
              <w:instrText xml:space="preserve"> PAGEREF _Toc527632997 \h </w:instrText>
            </w:r>
            <w:r w:rsidR="0028630D">
              <w:rPr>
                <w:noProof/>
                <w:webHidden/>
              </w:rPr>
            </w:r>
            <w:r w:rsidR="0028630D">
              <w:rPr>
                <w:noProof/>
                <w:webHidden/>
              </w:rPr>
              <w:fldChar w:fldCharType="separate"/>
            </w:r>
            <w:r w:rsidR="00052657">
              <w:rPr>
                <w:noProof/>
                <w:webHidden/>
              </w:rPr>
              <w:t>11</w:t>
            </w:r>
            <w:r w:rsidR="0028630D">
              <w:rPr>
                <w:noProof/>
                <w:webHidden/>
              </w:rPr>
              <w:fldChar w:fldCharType="end"/>
            </w:r>
          </w:hyperlink>
        </w:p>
        <w:p w14:paraId="57730F8E" w14:textId="01F97AF3" w:rsidR="0028630D" w:rsidRDefault="004F17A1" w:rsidP="007F76D6">
          <w:pPr>
            <w:pStyle w:val="TOC2"/>
            <w:tabs>
              <w:tab w:val="right" w:pos="9016"/>
            </w:tabs>
            <w:rPr>
              <w:noProof/>
              <w:lang w:eastAsia="en-AU"/>
            </w:rPr>
          </w:pPr>
          <w:hyperlink w:anchor="_Toc527632998" w:history="1">
            <w:r w:rsidR="0028630D" w:rsidRPr="00F97F87">
              <w:rPr>
                <w:rStyle w:val="Hyperlink"/>
                <w:noProof/>
              </w:rPr>
              <w:t>Comparing the BCIIP Act and the FWBI Act</w:t>
            </w:r>
            <w:r w:rsidR="0028630D">
              <w:rPr>
                <w:noProof/>
                <w:webHidden/>
              </w:rPr>
              <w:tab/>
            </w:r>
            <w:r w:rsidR="0028630D">
              <w:rPr>
                <w:noProof/>
                <w:webHidden/>
              </w:rPr>
              <w:fldChar w:fldCharType="begin"/>
            </w:r>
            <w:r w:rsidR="0028630D">
              <w:rPr>
                <w:noProof/>
                <w:webHidden/>
              </w:rPr>
              <w:instrText xml:space="preserve"> PAGEREF _Toc527632998 \h </w:instrText>
            </w:r>
            <w:r w:rsidR="0028630D">
              <w:rPr>
                <w:noProof/>
                <w:webHidden/>
              </w:rPr>
            </w:r>
            <w:r w:rsidR="0028630D">
              <w:rPr>
                <w:noProof/>
                <w:webHidden/>
              </w:rPr>
              <w:fldChar w:fldCharType="separate"/>
            </w:r>
            <w:r w:rsidR="00052657">
              <w:rPr>
                <w:noProof/>
                <w:webHidden/>
              </w:rPr>
              <w:t>11</w:t>
            </w:r>
            <w:r w:rsidR="0028630D">
              <w:rPr>
                <w:noProof/>
                <w:webHidden/>
              </w:rPr>
              <w:fldChar w:fldCharType="end"/>
            </w:r>
          </w:hyperlink>
        </w:p>
        <w:p w14:paraId="74288C1B" w14:textId="08E029AE" w:rsidR="0028630D" w:rsidRDefault="004F17A1" w:rsidP="007F76D6">
          <w:pPr>
            <w:pStyle w:val="TOC1"/>
            <w:tabs>
              <w:tab w:val="right" w:pos="9016"/>
            </w:tabs>
            <w:rPr>
              <w:noProof/>
              <w:lang w:eastAsia="en-AU"/>
            </w:rPr>
          </w:pPr>
          <w:hyperlink w:anchor="_Toc527632999" w:history="1">
            <w:r w:rsidR="0028630D" w:rsidRPr="00F97F87">
              <w:rPr>
                <w:rStyle w:val="Hyperlink"/>
                <w:noProof/>
              </w:rPr>
              <w:t>Terms of reference</w:t>
            </w:r>
            <w:r w:rsidR="0028630D">
              <w:rPr>
                <w:noProof/>
                <w:webHidden/>
              </w:rPr>
              <w:tab/>
            </w:r>
            <w:r w:rsidR="0028630D">
              <w:rPr>
                <w:noProof/>
                <w:webHidden/>
              </w:rPr>
              <w:fldChar w:fldCharType="begin"/>
            </w:r>
            <w:r w:rsidR="0028630D">
              <w:rPr>
                <w:noProof/>
                <w:webHidden/>
              </w:rPr>
              <w:instrText xml:space="preserve"> PAGEREF _Toc527632999 \h </w:instrText>
            </w:r>
            <w:r w:rsidR="0028630D">
              <w:rPr>
                <w:noProof/>
                <w:webHidden/>
              </w:rPr>
            </w:r>
            <w:r w:rsidR="0028630D">
              <w:rPr>
                <w:noProof/>
                <w:webHidden/>
              </w:rPr>
              <w:fldChar w:fldCharType="separate"/>
            </w:r>
            <w:r w:rsidR="00052657">
              <w:rPr>
                <w:noProof/>
                <w:webHidden/>
              </w:rPr>
              <w:t>14</w:t>
            </w:r>
            <w:r w:rsidR="0028630D">
              <w:rPr>
                <w:noProof/>
                <w:webHidden/>
              </w:rPr>
              <w:fldChar w:fldCharType="end"/>
            </w:r>
          </w:hyperlink>
        </w:p>
        <w:p w14:paraId="5293D9A0" w14:textId="450EE5D2" w:rsidR="0028630D" w:rsidRDefault="004F17A1" w:rsidP="007F76D6">
          <w:pPr>
            <w:pStyle w:val="TOC1"/>
            <w:tabs>
              <w:tab w:val="left" w:pos="1320"/>
              <w:tab w:val="right" w:pos="9016"/>
            </w:tabs>
            <w:rPr>
              <w:noProof/>
              <w:lang w:eastAsia="en-AU"/>
            </w:rPr>
          </w:pPr>
          <w:hyperlink w:anchor="_Toc527633000" w:history="1">
            <w:r w:rsidR="0028630D" w:rsidRPr="00F97F87">
              <w:rPr>
                <w:rStyle w:val="Hyperlink"/>
                <w:noProof/>
              </w:rPr>
              <w:t>Chapter 1:</w:t>
            </w:r>
            <w:r w:rsidR="0028630D">
              <w:rPr>
                <w:noProof/>
                <w:lang w:eastAsia="en-AU"/>
              </w:rPr>
              <w:tab/>
            </w:r>
            <w:r w:rsidR="0028630D" w:rsidRPr="00F97F87">
              <w:rPr>
                <w:rStyle w:val="Hyperlink"/>
                <w:noProof/>
              </w:rPr>
              <w:t>The performance by the Australian Building and Construction Commission (ABCC) of its 'full service regulator' function</w:t>
            </w:r>
            <w:r w:rsidR="0028630D">
              <w:rPr>
                <w:noProof/>
                <w:webHidden/>
              </w:rPr>
              <w:tab/>
            </w:r>
            <w:r w:rsidR="0028630D">
              <w:rPr>
                <w:noProof/>
                <w:webHidden/>
              </w:rPr>
              <w:fldChar w:fldCharType="begin"/>
            </w:r>
            <w:r w:rsidR="0028630D">
              <w:rPr>
                <w:noProof/>
                <w:webHidden/>
              </w:rPr>
              <w:instrText xml:space="preserve"> PAGEREF _Toc527633000 \h </w:instrText>
            </w:r>
            <w:r w:rsidR="0028630D">
              <w:rPr>
                <w:noProof/>
                <w:webHidden/>
              </w:rPr>
            </w:r>
            <w:r w:rsidR="0028630D">
              <w:rPr>
                <w:noProof/>
                <w:webHidden/>
              </w:rPr>
              <w:fldChar w:fldCharType="separate"/>
            </w:r>
            <w:r w:rsidR="00052657">
              <w:rPr>
                <w:noProof/>
                <w:webHidden/>
              </w:rPr>
              <w:t>15</w:t>
            </w:r>
            <w:r w:rsidR="0028630D">
              <w:rPr>
                <w:noProof/>
                <w:webHidden/>
              </w:rPr>
              <w:fldChar w:fldCharType="end"/>
            </w:r>
          </w:hyperlink>
        </w:p>
        <w:p w14:paraId="0D10A5AC" w14:textId="1ED5B4C9" w:rsidR="0028630D" w:rsidRDefault="004F17A1" w:rsidP="007F76D6">
          <w:pPr>
            <w:pStyle w:val="TOC2"/>
            <w:tabs>
              <w:tab w:val="right" w:pos="9016"/>
            </w:tabs>
            <w:rPr>
              <w:noProof/>
              <w:lang w:eastAsia="en-AU"/>
            </w:rPr>
          </w:pPr>
          <w:hyperlink w:anchor="_Toc527633001" w:history="1">
            <w:r w:rsidR="0028630D" w:rsidRPr="00F97F87">
              <w:rPr>
                <w:rStyle w:val="Hyperlink"/>
                <w:noProof/>
              </w:rPr>
              <w:t>Term of reference 1</w:t>
            </w:r>
            <w:r w:rsidR="0028630D">
              <w:rPr>
                <w:noProof/>
                <w:webHidden/>
              </w:rPr>
              <w:tab/>
            </w:r>
            <w:r w:rsidR="0028630D">
              <w:rPr>
                <w:noProof/>
                <w:webHidden/>
              </w:rPr>
              <w:fldChar w:fldCharType="begin"/>
            </w:r>
            <w:r w:rsidR="0028630D">
              <w:rPr>
                <w:noProof/>
                <w:webHidden/>
              </w:rPr>
              <w:instrText xml:space="preserve"> PAGEREF _Toc527633001 \h </w:instrText>
            </w:r>
            <w:r w:rsidR="0028630D">
              <w:rPr>
                <w:noProof/>
                <w:webHidden/>
              </w:rPr>
            </w:r>
            <w:r w:rsidR="0028630D">
              <w:rPr>
                <w:noProof/>
                <w:webHidden/>
              </w:rPr>
              <w:fldChar w:fldCharType="separate"/>
            </w:r>
            <w:r w:rsidR="00052657">
              <w:rPr>
                <w:noProof/>
                <w:webHidden/>
              </w:rPr>
              <w:t>15</w:t>
            </w:r>
            <w:r w:rsidR="0028630D">
              <w:rPr>
                <w:noProof/>
                <w:webHidden/>
              </w:rPr>
              <w:fldChar w:fldCharType="end"/>
            </w:r>
          </w:hyperlink>
        </w:p>
        <w:p w14:paraId="52B06318" w14:textId="207C4A4A" w:rsidR="0028630D" w:rsidRDefault="004F17A1" w:rsidP="007F76D6">
          <w:pPr>
            <w:pStyle w:val="TOC2"/>
            <w:tabs>
              <w:tab w:val="left" w:pos="880"/>
              <w:tab w:val="right" w:pos="9016"/>
            </w:tabs>
            <w:rPr>
              <w:noProof/>
              <w:lang w:eastAsia="en-AU"/>
            </w:rPr>
          </w:pPr>
          <w:hyperlink w:anchor="_Toc527633002" w:history="1">
            <w:r w:rsidR="0028630D" w:rsidRPr="00F97F87">
              <w:rPr>
                <w:rStyle w:val="Hyperlink"/>
                <w:noProof/>
              </w:rPr>
              <w:t>1.1.</w:t>
            </w:r>
            <w:r w:rsidR="0028630D">
              <w:rPr>
                <w:noProof/>
                <w:lang w:eastAsia="en-AU"/>
              </w:rPr>
              <w:tab/>
            </w:r>
            <w:r w:rsidR="0028630D" w:rsidRPr="00F97F87">
              <w:rPr>
                <w:rStyle w:val="Hyperlink"/>
                <w:noProof/>
              </w:rPr>
              <w:t>Introduction</w:t>
            </w:r>
            <w:r w:rsidR="0028630D">
              <w:rPr>
                <w:noProof/>
                <w:webHidden/>
              </w:rPr>
              <w:tab/>
            </w:r>
            <w:r w:rsidR="0028630D">
              <w:rPr>
                <w:noProof/>
                <w:webHidden/>
              </w:rPr>
              <w:fldChar w:fldCharType="begin"/>
            </w:r>
            <w:r w:rsidR="0028630D">
              <w:rPr>
                <w:noProof/>
                <w:webHidden/>
              </w:rPr>
              <w:instrText xml:space="preserve"> PAGEREF _Toc527633002 \h </w:instrText>
            </w:r>
            <w:r w:rsidR="0028630D">
              <w:rPr>
                <w:noProof/>
                <w:webHidden/>
              </w:rPr>
            </w:r>
            <w:r w:rsidR="0028630D">
              <w:rPr>
                <w:noProof/>
                <w:webHidden/>
              </w:rPr>
              <w:fldChar w:fldCharType="separate"/>
            </w:r>
            <w:r w:rsidR="00052657">
              <w:rPr>
                <w:noProof/>
                <w:webHidden/>
              </w:rPr>
              <w:t>15</w:t>
            </w:r>
            <w:r w:rsidR="0028630D">
              <w:rPr>
                <w:noProof/>
                <w:webHidden/>
              </w:rPr>
              <w:fldChar w:fldCharType="end"/>
            </w:r>
          </w:hyperlink>
        </w:p>
        <w:p w14:paraId="53D65E9E" w14:textId="75F5CB74" w:rsidR="0028630D" w:rsidRDefault="004F17A1" w:rsidP="007F76D6">
          <w:pPr>
            <w:pStyle w:val="TOC3"/>
            <w:tabs>
              <w:tab w:val="right" w:pos="9016"/>
            </w:tabs>
            <w:rPr>
              <w:noProof/>
              <w:lang w:eastAsia="en-AU"/>
            </w:rPr>
          </w:pPr>
          <w:hyperlink w:anchor="_Toc527633003" w:history="1">
            <w:r w:rsidR="0028630D" w:rsidRPr="00F97F87">
              <w:rPr>
                <w:rStyle w:val="Hyperlink"/>
                <w:noProof/>
              </w:rPr>
              <w:t>Designated building laws</w:t>
            </w:r>
            <w:r w:rsidR="0028630D">
              <w:rPr>
                <w:noProof/>
                <w:webHidden/>
              </w:rPr>
              <w:tab/>
            </w:r>
            <w:r w:rsidR="0028630D">
              <w:rPr>
                <w:noProof/>
                <w:webHidden/>
              </w:rPr>
              <w:fldChar w:fldCharType="begin"/>
            </w:r>
            <w:r w:rsidR="0028630D">
              <w:rPr>
                <w:noProof/>
                <w:webHidden/>
              </w:rPr>
              <w:instrText xml:space="preserve"> PAGEREF _Toc527633003 \h </w:instrText>
            </w:r>
            <w:r w:rsidR="0028630D">
              <w:rPr>
                <w:noProof/>
                <w:webHidden/>
              </w:rPr>
            </w:r>
            <w:r w:rsidR="0028630D">
              <w:rPr>
                <w:noProof/>
                <w:webHidden/>
              </w:rPr>
              <w:fldChar w:fldCharType="separate"/>
            </w:r>
            <w:r w:rsidR="00052657">
              <w:rPr>
                <w:noProof/>
                <w:webHidden/>
              </w:rPr>
              <w:t>15</w:t>
            </w:r>
            <w:r w:rsidR="0028630D">
              <w:rPr>
                <w:noProof/>
                <w:webHidden/>
              </w:rPr>
              <w:fldChar w:fldCharType="end"/>
            </w:r>
          </w:hyperlink>
        </w:p>
        <w:p w14:paraId="61F8B780" w14:textId="7DA2ABB8" w:rsidR="0028630D" w:rsidRDefault="004F17A1" w:rsidP="007F76D6">
          <w:pPr>
            <w:pStyle w:val="TOC2"/>
            <w:tabs>
              <w:tab w:val="left" w:pos="880"/>
              <w:tab w:val="right" w:pos="9016"/>
            </w:tabs>
            <w:rPr>
              <w:noProof/>
              <w:lang w:eastAsia="en-AU"/>
            </w:rPr>
          </w:pPr>
          <w:hyperlink w:anchor="_Toc527633004" w:history="1">
            <w:r w:rsidR="0028630D" w:rsidRPr="00F97F87">
              <w:rPr>
                <w:rStyle w:val="Hyperlink"/>
                <w:noProof/>
              </w:rPr>
              <w:t>1.2.</w:t>
            </w:r>
            <w:r w:rsidR="0028630D">
              <w:rPr>
                <w:noProof/>
                <w:lang w:eastAsia="en-AU"/>
              </w:rPr>
              <w:tab/>
            </w:r>
            <w:r w:rsidR="0028630D" w:rsidRPr="00F97F87">
              <w:rPr>
                <w:rStyle w:val="Hyperlink"/>
                <w:noProof/>
              </w:rPr>
              <w:t>Stakeholder views</w:t>
            </w:r>
            <w:r w:rsidR="0028630D">
              <w:rPr>
                <w:noProof/>
                <w:webHidden/>
              </w:rPr>
              <w:tab/>
            </w:r>
            <w:r w:rsidR="0028630D">
              <w:rPr>
                <w:noProof/>
                <w:webHidden/>
              </w:rPr>
              <w:fldChar w:fldCharType="begin"/>
            </w:r>
            <w:r w:rsidR="0028630D">
              <w:rPr>
                <w:noProof/>
                <w:webHidden/>
              </w:rPr>
              <w:instrText xml:space="preserve"> PAGEREF _Toc527633004 \h </w:instrText>
            </w:r>
            <w:r w:rsidR="0028630D">
              <w:rPr>
                <w:noProof/>
                <w:webHidden/>
              </w:rPr>
            </w:r>
            <w:r w:rsidR="0028630D">
              <w:rPr>
                <w:noProof/>
                <w:webHidden/>
              </w:rPr>
              <w:fldChar w:fldCharType="separate"/>
            </w:r>
            <w:r w:rsidR="00052657">
              <w:rPr>
                <w:noProof/>
                <w:webHidden/>
              </w:rPr>
              <w:t>17</w:t>
            </w:r>
            <w:r w:rsidR="0028630D">
              <w:rPr>
                <w:noProof/>
                <w:webHidden/>
              </w:rPr>
              <w:fldChar w:fldCharType="end"/>
            </w:r>
          </w:hyperlink>
        </w:p>
        <w:p w14:paraId="1DA49D1E" w14:textId="4E05E598" w:rsidR="0028630D" w:rsidRDefault="004F17A1" w:rsidP="007F76D6">
          <w:pPr>
            <w:pStyle w:val="TOC3"/>
            <w:tabs>
              <w:tab w:val="right" w:pos="9016"/>
            </w:tabs>
            <w:rPr>
              <w:noProof/>
              <w:lang w:eastAsia="en-AU"/>
            </w:rPr>
          </w:pPr>
          <w:hyperlink w:anchor="_Toc527633005" w:history="1">
            <w:r w:rsidR="0028630D" w:rsidRPr="00F97F87">
              <w:rPr>
                <w:rStyle w:val="Hyperlink"/>
                <w:noProof/>
              </w:rPr>
              <w:t>Industry submissions</w:t>
            </w:r>
            <w:r w:rsidR="0028630D">
              <w:rPr>
                <w:noProof/>
                <w:webHidden/>
              </w:rPr>
              <w:tab/>
            </w:r>
            <w:r w:rsidR="0028630D">
              <w:rPr>
                <w:noProof/>
                <w:webHidden/>
              </w:rPr>
              <w:fldChar w:fldCharType="begin"/>
            </w:r>
            <w:r w:rsidR="0028630D">
              <w:rPr>
                <w:noProof/>
                <w:webHidden/>
              </w:rPr>
              <w:instrText xml:space="preserve"> PAGEREF _Toc527633005 \h </w:instrText>
            </w:r>
            <w:r w:rsidR="0028630D">
              <w:rPr>
                <w:noProof/>
                <w:webHidden/>
              </w:rPr>
            </w:r>
            <w:r w:rsidR="0028630D">
              <w:rPr>
                <w:noProof/>
                <w:webHidden/>
              </w:rPr>
              <w:fldChar w:fldCharType="separate"/>
            </w:r>
            <w:r w:rsidR="00052657">
              <w:rPr>
                <w:noProof/>
                <w:webHidden/>
              </w:rPr>
              <w:t>17</w:t>
            </w:r>
            <w:r w:rsidR="0028630D">
              <w:rPr>
                <w:noProof/>
                <w:webHidden/>
              </w:rPr>
              <w:fldChar w:fldCharType="end"/>
            </w:r>
          </w:hyperlink>
        </w:p>
        <w:p w14:paraId="4F2C45CA" w14:textId="36A7117F" w:rsidR="0028630D" w:rsidRDefault="004F17A1" w:rsidP="007F76D6">
          <w:pPr>
            <w:pStyle w:val="TOC3"/>
            <w:tabs>
              <w:tab w:val="right" w:pos="9016"/>
            </w:tabs>
            <w:rPr>
              <w:noProof/>
              <w:lang w:eastAsia="en-AU"/>
            </w:rPr>
          </w:pPr>
          <w:hyperlink w:anchor="_Toc527633006" w:history="1">
            <w:r w:rsidR="0028630D" w:rsidRPr="00F97F87">
              <w:rPr>
                <w:rStyle w:val="Hyperlink"/>
                <w:noProof/>
              </w:rPr>
              <w:t>ACTU submission</w:t>
            </w:r>
            <w:r w:rsidR="0028630D">
              <w:rPr>
                <w:noProof/>
                <w:webHidden/>
              </w:rPr>
              <w:tab/>
            </w:r>
            <w:r w:rsidR="0028630D">
              <w:rPr>
                <w:noProof/>
                <w:webHidden/>
              </w:rPr>
              <w:fldChar w:fldCharType="begin"/>
            </w:r>
            <w:r w:rsidR="0028630D">
              <w:rPr>
                <w:noProof/>
                <w:webHidden/>
              </w:rPr>
              <w:instrText xml:space="preserve"> PAGEREF _Toc527633006 \h </w:instrText>
            </w:r>
            <w:r w:rsidR="0028630D">
              <w:rPr>
                <w:noProof/>
                <w:webHidden/>
              </w:rPr>
            </w:r>
            <w:r w:rsidR="0028630D">
              <w:rPr>
                <w:noProof/>
                <w:webHidden/>
              </w:rPr>
              <w:fldChar w:fldCharType="separate"/>
            </w:r>
            <w:r w:rsidR="00052657">
              <w:rPr>
                <w:noProof/>
                <w:webHidden/>
              </w:rPr>
              <w:t>17</w:t>
            </w:r>
            <w:r w:rsidR="0028630D">
              <w:rPr>
                <w:noProof/>
                <w:webHidden/>
              </w:rPr>
              <w:fldChar w:fldCharType="end"/>
            </w:r>
          </w:hyperlink>
        </w:p>
        <w:p w14:paraId="707E3191" w14:textId="1E70DAD1" w:rsidR="0028630D" w:rsidRDefault="004F17A1" w:rsidP="007F76D6">
          <w:pPr>
            <w:pStyle w:val="TOC3"/>
            <w:tabs>
              <w:tab w:val="right" w:pos="9016"/>
            </w:tabs>
            <w:rPr>
              <w:noProof/>
              <w:lang w:eastAsia="en-AU"/>
            </w:rPr>
          </w:pPr>
          <w:hyperlink w:anchor="_Toc527633007" w:history="1">
            <w:r w:rsidR="0028630D" w:rsidRPr="00F97F87">
              <w:rPr>
                <w:rStyle w:val="Hyperlink"/>
                <w:noProof/>
              </w:rPr>
              <w:t>Views expressed by the ABC Commissioner</w:t>
            </w:r>
            <w:r w:rsidR="0028630D">
              <w:rPr>
                <w:noProof/>
                <w:webHidden/>
              </w:rPr>
              <w:tab/>
            </w:r>
            <w:r w:rsidR="0028630D">
              <w:rPr>
                <w:noProof/>
                <w:webHidden/>
              </w:rPr>
              <w:fldChar w:fldCharType="begin"/>
            </w:r>
            <w:r w:rsidR="0028630D">
              <w:rPr>
                <w:noProof/>
                <w:webHidden/>
              </w:rPr>
              <w:instrText xml:space="preserve"> PAGEREF _Toc527633007 \h </w:instrText>
            </w:r>
            <w:r w:rsidR="0028630D">
              <w:rPr>
                <w:noProof/>
                <w:webHidden/>
              </w:rPr>
            </w:r>
            <w:r w:rsidR="0028630D">
              <w:rPr>
                <w:noProof/>
                <w:webHidden/>
              </w:rPr>
              <w:fldChar w:fldCharType="separate"/>
            </w:r>
            <w:r w:rsidR="00052657">
              <w:rPr>
                <w:noProof/>
                <w:webHidden/>
              </w:rPr>
              <w:t>19</w:t>
            </w:r>
            <w:r w:rsidR="0028630D">
              <w:rPr>
                <w:noProof/>
                <w:webHidden/>
              </w:rPr>
              <w:fldChar w:fldCharType="end"/>
            </w:r>
          </w:hyperlink>
        </w:p>
        <w:p w14:paraId="34408A0D" w14:textId="63593A13" w:rsidR="0028630D" w:rsidRDefault="004F17A1" w:rsidP="007F76D6">
          <w:pPr>
            <w:pStyle w:val="TOC2"/>
            <w:tabs>
              <w:tab w:val="left" w:pos="880"/>
              <w:tab w:val="right" w:pos="9016"/>
            </w:tabs>
            <w:rPr>
              <w:noProof/>
              <w:lang w:eastAsia="en-AU"/>
            </w:rPr>
          </w:pPr>
          <w:hyperlink w:anchor="_Toc527633008" w:history="1">
            <w:r w:rsidR="0028630D" w:rsidRPr="00F97F87">
              <w:rPr>
                <w:rStyle w:val="Hyperlink"/>
                <w:noProof/>
              </w:rPr>
              <w:t>1.3.</w:t>
            </w:r>
            <w:r w:rsidR="0028630D">
              <w:rPr>
                <w:noProof/>
                <w:lang w:eastAsia="en-AU"/>
              </w:rPr>
              <w:tab/>
            </w:r>
            <w:r w:rsidR="0028630D" w:rsidRPr="00F97F87">
              <w:rPr>
                <w:rStyle w:val="Hyperlink"/>
                <w:noProof/>
              </w:rPr>
              <w:t>Data on ABCC activities</w:t>
            </w:r>
            <w:r w:rsidR="0028630D">
              <w:rPr>
                <w:noProof/>
                <w:webHidden/>
              </w:rPr>
              <w:tab/>
            </w:r>
            <w:r w:rsidR="0028630D">
              <w:rPr>
                <w:noProof/>
                <w:webHidden/>
              </w:rPr>
              <w:fldChar w:fldCharType="begin"/>
            </w:r>
            <w:r w:rsidR="0028630D">
              <w:rPr>
                <w:noProof/>
                <w:webHidden/>
              </w:rPr>
              <w:instrText xml:space="preserve"> PAGEREF _Toc527633008 \h </w:instrText>
            </w:r>
            <w:r w:rsidR="0028630D">
              <w:rPr>
                <w:noProof/>
                <w:webHidden/>
              </w:rPr>
            </w:r>
            <w:r w:rsidR="0028630D">
              <w:rPr>
                <w:noProof/>
                <w:webHidden/>
              </w:rPr>
              <w:fldChar w:fldCharType="separate"/>
            </w:r>
            <w:r w:rsidR="00052657">
              <w:rPr>
                <w:noProof/>
                <w:webHidden/>
              </w:rPr>
              <w:t>21</w:t>
            </w:r>
            <w:r w:rsidR="0028630D">
              <w:rPr>
                <w:noProof/>
                <w:webHidden/>
              </w:rPr>
              <w:fldChar w:fldCharType="end"/>
            </w:r>
          </w:hyperlink>
        </w:p>
        <w:p w14:paraId="2AFCF0A9" w14:textId="6F652DF0" w:rsidR="0028630D" w:rsidRDefault="004F17A1" w:rsidP="007F76D6">
          <w:pPr>
            <w:pStyle w:val="TOC2"/>
            <w:tabs>
              <w:tab w:val="left" w:pos="880"/>
              <w:tab w:val="right" w:pos="9016"/>
            </w:tabs>
            <w:rPr>
              <w:noProof/>
              <w:lang w:eastAsia="en-AU"/>
            </w:rPr>
          </w:pPr>
          <w:hyperlink w:anchor="_Toc527633009" w:history="1">
            <w:r w:rsidR="0028630D" w:rsidRPr="00F97F87">
              <w:rPr>
                <w:rStyle w:val="Hyperlink"/>
                <w:noProof/>
              </w:rPr>
              <w:t>1.4.</w:t>
            </w:r>
            <w:r w:rsidR="0028630D">
              <w:rPr>
                <w:noProof/>
                <w:lang w:eastAsia="en-AU"/>
              </w:rPr>
              <w:tab/>
            </w:r>
            <w:r w:rsidR="0028630D" w:rsidRPr="00F97F87">
              <w:rPr>
                <w:rStyle w:val="Hyperlink"/>
                <w:noProof/>
              </w:rPr>
              <w:t>Analysis</w:t>
            </w:r>
            <w:r w:rsidR="0028630D">
              <w:rPr>
                <w:noProof/>
                <w:webHidden/>
              </w:rPr>
              <w:tab/>
            </w:r>
            <w:r w:rsidR="0028630D">
              <w:rPr>
                <w:noProof/>
                <w:webHidden/>
              </w:rPr>
              <w:fldChar w:fldCharType="begin"/>
            </w:r>
            <w:r w:rsidR="0028630D">
              <w:rPr>
                <w:noProof/>
                <w:webHidden/>
              </w:rPr>
              <w:instrText xml:space="preserve"> PAGEREF _Toc527633009 \h </w:instrText>
            </w:r>
            <w:r w:rsidR="0028630D">
              <w:rPr>
                <w:noProof/>
                <w:webHidden/>
              </w:rPr>
            </w:r>
            <w:r w:rsidR="0028630D">
              <w:rPr>
                <w:noProof/>
                <w:webHidden/>
              </w:rPr>
              <w:fldChar w:fldCharType="separate"/>
            </w:r>
            <w:r w:rsidR="00052657">
              <w:rPr>
                <w:noProof/>
                <w:webHidden/>
              </w:rPr>
              <w:t>23</w:t>
            </w:r>
            <w:r w:rsidR="0028630D">
              <w:rPr>
                <w:noProof/>
                <w:webHidden/>
              </w:rPr>
              <w:fldChar w:fldCharType="end"/>
            </w:r>
          </w:hyperlink>
        </w:p>
        <w:p w14:paraId="44A9585D" w14:textId="794D7FB2" w:rsidR="0028630D" w:rsidRDefault="004F17A1" w:rsidP="007F76D6">
          <w:pPr>
            <w:pStyle w:val="TOC2"/>
            <w:tabs>
              <w:tab w:val="right" w:pos="9016"/>
            </w:tabs>
            <w:rPr>
              <w:noProof/>
              <w:lang w:eastAsia="en-AU"/>
            </w:rPr>
          </w:pPr>
          <w:hyperlink w:anchor="_Toc527633010" w:history="1">
            <w:r w:rsidR="0028630D" w:rsidRPr="00F97F87">
              <w:rPr>
                <w:rStyle w:val="Hyperlink"/>
                <w:noProof/>
              </w:rPr>
              <w:t>Finding and recommendations</w:t>
            </w:r>
            <w:r w:rsidR="0028630D">
              <w:rPr>
                <w:noProof/>
                <w:webHidden/>
              </w:rPr>
              <w:tab/>
            </w:r>
            <w:r w:rsidR="0028630D">
              <w:rPr>
                <w:noProof/>
                <w:webHidden/>
              </w:rPr>
              <w:fldChar w:fldCharType="begin"/>
            </w:r>
            <w:r w:rsidR="0028630D">
              <w:rPr>
                <w:noProof/>
                <w:webHidden/>
              </w:rPr>
              <w:instrText xml:space="preserve"> PAGEREF _Toc527633010 \h </w:instrText>
            </w:r>
            <w:r w:rsidR="0028630D">
              <w:rPr>
                <w:noProof/>
                <w:webHidden/>
              </w:rPr>
            </w:r>
            <w:r w:rsidR="0028630D">
              <w:rPr>
                <w:noProof/>
                <w:webHidden/>
              </w:rPr>
              <w:fldChar w:fldCharType="separate"/>
            </w:r>
            <w:r w:rsidR="00052657">
              <w:rPr>
                <w:noProof/>
                <w:webHidden/>
              </w:rPr>
              <w:t>25</w:t>
            </w:r>
            <w:r w:rsidR="0028630D">
              <w:rPr>
                <w:noProof/>
                <w:webHidden/>
              </w:rPr>
              <w:fldChar w:fldCharType="end"/>
            </w:r>
          </w:hyperlink>
        </w:p>
        <w:p w14:paraId="2FAFC0E0" w14:textId="124DE2E1" w:rsidR="0028630D" w:rsidRDefault="004F17A1" w:rsidP="007F76D6">
          <w:pPr>
            <w:pStyle w:val="TOC1"/>
            <w:tabs>
              <w:tab w:val="left" w:pos="1320"/>
              <w:tab w:val="right" w:pos="9016"/>
            </w:tabs>
            <w:rPr>
              <w:noProof/>
              <w:lang w:eastAsia="en-AU"/>
            </w:rPr>
          </w:pPr>
          <w:hyperlink w:anchor="_Toc527633011" w:history="1">
            <w:r w:rsidR="0028630D" w:rsidRPr="00F97F87">
              <w:rPr>
                <w:rStyle w:val="Hyperlink"/>
                <w:noProof/>
              </w:rPr>
              <w:t>Chapter 2:</w:t>
            </w:r>
            <w:r w:rsidR="0028630D">
              <w:rPr>
                <w:noProof/>
                <w:lang w:eastAsia="en-AU"/>
              </w:rPr>
              <w:tab/>
            </w:r>
            <w:r w:rsidR="0028630D" w:rsidRPr="00F97F87">
              <w:rPr>
                <w:rStyle w:val="Hyperlink"/>
                <w:noProof/>
              </w:rPr>
              <w:t>Independent oversight of the compulsory examination powers</w:t>
            </w:r>
            <w:r w:rsidR="0028630D">
              <w:rPr>
                <w:noProof/>
                <w:webHidden/>
              </w:rPr>
              <w:tab/>
            </w:r>
            <w:r w:rsidR="0028630D">
              <w:rPr>
                <w:noProof/>
                <w:webHidden/>
              </w:rPr>
              <w:fldChar w:fldCharType="begin"/>
            </w:r>
            <w:r w:rsidR="0028630D">
              <w:rPr>
                <w:noProof/>
                <w:webHidden/>
              </w:rPr>
              <w:instrText xml:space="preserve"> PAGEREF _Toc527633011 \h </w:instrText>
            </w:r>
            <w:r w:rsidR="0028630D">
              <w:rPr>
                <w:noProof/>
                <w:webHidden/>
              </w:rPr>
            </w:r>
            <w:r w:rsidR="0028630D">
              <w:rPr>
                <w:noProof/>
                <w:webHidden/>
              </w:rPr>
              <w:fldChar w:fldCharType="separate"/>
            </w:r>
            <w:r w:rsidR="00052657">
              <w:rPr>
                <w:noProof/>
                <w:webHidden/>
              </w:rPr>
              <w:t>26</w:t>
            </w:r>
            <w:r w:rsidR="0028630D">
              <w:rPr>
                <w:noProof/>
                <w:webHidden/>
              </w:rPr>
              <w:fldChar w:fldCharType="end"/>
            </w:r>
          </w:hyperlink>
        </w:p>
        <w:p w14:paraId="04872A18" w14:textId="5B19890F" w:rsidR="0028630D" w:rsidRDefault="004F17A1" w:rsidP="007F76D6">
          <w:pPr>
            <w:pStyle w:val="TOC2"/>
            <w:tabs>
              <w:tab w:val="right" w:pos="9016"/>
            </w:tabs>
            <w:rPr>
              <w:noProof/>
              <w:lang w:eastAsia="en-AU"/>
            </w:rPr>
          </w:pPr>
          <w:hyperlink w:anchor="_Toc527633012" w:history="1">
            <w:r w:rsidR="0028630D" w:rsidRPr="00F97F87">
              <w:rPr>
                <w:rStyle w:val="Hyperlink"/>
                <w:noProof/>
              </w:rPr>
              <w:t>Term of reference 2</w:t>
            </w:r>
            <w:r w:rsidR="0028630D">
              <w:rPr>
                <w:noProof/>
                <w:webHidden/>
              </w:rPr>
              <w:tab/>
            </w:r>
            <w:r w:rsidR="0028630D">
              <w:rPr>
                <w:noProof/>
                <w:webHidden/>
              </w:rPr>
              <w:fldChar w:fldCharType="begin"/>
            </w:r>
            <w:r w:rsidR="0028630D">
              <w:rPr>
                <w:noProof/>
                <w:webHidden/>
              </w:rPr>
              <w:instrText xml:space="preserve"> PAGEREF _Toc527633012 \h </w:instrText>
            </w:r>
            <w:r w:rsidR="0028630D">
              <w:rPr>
                <w:noProof/>
                <w:webHidden/>
              </w:rPr>
            </w:r>
            <w:r w:rsidR="0028630D">
              <w:rPr>
                <w:noProof/>
                <w:webHidden/>
              </w:rPr>
              <w:fldChar w:fldCharType="separate"/>
            </w:r>
            <w:r w:rsidR="00052657">
              <w:rPr>
                <w:noProof/>
                <w:webHidden/>
              </w:rPr>
              <w:t>26</w:t>
            </w:r>
            <w:r w:rsidR="0028630D">
              <w:rPr>
                <w:noProof/>
                <w:webHidden/>
              </w:rPr>
              <w:fldChar w:fldCharType="end"/>
            </w:r>
          </w:hyperlink>
        </w:p>
        <w:p w14:paraId="50669097" w14:textId="4550707F" w:rsidR="0028630D" w:rsidRDefault="004F17A1" w:rsidP="007F76D6">
          <w:pPr>
            <w:pStyle w:val="TOC2"/>
            <w:tabs>
              <w:tab w:val="left" w:pos="880"/>
              <w:tab w:val="right" w:pos="9016"/>
            </w:tabs>
            <w:rPr>
              <w:noProof/>
              <w:lang w:eastAsia="en-AU"/>
            </w:rPr>
          </w:pPr>
          <w:hyperlink w:anchor="_Toc527633013" w:history="1">
            <w:r w:rsidR="0028630D" w:rsidRPr="00F97F87">
              <w:rPr>
                <w:rStyle w:val="Hyperlink"/>
                <w:noProof/>
              </w:rPr>
              <w:t>2.1.</w:t>
            </w:r>
            <w:r w:rsidR="0028630D">
              <w:rPr>
                <w:noProof/>
                <w:lang w:eastAsia="en-AU"/>
              </w:rPr>
              <w:tab/>
            </w:r>
            <w:r w:rsidR="0028630D" w:rsidRPr="00F97F87">
              <w:rPr>
                <w:rStyle w:val="Hyperlink"/>
                <w:noProof/>
              </w:rPr>
              <w:t>Introduction</w:t>
            </w:r>
            <w:r w:rsidR="0028630D">
              <w:rPr>
                <w:noProof/>
                <w:webHidden/>
              </w:rPr>
              <w:tab/>
            </w:r>
            <w:r w:rsidR="0028630D">
              <w:rPr>
                <w:noProof/>
                <w:webHidden/>
              </w:rPr>
              <w:fldChar w:fldCharType="begin"/>
            </w:r>
            <w:r w:rsidR="0028630D">
              <w:rPr>
                <w:noProof/>
                <w:webHidden/>
              </w:rPr>
              <w:instrText xml:space="preserve"> PAGEREF _Toc527633013 \h </w:instrText>
            </w:r>
            <w:r w:rsidR="0028630D">
              <w:rPr>
                <w:noProof/>
                <w:webHidden/>
              </w:rPr>
            </w:r>
            <w:r w:rsidR="0028630D">
              <w:rPr>
                <w:noProof/>
                <w:webHidden/>
              </w:rPr>
              <w:fldChar w:fldCharType="separate"/>
            </w:r>
            <w:r w:rsidR="00052657">
              <w:rPr>
                <w:noProof/>
                <w:webHidden/>
              </w:rPr>
              <w:t>26</w:t>
            </w:r>
            <w:r w:rsidR="0028630D">
              <w:rPr>
                <w:noProof/>
                <w:webHidden/>
              </w:rPr>
              <w:fldChar w:fldCharType="end"/>
            </w:r>
          </w:hyperlink>
        </w:p>
        <w:p w14:paraId="09C5E1B3" w14:textId="0DBA8FE1" w:rsidR="0028630D" w:rsidRDefault="004F17A1" w:rsidP="007F76D6">
          <w:pPr>
            <w:pStyle w:val="TOC2"/>
            <w:tabs>
              <w:tab w:val="left" w:pos="880"/>
              <w:tab w:val="right" w:pos="9016"/>
            </w:tabs>
            <w:rPr>
              <w:noProof/>
              <w:lang w:eastAsia="en-AU"/>
            </w:rPr>
          </w:pPr>
          <w:hyperlink w:anchor="_Toc527633014" w:history="1">
            <w:r w:rsidR="0028630D" w:rsidRPr="00F97F87">
              <w:rPr>
                <w:rStyle w:val="Hyperlink"/>
                <w:noProof/>
              </w:rPr>
              <w:t>2.2.</w:t>
            </w:r>
            <w:r w:rsidR="0028630D">
              <w:rPr>
                <w:noProof/>
                <w:lang w:eastAsia="en-AU"/>
              </w:rPr>
              <w:tab/>
            </w:r>
            <w:r w:rsidR="0028630D" w:rsidRPr="00F97F87">
              <w:rPr>
                <w:rStyle w:val="Hyperlink"/>
                <w:noProof/>
              </w:rPr>
              <w:t>Stakeholder views</w:t>
            </w:r>
            <w:r w:rsidR="0028630D">
              <w:rPr>
                <w:noProof/>
                <w:webHidden/>
              </w:rPr>
              <w:tab/>
            </w:r>
            <w:r w:rsidR="0028630D">
              <w:rPr>
                <w:noProof/>
                <w:webHidden/>
              </w:rPr>
              <w:fldChar w:fldCharType="begin"/>
            </w:r>
            <w:r w:rsidR="0028630D">
              <w:rPr>
                <w:noProof/>
                <w:webHidden/>
              </w:rPr>
              <w:instrText xml:space="preserve"> PAGEREF _Toc527633014 \h </w:instrText>
            </w:r>
            <w:r w:rsidR="0028630D">
              <w:rPr>
                <w:noProof/>
                <w:webHidden/>
              </w:rPr>
            </w:r>
            <w:r w:rsidR="0028630D">
              <w:rPr>
                <w:noProof/>
                <w:webHidden/>
              </w:rPr>
              <w:fldChar w:fldCharType="separate"/>
            </w:r>
            <w:r w:rsidR="00052657">
              <w:rPr>
                <w:noProof/>
                <w:webHidden/>
              </w:rPr>
              <w:t>27</w:t>
            </w:r>
            <w:r w:rsidR="0028630D">
              <w:rPr>
                <w:noProof/>
                <w:webHidden/>
              </w:rPr>
              <w:fldChar w:fldCharType="end"/>
            </w:r>
          </w:hyperlink>
        </w:p>
        <w:p w14:paraId="077058A3" w14:textId="12517C1F" w:rsidR="0028630D" w:rsidRDefault="004F17A1" w:rsidP="007F76D6">
          <w:pPr>
            <w:pStyle w:val="TOC3"/>
            <w:tabs>
              <w:tab w:val="right" w:pos="9016"/>
            </w:tabs>
            <w:rPr>
              <w:noProof/>
              <w:lang w:eastAsia="en-AU"/>
            </w:rPr>
          </w:pPr>
          <w:hyperlink w:anchor="_Toc527633015" w:history="1">
            <w:r w:rsidR="0028630D" w:rsidRPr="00F97F87">
              <w:rPr>
                <w:rStyle w:val="Hyperlink"/>
                <w:noProof/>
              </w:rPr>
              <w:t>Views expressed by the ABC Commissioner</w:t>
            </w:r>
            <w:r w:rsidR="0028630D">
              <w:rPr>
                <w:noProof/>
                <w:webHidden/>
              </w:rPr>
              <w:tab/>
            </w:r>
            <w:r w:rsidR="0028630D">
              <w:rPr>
                <w:noProof/>
                <w:webHidden/>
              </w:rPr>
              <w:fldChar w:fldCharType="begin"/>
            </w:r>
            <w:r w:rsidR="0028630D">
              <w:rPr>
                <w:noProof/>
                <w:webHidden/>
              </w:rPr>
              <w:instrText xml:space="preserve"> PAGEREF _Toc527633015 \h </w:instrText>
            </w:r>
            <w:r w:rsidR="0028630D">
              <w:rPr>
                <w:noProof/>
                <w:webHidden/>
              </w:rPr>
            </w:r>
            <w:r w:rsidR="0028630D">
              <w:rPr>
                <w:noProof/>
                <w:webHidden/>
              </w:rPr>
              <w:fldChar w:fldCharType="separate"/>
            </w:r>
            <w:r w:rsidR="00052657">
              <w:rPr>
                <w:noProof/>
                <w:webHidden/>
              </w:rPr>
              <w:t>29</w:t>
            </w:r>
            <w:r w:rsidR="0028630D">
              <w:rPr>
                <w:noProof/>
                <w:webHidden/>
              </w:rPr>
              <w:fldChar w:fldCharType="end"/>
            </w:r>
          </w:hyperlink>
        </w:p>
        <w:p w14:paraId="7C051910" w14:textId="141D608A" w:rsidR="0028630D" w:rsidRDefault="004F17A1" w:rsidP="007F76D6">
          <w:pPr>
            <w:pStyle w:val="TOC2"/>
            <w:tabs>
              <w:tab w:val="left" w:pos="880"/>
              <w:tab w:val="right" w:pos="9016"/>
            </w:tabs>
            <w:rPr>
              <w:noProof/>
              <w:lang w:eastAsia="en-AU"/>
            </w:rPr>
          </w:pPr>
          <w:hyperlink w:anchor="_Toc527633016" w:history="1">
            <w:r w:rsidR="0028630D" w:rsidRPr="00F97F87">
              <w:rPr>
                <w:rStyle w:val="Hyperlink"/>
                <w:noProof/>
              </w:rPr>
              <w:t>2.3.</w:t>
            </w:r>
            <w:r w:rsidR="0028630D">
              <w:rPr>
                <w:noProof/>
                <w:lang w:eastAsia="en-AU"/>
              </w:rPr>
              <w:tab/>
            </w:r>
            <w:r w:rsidR="0028630D" w:rsidRPr="00F97F87">
              <w:rPr>
                <w:rStyle w:val="Hyperlink"/>
                <w:noProof/>
              </w:rPr>
              <w:t>Views expressed by the Ombudsman</w:t>
            </w:r>
            <w:r w:rsidR="0028630D">
              <w:rPr>
                <w:noProof/>
                <w:webHidden/>
              </w:rPr>
              <w:tab/>
            </w:r>
            <w:r w:rsidR="0028630D">
              <w:rPr>
                <w:noProof/>
                <w:webHidden/>
              </w:rPr>
              <w:fldChar w:fldCharType="begin"/>
            </w:r>
            <w:r w:rsidR="0028630D">
              <w:rPr>
                <w:noProof/>
                <w:webHidden/>
              </w:rPr>
              <w:instrText xml:space="preserve"> PAGEREF _Toc527633016 \h </w:instrText>
            </w:r>
            <w:r w:rsidR="0028630D">
              <w:rPr>
                <w:noProof/>
                <w:webHidden/>
              </w:rPr>
            </w:r>
            <w:r w:rsidR="0028630D">
              <w:rPr>
                <w:noProof/>
                <w:webHidden/>
              </w:rPr>
              <w:fldChar w:fldCharType="separate"/>
            </w:r>
            <w:r w:rsidR="00052657">
              <w:rPr>
                <w:noProof/>
                <w:webHidden/>
              </w:rPr>
              <w:t>29</w:t>
            </w:r>
            <w:r w:rsidR="0028630D">
              <w:rPr>
                <w:noProof/>
                <w:webHidden/>
              </w:rPr>
              <w:fldChar w:fldCharType="end"/>
            </w:r>
          </w:hyperlink>
        </w:p>
        <w:p w14:paraId="6A9F6F53" w14:textId="06E2809B" w:rsidR="0028630D" w:rsidRDefault="004F17A1" w:rsidP="007F76D6">
          <w:pPr>
            <w:pStyle w:val="TOC3"/>
            <w:tabs>
              <w:tab w:val="left" w:pos="1320"/>
              <w:tab w:val="right" w:pos="9016"/>
            </w:tabs>
            <w:rPr>
              <w:noProof/>
              <w:lang w:eastAsia="en-AU"/>
            </w:rPr>
          </w:pPr>
          <w:hyperlink w:anchor="_Toc527633017" w:history="1">
            <w:r w:rsidR="0028630D" w:rsidRPr="00F97F87">
              <w:rPr>
                <w:rStyle w:val="Hyperlink"/>
                <w:noProof/>
              </w:rPr>
              <w:t>2.3.1.</w:t>
            </w:r>
            <w:r w:rsidR="0028630D">
              <w:rPr>
                <w:noProof/>
                <w:lang w:eastAsia="en-AU"/>
              </w:rPr>
              <w:tab/>
            </w:r>
            <w:r w:rsidR="0028630D" w:rsidRPr="00F97F87">
              <w:rPr>
                <w:rStyle w:val="Hyperlink"/>
                <w:noProof/>
              </w:rPr>
              <w:t>Reports on the exercise of the compulsory examination powers</w:t>
            </w:r>
            <w:r w:rsidR="0028630D">
              <w:rPr>
                <w:noProof/>
                <w:webHidden/>
              </w:rPr>
              <w:tab/>
            </w:r>
            <w:r w:rsidR="0028630D">
              <w:rPr>
                <w:noProof/>
                <w:webHidden/>
              </w:rPr>
              <w:fldChar w:fldCharType="begin"/>
            </w:r>
            <w:r w:rsidR="0028630D">
              <w:rPr>
                <w:noProof/>
                <w:webHidden/>
              </w:rPr>
              <w:instrText xml:space="preserve"> PAGEREF _Toc527633017 \h </w:instrText>
            </w:r>
            <w:r w:rsidR="0028630D">
              <w:rPr>
                <w:noProof/>
                <w:webHidden/>
              </w:rPr>
            </w:r>
            <w:r w:rsidR="0028630D">
              <w:rPr>
                <w:noProof/>
                <w:webHidden/>
              </w:rPr>
              <w:fldChar w:fldCharType="separate"/>
            </w:r>
            <w:r w:rsidR="00052657">
              <w:rPr>
                <w:noProof/>
                <w:webHidden/>
              </w:rPr>
              <w:t>29</w:t>
            </w:r>
            <w:r w:rsidR="0028630D">
              <w:rPr>
                <w:noProof/>
                <w:webHidden/>
              </w:rPr>
              <w:fldChar w:fldCharType="end"/>
            </w:r>
          </w:hyperlink>
        </w:p>
        <w:p w14:paraId="017EAE61" w14:textId="6B411AC3" w:rsidR="0028630D" w:rsidRDefault="004F17A1" w:rsidP="007F76D6">
          <w:pPr>
            <w:pStyle w:val="TOC3"/>
            <w:tabs>
              <w:tab w:val="left" w:pos="1320"/>
              <w:tab w:val="right" w:pos="9016"/>
            </w:tabs>
            <w:rPr>
              <w:noProof/>
              <w:lang w:eastAsia="en-AU"/>
            </w:rPr>
          </w:pPr>
          <w:hyperlink w:anchor="_Toc527633018" w:history="1">
            <w:r w:rsidR="0028630D" w:rsidRPr="00F97F87">
              <w:rPr>
                <w:rStyle w:val="Hyperlink"/>
                <w:noProof/>
              </w:rPr>
              <w:t>2.3.2.</w:t>
            </w:r>
            <w:r w:rsidR="0028630D">
              <w:rPr>
                <w:noProof/>
                <w:lang w:eastAsia="en-AU"/>
              </w:rPr>
              <w:tab/>
            </w:r>
            <w:r w:rsidR="0028630D" w:rsidRPr="00F97F87">
              <w:rPr>
                <w:rStyle w:val="Hyperlink"/>
                <w:noProof/>
              </w:rPr>
              <w:t>Ombudsman’s submission to the review</w:t>
            </w:r>
            <w:r w:rsidR="0028630D">
              <w:rPr>
                <w:noProof/>
                <w:webHidden/>
              </w:rPr>
              <w:tab/>
            </w:r>
            <w:r w:rsidR="0028630D">
              <w:rPr>
                <w:noProof/>
                <w:webHidden/>
              </w:rPr>
              <w:fldChar w:fldCharType="begin"/>
            </w:r>
            <w:r w:rsidR="0028630D">
              <w:rPr>
                <w:noProof/>
                <w:webHidden/>
              </w:rPr>
              <w:instrText xml:space="preserve"> PAGEREF _Toc527633018 \h </w:instrText>
            </w:r>
            <w:r w:rsidR="0028630D">
              <w:rPr>
                <w:noProof/>
                <w:webHidden/>
              </w:rPr>
            </w:r>
            <w:r w:rsidR="0028630D">
              <w:rPr>
                <w:noProof/>
                <w:webHidden/>
              </w:rPr>
              <w:fldChar w:fldCharType="separate"/>
            </w:r>
            <w:r w:rsidR="00052657">
              <w:rPr>
                <w:noProof/>
                <w:webHidden/>
              </w:rPr>
              <w:t>31</w:t>
            </w:r>
            <w:r w:rsidR="0028630D">
              <w:rPr>
                <w:noProof/>
                <w:webHidden/>
              </w:rPr>
              <w:fldChar w:fldCharType="end"/>
            </w:r>
          </w:hyperlink>
        </w:p>
        <w:p w14:paraId="73F46FF0" w14:textId="65620DD5" w:rsidR="0028630D" w:rsidRDefault="004F17A1" w:rsidP="007F76D6">
          <w:pPr>
            <w:pStyle w:val="TOC2"/>
            <w:tabs>
              <w:tab w:val="left" w:pos="880"/>
              <w:tab w:val="right" w:pos="9016"/>
            </w:tabs>
            <w:rPr>
              <w:noProof/>
              <w:lang w:eastAsia="en-AU"/>
            </w:rPr>
          </w:pPr>
          <w:hyperlink w:anchor="_Toc527633019" w:history="1">
            <w:r w:rsidR="0028630D" w:rsidRPr="00F97F87">
              <w:rPr>
                <w:rStyle w:val="Hyperlink"/>
                <w:noProof/>
              </w:rPr>
              <w:t>2.4.</w:t>
            </w:r>
            <w:r w:rsidR="0028630D">
              <w:rPr>
                <w:noProof/>
                <w:lang w:eastAsia="en-AU"/>
              </w:rPr>
              <w:tab/>
            </w:r>
            <w:r w:rsidR="0028630D" w:rsidRPr="00F97F87">
              <w:rPr>
                <w:rStyle w:val="Hyperlink"/>
                <w:noProof/>
              </w:rPr>
              <w:t>Analysis</w:t>
            </w:r>
            <w:r w:rsidR="0028630D">
              <w:rPr>
                <w:noProof/>
                <w:webHidden/>
              </w:rPr>
              <w:tab/>
            </w:r>
            <w:r w:rsidR="0028630D">
              <w:rPr>
                <w:noProof/>
                <w:webHidden/>
              </w:rPr>
              <w:fldChar w:fldCharType="begin"/>
            </w:r>
            <w:r w:rsidR="0028630D">
              <w:rPr>
                <w:noProof/>
                <w:webHidden/>
              </w:rPr>
              <w:instrText xml:space="preserve"> PAGEREF _Toc527633019 \h </w:instrText>
            </w:r>
            <w:r w:rsidR="0028630D">
              <w:rPr>
                <w:noProof/>
                <w:webHidden/>
              </w:rPr>
            </w:r>
            <w:r w:rsidR="0028630D">
              <w:rPr>
                <w:noProof/>
                <w:webHidden/>
              </w:rPr>
              <w:fldChar w:fldCharType="separate"/>
            </w:r>
            <w:r w:rsidR="00052657">
              <w:rPr>
                <w:noProof/>
                <w:webHidden/>
              </w:rPr>
              <w:t>32</w:t>
            </w:r>
            <w:r w:rsidR="0028630D">
              <w:rPr>
                <w:noProof/>
                <w:webHidden/>
              </w:rPr>
              <w:fldChar w:fldCharType="end"/>
            </w:r>
          </w:hyperlink>
        </w:p>
        <w:p w14:paraId="03774CF1" w14:textId="55871E53" w:rsidR="0028630D" w:rsidRDefault="004F17A1" w:rsidP="007F76D6">
          <w:pPr>
            <w:pStyle w:val="TOC3"/>
            <w:tabs>
              <w:tab w:val="right" w:pos="9016"/>
            </w:tabs>
            <w:rPr>
              <w:noProof/>
              <w:lang w:eastAsia="en-AU"/>
            </w:rPr>
          </w:pPr>
          <w:hyperlink w:anchor="_Toc527633020" w:history="1">
            <w:r w:rsidR="0028630D" w:rsidRPr="00F97F87">
              <w:rPr>
                <w:rStyle w:val="Hyperlink"/>
                <w:noProof/>
              </w:rPr>
              <w:t>Frequency of reporting</w:t>
            </w:r>
            <w:r w:rsidR="0028630D">
              <w:rPr>
                <w:noProof/>
                <w:webHidden/>
              </w:rPr>
              <w:tab/>
            </w:r>
            <w:r w:rsidR="0028630D">
              <w:rPr>
                <w:noProof/>
                <w:webHidden/>
              </w:rPr>
              <w:fldChar w:fldCharType="begin"/>
            </w:r>
            <w:r w:rsidR="0028630D">
              <w:rPr>
                <w:noProof/>
                <w:webHidden/>
              </w:rPr>
              <w:instrText xml:space="preserve"> PAGEREF _Toc527633020 \h </w:instrText>
            </w:r>
            <w:r w:rsidR="0028630D">
              <w:rPr>
                <w:noProof/>
                <w:webHidden/>
              </w:rPr>
            </w:r>
            <w:r w:rsidR="0028630D">
              <w:rPr>
                <w:noProof/>
                <w:webHidden/>
              </w:rPr>
              <w:fldChar w:fldCharType="separate"/>
            </w:r>
            <w:r w:rsidR="00052657">
              <w:rPr>
                <w:noProof/>
                <w:webHidden/>
              </w:rPr>
              <w:t>34</w:t>
            </w:r>
            <w:r w:rsidR="0028630D">
              <w:rPr>
                <w:noProof/>
                <w:webHidden/>
              </w:rPr>
              <w:fldChar w:fldCharType="end"/>
            </w:r>
          </w:hyperlink>
        </w:p>
        <w:p w14:paraId="12CF7738" w14:textId="02C4C34A" w:rsidR="0028630D" w:rsidRDefault="004F17A1" w:rsidP="007F76D6">
          <w:pPr>
            <w:pStyle w:val="TOC3"/>
            <w:tabs>
              <w:tab w:val="right" w:pos="9016"/>
            </w:tabs>
            <w:rPr>
              <w:noProof/>
              <w:lang w:eastAsia="en-AU"/>
            </w:rPr>
          </w:pPr>
          <w:hyperlink w:anchor="_Toc527633021" w:history="1">
            <w:r w:rsidR="0028630D" w:rsidRPr="00F97F87">
              <w:rPr>
                <w:rStyle w:val="Hyperlink"/>
                <w:noProof/>
              </w:rPr>
              <w:t>Conclusion</w:t>
            </w:r>
            <w:r w:rsidR="0028630D">
              <w:rPr>
                <w:noProof/>
                <w:webHidden/>
              </w:rPr>
              <w:tab/>
            </w:r>
            <w:r w:rsidR="0028630D">
              <w:rPr>
                <w:noProof/>
                <w:webHidden/>
              </w:rPr>
              <w:fldChar w:fldCharType="begin"/>
            </w:r>
            <w:r w:rsidR="0028630D">
              <w:rPr>
                <w:noProof/>
                <w:webHidden/>
              </w:rPr>
              <w:instrText xml:space="preserve"> PAGEREF _Toc527633021 \h </w:instrText>
            </w:r>
            <w:r w:rsidR="0028630D">
              <w:rPr>
                <w:noProof/>
                <w:webHidden/>
              </w:rPr>
            </w:r>
            <w:r w:rsidR="0028630D">
              <w:rPr>
                <w:noProof/>
                <w:webHidden/>
              </w:rPr>
              <w:fldChar w:fldCharType="separate"/>
            </w:r>
            <w:r w:rsidR="00052657">
              <w:rPr>
                <w:noProof/>
                <w:webHidden/>
              </w:rPr>
              <w:t>36</w:t>
            </w:r>
            <w:r w:rsidR="0028630D">
              <w:rPr>
                <w:noProof/>
                <w:webHidden/>
              </w:rPr>
              <w:fldChar w:fldCharType="end"/>
            </w:r>
          </w:hyperlink>
        </w:p>
        <w:p w14:paraId="3C1D65A1" w14:textId="66ADE96C" w:rsidR="0028630D" w:rsidRDefault="004F17A1" w:rsidP="007F76D6">
          <w:pPr>
            <w:pStyle w:val="TOC2"/>
            <w:tabs>
              <w:tab w:val="right" w:pos="9016"/>
            </w:tabs>
            <w:rPr>
              <w:noProof/>
              <w:lang w:eastAsia="en-AU"/>
            </w:rPr>
          </w:pPr>
          <w:hyperlink w:anchor="_Toc527633022" w:history="1">
            <w:r w:rsidR="0028630D" w:rsidRPr="00F97F87">
              <w:rPr>
                <w:rStyle w:val="Hyperlink"/>
                <w:noProof/>
              </w:rPr>
              <w:t>Finding and recommendations</w:t>
            </w:r>
            <w:r w:rsidR="0028630D">
              <w:rPr>
                <w:noProof/>
                <w:webHidden/>
              </w:rPr>
              <w:tab/>
            </w:r>
            <w:r w:rsidR="0028630D">
              <w:rPr>
                <w:noProof/>
                <w:webHidden/>
              </w:rPr>
              <w:fldChar w:fldCharType="begin"/>
            </w:r>
            <w:r w:rsidR="0028630D">
              <w:rPr>
                <w:noProof/>
                <w:webHidden/>
              </w:rPr>
              <w:instrText xml:space="preserve"> PAGEREF _Toc527633022 \h </w:instrText>
            </w:r>
            <w:r w:rsidR="0028630D">
              <w:rPr>
                <w:noProof/>
                <w:webHidden/>
              </w:rPr>
            </w:r>
            <w:r w:rsidR="0028630D">
              <w:rPr>
                <w:noProof/>
                <w:webHidden/>
              </w:rPr>
              <w:fldChar w:fldCharType="separate"/>
            </w:r>
            <w:r w:rsidR="00052657">
              <w:rPr>
                <w:noProof/>
                <w:webHidden/>
              </w:rPr>
              <w:t>36</w:t>
            </w:r>
            <w:r w:rsidR="0028630D">
              <w:rPr>
                <w:noProof/>
                <w:webHidden/>
              </w:rPr>
              <w:fldChar w:fldCharType="end"/>
            </w:r>
          </w:hyperlink>
        </w:p>
        <w:p w14:paraId="4ED09380" w14:textId="2428BF86" w:rsidR="0028630D" w:rsidRDefault="004F17A1" w:rsidP="007F76D6">
          <w:pPr>
            <w:pStyle w:val="TOC1"/>
            <w:tabs>
              <w:tab w:val="left" w:pos="1320"/>
              <w:tab w:val="right" w:pos="9016"/>
            </w:tabs>
            <w:rPr>
              <w:noProof/>
              <w:lang w:eastAsia="en-AU"/>
            </w:rPr>
          </w:pPr>
          <w:hyperlink w:anchor="_Toc527633023" w:history="1">
            <w:r w:rsidR="0028630D" w:rsidRPr="00F97F87">
              <w:rPr>
                <w:rStyle w:val="Hyperlink"/>
                <w:noProof/>
              </w:rPr>
              <w:t>Chapter 3:</w:t>
            </w:r>
            <w:r w:rsidR="0028630D">
              <w:rPr>
                <w:noProof/>
                <w:lang w:eastAsia="en-AU"/>
              </w:rPr>
              <w:tab/>
            </w:r>
            <w:r w:rsidR="0028630D" w:rsidRPr="00F97F87">
              <w:rPr>
                <w:rStyle w:val="Hyperlink"/>
                <w:noProof/>
              </w:rPr>
              <w:t>Higher penalties under the BCIIP Act</w:t>
            </w:r>
            <w:r w:rsidR="0028630D">
              <w:rPr>
                <w:noProof/>
                <w:webHidden/>
              </w:rPr>
              <w:tab/>
            </w:r>
            <w:r w:rsidR="0028630D">
              <w:rPr>
                <w:noProof/>
                <w:webHidden/>
              </w:rPr>
              <w:fldChar w:fldCharType="begin"/>
            </w:r>
            <w:r w:rsidR="0028630D">
              <w:rPr>
                <w:noProof/>
                <w:webHidden/>
              </w:rPr>
              <w:instrText xml:space="preserve"> PAGEREF _Toc527633023 \h </w:instrText>
            </w:r>
            <w:r w:rsidR="0028630D">
              <w:rPr>
                <w:noProof/>
                <w:webHidden/>
              </w:rPr>
            </w:r>
            <w:r w:rsidR="0028630D">
              <w:rPr>
                <w:noProof/>
                <w:webHidden/>
              </w:rPr>
              <w:fldChar w:fldCharType="separate"/>
            </w:r>
            <w:r w:rsidR="00052657">
              <w:rPr>
                <w:noProof/>
                <w:webHidden/>
              </w:rPr>
              <w:t>37</w:t>
            </w:r>
            <w:r w:rsidR="0028630D">
              <w:rPr>
                <w:noProof/>
                <w:webHidden/>
              </w:rPr>
              <w:fldChar w:fldCharType="end"/>
            </w:r>
          </w:hyperlink>
        </w:p>
        <w:p w14:paraId="32B77050" w14:textId="532A0FF6" w:rsidR="0028630D" w:rsidRDefault="004F17A1" w:rsidP="007F76D6">
          <w:pPr>
            <w:pStyle w:val="TOC2"/>
            <w:tabs>
              <w:tab w:val="right" w:pos="9016"/>
            </w:tabs>
            <w:rPr>
              <w:noProof/>
              <w:lang w:eastAsia="en-AU"/>
            </w:rPr>
          </w:pPr>
          <w:hyperlink w:anchor="_Toc527633024" w:history="1">
            <w:r w:rsidR="0028630D" w:rsidRPr="00F97F87">
              <w:rPr>
                <w:rStyle w:val="Hyperlink"/>
                <w:noProof/>
              </w:rPr>
              <w:t>Term of reference 3</w:t>
            </w:r>
            <w:r w:rsidR="0028630D">
              <w:rPr>
                <w:noProof/>
                <w:webHidden/>
              </w:rPr>
              <w:tab/>
            </w:r>
            <w:r w:rsidR="0028630D">
              <w:rPr>
                <w:noProof/>
                <w:webHidden/>
              </w:rPr>
              <w:fldChar w:fldCharType="begin"/>
            </w:r>
            <w:r w:rsidR="0028630D">
              <w:rPr>
                <w:noProof/>
                <w:webHidden/>
              </w:rPr>
              <w:instrText xml:space="preserve"> PAGEREF _Toc527633024 \h </w:instrText>
            </w:r>
            <w:r w:rsidR="0028630D">
              <w:rPr>
                <w:noProof/>
                <w:webHidden/>
              </w:rPr>
            </w:r>
            <w:r w:rsidR="0028630D">
              <w:rPr>
                <w:noProof/>
                <w:webHidden/>
              </w:rPr>
              <w:fldChar w:fldCharType="separate"/>
            </w:r>
            <w:r w:rsidR="00052657">
              <w:rPr>
                <w:noProof/>
                <w:webHidden/>
              </w:rPr>
              <w:t>37</w:t>
            </w:r>
            <w:r w:rsidR="0028630D">
              <w:rPr>
                <w:noProof/>
                <w:webHidden/>
              </w:rPr>
              <w:fldChar w:fldCharType="end"/>
            </w:r>
          </w:hyperlink>
        </w:p>
        <w:p w14:paraId="425C8C99" w14:textId="6A0A8688" w:rsidR="0028630D" w:rsidRDefault="004F17A1" w:rsidP="007F76D6">
          <w:pPr>
            <w:pStyle w:val="TOC2"/>
            <w:tabs>
              <w:tab w:val="left" w:pos="880"/>
              <w:tab w:val="right" w:pos="9016"/>
            </w:tabs>
            <w:rPr>
              <w:noProof/>
              <w:lang w:eastAsia="en-AU"/>
            </w:rPr>
          </w:pPr>
          <w:hyperlink w:anchor="_Toc527633025" w:history="1">
            <w:r w:rsidR="0028630D" w:rsidRPr="00F97F87">
              <w:rPr>
                <w:rStyle w:val="Hyperlink"/>
                <w:noProof/>
              </w:rPr>
              <w:t>3.1.</w:t>
            </w:r>
            <w:r w:rsidR="0028630D">
              <w:rPr>
                <w:noProof/>
                <w:lang w:eastAsia="en-AU"/>
              </w:rPr>
              <w:tab/>
            </w:r>
            <w:r w:rsidR="0028630D" w:rsidRPr="00F97F87">
              <w:rPr>
                <w:rStyle w:val="Hyperlink"/>
                <w:noProof/>
              </w:rPr>
              <w:t>Introduction</w:t>
            </w:r>
            <w:r w:rsidR="0028630D">
              <w:rPr>
                <w:noProof/>
                <w:webHidden/>
              </w:rPr>
              <w:tab/>
            </w:r>
            <w:r w:rsidR="0028630D">
              <w:rPr>
                <w:noProof/>
                <w:webHidden/>
              </w:rPr>
              <w:fldChar w:fldCharType="begin"/>
            </w:r>
            <w:r w:rsidR="0028630D">
              <w:rPr>
                <w:noProof/>
                <w:webHidden/>
              </w:rPr>
              <w:instrText xml:space="preserve"> PAGEREF _Toc527633025 \h </w:instrText>
            </w:r>
            <w:r w:rsidR="0028630D">
              <w:rPr>
                <w:noProof/>
                <w:webHidden/>
              </w:rPr>
            </w:r>
            <w:r w:rsidR="0028630D">
              <w:rPr>
                <w:noProof/>
                <w:webHidden/>
              </w:rPr>
              <w:fldChar w:fldCharType="separate"/>
            </w:r>
            <w:r w:rsidR="00052657">
              <w:rPr>
                <w:noProof/>
                <w:webHidden/>
              </w:rPr>
              <w:t>37</w:t>
            </w:r>
            <w:r w:rsidR="0028630D">
              <w:rPr>
                <w:noProof/>
                <w:webHidden/>
              </w:rPr>
              <w:fldChar w:fldCharType="end"/>
            </w:r>
          </w:hyperlink>
        </w:p>
        <w:p w14:paraId="738A93C2" w14:textId="6A631648" w:rsidR="0028630D" w:rsidRDefault="004F17A1" w:rsidP="007F76D6">
          <w:pPr>
            <w:pStyle w:val="TOC2"/>
            <w:tabs>
              <w:tab w:val="left" w:pos="880"/>
              <w:tab w:val="right" w:pos="9016"/>
            </w:tabs>
            <w:rPr>
              <w:noProof/>
              <w:lang w:eastAsia="en-AU"/>
            </w:rPr>
          </w:pPr>
          <w:hyperlink w:anchor="_Toc527633026" w:history="1">
            <w:r w:rsidR="0028630D" w:rsidRPr="00F97F87">
              <w:rPr>
                <w:rStyle w:val="Hyperlink"/>
                <w:noProof/>
              </w:rPr>
              <w:t>3.2.</w:t>
            </w:r>
            <w:r w:rsidR="0028630D">
              <w:rPr>
                <w:noProof/>
                <w:lang w:eastAsia="en-AU"/>
              </w:rPr>
              <w:tab/>
            </w:r>
            <w:r w:rsidR="0028630D" w:rsidRPr="00F97F87">
              <w:rPr>
                <w:rStyle w:val="Hyperlink"/>
                <w:noProof/>
              </w:rPr>
              <w:t>Stakeholder views</w:t>
            </w:r>
            <w:r w:rsidR="0028630D">
              <w:rPr>
                <w:noProof/>
                <w:webHidden/>
              </w:rPr>
              <w:tab/>
            </w:r>
            <w:r w:rsidR="0028630D">
              <w:rPr>
                <w:noProof/>
                <w:webHidden/>
              </w:rPr>
              <w:fldChar w:fldCharType="begin"/>
            </w:r>
            <w:r w:rsidR="0028630D">
              <w:rPr>
                <w:noProof/>
                <w:webHidden/>
              </w:rPr>
              <w:instrText xml:space="preserve"> PAGEREF _Toc527633026 \h </w:instrText>
            </w:r>
            <w:r w:rsidR="0028630D">
              <w:rPr>
                <w:noProof/>
                <w:webHidden/>
              </w:rPr>
            </w:r>
            <w:r w:rsidR="0028630D">
              <w:rPr>
                <w:noProof/>
                <w:webHidden/>
              </w:rPr>
              <w:fldChar w:fldCharType="separate"/>
            </w:r>
            <w:r w:rsidR="00052657">
              <w:rPr>
                <w:noProof/>
                <w:webHidden/>
              </w:rPr>
              <w:t>39</w:t>
            </w:r>
            <w:r w:rsidR="0028630D">
              <w:rPr>
                <w:noProof/>
                <w:webHidden/>
              </w:rPr>
              <w:fldChar w:fldCharType="end"/>
            </w:r>
          </w:hyperlink>
        </w:p>
        <w:p w14:paraId="265372F0" w14:textId="141E5F16" w:rsidR="0028630D" w:rsidRDefault="004F17A1" w:rsidP="007F76D6">
          <w:pPr>
            <w:pStyle w:val="TOC3"/>
            <w:tabs>
              <w:tab w:val="right" w:pos="9016"/>
            </w:tabs>
            <w:rPr>
              <w:noProof/>
              <w:lang w:eastAsia="en-AU"/>
            </w:rPr>
          </w:pPr>
          <w:hyperlink w:anchor="_Toc527633027" w:history="1">
            <w:r w:rsidR="0028630D" w:rsidRPr="00F97F87">
              <w:rPr>
                <w:rStyle w:val="Hyperlink"/>
                <w:noProof/>
              </w:rPr>
              <w:t>Views expressed by the ABC Commissioner</w:t>
            </w:r>
            <w:r w:rsidR="0028630D">
              <w:rPr>
                <w:noProof/>
                <w:webHidden/>
              </w:rPr>
              <w:tab/>
            </w:r>
            <w:r w:rsidR="0028630D">
              <w:rPr>
                <w:noProof/>
                <w:webHidden/>
              </w:rPr>
              <w:fldChar w:fldCharType="begin"/>
            </w:r>
            <w:r w:rsidR="0028630D">
              <w:rPr>
                <w:noProof/>
                <w:webHidden/>
              </w:rPr>
              <w:instrText xml:space="preserve"> PAGEREF _Toc527633027 \h </w:instrText>
            </w:r>
            <w:r w:rsidR="0028630D">
              <w:rPr>
                <w:noProof/>
                <w:webHidden/>
              </w:rPr>
            </w:r>
            <w:r w:rsidR="0028630D">
              <w:rPr>
                <w:noProof/>
                <w:webHidden/>
              </w:rPr>
              <w:fldChar w:fldCharType="separate"/>
            </w:r>
            <w:r w:rsidR="00052657">
              <w:rPr>
                <w:noProof/>
                <w:webHidden/>
              </w:rPr>
              <w:t>40</w:t>
            </w:r>
            <w:r w:rsidR="0028630D">
              <w:rPr>
                <w:noProof/>
                <w:webHidden/>
              </w:rPr>
              <w:fldChar w:fldCharType="end"/>
            </w:r>
          </w:hyperlink>
        </w:p>
        <w:p w14:paraId="6A6D2598" w14:textId="6C8F9B8D" w:rsidR="0028630D" w:rsidRDefault="004F17A1" w:rsidP="007F76D6">
          <w:pPr>
            <w:pStyle w:val="TOC2"/>
            <w:tabs>
              <w:tab w:val="left" w:pos="880"/>
              <w:tab w:val="right" w:pos="9016"/>
            </w:tabs>
            <w:rPr>
              <w:noProof/>
              <w:lang w:eastAsia="en-AU"/>
            </w:rPr>
          </w:pPr>
          <w:hyperlink w:anchor="_Toc527633028" w:history="1">
            <w:r w:rsidR="0028630D" w:rsidRPr="00F97F87">
              <w:rPr>
                <w:rStyle w:val="Hyperlink"/>
                <w:noProof/>
              </w:rPr>
              <w:t>3.3.</w:t>
            </w:r>
            <w:r w:rsidR="0028630D">
              <w:rPr>
                <w:noProof/>
                <w:lang w:eastAsia="en-AU"/>
              </w:rPr>
              <w:tab/>
            </w:r>
            <w:r w:rsidR="0028630D" w:rsidRPr="00F97F87">
              <w:rPr>
                <w:rStyle w:val="Hyperlink"/>
                <w:noProof/>
              </w:rPr>
              <w:t>Analysis</w:t>
            </w:r>
            <w:r w:rsidR="0028630D">
              <w:rPr>
                <w:noProof/>
                <w:webHidden/>
              </w:rPr>
              <w:tab/>
            </w:r>
            <w:r w:rsidR="0028630D">
              <w:rPr>
                <w:noProof/>
                <w:webHidden/>
              </w:rPr>
              <w:fldChar w:fldCharType="begin"/>
            </w:r>
            <w:r w:rsidR="0028630D">
              <w:rPr>
                <w:noProof/>
                <w:webHidden/>
              </w:rPr>
              <w:instrText xml:space="preserve"> PAGEREF _Toc527633028 \h </w:instrText>
            </w:r>
            <w:r w:rsidR="0028630D">
              <w:rPr>
                <w:noProof/>
                <w:webHidden/>
              </w:rPr>
            </w:r>
            <w:r w:rsidR="0028630D">
              <w:rPr>
                <w:noProof/>
                <w:webHidden/>
              </w:rPr>
              <w:fldChar w:fldCharType="separate"/>
            </w:r>
            <w:r w:rsidR="00052657">
              <w:rPr>
                <w:noProof/>
                <w:webHidden/>
              </w:rPr>
              <w:t>41</w:t>
            </w:r>
            <w:r w:rsidR="0028630D">
              <w:rPr>
                <w:noProof/>
                <w:webHidden/>
              </w:rPr>
              <w:fldChar w:fldCharType="end"/>
            </w:r>
          </w:hyperlink>
        </w:p>
        <w:p w14:paraId="78483233" w14:textId="6CC16C8D" w:rsidR="0028630D" w:rsidRDefault="004F17A1" w:rsidP="007F76D6">
          <w:pPr>
            <w:pStyle w:val="TOC2"/>
            <w:tabs>
              <w:tab w:val="right" w:pos="9016"/>
            </w:tabs>
            <w:rPr>
              <w:noProof/>
              <w:lang w:eastAsia="en-AU"/>
            </w:rPr>
          </w:pPr>
          <w:hyperlink w:anchor="_Toc527633029" w:history="1">
            <w:r w:rsidR="0028630D" w:rsidRPr="00F97F87">
              <w:rPr>
                <w:rStyle w:val="Hyperlink"/>
                <w:noProof/>
              </w:rPr>
              <w:t>Finding and recommendations</w:t>
            </w:r>
            <w:r w:rsidR="0028630D">
              <w:rPr>
                <w:noProof/>
                <w:webHidden/>
              </w:rPr>
              <w:tab/>
            </w:r>
            <w:r w:rsidR="0028630D">
              <w:rPr>
                <w:noProof/>
                <w:webHidden/>
              </w:rPr>
              <w:fldChar w:fldCharType="begin"/>
            </w:r>
            <w:r w:rsidR="0028630D">
              <w:rPr>
                <w:noProof/>
                <w:webHidden/>
              </w:rPr>
              <w:instrText xml:space="preserve"> PAGEREF _Toc527633029 \h </w:instrText>
            </w:r>
            <w:r w:rsidR="0028630D">
              <w:rPr>
                <w:noProof/>
                <w:webHidden/>
              </w:rPr>
            </w:r>
            <w:r w:rsidR="0028630D">
              <w:rPr>
                <w:noProof/>
                <w:webHidden/>
              </w:rPr>
              <w:fldChar w:fldCharType="separate"/>
            </w:r>
            <w:r w:rsidR="00052657">
              <w:rPr>
                <w:noProof/>
                <w:webHidden/>
              </w:rPr>
              <w:t>41</w:t>
            </w:r>
            <w:r w:rsidR="0028630D">
              <w:rPr>
                <w:noProof/>
                <w:webHidden/>
              </w:rPr>
              <w:fldChar w:fldCharType="end"/>
            </w:r>
          </w:hyperlink>
        </w:p>
        <w:p w14:paraId="04BAC3A5" w14:textId="4AC99E84" w:rsidR="0028630D" w:rsidRDefault="004F17A1" w:rsidP="007F76D6">
          <w:pPr>
            <w:pStyle w:val="TOC1"/>
            <w:tabs>
              <w:tab w:val="left" w:pos="1320"/>
              <w:tab w:val="right" w:pos="9016"/>
            </w:tabs>
            <w:rPr>
              <w:noProof/>
              <w:lang w:eastAsia="en-AU"/>
            </w:rPr>
          </w:pPr>
          <w:hyperlink w:anchor="_Toc527633030" w:history="1">
            <w:r w:rsidR="0028630D" w:rsidRPr="00F97F87">
              <w:rPr>
                <w:rStyle w:val="Hyperlink"/>
                <w:noProof/>
              </w:rPr>
              <w:t>Chapter 4:</w:t>
            </w:r>
            <w:r w:rsidR="0028630D">
              <w:rPr>
                <w:noProof/>
                <w:lang w:eastAsia="en-AU"/>
              </w:rPr>
              <w:tab/>
            </w:r>
            <w:r w:rsidR="0028630D" w:rsidRPr="00F97F87">
              <w:rPr>
                <w:rStyle w:val="Hyperlink"/>
                <w:noProof/>
              </w:rPr>
              <w:t>Streamlining and clarification of the BCIIP Act, particularly where it interacts with other legislation</w:t>
            </w:r>
            <w:r w:rsidR="0028630D">
              <w:rPr>
                <w:noProof/>
                <w:webHidden/>
              </w:rPr>
              <w:tab/>
            </w:r>
            <w:r w:rsidR="0028630D">
              <w:rPr>
                <w:noProof/>
                <w:webHidden/>
              </w:rPr>
              <w:fldChar w:fldCharType="begin"/>
            </w:r>
            <w:r w:rsidR="0028630D">
              <w:rPr>
                <w:noProof/>
                <w:webHidden/>
              </w:rPr>
              <w:instrText xml:space="preserve"> PAGEREF _Toc527633030 \h </w:instrText>
            </w:r>
            <w:r w:rsidR="0028630D">
              <w:rPr>
                <w:noProof/>
                <w:webHidden/>
              </w:rPr>
            </w:r>
            <w:r w:rsidR="0028630D">
              <w:rPr>
                <w:noProof/>
                <w:webHidden/>
              </w:rPr>
              <w:fldChar w:fldCharType="separate"/>
            </w:r>
            <w:r w:rsidR="00052657">
              <w:rPr>
                <w:noProof/>
                <w:webHidden/>
              </w:rPr>
              <w:t>42</w:t>
            </w:r>
            <w:r w:rsidR="0028630D">
              <w:rPr>
                <w:noProof/>
                <w:webHidden/>
              </w:rPr>
              <w:fldChar w:fldCharType="end"/>
            </w:r>
          </w:hyperlink>
        </w:p>
        <w:p w14:paraId="0BF040D3" w14:textId="4237E469" w:rsidR="0028630D" w:rsidRDefault="004F17A1" w:rsidP="007F76D6">
          <w:pPr>
            <w:pStyle w:val="TOC2"/>
            <w:tabs>
              <w:tab w:val="right" w:pos="9016"/>
            </w:tabs>
            <w:rPr>
              <w:noProof/>
              <w:lang w:eastAsia="en-AU"/>
            </w:rPr>
          </w:pPr>
          <w:hyperlink w:anchor="_Toc527633031" w:history="1">
            <w:r w:rsidR="0028630D" w:rsidRPr="00F97F87">
              <w:rPr>
                <w:rStyle w:val="Hyperlink"/>
                <w:noProof/>
              </w:rPr>
              <w:t>Term of reference 4</w:t>
            </w:r>
            <w:r w:rsidR="0028630D">
              <w:rPr>
                <w:noProof/>
                <w:webHidden/>
              </w:rPr>
              <w:tab/>
            </w:r>
            <w:r w:rsidR="0028630D">
              <w:rPr>
                <w:noProof/>
                <w:webHidden/>
              </w:rPr>
              <w:fldChar w:fldCharType="begin"/>
            </w:r>
            <w:r w:rsidR="0028630D">
              <w:rPr>
                <w:noProof/>
                <w:webHidden/>
              </w:rPr>
              <w:instrText xml:space="preserve"> PAGEREF _Toc527633031 \h </w:instrText>
            </w:r>
            <w:r w:rsidR="0028630D">
              <w:rPr>
                <w:noProof/>
                <w:webHidden/>
              </w:rPr>
            </w:r>
            <w:r w:rsidR="0028630D">
              <w:rPr>
                <w:noProof/>
                <w:webHidden/>
              </w:rPr>
              <w:fldChar w:fldCharType="separate"/>
            </w:r>
            <w:r w:rsidR="00052657">
              <w:rPr>
                <w:noProof/>
                <w:webHidden/>
              </w:rPr>
              <w:t>42</w:t>
            </w:r>
            <w:r w:rsidR="0028630D">
              <w:rPr>
                <w:noProof/>
                <w:webHidden/>
              </w:rPr>
              <w:fldChar w:fldCharType="end"/>
            </w:r>
          </w:hyperlink>
        </w:p>
        <w:p w14:paraId="1AF394C1" w14:textId="0DF1B0DB" w:rsidR="0028630D" w:rsidRDefault="004F17A1" w:rsidP="007F76D6">
          <w:pPr>
            <w:pStyle w:val="TOC2"/>
            <w:tabs>
              <w:tab w:val="right" w:pos="9016"/>
            </w:tabs>
            <w:rPr>
              <w:noProof/>
              <w:lang w:eastAsia="en-AU"/>
            </w:rPr>
          </w:pPr>
          <w:hyperlink w:anchor="_Toc527633032" w:history="1">
            <w:r w:rsidR="0028630D" w:rsidRPr="00F97F87">
              <w:rPr>
                <w:rStyle w:val="Hyperlink"/>
                <w:noProof/>
              </w:rPr>
              <w:t>Market testing requirements for non-resident workers</w:t>
            </w:r>
            <w:r w:rsidR="0028630D">
              <w:rPr>
                <w:noProof/>
                <w:webHidden/>
              </w:rPr>
              <w:tab/>
            </w:r>
            <w:r w:rsidR="0028630D">
              <w:rPr>
                <w:noProof/>
                <w:webHidden/>
              </w:rPr>
              <w:fldChar w:fldCharType="begin"/>
            </w:r>
            <w:r w:rsidR="0028630D">
              <w:rPr>
                <w:noProof/>
                <w:webHidden/>
              </w:rPr>
              <w:instrText xml:space="preserve"> PAGEREF _Toc527633032 \h </w:instrText>
            </w:r>
            <w:r w:rsidR="0028630D">
              <w:rPr>
                <w:noProof/>
                <w:webHidden/>
              </w:rPr>
            </w:r>
            <w:r w:rsidR="0028630D">
              <w:rPr>
                <w:noProof/>
                <w:webHidden/>
              </w:rPr>
              <w:fldChar w:fldCharType="separate"/>
            </w:r>
            <w:r w:rsidR="00052657">
              <w:rPr>
                <w:noProof/>
                <w:webHidden/>
              </w:rPr>
              <w:t>42</w:t>
            </w:r>
            <w:r w:rsidR="0028630D">
              <w:rPr>
                <w:noProof/>
                <w:webHidden/>
              </w:rPr>
              <w:fldChar w:fldCharType="end"/>
            </w:r>
          </w:hyperlink>
        </w:p>
        <w:p w14:paraId="0D9E6923" w14:textId="6CD239E8" w:rsidR="0028630D" w:rsidRDefault="004F17A1" w:rsidP="007F76D6">
          <w:pPr>
            <w:pStyle w:val="TOC2"/>
            <w:tabs>
              <w:tab w:val="left" w:pos="880"/>
              <w:tab w:val="right" w:pos="9016"/>
            </w:tabs>
            <w:rPr>
              <w:noProof/>
              <w:lang w:eastAsia="en-AU"/>
            </w:rPr>
          </w:pPr>
          <w:hyperlink w:anchor="_Toc527633033" w:history="1">
            <w:r w:rsidR="0028630D" w:rsidRPr="00F97F87">
              <w:rPr>
                <w:rStyle w:val="Hyperlink"/>
                <w:noProof/>
              </w:rPr>
              <w:t>4.1.</w:t>
            </w:r>
            <w:r w:rsidR="0028630D">
              <w:rPr>
                <w:noProof/>
                <w:lang w:eastAsia="en-AU"/>
              </w:rPr>
              <w:tab/>
            </w:r>
            <w:r w:rsidR="0028630D" w:rsidRPr="00F97F87">
              <w:rPr>
                <w:rStyle w:val="Hyperlink"/>
                <w:noProof/>
              </w:rPr>
              <w:t>Stakeholder views</w:t>
            </w:r>
            <w:r w:rsidR="0028630D">
              <w:rPr>
                <w:noProof/>
                <w:webHidden/>
              </w:rPr>
              <w:tab/>
            </w:r>
            <w:r w:rsidR="0028630D">
              <w:rPr>
                <w:noProof/>
                <w:webHidden/>
              </w:rPr>
              <w:fldChar w:fldCharType="begin"/>
            </w:r>
            <w:r w:rsidR="0028630D">
              <w:rPr>
                <w:noProof/>
                <w:webHidden/>
              </w:rPr>
              <w:instrText xml:space="preserve"> PAGEREF _Toc527633033 \h </w:instrText>
            </w:r>
            <w:r w:rsidR="0028630D">
              <w:rPr>
                <w:noProof/>
                <w:webHidden/>
              </w:rPr>
            </w:r>
            <w:r w:rsidR="0028630D">
              <w:rPr>
                <w:noProof/>
                <w:webHidden/>
              </w:rPr>
              <w:fldChar w:fldCharType="separate"/>
            </w:r>
            <w:r w:rsidR="00052657">
              <w:rPr>
                <w:noProof/>
                <w:webHidden/>
              </w:rPr>
              <w:t>42</w:t>
            </w:r>
            <w:r w:rsidR="0028630D">
              <w:rPr>
                <w:noProof/>
                <w:webHidden/>
              </w:rPr>
              <w:fldChar w:fldCharType="end"/>
            </w:r>
          </w:hyperlink>
        </w:p>
        <w:p w14:paraId="11341FF6" w14:textId="3C59B6F4" w:rsidR="0028630D" w:rsidRDefault="004F17A1" w:rsidP="007F76D6">
          <w:pPr>
            <w:pStyle w:val="TOC2"/>
            <w:tabs>
              <w:tab w:val="left" w:pos="880"/>
              <w:tab w:val="right" w:pos="9016"/>
            </w:tabs>
            <w:rPr>
              <w:noProof/>
              <w:lang w:eastAsia="en-AU"/>
            </w:rPr>
          </w:pPr>
          <w:hyperlink w:anchor="_Toc527633034" w:history="1">
            <w:r w:rsidR="0028630D" w:rsidRPr="00F97F87">
              <w:rPr>
                <w:rStyle w:val="Hyperlink"/>
                <w:noProof/>
              </w:rPr>
              <w:t>4.2.</w:t>
            </w:r>
            <w:r w:rsidR="0028630D">
              <w:rPr>
                <w:noProof/>
                <w:lang w:eastAsia="en-AU"/>
              </w:rPr>
              <w:tab/>
            </w:r>
            <w:r w:rsidR="0028630D" w:rsidRPr="00F97F87">
              <w:rPr>
                <w:rStyle w:val="Hyperlink"/>
                <w:noProof/>
              </w:rPr>
              <w:t>Comparison of market testing provisions – BCIIP Act and 2016 Code vs Migration Act</w:t>
            </w:r>
            <w:r w:rsidR="0028630D">
              <w:rPr>
                <w:noProof/>
                <w:webHidden/>
              </w:rPr>
              <w:tab/>
            </w:r>
            <w:r w:rsidR="0028630D">
              <w:rPr>
                <w:noProof/>
                <w:webHidden/>
              </w:rPr>
              <w:fldChar w:fldCharType="begin"/>
            </w:r>
            <w:r w:rsidR="0028630D">
              <w:rPr>
                <w:noProof/>
                <w:webHidden/>
              </w:rPr>
              <w:instrText xml:space="preserve"> PAGEREF _Toc527633034 \h </w:instrText>
            </w:r>
            <w:r w:rsidR="0028630D">
              <w:rPr>
                <w:noProof/>
                <w:webHidden/>
              </w:rPr>
            </w:r>
            <w:r w:rsidR="0028630D">
              <w:rPr>
                <w:noProof/>
                <w:webHidden/>
              </w:rPr>
              <w:fldChar w:fldCharType="separate"/>
            </w:r>
            <w:r w:rsidR="00052657">
              <w:rPr>
                <w:noProof/>
                <w:webHidden/>
              </w:rPr>
              <w:t>44</w:t>
            </w:r>
            <w:r w:rsidR="0028630D">
              <w:rPr>
                <w:noProof/>
                <w:webHidden/>
              </w:rPr>
              <w:fldChar w:fldCharType="end"/>
            </w:r>
          </w:hyperlink>
        </w:p>
        <w:p w14:paraId="17BAD558" w14:textId="380D1A55" w:rsidR="0028630D" w:rsidRDefault="004F17A1" w:rsidP="007F76D6">
          <w:pPr>
            <w:pStyle w:val="TOC2"/>
            <w:tabs>
              <w:tab w:val="left" w:pos="880"/>
              <w:tab w:val="right" w:pos="9016"/>
            </w:tabs>
            <w:rPr>
              <w:noProof/>
              <w:lang w:eastAsia="en-AU"/>
            </w:rPr>
          </w:pPr>
          <w:hyperlink w:anchor="_Toc527633035" w:history="1">
            <w:r w:rsidR="0028630D" w:rsidRPr="00F97F87">
              <w:rPr>
                <w:rStyle w:val="Hyperlink"/>
                <w:noProof/>
              </w:rPr>
              <w:t>4.3.</w:t>
            </w:r>
            <w:r w:rsidR="0028630D">
              <w:rPr>
                <w:noProof/>
                <w:lang w:eastAsia="en-AU"/>
              </w:rPr>
              <w:tab/>
            </w:r>
            <w:r w:rsidR="0028630D" w:rsidRPr="00F97F87">
              <w:rPr>
                <w:rStyle w:val="Hyperlink"/>
                <w:noProof/>
              </w:rPr>
              <w:t>Analysis</w:t>
            </w:r>
            <w:r w:rsidR="0028630D">
              <w:rPr>
                <w:noProof/>
                <w:webHidden/>
              </w:rPr>
              <w:tab/>
            </w:r>
            <w:r w:rsidR="0028630D">
              <w:rPr>
                <w:noProof/>
                <w:webHidden/>
              </w:rPr>
              <w:fldChar w:fldCharType="begin"/>
            </w:r>
            <w:r w:rsidR="0028630D">
              <w:rPr>
                <w:noProof/>
                <w:webHidden/>
              </w:rPr>
              <w:instrText xml:space="preserve"> PAGEREF _Toc527633035 \h </w:instrText>
            </w:r>
            <w:r w:rsidR="0028630D">
              <w:rPr>
                <w:noProof/>
                <w:webHidden/>
              </w:rPr>
            </w:r>
            <w:r w:rsidR="0028630D">
              <w:rPr>
                <w:noProof/>
                <w:webHidden/>
              </w:rPr>
              <w:fldChar w:fldCharType="separate"/>
            </w:r>
            <w:r w:rsidR="00052657">
              <w:rPr>
                <w:noProof/>
                <w:webHidden/>
              </w:rPr>
              <w:t>47</w:t>
            </w:r>
            <w:r w:rsidR="0028630D">
              <w:rPr>
                <w:noProof/>
                <w:webHidden/>
              </w:rPr>
              <w:fldChar w:fldCharType="end"/>
            </w:r>
          </w:hyperlink>
        </w:p>
        <w:p w14:paraId="7597548D" w14:textId="53BD71D1" w:rsidR="0028630D" w:rsidRDefault="004F17A1" w:rsidP="007F76D6">
          <w:pPr>
            <w:pStyle w:val="TOC2"/>
            <w:tabs>
              <w:tab w:val="right" w:pos="9016"/>
            </w:tabs>
            <w:rPr>
              <w:noProof/>
              <w:lang w:eastAsia="en-AU"/>
            </w:rPr>
          </w:pPr>
          <w:hyperlink w:anchor="_Toc527633036" w:history="1">
            <w:r w:rsidR="0028630D" w:rsidRPr="00F97F87">
              <w:rPr>
                <w:rStyle w:val="Hyperlink"/>
                <w:noProof/>
              </w:rPr>
              <w:t>Findings and recommendations</w:t>
            </w:r>
            <w:r w:rsidR="0028630D">
              <w:rPr>
                <w:noProof/>
                <w:webHidden/>
              </w:rPr>
              <w:tab/>
            </w:r>
            <w:r w:rsidR="0028630D">
              <w:rPr>
                <w:noProof/>
                <w:webHidden/>
              </w:rPr>
              <w:fldChar w:fldCharType="begin"/>
            </w:r>
            <w:r w:rsidR="0028630D">
              <w:rPr>
                <w:noProof/>
                <w:webHidden/>
              </w:rPr>
              <w:instrText xml:space="preserve"> PAGEREF _Toc527633036 \h </w:instrText>
            </w:r>
            <w:r w:rsidR="0028630D">
              <w:rPr>
                <w:noProof/>
                <w:webHidden/>
              </w:rPr>
            </w:r>
            <w:r w:rsidR="0028630D">
              <w:rPr>
                <w:noProof/>
                <w:webHidden/>
              </w:rPr>
              <w:fldChar w:fldCharType="separate"/>
            </w:r>
            <w:r w:rsidR="00052657">
              <w:rPr>
                <w:noProof/>
                <w:webHidden/>
              </w:rPr>
              <w:t>48</w:t>
            </w:r>
            <w:r w:rsidR="0028630D">
              <w:rPr>
                <w:noProof/>
                <w:webHidden/>
              </w:rPr>
              <w:fldChar w:fldCharType="end"/>
            </w:r>
          </w:hyperlink>
        </w:p>
        <w:p w14:paraId="49939F48" w14:textId="76044EE1" w:rsidR="0028630D" w:rsidRDefault="004F17A1" w:rsidP="007F76D6">
          <w:pPr>
            <w:pStyle w:val="TOC1"/>
            <w:tabs>
              <w:tab w:val="left" w:pos="1320"/>
              <w:tab w:val="right" w:pos="9016"/>
            </w:tabs>
            <w:rPr>
              <w:noProof/>
              <w:lang w:eastAsia="en-AU"/>
            </w:rPr>
          </w:pPr>
          <w:hyperlink w:anchor="_Toc527633037" w:history="1">
            <w:r w:rsidR="0028630D" w:rsidRPr="00F97F87">
              <w:rPr>
                <w:rStyle w:val="Hyperlink"/>
                <w:noProof/>
              </w:rPr>
              <w:t>Chapter 5:</w:t>
            </w:r>
            <w:r w:rsidR="0028630D">
              <w:rPr>
                <w:noProof/>
                <w:lang w:eastAsia="en-AU"/>
              </w:rPr>
              <w:tab/>
            </w:r>
            <w:r w:rsidR="0028630D" w:rsidRPr="00F97F87">
              <w:rPr>
                <w:rStyle w:val="Hyperlink"/>
                <w:noProof/>
              </w:rPr>
              <w:t>Operation of the new provisions of the BCIIP Act</w:t>
            </w:r>
            <w:r w:rsidR="0028630D">
              <w:rPr>
                <w:noProof/>
                <w:webHidden/>
              </w:rPr>
              <w:tab/>
            </w:r>
            <w:r w:rsidR="0028630D">
              <w:rPr>
                <w:noProof/>
                <w:webHidden/>
              </w:rPr>
              <w:fldChar w:fldCharType="begin"/>
            </w:r>
            <w:r w:rsidR="0028630D">
              <w:rPr>
                <w:noProof/>
                <w:webHidden/>
              </w:rPr>
              <w:instrText xml:space="preserve"> PAGEREF _Toc527633037 \h </w:instrText>
            </w:r>
            <w:r w:rsidR="0028630D">
              <w:rPr>
                <w:noProof/>
                <w:webHidden/>
              </w:rPr>
            </w:r>
            <w:r w:rsidR="0028630D">
              <w:rPr>
                <w:noProof/>
                <w:webHidden/>
              </w:rPr>
              <w:fldChar w:fldCharType="separate"/>
            </w:r>
            <w:r w:rsidR="00052657">
              <w:rPr>
                <w:noProof/>
                <w:webHidden/>
              </w:rPr>
              <w:t>49</w:t>
            </w:r>
            <w:r w:rsidR="0028630D">
              <w:rPr>
                <w:noProof/>
                <w:webHidden/>
              </w:rPr>
              <w:fldChar w:fldCharType="end"/>
            </w:r>
          </w:hyperlink>
        </w:p>
        <w:p w14:paraId="3F5262F3" w14:textId="6FD27055" w:rsidR="0028630D" w:rsidRDefault="004F17A1" w:rsidP="007F76D6">
          <w:pPr>
            <w:pStyle w:val="TOC2"/>
            <w:tabs>
              <w:tab w:val="right" w:pos="9016"/>
            </w:tabs>
            <w:rPr>
              <w:noProof/>
              <w:lang w:eastAsia="en-AU"/>
            </w:rPr>
          </w:pPr>
          <w:hyperlink w:anchor="_Toc527633038" w:history="1">
            <w:r w:rsidR="0028630D" w:rsidRPr="00F97F87">
              <w:rPr>
                <w:rStyle w:val="Hyperlink"/>
                <w:noProof/>
              </w:rPr>
              <w:t>Term of reference 5</w:t>
            </w:r>
            <w:r w:rsidR="0028630D">
              <w:rPr>
                <w:noProof/>
                <w:webHidden/>
              </w:rPr>
              <w:tab/>
            </w:r>
            <w:r w:rsidR="0028630D">
              <w:rPr>
                <w:noProof/>
                <w:webHidden/>
              </w:rPr>
              <w:fldChar w:fldCharType="begin"/>
            </w:r>
            <w:r w:rsidR="0028630D">
              <w:rPr>
                <w:noProof/>
                <w:webHidden/>
              </w:rPr>
              <w:instrText xml:space="preserve"> PAGEREF _Toc527633038 \h </w:instrText>
            </w:r>
            <w:r w:rsidR="0028630D">
              <w:rPr>
                <w:noProof/>
                <w:webHidden/>
              </w:rPr>
            </w:r>
            <w:r w:rsidR="0028630D">
              <w:rPr>
                <w:noProof/>
                <w:webHidden/>
              </w:rPr>
              <w:fldChar w:fldCharType="separate"/>
            </w:r>
            <w:r w:rsidR="00052657">
              <w:rPr>
                <w:noProof/>
                <w:webHidden/>
              </w:rPr>
              <w:t>49</w:t>
            </w:r>
            <w:r w:rsidR="0028630D">
              <w:rPr>
                <w:noProof/>
                <w:webHidden/>
              </w:rPr>
              <w:fldChar w:fldCharType="end"/>
            </w:r>
          </w:hyperlink>
        </w:p>
        <w:p w14:paraId="56AADD4B" w14:textId="7BC3CE95" w:rsidR="0028630D" w:rsidRDefault="004F17A1" w:rsidP="007F76D6">
          <w:pPr>
            <w:pStyle w:val="TOC2"/>
            <w:tabs>
              <w:tab w:val="right" w:pos="9016"/>
            </w:tabs>
            <w:rPr>
              <w:noProof/>
              <w:lang w:eastAsia="en-AU"/>
            </w:rPr>
          </w:pPr>
          <w:hyperlink w:anchor="_Toc527633039" w:history="1">
            <w:r w:rsidR="0028630D" w:rsidRPr="00F97F87">
              <w:rPr>
                <w:rStyle w:val="Hyperlink"/>
                <w:noProof/>
              </w:rPr>
              <w:t>Compliance with NCC performance requirements – building materials</w:t>
            </w:r>
            <w:r w:rsidR="0028630D">
              <w:rPr>
                <w:noProof/>
                <w:webHidden/>
              </w:rPr>
              <w:tab/>
            </w:r>
            <w:r w:rsidR="0028630D">
              <w:rPr>
                <w:noProof/>
                <w:webHidden/>
              </w:rPr>
              <w:fldChar w:fldCharType="begin"/>
            </w:r>
            <w:r w:rsidR="0028630D">
              <w:rPr>
                <w:noProof/>
                <w:webHidden/>
              </w:rPr>
              <w:instrText xml:space="preserve"> PAGEREF _Toc527633039 \h </w:instrText>
            </w:r>
            <w:r w:rsidR="0028630D">
              <w:rPr>
                <w:noProof/>
                <w:webHidden/>
              </w:rPr>
            </w:r>
            <w:r w:rsidR="0028630D">
              <w:rPr>
                <w:noProof/>
                <w:webHidden/>
              </w:rPr>
              <w:fldChar w:fldCharType="separate"/>
            </w:r>
            <w:r w:rsidR="00052657">
              <w:rPr>
                <w:noProof/>
                <w:webHidden/>
              </w:rPr>
              <w:t>49</w:t>
            </w:r>
            <w:r w:rsidR="0028630D">
              <w:rPr>
                <w:noProof/>
                <w:webHidden/>
              </w:rPr>
              <w:fldChar w:fldCharType="end"/>
            </w:r>
          </w:hyperlink>
        </w:p>
        <w:p w14:paraId="73F857FD" w14:textId="1FAD797F" w:rsidR="0028630D" w:rsidRDefault="004F17A1" w:rsidP="007F76D6">
          <w:pPr>
            <w:pStyle w:val="TOC2"/>
            <w:tabs>
              <w:tab w:val="left" w:pos="880"/>
              <w:tab w:val="right" w:pos="9016"/>
            </w:tabs>
            <w:rPr>
              <w:noProof/>
              <w:lang w:eastAsia="en-AU"/>
            </w:rPr>
          </w:pPr>
          <w:hyperlink w:anchor="_Toc527633040" w:history="1">
            <w:r w:rsidR="0028630D" w:rsidRPr="00F97F87">
              <w:rPr>
                <w:rStyle w:val="Hyperlink"/>
                <w:noProof/>
              </w:rPr>
              <w:t>5.1.</w:t>
            </w:r>
            <w:r w:rsidR="0028630D">
              <w:rPr>
                <w:noProof/>
                <w:lang w:eastAsia="en-AU"/>
              </w:rPr>
              <w:tab/>
            </w:r>
            <w:r w:rsidR="0028630D" w:rsidRPr="00F97F87">
              <w:rPr>
                <w:rStyle w:val="Hyperlink"/>
                <w:noProof/>
              </w:rPr>
              <w:t>Introduction</w:t>
            </w:r>
            <w:r w:rsidR="0028630D">
              <w:rPr>
                <w:noProof/>
                <w:webHidden/>
              </w:rPr>
              <w:tab/>
            </w:r>
            <w:r w:rsidR="0028630D">
              <w:rPr>
                <w:noProof/>
                <w:webHidden/>
              </w:rPr>
              <w:fldChar w:fldCharType="begin"/>
            </w:r>
            <w:r w:rsidR="0028630D">
              <w:rPr>
                <w:noProof/>
                <w:webHidden/>
              </w:rPr>
              <w:instrText xml:space="preserve"> PAGEREF _Toc527633040 \h </w:instrText>
            </w:r>
            <w:r w:rsidR="0028630D">
              <w:rPr>
                <w:noProof/>
                <w:webHidden/>
              </w:rPr>
            </w:r>
            <w:r w:rsidR="0028630D">
              <w:rPr>
                <w:noProof/>
                <w:webHidden/>
              </w:rPr>
              <w:fldChar w:fldCharType="separate"/>
            </w:r>
            <w:r w:rsidR="00052657">
              <w:rPr>
                <w:noProof/>
                <w:webHidden/>
              </w:rPr>
              <w:t>49</w:t>
            </w:r>
            <w:r w:rsidR="0028630D">
              <w:rPr>
                <w:noProof/>
                <w:webHidden/>
              </w:rPr>
              <w:fldChar w:fldCharType="end"/>
            </w:r>
          </w:hyperlink>
        </w:p>
        <w:p w14:paraId="19548BA2" w14:textId="649FE113" w:rsidR="0028630D" w:rsidRDefault="004F17A1" w:rsidP="007F76D6">
          <w:pPr>
            <w:pStyle w:val="TOC3"/>
            <w:tabs>
              <w:tab w:val="left" w:pos="1320"/>
              <w:tab w:val="right" w:pos="9016"/>
            </w:tabs>
            <w:rPr>
              <w:noProof/>
              <w:lang w:eastAsia="en-AU"/>
            </w:rPr>
          </w:pPr>
          <w:hyperlink w:anchor="_Toc527633041" w:history="1">
            <w:r w:rsidR="0028630D" w:rsidRPr="00F97F87">
              <w:rPr>
                <w:rStyle w:val="Hyperlink"/>
                <w:noProof/>
              </w:rPr>
              <w:t>5.1.1.</w:t>
            </w:r>
            <w:r w:rsidR="0028630D">
              <w:rPr>
                <w:noProof/>
                <w:lang w:eastAsia="en-AU"/>
              </w:rPr>
              <w:tab/>
            </w:r>
            <w:r w:rsidR="0028630D" w:rsidRPr="00F97F87">
              <w:rPr>
                <w:rStyle w:val="Hyperlink"/>
                <w:noProof/>
              </w:rPr>
              <w:t>Context for the NCC requirements</w:t>
            </w:r>
            <w:r w:rsidR="0028630D">
              <w:rPr>
                <w:noProof/>
                <w:webHidden/>
              </w:rPr>
              <w:tab/>
            </w:r>
            <w:r w:rsidR="0028630D">
              <w:rPr>
                <w:noProof/>
                <w:webHidden/>
              </w:rPr>
              <w:fldChar w:fldCharType="begin"/>
            </w:r>
            <w:r w:rsidR="0028630D">
              <w:rPr>
                <w:noProof/>
                <w:webHidden/>
              </w:rPr>
              <w:instrText xml:space="preserve"> PAGEREF _Toc527633041 \h </w:instrText>
            </w:r>
            <w:r w:rsidR="0028630D">
              <w:rPr>
                <w:noProof/>
                <w:webHidden/>
              </w:rPr>
            </w:r>
            <w:r w:rsidR="0028630D">
              <w:rPr>
                <w:noProof/>
                <w:webHidden/>
              </w:rPr>
              <w:fldChar w:fldCharType="separate"/>
            </w:r>
            <w:r w:rsidR="00052657">
              <w:rPr>
                <w:noProof/>
                <w:webHidden/>
              </w:rPr>
              <w:t>50</w:t>
            </w:r>
            <w:r w:rsidR="0028630D">
              <w:rPr>
                <w:noProof/>
                <w:webHidden/>
              </w:rPr>
              <w:fldChar w:fldCharType="end"/>
            </w:r>
          </w:hyperlink>
        </w:p>
        <w:p w14:paraId="5B7D901B" w14:textId="31AAD2A2" w:rsidR="0028630D" w:rsidRDefault="004F17A1" w:rsidP="007F76D6">
          <w:pPr>
            <w:pStyle w:val="TOC3"/>
            <w:tabs>
              <w:tab w:val="left" w:pos="1320"/>
              <w:tab w:val="right" w:pos="9016"/>
            </w:tabs>
            <w:rPr>
              <w:noProof/>
              <w:lang w:eastAsia="en-AU"/>
            </w:rPr>
          </w:pPr>
          <w:hyperlink w:anchor="_Toc527633042" w:history="1">
            <w:r w:rsidR="0028630D" w:rsidRPr="00F97F87">
              <w:rPr>
                <w:rStyle w:val="Hyperlink"/>
                <w:noProof/>
              </w:rPr>
              <w:t>5.1.2.</w:t>
            </w:r>
            <w:r w:rsidR="0028630D">
              <w:rPr>
                <w:noProof/>
                <w:lang w:eastAsia="en-AU"/>
              </w:rPr>
              <w:tab/>
            </w:r>
            <w:r w:rsidR="0028630D" w:rsidRPr="00F97F87">
              <w:rPr>
                <w:rStyle w:val="Hyperlink"/>
                <w:noProof/>
              </w:rPr>
              <w:t>The FSC’s approach to carrying out its NCC function</w:t>
            </w:r>
            <w:r w:rsidR="0028630D">
              <w:rPr>
                <w:noProof/>
                <w:webHidden/>
              </w:rPr>
              <w:tab/>
            </w:r>
            <w:r w:rsidR="0028630D">
              <w:rPr>
                <w:noProof/>
                <w:webHidden/>
              </w:rPr>
              <w:fldChar w:fldCharType="begin"/>
            </w:r>
            <w:r w:rsidR="0028630D">
              <w:rPr>
                <w:noProof/>
                <w:webHidden/>
              </w:rPr>
              <w:instrText xml:space="preserve"> PAGEREF _Toc527633042 \h </w:instrText>
            </w:r>
            <w:r w:rsidR="0028630D">
              <w:rPr>
                <w:noProof/>
                <w:webHidden/>
              </w:rPr>
            </w:r>
            <w:r w:rsidR="0028630D">
              <w:rPr>
                <w:noProof/>
                <w:webHidden/>
              </w:rPr>
              <w:fldChar w:fldCharType="separate"/>
            </w:r>
            <w:r w:rsidR="00052657">
              <w:rPr>
                <w:noProof/>
                <w:webHidden/>
              </w:rPr>
              <w:t>51</w:t>
            </w:r>
            <w:r w:rsidR="0028630D">
              <w:rPr>
                <w:noProof/>
                <w:webHidden/>
              </w:rPr>
              <w:fldChar w:fldCharType="end"/>
            </w:r>
          </w:hyperlink>
        </w:p>
        <w:p w14:paraId="7B0E35DE" w14:textId="400C2DD5" w:rsidR="0028630D" w:rsidRDefault="004F17A1" w:rsidP="007F76D6">
          <w:pPr>
            <w:pStyle w:val="TOC3"/>
            <w:tabs>
              <w:tab w:val="left" w:pos="1320"/>
              <w:tab w:val="right" w:pos="9016"/>
            </w:tabs>
            <w:rPr>
              <w:noProof/>
              <w:lang w:eastAsia="en-AU"/>
            </w:rPr>
          </w:pPr>
          <w:hyperlink w:anchor="_Toc527633043" w:history="1">
            <w:r w:rsidR="0028630D" w:rsidRPr="00F97F87">
              <w:rPr>
                <w:rStyle w:val="Hyperlink"/>
                <w:noProof/>
              </w:rPr>
              <w:t>5.1.3.</w:t>
            </w:r>
            <w:r w:rsidR="0028630D">
              <w:rPr>
                <w:noProof/>
                <w:lang w:eastAsia="en-AU"/>
              </w:rPr>
              <w:tab/>
            </w:r>
            <w:r w:rsidR="0028630D" w:rsidRPr="00F97F87">
              <w:rPr>
                <w:rStyle w:val="Hyperlink"/>
                <w:noProof/>
              </w:rPr>
              <w:t>Pilot audit program</w:t>
            </w:r>
            <w:r w:rsidR="0028630D">
              <w:rPr>
                <w:noProof/>
                <w:webHidden/>
              </w:rPr>
              <w:tab/>
            </w:r>
            <w:r w:rsidR="0028630D">
              <w:rPr>
                <w:noProof/>
                <w:webHidden/>
              </w:rPr>
              <w:fldChar w:fldCharType="begin"/>
            </w:r>
            <w:r w:rsidR="0028630D">
              <w:rPr>
                <w:noProof/>
                <w:webHidden/>
              </w:rPr>
              <w:instrText xml:space="preserve"> PAGEREF _Toc527633043 \h </w:instrText>
            </w:r>
            <w:r w:rsidR="0028630D">
              <w:rPr>
                <w:noProof/>
                <w:webHidden/>
              </w:rPr>
            </w:r>
            <w:r w:rsidR="0028630D">
              <w:rPr>
                <w:noProof/>
                <w:webHidden/>
              </w:rPr>
              <w:fldChar w:fldCharType="separate"/>
            </w:r>
            <w:r w:rsidR="00052657">
              <w:rPr>
                <w:noProof/>
                <w:webHidden/>
              </w:rPr>
              <w:t>52</w:t>
            </w:r>
            <w:r w:rsidR="0028630D">
              <w:rPr>
                <w:noProof/>
                <w:webHidden/>
              </w:rPr>
              <w:fldChar w:fldCharType="end"/>
            </w:r>
          </w:hyperlink>
        </w:p>
        <w:p w14:paraId="6B359296" w14:textId="79BE0335" w:rsidR="0028630D" w:rsidRDefault="004F17A1" w:rsidP="007F76D6">
          <w:pPr>
            <w:pStyle w:val="TOC3"/>
            <w:tabs>
              <w:tab w:val="left" w:pos="1320"/>
              <w:tab w:val="right" w:pos="9016"/>
            </w:tabs>
            <w:rPr>
              <w:noProof/>
              <w:lang w:eastAsia="en-AU"/>
            </w:rPr>
          </w:pPr>
          <w:hyperlink w:anchor="_Toc527633044" w:history="1">
            <w:r w:rsidR="0028630D" w:rsidRPr="00F97F87">
              <w:rPr>
                <w:rStyle w:val="Hyperlink"/>
                <w:noProof/>
              </w:rPr>
              <w:t>5.1.4.</w:t>
            </w:r>
            <w:r w:rsidR="0028630D">
              <w:rPr>
                <w:noProof/>
                <w:lang w:eastAsia="en-AU"/>
              </w:rPr>
              <w:tab/>
            </w:r>
            <w:r w:rsidR="0028630D" w:rsidRPr="00F97F87">
              <w:rPr>
                <w:rStyle w:val="Hyperlink"/>
                <w:noProof/>
              </w:rPr>
              <w:t>Progress and key issues identified by the FSC</w:t>
            </w:r>
            <w:r w:rsidR="0028630D">
              <w:rPr>
                <w:noProof/>
                <w:webHidden/>
              </w:rPr>
              <w:tab/>
            </w:r>
            <w:r w:rsidR="0028630D">
              <w:rPr>
                <w:noProof/>
                <w:webHidden/>
              </w:rPr>
              <w:fldChar w:fldCharType="begin"/>
            </w:r>
            <w:r w:rsidR="0028630D">
              <w:rPr>
                <w:noProof/>
                <w:webHidden/>
              </w:rPr>
              <w:instrText xml:space="preserve"> PAGEREF _Toc527633044 \h </w:instrText>
            </w:r>
            <w:r w:rsidR="0028630D">
              <w:rPr>
                <w:noProof/>
                <w:webHidden/>
              </w:rPr>
            </w:r>
            <w:r w:rsidR="0028630D">
              <w:rPr>
                <w:noProof/>
                <w:webHidden/>
              </w:rPr>
              <w:fldChar w:fldCharType="separate"/>
            </w:r>
            <w:r w:rsidR="00052657">
              <w:rPr>
                <w:noProof/>
                <w:webHidden/>
              </w:rPr>
              <w:t>52</w:t>
            </w:r>
            <w:r w:rsidR="0028630D">
              <w:rPr>
                <w:noProof/>
                <w:webHidden/>
              </w:rPr>
              <w:fldChar w:fldCharType="end"/>
            </w:r>
          </w:hyperlink>
        </w:p>
        <w:p w14:paraId="014577F6" w14:textId="2A4032BC" w:rsidR="0028630D" w:rsidRDefault="004F17A1" w:rsidP="007F76D6">
          <w:pPr>
            <w:pStyle w:val="TOC2"/>
            <w:tabs>
              <w:tab w:val="left" w:pos="880"/>
              <w:tab w:val="right" w:pos="9016"/>
            </w:tabs>
            <w:rPr>
              <w:noProof/>
              <w:lang w:eastAsia="en-AU"/>
            </w:rPr>
          </w:pPr>
          <w:hyperlink w:anchor="_Toc527633045" w:history="1">
            <w:r w:rsidR="0028630D" w:rsidRPr="00F97F87">
              <w:rPr>
                <w:rStyle w:val="Hyperlink"/>
                <w:noProof/>
              </w:rPr>
              <w:t>5.2.</w:t>
            </w:r>
            <w:r w:rsidR="0028630D">
              <w:rPr>
                <w:noProof/>
                <w:lang w:eastAsia="en-AU"/>
              </w:rPr>
              <w:tab/>
            </w:r>
            <w:r w:rsidR="0028630D" w:rsidRPr="00F97F87">
              <w:rPr>
                <w:rStyle w:val="Hyperlink"/>
                <w:noProof/>
              </w:rPr>
              <w:t>Stakeholder views</w:t>
            </w:r>
            <w:r w:rsidR="0028630D">
              <w:rPr>
                <w:noProof/>
                <w:webHidden/>
              </w:rPr>
              <w:tab/>
            </w:r>
            <w:r w:rsidR="0028630D">
              <w:rPr>
                <w:noProof/>
                <w:webHidden/>
              </w:rPr>
              <w:fldChar w:fldCharType="begin"/>
            </w:r>
            <w:r w:rsidR="0028630D">
              <w:rPr>
                <w:noProof/>
                <w:webHidden/>
              </w:rPr>
              <w:instrText xml:space="preserve"> PAGEREF _Toc527633045 \h </w:instrText>
            </w:r>
            <w:r w:rsidR="0028630D">
              <w:rPr>
                <w:noProof/>
                <w:webHidden/>
              </w:rPr>
            </w:r>
            <w:r w:rsidR="0028630D">
              <w:rPr>
                <w:noProof/>
                <w:webHidden/>
              </w:rPr>
              <w:fldChar w:fldCharType="separate"/>
            </w:r>
            <w:r w:rsidR="00052657">
              <w:rPr>
                <w:noProof/>
                <w:webHidden/>
              </w:rPr>
              <w:t>54</w:t>
            </w:r>
            <w:r w:rsidR="0028630D">
              <w:rPr>
                <w:noProof/>
                <w:webHidden/>
              </w:rPr>
              <w:fldChar w:fldCharType="end"/>
            </w:r>
          </w:hyperlink>
        </w:p>
        <w:p w14:paraId="6117C865" w14:textId="6B09D01B" w:rsidR="0028630D" w:rsidRDefault="004F17A1" w:rsidP="007F76D6">
          <w:pPr>
            <w:pStyle w:val="TOC3"/>
            <w:tabs>
              <w:tab w:val="left" w:pos="1320"/>
              <w:tab w:val="right" w:pos="9016"/>
            </w:tabs>
            <w:rPr>
              <w:noProof/>
              <w:lang w:eastAsia="en-AU"/>
            </w:rPr>
          </w:pPr>
          <w:hyperlink w:anchor="_Toc527633046" w:history="1">
            <w:r w:rsidR="0028630D" w:rsidRPr="00F97F87">
              <w:rPr>
                <w:rStyle w:val="Hyperlink"/>
                <w:noProof/>
              </w:rPr>
              <w:t>5.2.1.</w:t>
            </w:r>
            <w:r w:rsidR="0028630D">
              <w:rPr>
                <w:noProof/>
                <w:lang w:eastAsia="en-AU"/>
              </w:rPr>
              <w:tab/>
            </w:r>
            <w:r w:rsidR="0028630D" w:rsidRPr="00F97F87">
              <w:rPr>
                <w:rStyle w:val="Hyperlink"/>
                <w:noProof/>
              </w:rPr>
              <w:t>The pilot audits</w:t>
            </w:r>
            <w:r w:rsidR="0028630D">
              <w:rPr>
                <w:noProof/>
                <w:webHidden/>
              </w:rPr>
              <w:tab/>
            </w:r>
            <w:r w:rsidR="0028630D">
              <w:rPr>
                <w:noProof/>
                <w:webHidden/>
              </w:rPr>
              <w:fldChar w:fldCharType="begin"/>
            </w:r>
            <w:r w:rsidR="0028630D">
              <w:rPr>
                <w:noProof/>
                <w:webHidden/>
              </w:rPr>
              <w:instrText xml:space="preserve"> PAGEREF _Toc527633046 \h </w:instrText>
            </w:r>
            <w:r w:rsidR="0028630D">
              <w:rPr>
                <w:noProof/>
                <w:webHidden/>
              </w:rPr>
            </w:r>
            <w:r w:rsidR="0028630D">
              <w:rPr>
                <w:noProof/>
                <w:webHidden/>
              </w:rPr>
              <w:fldChar w:fldCharType="separate"/>
            </w:r>
            <w:r w:rsidR="00052657">
              <w:rPr>
                <w:noProof/>
                <w:webHidden/>
              </w:rPr>
              <w:t>56</w:t>
            </w:r>
            <w:r w:rsidR="0028630D">
              <w:rPr>
                <w:noProof/>
                <w:webHidden/>
              </w:rPr>
              <w:fldChar w:fldCharType="end"/>
            </w:r>
          </w:hyperlink>
        </w:p>
        <w:p w14:paraId="686FB517" w14:textId="6F28C968" w:rsidR="0028630D" w:rsidRDefault="004F17A1" w:rsidP="007F76D6">
          <w:pPr>
            <w:pStyle w:val="TOC2"/>
            <w:tabs>
              <w:tab w:val="left" w:pos="880"/>
              <w:tab w:val="right" w:pos="9016"/>
            </w:tabs>
            <w:rPr>
              <w:noProof/>
              <w:lang w:eastAsia="en-AU"/>
            </w:rPr>
          </w:pPr>
          <w:hyperlink w:anchor="_Toc527633047" w:history="1">
            <w:r w:rsidR="0028630D" w:rsidRPr="00F97F87">
              <w:rPr>
                <w:rStyle w:val="Hyperlink"/>
                <w:noProof/>
              </w:rPr>
              <w:t>5.3.</w:t>
            </w:r>
            <w:r w:rsidR="0028630D">
              <w:rPr>
                <w:noProof/>
                <w:lang w:eastAsia="en-AU"/>
              </w:rPr>
              <w:tab/>
            </w:r>
            <w:r w:rsidR="0028630D" w:rsidRPr="00F97F87">
              <w:rPr>
                <w:rStyle w:val="Hyperlink"/>
                <w:noProof/>
              </w:rPr>
              <w:t>Analysis</w:t>
            </w:r>
            <w:r w:rsidR="0028630D">
              <w:rPr>
                <w:noProof/>
                <w:webHidden/>
              </w:rPr>
              <w:tab/>
            </w:r>
            <w:r w:rsidR="0028630D">
              <w:rPr>
                <w:noProof/>
                <w:webHidden/>
              </w:rPr>
              <w:fldChar w:fldCharType="begin"/>
            </w:r>
            <w:r w:rsidR="0028630D">
              <w:rPr>
                <w:noProof/>
                <w:webHidden/>
              </w:rPr>
              <w:instrText xml:space="preserve"> PAGEREF _Toc527633047 \h </w:instrText>
            </w:r>
            <w:r w:rsidR="0028630D">
              <w:rPr>
                <w:noProof/>
                <w:webHidden/>
              </w:rPr>
            </w:r>
            <w:r w:rsidR="0028630D">
              <w:rPr>
                <w:noProof/>
                <w:webHidden/>
              </w:rPr>
              <w:fldChar w:fldCharType="separate"/>
            </w:r>
            <w:r w:rsidR="00052657">
              <w:rPr>
                <w:noProof/>
                <w:webHidden/>
              </w:rPr>
              <w:t>56</w:t>
            </w:r>
            <w:r w:rsidR="0028630D">
              <w:rPr>
                <w:noProof/>
                <w:webHidden/>
              </w:rPr>
              <w:fldChar w:fldCharType="end"/>
            </w:r>
          </w:hyperlink>
        </w:p>
        <w:p w14:paraId="208315F7" w14:textId="0AB662F9" w:rsidR="0028630D" w:rsidRDefault="004F17A1" w:rsidP="007F76D6">
          <w:pPr>
            <w:pStyle w:val="TOC3"/>
            <w:tabs>
              <w:tab w:val="right" w:pos="9016"/>
            </w:tabs>
            <w:rPr>
              <w:noProof/>
              <w:lang w:eastAsia="en-AU"/>
            </w:rPr>
          </w:pPr>
          <w:hyperlink w:anchor="_Toc527633048" w:history="1">
            <w:r w:rsidR="0028630D" w:rsidRPr="00F97F87">
              <w:rPr>
                <w:rStyle w:val="Hyperlink"/>
                <w:noProof/>
              </w:rPr>
              <w:t>Appropriateness of the accreditation requirement</w:t>
            </w:r>
            <w:r w:rsidR="0028630D">
              <w:rPr>
                <w:noProof/>
                <w:webHidden/>
              </w:rPr>
              <w:tab/>
            </w:r>
            <w:r w:rsidR="0028630D">
              <w:rPr>
                <w:noProof/>
                <w:webHidden/>
              </w:rPr>
              <w:fldChar w:fldCharType="begin"/>
            </w:r>
            <w:r w:rsidR="0028630D">
              <w:rPr>
                <w:noProof/>
                <w:webHidden/>
              </w:rPr>
              <w:instrText xml:space="preserve"> PAGEREF _Toc527633048 \h </w:instrText>
            </w:r>
            <w:r w:rsidR="0028630D">
              <w:rPr>
                <w:noProof/>
                <w:webHidden/>
              </w:rPr>
            </w:r>
            <w:r w:rsidR="0028630D">
              <w:rPr>
                <w:noProof/>
                <w:webHidden/>
              </w:rPr>
              <w:fldChar w:fldCharType="separate"/>
            </w:r>
            <w:r w:rsidR="00052657">
              <w:rPr>
                <w:noProof/>
                <w:webHidden/>
              </w:rPr>
              <w:t>56</w:t>
            </w:r>
            <w:r w:rsidR="0028630D">
              <w:rPr>
                <w:noProof/>
                <w:webHidden/>
              </w:rPr>
              <w:fldChar w:fldCharType="end"/>
            </w:r>
          </w:hyperlink>
        </w:p>
        <w:p w14:paraId="5FEE59B4" w14:textId="17438106" w:rsidR="0028630D" w:rsidRDefault="004F17A1" w:rsidP="007F76D6">
          <w:pPr>
            <w:pStyle w:val="TOC3"/>
            <w:tabs>
              <w:tab w:val="right" w:pos="9016"/>
            </w:tabs>
            <w:rPr>
              <w:noProof/>
              <w:lang w:eastAsia="en-AU"/>
            </w:rPr>
          </w:pPr>
          <w:hyperlink w:anchor="_Toc527633049" w:history="1">
            <w:r w:rsidR="0028630D" w:rsidRPr="00F97F87">
              <w:rPr>
                <w:rStyle w:val="Hyperlink"/>
                <w:noProof/>
              </w:rPr>
              <w:t>Appropriateness of auditing by the FSC</w:t>
            </w:r>
            <w:r w:rsidR="0028630D">
              <w:rPr>
                <w:noProof/>
                <w:webHidden/>
              </w:rPr>
              <w:tab/>
            </w:r>
            <w:r w:rsidR="0028630D">
              <w:rPr>
                <w:noProof/>
                <w:webHidden/>
              </w:rPr>
              <w:fldChar w:fldCharType="begin"/>
            </w:r>
            <w:r w:rsidR="0028630D">
              <w:rPr>
                <w:noProof/>
                <w:webHidden/>
              </w:rPr>
              <w:instrText xml:space="preserve"> PAGEREF _Toc527633049 \h </w:instrText>
            </w:r>
            <w:r w:rsidR="0028630D">
              <w:rPr>
                <w:noProof/>
                <w:webHidden/>
              </w:rPr>
            </w:r>
            <w:r w:rsidR="0028630D">
              <w:rPr>
                <w:noProof/>
                <w:webHidden/>
              </w:rPr>
              <w:fldChar w:fldCharType="separate"/>
            </w:r>
            <w:r w:rsidR="00052657">
              <w:rPr>
                <w:noProof/>
                <w:webHidden/>
              </w:rPr>
              <w:t>57</w:t>
            </w:r>
            <w:r w:rsidR="0028630D">
              <w:rPr>
                <w:noProof/>
                <w:webHidden/>
              </w:rPr>
              <w:fldChar w:fldCharType="end"/>
            </w:r>
          </w:hyperlink>
        </w:p>
        <w:p w14:paraId="55F43857" w14:textId="4EB069B1" w:rsidR="0028630D" w:rsidRDefault="004F17A1" w:rsidP="007F76D6">
          <w:pPr>
            <w:pStyle w:val="TOC2"/>
            <w:tabs>
              <w:tab w:val="right" w:pos="9016"/>
            </w:tabs>
            <w:rPr>
              <w:noProof/>
              <w:lang w:eastAsia="en-AU"/>
            </w:rPr>
          </w:pPr>
          <w:hyperlink w:anchor="_Toc527633050" w:history="1">
            <w:r w:rsidR="0028630D" w:rsidRPr="00F97F87">
              <w:rPr>
                <w:rStyle w:val="Hyperlink"/>
                <w:noProof/>
              </w:rPr>
              <w:t>Recommendations</w:t>
            </w:r>
            <w:r w:rsidR="0028630D">
              <w:rPr>
                <w:noProof/>
                <w:webHidden/>
              </w:rPr>
              <w:tab/>
            </w:r>
            <w:r w:rsidR="0028630D">
              <w:rPr>
                <w:noProof/>
                <w:webHidden/>
              </w:rPr>
              <w:fldChar w:fldCharType="begin"/>
            </w:r>
            <w:r w:rsidR="0028630D">
              <w:rPr>
                <w:noProof/>
                <w:webHidden/>
              </w:rPr>
              <w:instrText xml:space="preserve"> PAGEREF _Toc527633050 \h </w:instrText>
            </w:r>
            <w:r w:rsidR="0028630D">
              <w:rPr>
                <w:noProof/>
                <w:webHidden/>
              </w:rPr>
            </w:r>
            <w:r w:rsidR="0028630D">
              <w:rPr>
                <w:noProof/>
                <w:webHidden/>
              </w:rPr>
              <w:fldChar w:fldCharType="separate"/>
            </w:r>
            <w:r w:rsidR="00052657">
              <w:rPr>
                <w:noProof/>
                <w:webHidden/>
              </w:rPr>
              <w:t>59</w:t>
            </w:r>
            <w:r w:rsidR="0028630D">
              <w:rPr>
                <w:noProof/>
                <w:webHidden/>
              </w:rPr>
              <w:fldChar w:fldCharType="end"/>
            </w:r>
          </w:hyperlink>
        </w:p>
        <w:p w14:paraId="1522354E" w14:textId="2EC9DAB0" w:rsidR="0028630D" w:rsidRDefault="004F17A1" w:rsidP="007F76D6">
          <w:pPr>
            <w:pStyle w:val="TOC2"/>
            <w:tabs>
              <w:tab w:val="right" w:pos="9016"/>
            </w:tabs>
            <w:rPr>
              <w:noProof/>
              <w:lang w:eastAsia="en-AU"/>
            </w:rPr>
          </w:pPr>
          <w:hyperlink w:anchor="_Toc527633051" w:history="1">
            <w:r w:rsidR="0028630D" w:rsidRPr="00F97F87">
              <w:rPr>
                <w:rStyle w:val="Hyperlink"/>
                <w:noProof/>
              </w:rPr>
              <w:t>Security of payments</w:t>
            </w:r>
            <w:r w:rsidR="0028630D">
              <w:rPr>
                <w:noProof/>
                <w:webHidden/>
              </w:rPr>
              <w:tab/>
            </w:r>
            <w:r w:rsidR="0028630D">
              <w:rPr>
                <w:noProof/>
                <w:webHidden/>
              </w:rPr>
              <w:fldChar w:fldCharType="begin"/>
            </w:r>
            <w:r w:rsidR="0028630D">
              <w:rPr>
                <w:noProof/>
                <w:webHidden/>
              </w:rPr>
              <w:instrText xml:space="preserve"> PAGEREF _Toc527633051 \h </w:instrText>
            </w:r>
            <w:r w:rsidR="0028630D">
              <w:rPr>
                <w:noProof/>
                <w:webHidden/>
              </w:rPr>
            </w:r>
            <w:r w:rsidR="0028630D">
              <w:rPr>
                <w:noProof/>
                <w:webHidden/>
              </w:rPr>
              <w:fldChar w:fldCharType="separate"/>
            </w:r>
            <w:r w:rsidR="00052657">
              <w:rPr>
                <w:noProof/>
                <w:webHidden/>
              </w:rPr>
              <w:t>60</w:t>
            </w:r>
            <w:r w:rsidR="0028630D">
              <w:rPr>
                <w:noProof/>
                <w:webHidden/>
              </w:rPr>
              <w:fldChar w:fldCharType="end"/>
            </w:r>
          </w:hyperlink>
        </w:p>
        <w:p w14:paraId="5C63A0B0" w14:textId="341A99C9" w:rsidR="0028630D" w:rsidRDefault="004F17A1" w:rsidP="007F76D6">
          <w:pPr>
            <w:pStyle w:val="TOC2"/>
            <w:tabs>
              <w:tab w:val="left" w:pos="880"/>
              <w:tab w:val="right" w:pos="9016"/>
            </w:tabs>
            <w:rPr>
              <w:noProof/>
              <w:lang w:eastAsia="en-AU"/>
            </w:rPr>
          </w:pPr>
          <w:hyperlink w:anchor="_Toc527633052" w:history="1">
            <w:r w:rsidR="0028630D" w:rsidRPr="00F97F87">
              <w:rPr>
                <w:rStyle w:val="Hyperlink"/>
                <w:noProof/>
              </w:rPr>
              <w:t>5.4.</w:t>
            </w:r>
            <w:r w:rsidR="0028630D">
              <w:rPr>
                <w:noProof/>
                <w:lang w:eastAsia="en-AU"/>
              </w:rPr>
              <w:tab/>
            </w:r>
            <w:r w:rsidR="0028630D" w:rsidRPr="00F97F87">
              <w:rPr>
                <w:rStyle w:val="Hyperlink"/>
                <w:noProof/>
              </w:rPr>
              <w:t>Introduction</w:t>
            </w:r>
            <w:r w:rsidR="0028630D">
              <w:rPr>
                <w:noProof/>
                <w:webHidden/>
              </w:rPr>
              <w:tab/>
            </w:r>
            <w:r w:rsidR="0028630D">
              <w:rPr>
                <w:noProof/>
                <w:webHidden/>
              </w:rPr>
              <w:fldChar w:fldCharType="begin"/>
            </w:r>
            <w:r w:rsidR="0028630D">
              <w:rPr>
                <w:noProof/>
                <w:webHidden/>
              </w:rPr>
              <w:instrText xml:space="preserve"> PAGEREF _Toc527633052 \h </w:instrText>
            </w:r>
            <w:r w:rsidR="0028630D">
              <w:rPr>
                <w:noProof/>
                <w:webHidden/>
              </w:rPr>
            </w:r>
            <w:r w:rsidR="0028630D">
              <w:rPr>
                <w:noProof/>
                <w:webHidden/>
              </w:rPr>
              <w:fldChar w:fldCharType="separate"/>
            </w:r>
            <w:r w:rsidR="00052657">
              <w:rPr>
                <w:noProof/>
                <w:webHidden/>
              </w:rPr>
              <w:t>60</w:t>
            </w:r>
            <w:r w:rsidR="0028630D">
              <w:rPr>
                <w:noProof/>
                <w:webHidden/>
              </w:rPr>
              <w:fldChar w:fldCharType="end"/>
            </w:r>
          </w:hyperlink>
        </w:p>
        <w:p w14:paraId="75187858" w14:textId="09C50CE3" w:rsidR="0028630D" w:rsidRDefault="004F17A1" w:rsidP="007F76D6">
          <w:pPr>
            <w:pStyle w:val="TOC3"/>
            <w:tabs>
              <w:tab w:val="right" w:pos="9016"/>
            </w:tabs>
            <w:rPr>
              <w:noProof/>
              <w:lang w:eastAsia="en-AU"/>
            </w:rPr>
          </w:pPr>
          <w:hyperlink w:anchor="_Toc527633053" w:history="1">
            <w:r w:rsidR="0028630D" w:rsidRPr="00F97F87">
              <w:rPr>
                <w:rStyle w:val="Hyperlink"/>
                <w:noProof/>
              </w:rPr>
              <w:t>Security of Payments Working Group</w:t>
            </w:r>
            <w:r w:rsidR="0028630D">
              <w:rPr>
                <w:noProof/>
                <w:webHidden/>
              </w:rPr>
              <w:tab/>
            </w:r>
            <w:r w:rsidR="0028630D">
              <w:rPr>
                <w:noProof/>
                <w:webHidden/>
              </w:rPr>
              <w:fldChar w:fldCharType="begin"/>
            </w:r>
            <w:r w:rsidR="0028630D">
              <w:rPr>
                <w:noProof/>
                <w:webHidden/>
              </w:rPr>
              <w:instrText xml:space="preserve"> PAGEREF _Toc527633053 \h </w:instrText>
            </w:r>
            <w:r w:rsidR="0028630D">
              <w:rPr>
                <w:noProof/>
                <w:webHidden/>
              </w:rPr>
            </w:r>
            <w:r w:rsidR="0028630D">
              <w:rPr>
                <w:noProof/>
                <w:webHidden/>
              </w:rPr>
              <w:fldChar w:fldCharType="separate"/>
            </w:r>
            <w:r w:rsidR="00052657">
              <w:rPr>
                <w:noProof/>
                <w:webHidden/>
              </w:rPr>
              <w:t>60</w:t>
            </w:r>
            <w:r w:rsidR="0028630D">
              <w:rPr>
                <w:noProof/>
                <w:webHidden/>
              </w:rPr>
              <w:fldChar w:fldCharType="end"/>
            </w:r>
          </w:hyperlink>
        </w:p>
        <w:p w14:paraId="46CDC433" w14:textId="04924E78" w:rsidR="0028630D" w:rsidRDefault="004F17A1" w:rsidP="007F76D6">
          <w:pPr>
            <w:pStyle w:val="TOC3"/>
            <w:tabs>
              <w:tab w:val="right" w:pos="9016"/>
            </w:tabs>
            <w:rPr>
              <w:noProof/>
              <w:lang w:eastAsia="en-AU"/>
            </w:rPr>
          </w:pPr>
          <w:hyperlink w:anchor="_Toc527633054" w:history="1">
            <w:r w:rsidR="0028630D" w:rsidRPr="00F97F87">
              <w:rPr>
                <w:rStyle w:val="Hyperlink"/>
                <w:noProof/>
              </w:rPr>
              <w:t>The 2016 Code – Security of Payment obligations</w:t>
            </w:r>
            <w:r w:rsidR="0028630D">
              <w:rPr>
                <w:noProof/>
                <w:webHidden/>
              </w:rPr>
              <w:tab/>
            </w:r>
            <w:r w:rsidR="0028630D">
              <w:rPr>
                <w:noProof/>
                <w:webHidden/>
              </w:rPr>
              <w:fldChar w:fldCharType="begin"/>
            </w:r>
            <w:r w:rsidR="0028630D">
              <w:rPr>
                <w:noProof/>
                <w:webHidden/>
              </w:rPr>
              <w:instrText xml:space="preserve"> PAGEREF _Toc527633054 \h </w:instrText>
            </w:r>
            <w:r w:rsidR="0028630D">
              <w:rPr>
                <w:noProof/>
                <w:webHidden/>
              </w:rPr>
            </w:r>
            <w:r w:rsidR="0028630D">
              <w:rPr>
                <w:noProof/>
                <w:webHidden/>
              </w:rPr>
              <w:fldChar w:fldCharType="separate"/>
            </w:r>
            <w:r w:rsidR="00052657">
              <w:rPr>
                <w:noProof/>
                <w:webHidden/>
              </w:rPr>
              <w:t>60</w:t>
            </w:r>
            <w:r w:rsidR="0028630D">
              <w:rPr>
                <w:noProof/>
                <w:webHidden/>
              </w:rPr>
              <w:fldChar w:fldCharType="end"/>
            </w:r>
          </w:hyperlink>
        </w:p>
        <w:p w14:paraId="5EECB8A9" w14:textId="4D03B379" w:rsidR="0028630D" w:rsidRDefault="004F17A1" w:rsidP="007F76D6">
          <w:pPr>
            <w:pStyle w:val="TOC2"/>
            <w:tabs>
              <w:tab w:val="left" w:pos="880"/>
              <w:tab w:val="right" w:pos="9016"/>
            </w:tabs>
            <w:rPr>
              <w:noProof/>
              <w:lang w:eastAsia="en-AU"/>
            </w:rPr>
          </w:pPr>
          <w:hyperlink w:anchor="_Toc527633055" w:history="1">
            <w:r w:rsidR="0028630D" w:rsidRPr="00F97F87">
              <w:rPr>
                <w:rStyle w:val="Hyperlink"/>
                <w:noProof/>
              </w:rPr>
              <w:t>5.5.</w:t>
            </w:r>
            <w:r w:rsidR="0028630D">
              <w:rPr>
                <w:noProof/>
                <w:lang w:eastAsia="en-AU"/>
              </w:rPr>
              <w:tab/>
            </w:r>
            <w:r w:rsidR="0028630D" w:rsidRPr="00F97F87">
              <w:rPr>
                <w:rStyle w:val="Hyperlink"/>
                <w:noProof/>
              </w:rPr>
              <w:t>Stakeholder views</w:t>
            </w:r>
            <w:r w:rsidR="0028630D">
              <w:rPr>
                <w:noProof/>
                <w:webHidden/>
              </w:rPr>
              <w:tab/>
            </w:r>
            <w:r w:rsidR="0028630D">
              <w:rPr>
                <w:noProof/>
                <w:webHidden/>
              </w:rPr>
              <w:fldChar w:fldCharType="begin"/>
            </w:r>
            <w:r w:rsidR="0028630D">
              <w:rPr>
                <w:noProof/>
                <w:webHidden/>
              </w:rPr>
              <w:instrText xml:space="preserve"> PAGEREF _Toc527633055 \h </w:instrText>
            </w:r>
            <w:r w:rsidR="0028630D">
              <w:rPr>
                <w:noProof/>
                <w:webHidden/>
              </w:rPr>
            </w:r>
            <w:r w:rsidR="0028630D">
              <w:rPr>
                <w:noProof/>
                <w:webHidden/>
              </w:rPr>
              <w:fldChar w:fldCharType="separate"/>
            </w:r>
            <w:r w:rsidR="00052657">
              <w:rPr>
                <w:noProof/>
                <w:webHidden/>
              </w:rPr>
              <w:t>62</w:t>
            </w:r>
            <w:r w:rsidR="0028630D">
              <w:rPr>
                <w:noProof/>
                <w:webHidden/>
              </w:rPr>
              <w:fldChar w:fldCharType="end"/>
            </w:r>
          </w:hyperlink>
        </w:p>
        <w:p w14:paraId="3A7506F5" w14:textId="4F751581" w:rsidR="0028630D" w:rsidRDefault="004F17A1" w:rsidP="007F76D6">
          <w:pPr>
            <w:pStyle w:val="TOC2"/>
            <w:tabs>
              <w:tab w:val="left" w:pos="880"/>
              <w:tab w:val="right" w:pos="9016"/>
            </w:tabs>
            <w:rPr>
              <w:noProof/>
              <w:lang w:eastAsia="en-AU"/>
            </w:rPr>
          </w:pPr>
          <w:hyperlink w:anchor="_Toc527633056" w:history="1">
            <w:r w:rsidR="0028630D" w:rsidRPr="00F97F87">
              <w:rPr>
                <w:rStyle w:val="Hyperlink"/>
                <w:noProof/>
              </w:rPr>
              <w:t>5.6.</w:t>
            </w:r>
            <w:r w:rsidR="0028630D">
              <w:rPr>
                <w:noProof/>
                <w:lang w:eastAsia="en-AU"/>
              </w:rPr>
              <w:tab/>
            </w:r>
            <w:r w:rsidR="0028630D" w:rsidRPr="00F97F87">
              <w:rPr>
                <w:rStyle w:val="Hyperlink"/>
                <w:noProof/>
              </w:rPr>
              <w:t>Analysis</w:t>
            </w:r>
            <w:r w:rsidR="0028630D">
              <w:rPr>
                <w:noProof/>
                <w:webHidden/>
              </w:rPr>
              <w:tab/>
            </w:r>
            <w:r w:rsidR="0028630D">
              <w:rPr>
                <w:noProof/>
                <w:webHidden/>
              </w:rPr>
              <w:fldChar w:fldCharType="begin"/>
            </w:r>
            <w:r w:rsidR="0028630D">
              <w:rPr>
                <w:noProof/>
                <w:webHidden/>
              </w:rPr>
              <w:instrText xml:space="preserve"> PAGEREF _Toc527633056 \h </w:instrText>
            </w:r>
            <w:r w:rsidR="0028630D">
              <w:rPr>
                <w:noProof/>
                <w:webHidden/>
              </w:rPr>
            </w:r>
            <w:r w:rsidR="0028630D">
              <w:rPr>
                <w:noProof/>
                <w:webHidden/>
              </w:rPr>
              <w:fldChar w:fldCharType="separate"/>
            </w:r>
            <w:r w:rsidR="00052657">
              <w:rPr>
                <w:noProof/>
                <w:webHidden/>
              </w:rPr>
              <w:t>64</w:t>
            </w:r>
            <w:r w:rsidR="0028630D">
              <w:rPr>
                <w:noProof/>
                <w:webHidden/>
              </w:rPr>
              <w:fldChar w:fldCharType="end"/>
            </w:r>
          </w:hyperlink>
        </w:p>
        <w:p w14:paraId="3698BD7F" w14:textId="3BC1B690" w:rsidR="0028630D" w:rsidRDefault="004F17A1" w:rsidP="007F76D6">
          <w:pPr>
            <w:pStyle w:val="TOC2"/>
            <w:tabs>
              <w:tab w:val="right" w:pos="9016"/>
            </w:tabs>
            <w:rPr>
              <w:noProof/>
              <w:lang w:eastAsia="en-AU"/>
            </w:rPr>
          </w:pPr>
          <w:hyperlink w:anchor="_Toc527633057" w:history="1">
            <w:r w:rsidR="0028630D" w:rsidRPr="00F97F87">
              <w:rPr>
                <w:rStyle w:val="Hyperlink"/>
                <w:noProof/>
              </w:rPr>
              <w:t>Finding and recommendations</w:t>
            </w:r>
            <w:r w:rsidR="0028630D">
              <w:rPr>
                <w:noProof/>
                <w:webHidden/>
              </w:rPr>
              <w:tab/>
            </w:r>
            <w:r w:rsidR="0028630D">
              <w:rPr>
                <w:noProof/>
                <w:webHidden/>
              </w:rPr>
              <w:fldChar w:fldCharType="begin"/>
            </w:r>
            <w:r w:rsidR="0028630D">
              <w:rPr>
                <w:noProof/>
                <w:webHidden/>
              </w:rPr>
              <w:instrText xml:space="preserve"> PAGEREF _Toc527633057 \h </w:instrText>
            </w:r>
            <w:r w:rsidR="0028630D">
              <w:rPr>
                <w:noProof/>
                <w:webHidden/>
              </w:rPr>
            </w:r>
            <w:r w:rsidR="0028630D">
              <w:rPr>
                <w:noProof/>
                <w:webHidden/>
              </w:rPr>
              <w:fldChar w:fldCharType="separate"/>
            </w:r>
            <w:r w:rsidR="00052657">
              <w:rPr>
                <w:noProof/>
                <w:webHidden/>
              </w:rPr>
              <w:t>65</w:t>
            </w:r>
            <w:r w:rsidR="0028630D">
              <w:rPr>
                <w:noProof/>
                <w:webHidden/>
              </w:rPr>
              <w:fldChar w:fldCharType="end"/>
            </w:r>
          </w:hyperlink>
        </w:p>
        <w:p w14:paraId="1CAA7879" w14:textId="49FA15E0" w:rsidR="0028630D" w:rsidRDefault="004F17A1" w:rsidP="007F76D6">
          <w:pPr>
            <w:pStyle w:val="TOC1"/>
            <w:tabs>
              <w:tab w:val="left" w:pos="1320"/>
              <w:tab w:val="right" w:pos="9016"/>
            </w:tabs>
            <w:rPr>
              <w:noProof/>
              <w:lang w:eastAsia="en-AU"/>
            </w:rPr>
          </w:pPr>
          <w:hyperlink w:anchor="_Toc527633058" w:history="1">
            <w:r w:rsidR="0028630D" w:rsidRPr="00F97F87">
              <w:rPr>
                <w:rStyle w:val="Hyperlink"/>
                <w:noProof/>
              </w:rPr>
              <w:t>Chapter 6:</w:t>
            </w:r>
            <w:r w:rsidR="0028630D">
              <w:rPr>
                <w:noProof/>
                <w:lang w:eastAsia="en-AU"/>
              </w:rPr>
              <w:tab/>
            </w:r>
            <w:r w:rsidR="0028630D" w:rsidRPr="00F97F87">
              <w:rPr>
                <w:rStyle w:val="Hyperlink"/>
                <w:noProof/>
              </w:rPr>
              <w:t>Conclusions</w:t>
            </w:r>
            <w:r w:rsidR="0028630D">
              <w:rPr>
                <w:noProof/>
                <w:webHidden/>
              </w:rPr>
              <w:tab/>
            </w:r>
            <w:r w:rsidR="0028630D">
              <w:rPr>
                <w:noProof/>
                <w:webHidden/>
              </w:rPr>
              <w:fldChar w:fldCharType="begin"/>
            </w:r>
            <w:r w:rsidR="0028630D">
              <w:rPr>
                <w:noProof/>
                <w:webHidden/>
              </w:rPr>
              <w:instrText xml:space="preserve"> PAGEREF _Toc527633058 \h </w:instrText>
            </w:r>
            <w:r w:rsidR="0028630D">
              <w:rPr>
                <w:noProof/>
                <w:webHidden/>
              </w:rPr>
            </w:r>
            <w:r w:rsidR="0028630D">
              <w:rPr>
                <w:noProof/>
                <w:webHidden/>
              </w:rPr>
              <w:fldChar w:fldCharType="separate"/>
            </w:r>
            <w:r w:rsidR="00052657">
              <w:rPr>
                <w:noProof/>
                <w:webHidden/>
              </w:rPr>
              <w:t>66</w:t>
            </w:r>
            <w:r w:rsidR="0028630D">
              <w:rPr>
                <w:noProof/>
                <w:webHidden/>
              </w:rPr>
              <w:fldChar w:fldCharType="end"/>
            </w:r>
          </w:hyperlink>
        </w:p>
        <w:p w14:paraId="52DC6A6F" w14:textId="42759738" w:rsidR="0028630D" w:rsidRDefault="004F17A1" w:rsidP="007F76D6">
          <w:pPr>
            <w:pStyle w:val="TOC1"/>
            <w:tabs>
              <w:tab w:val="right" w:pos="9016"/>
            </w:tabs>
            <w:rPr>
              <w:noProof/>
              <w:lang w:eastAsia="en-AU"/>
            </w:rPr>
          </w:pPr>
          <w:hyperlink w:anchor="_Toc527633059" w:history="1">
            <w:r w:rsidR="0028630D" w:rsidRPr="00F97F87">
              <w:rPr>
                <w:rStyle w:val="Hyperlink"/>
                <w:noProof/>
              </w:rPr>
              <w:t>Consultation</w:t>
            </w:r>
            <w:r w:rsidR="0028630D">
              <w:rPr>
                <w:noProof/>
                <w:webHidden/>
              </w:rPr>
              <w:tab/>
            </w:r>
            <w:r w:rsidR="0028630D">
              <w:rPr>
                <w:noProof/>
                <w:webHidden/>
              </w:rPr>
              <w:fldChar w:fldCharType="begin"/>
            </w:r>
            <w:r w:rsidR="0028630D">
              <w:rPr>
                <w:noProof/>
                <w:webHidden/>
              </w:rPr>
              <w:instrText xml:space="preserve"> PAGEREF _Toc527633059 \h </w:instrText>
            </w:r>
            <w:r w:rsidR="0028630D">
              <w:rPr>
                <w:noProof/>
                <w:webHidden/>
              </w:rPr>
            </w:r>
            <w:r w:rsidR="0028630D">
              <w:rPr>
                <w:noProof/>
                <w:webHidden/>
              </w:rPr>
              <w:fldChar w:fldCharType="separate"/>
            </w:r>
            <w:r w:rsidR="00052657">
              <w:rPr>
                <w:noProof/>
                <w:webHidden/>
              </w:rPr>
              <w:t>67</w:t>
            </w:r>
            <w:r w:rsidR="0028630D">
              <w:rPr>
                <w:noProof/>
                <w:webHidden/>
              </w:rPr>
              <w:fldChar w:fldCharType="end"/>
            </w:r>
          </w:hyperlink>
        </w:p>
        <w:p w14:paraId="6CEC122B" w14:textId="40E4F0B6" w:rsidR="0028630D" w:rsidRDefault="004F17A1" w:rsidP="007F76D6">
          <w:pPr>
            <w:pStyle w:val="TOC1"/>
            <w:tabs>
              <w:tab w:val="right" w:pos="9016"/>
            </w:tabs>
            <w:rPr>
              <w:noProof/>
              <w:lang w:eastAsia="en-AU"/>
            </w:rPr>
          </w:pPr>
          <w:hyperlink w:anchor="_Toc527633060" w:history="1">
            <w:r w:rsidR="0028630D" w:rsidRPr="00F97F87">
              <w:rPr>
                <w:rStyle w:val="Hyperlink"/>
                <w:noProof/>
              </w:rPr>
              <w:t>References</w:t>
            </w:r>
            <w:r w:rsidR="0028630D">
              <w:rPr>
                <w:noProof/>
                <w:webHidden/>
              </w:rPr>
              <w:tab/>
            </w:r>
            <w:r w:rsidR="0028630D">
              <w:rPr>
                <w:noProof/>
                <w:webHidden/>
              </w:rPr>
              <w:fldChar w:fldCharType="begin"/>
            </w:r>
            <w:r w:rsidR="0028630D">
              <w:rPr>
                <w:noProof/>
                <w:webHidden/>
              </w:rPr>
              <w:instrText xml:space="preserve"> PAGEREF _Toc527633060 \h </w:instrText>
            </w:r>
            <w:r w:rsidR="0028630D">
              <w:rPr>
                <w:noProof/>
                <w:webHidden/>
              </w:rPr>
            </w:r>
            <w:r w:rsidR="0028630D">
              <w:rPr>
                <w:noProof/>
                <w:webHidden/>
              </w:rPr>
              <w:fldChar w:fldCharType="separate"/>
            </w:r>
            <w:r w:rsidR="00052657">
              <w:rPr>
                <w:noProof/>
                <w:webHidden/>
              </w:rPr>
              <w:t>68</w:t>
            </w:r>
            <w:r w:rsidR="0028630D">
              <w:rPr>
                <w:noProof/>
                <w:webHidden/>
              </w:rPr>
              <w:fldChar w:fldCharType="end"/>
            </w:r>
          </w:hyperlink>
        </w:p>
        <w:p w14:paraId="3781E067" w14:textId="770CF323" w:rsidR="0028630D" w:rsidRDefault="004F17A1" w:rsidP="007F76D6">
          <w:pPr>
            <w:pStyle w:val="TOC1"/>
            <w:tabs>
              <w:tab w:val="left" w:pos="1320"/>
              <w:tab w:val="right" w:pos="9016"/>
            </w:tabs>
            <w:rPr>
              <w:noProof/>
              <w:lang w:eastAsia="en-AU"/>
            </w:rPr>
          </w:pPr>
          <w:hyperlink w:anchor="_Toc527633061" w:history="1">
            <w:r w:rsidR="0028630D" w:rsidRPr="00F97F87">
              <w:rPr>
                <w:rStyle w:val="Hyperlink"/>
                <w:noProof/>
              </w:rPr>
              <w:t>Appendix 1:</w:t>
            </w:r>
            <w:r w:rsidR="0028630D">
              <w:rPr>
                <w:noProof/>
                <w:lang w:eastAsia="en-AU"/>
              </w:rPr>
              <w:tab/>
            </w:r>
            <w:r w:rsidR="0028630D" w:rsidRPr="00F97F87">
              <w:rPr>
                <w:rStyle w:val="Hyperlink"/>
                <w:noProof/>
              </w:rPr>
              <w:t>ABCC summary data</w:t>
            </w:r>
            <w:r w:rsidR="0028630D">
              <w:rPr>
                <w:noProof/>
                <w:webHidden/>
              </w:rPr>
              <w:tab/>
            </w:r>
            <w:r w:rsidR="0028630D">
              <w:rPr>
                <w:noProof/>
                <w:webHidden/>
              </w:rPr>
              <w:fldChar w:fldCharType="begin"/>
            </w:r>
            <w:r w:rsidR="0028630D">
              <w:rPr>
                <w:noProof/>
                <w:webHidden/>
              </w:rPr>
              <w:instrText xml:space="preserve"> PAGEREF _Toc527633061 \h </w:instrText>
            </w:r>
            <w:r w:rsidR="0028630D">
              <w:rPr>
                <w:noProof/>
                <w:webHidden/>
              </w:rPr>
            </w:r>
            <w:r w:rsidR="0028630D">
              <w:rPr>
                <w:noProof/>
                <w:webHidden/>
              </w:rPr>
              <w:fldChar w:fldCharType="separate"/>
            </w:r>
            <w:r w:rsidR="00052657">
              <w:rPr>
                <w:noProof/>
                <w:webHidden/>
              </w:rPr>
              <w:t>70</w:t>
            </w:r>
            <w:r w:rsidR="0028630D">
              <w:rPr>
                <w:noProof/>
                <w:webHidden/>
              </w:rPr>
              <w:fldChar w:fldCharType="end"/>
            </w:r>
          </w:hyperlink>
        </w:p>
        <w:p w14:paraId="0C8A8EBC" w14:textId="7B00E0D7" w:rsidR="0028630D" w:rsidRDefault="004F17A1" w:rsidP="007F76D6">
          <w:pPr>
            <w:pStyle w:val="TOC1"/>
            <w:tabs>
              <w:tab w:val="left" w:pos="1320"/>
              <w:tab w:val="right" w:pos="9016"/>
            </w:tabs>
            <w:rPr>
              <w:noProof/>
              <w:lang w:eastAsia="en-AU"/>
            </w:rPr>
          </w:pPr>
          <w:hyperlink w:anchor="_Toc527633062" w:history="1">
            <w:r w:rsidR="0028630D" w:rsidRPr="00F97F87">
              <w:rPr>
                <w:rStyle w:val="Hyperlink"/>
                <w:noProof/>
              </w:rPr>
              <w:t>Appendix 2:</w:t>
            </w:r>
            <w:r w:rsidR="0028630D">
              <w:rPr>
                <w:noProof/>
                <w:lang w:eastAsia="en-AU"/>
              </w:rPr>
              <w:tab/>
            </w:r>
            <w:r w:rsidR="0028630D" w:rsidRPr="00F97F87">
              <w:rPr>
                <w:rStyle w:val="Hyperlink"/>
                <w:noProof/>
              </w:rPr>
              <w:t>History of the BCIIP Act and previous legislation</w:t>
            </w:r>
            <w:r w:rsidR="0028630D">
              <w:rPr>
                <w:noProof/>
                <w:webHidden/>
              </w:rPr>
              <w:tab/>
            </w:r>
            <w:r w:rsidR="0028630D">
              <w:rPr>
                <w:noProof/>
                <w:webHidden/>
              </w:rPr>
              <w:fldChar w:fldCharType="begin"/>
            </w:r>
            <w:r w:rsidR="0028630D">
              <w:rPr>
                <w:noProof/>
                <w:webHidden/>
              </w:rPr>
              <w:instrText xml:space="preserve"> PAGEREF _Toc527633062 \h </w:instrText>
            </w:r>
            <w:r w:rsidR="0028630D">
              <w:rPr>
                <w:noProof/>
                <w:webHidden/>
              </w:rPr>
            </w:r>
            <w:r w:rsidR="0028630D">
              <w:rPr>
                <w:noProof/>
                <w:webHidden/>
              </w:rPr>
              <w:fldChar w:fldCharType="separate"/>
            </w:r>
            <w:r w:rsidR="00052657">
              <w:rPr>
                <w:noProof/>
                <w:webHidden/>
              </w:rPr>
              <w:t>72</w:t>
            </w:r>
            <w:r w:rsidR="0028630D">
              <w:rPr>
                <w:noProof/>
                <w:webHidden/>
              </w:rPr>
              <w:fldChar w:fldCharType="end"/>
            </w:r>
          </w:hyperlink>
        </w:p>
        <w:p w14:paraId="3A92886E" w14:textId="087E90B1" w:rsidR="0028630D" w:rsidRDefault="004F17A1" w:rsidP="007F76D6">
          <w:pPr>
            <w:pStyle w:val="TOC1"/>
            <w:tabs>
              <w:tab w:val="right" w:pos="9016"/>
            </w:tabs>
            <w:rPr>
              <w:noProof/>
              <w:lang w:eastAsia="en-AU"/>
            </w:rPr>
          </w:pPr>
          <w:hyperlink w:anchor="_Toc527633063" w:history="1">
            <w:r w:rsidR="0028630D" w:rsidRPr="00F97F87">
              <w:rPr>
                <w:rStyle w:val="Hyperlink"/>
                <w:noProof/>
              </w:rPr>
              <w:t>Appendix 3: Comparison of key provisions – BCIIP Act, FWBI Act &amp; BCII Act</w:t>
            </w:r>
            <w:r w:rsidR="0028630D">
              <w:rPr>
                <w:noProof/>
                <w:webHidden/>
              </w:rPr>
              <w:tab/>
            </w:r>
            <w:r w:rsidR="0028630D">
              <w:rPr>
                <w:noProof/>
                <w:webHidden/>
              </w:rPr>
              <w:fldChar w:fldCharType="begin"/>
            </w:r>
            <w:r w:rsidR="0028630D">
              <w:rPr>
                <w:noProof/>
                <w:webHidden/>
              </w:rPr>
              <w:instrText xml:space="preserve"> PAGEREF _Toc527633063 \h </w:instrText>
            </w:r>
            <w:r w:rsidR="0028630D">
              <w:rPr>
                <w:noProof/>
                <w:webHidden/>
              </w:rPr>
            </w:r>
            <w:r w:rsidR="0028630D">
              <w:rPr>
                <w:noProof/>
                <w:webHidden/>
              </w:rPr>
              <w:fldChar w:fldCharType="separate"/>
            </w:r>
            <w:r w:rsidR="00052657">
              <w:rPr>
                <w:noProof/>
                <w:webHidden/>
              </w:rPr>
              <w:t>73</w:t>
            </w:r>
            <w:r w:rsidR="0028630D">
              <w:rPr>
                <w:noProof/>
                <w:webHidden/>
              </w:rPr>
              <w:fldChar w:fldCharType="end"/>
            </w:r>
          </w:hyperlink>
        </w:p>
        <w:p w14:paraId="2288BE67" w14:textId="554D7773" w:rsidR="0028630D" w:rsidRDefault="004F17A1" w:rsidP="007F76D6">
          <w:pPr>
            <w:pStyle w:val="TOC1"/>
            <w:tabs>
              <w:tab w:val="right" w:pos="9016"/>
            </w:tabs>
            <w:rPr>
              <w:noProof/>
              <w:lang w:eastAsia="en-AU"/>
            </w:rPr>
          </w:pPr>
          <w:hyperlink w:anchor="_Toc527633064" w:history="1">
            <w:r w:rsidR="0028630D" w:rsidRPr="00F97F87">
              <w:rPr>
                <w:rStyle w:val="Hyperlink"/>
                <w:noProof/>
              </w:rPr>
              <w:t>Appendix 4: Comparison of compulsory examination powers – safeguards</w:t>
            </w:r>
            <w:r w:rsidR="0028630D">
              <w:rPr>
                <w:noProof/>
                <w:webHidden/>
              </w:rPr>
              <w:tab/>
            </w:r>
            <w:r w:rsidR="0028630D">
              <w:rPr>
                <w:noProof/>
                <w:webHidden/>
              </w:rPr>
              <w:fldChar w:fldCharType="begin"/>
            </w:r>
            <w:r w:rsidR="0028630D">
              <w:rPr>
                <w:noProof/>
                <w:webHidden/>
              </w:rPr>
              <w:instrText xml:space="preserve"> PAGEREF _Toc527633064 \h </w:instrText>
            </w:r>
            <w:r w:rsidR="0028630D">
              <w:rPr>
                <w:noProof/>
                <w:webHidden/>
              </w:rPr>
            </w:r>
            <w:r w:rsidR="0028630D">
              <w:rPr>
                <w:noProof/>
                <w:webHidden/>
              </w:rPr>
              <w:fldChar w:fldCharType="separate"/>
            </w:r>
            <w:r w:rsidR="00052657">
              <w:rPr>
                <w:noProof/>
                <w:webHidden/>
              </w:rPr>
              <w:t>77</w:t>
            </w:r>
            <w:r w:rsidR="0028630D">
              <w:rPr>
                <w:noProof/>
                <w:webHidden/>
              </w:rPr>
              <w:fldChar w:fldCharType="end"/>
            </w:r>
          </w:hyperlink>
        </w:p>
        <w:p w14:paraId="5F9E86EC" w14:textId="7C6D3AC2" w:rsidR="000C7A9D" w:rsidRPr="0047528A" w:rsidRDefault="000C7A9D" w:rsidP="006445E8">
          <w:pPr>
            <w:spacing w:after="60"/>
          </w:pPr>
          <w:r>
            <w:rPr>
              <w:b/>
              <w:bCs/>
              <w:noProof/>
            </w:rPr>
            <w:fldChar w:fldCharType="end"/>
          </w:r>
        </w:p>
      </w:sdtContent>
    </w:sdt>
    <w:p w14:paraId="5B4E49A1" w14:textId="7F0797D6" w:rsidR="009D7758" w:rsidRPr="0047528A" w:rsidRDefault="009D7758">
      <w:r w:rsidRPr="0047528A">
        <w:br w:type="page"/>
      </w:r>
    </w:p>
    <w:p w14:paraId="632723DD" w14:textId="77777777" w:rsidR="000C7A9D" w:rsidRDefault="000C7A9D" w:rsidP="000C7A9D">
      <w:pPr>
        <w:pStyle w:val="Heading1"/>
      </w:pPr>
      <w:bookmarkStart w:id="5" w:name="_Toc501451627"/>
      <w:bookmarkStart w:id="6" w:name="_Toc501531034"/>
      <w:bookmarkStart w:id="7" w:name="_Toc514264752"/>
      <w:bookmarkStart w:id="8" w:name="_Toc523154916"/>
      <w:bookmarkStart w:id="9" w:name="_Toc527632980"/>
      <w:r w:rsidRPr="002D6D70">
        <w:lastRenderedPageBreak/>
        <w:t>Acronyms and abbreviations</w:t>
      </w:r>
      <w:bookmarkEnd w:id="5"/>
      <w:bookmarkEnd w:id="6"/>
      <w:bookmarkEnd w:id="7"/>
      <w:bookmarkEnd w:id="8"/>
      <w:bookmarkEnd w:id="9"/>
    </w:p>
    <w:p w14:paraId="22852049" w14:textId="6005D7D4" w:rsidR="0047528A" w:rsidRDefault="0047528A" w:rsidP="00161FB7">
      <w:pPr>
        <w:spacing w:after="80"/>
        <w:ind w:left="2268" w:hanging="2268"/>
        <w:rPr>
          <w:b/>
        </w:rPr>
      </w:pPr>
      <w:r>
        <w:rPr>
          <w:b/>
        </w:rPr>
        <w:t>AAT</w:t>
      </w:r>
      <w:r>
        <w:rPr>
          <w:b/>
        </w:rPr>
        <w:tab/>
      </w:r>
      <w:r w:rsidRPr="0047528A">
        <w:t>Administrative Appeals Tribunal</w:t>
      </w:r>
    </w:p>
    <w:p w14:paraId="196C1F4C" w14:textId="36818982" w:rsidR="006D193A" w:rsidRDefault="006D193A" w:rsidP="00161FB7">
      <w:pPr>
        <w:spacing w:after="80"/>
        <w:ind w:left="2268" w:hanging="2268"/>
      </w:pPr>
      <w:r w:rsidRPr="002D6D70">
        <w:rPr>
          <w:b/>
        </w:rPr>
        <w:t>ABCC</w:t>
      </w:r>
      <w:r>
        <w:rPr>
          <w:b/>
        </w:rPr>
        <w:tab/>
      </w:r>
      <w:r w:rsidRPr="002D6D70">
        <w:t>Australian Building and Construction Commission</w:t>
      </w:r>
    </w:p>
    <w:p w14:paraId="75735237" w14:textId="648E4188" w:rsidR="0047528A" w:rsidRDefault="007B23BE" w:rsidP="00161FB7">
      <w:pPr>
        <w:spacing w:after="80"/>
        <w:ind w:left="2268" w:hanging="2268"/>
      </w:pPr>
      <w:r>
        <w:rPr>
          <w:b/>
        </w:rPr>
        <w:t>ABC </w:t>
      </w:r>
      <w:r w:rsidR="0047528A">
        <w:rPr>
          <w:b/>
        </w:rPr>
        <w:t>Commissioner</w:t>
      </w:r>
      <w:r w:rsidR="0047528A">
        <w:rPr>
          <w:b/>
        </w:rPr>
        <w:tab/>
      </w:r>
      <w:r w:rsidR="0047528A" w:rsidRPr="002D6D70">
        <w:t>Australian Building and Construction Commission</w:t>
      </w:r>
      <w:r w:rsidR="0047528A">
        <w:t>er</w:t>
      </w:r>
    </w:p>
    <w:p w14:paraId="7D2CF00D" w14:textId="5A631FD7" w:rsidR="006F6813" w:rsidRDefault="006F6813" w:rsidP="00161FB7">
      <w:pPr>
        <w:spacing w:after="80"/>
        <w:ind w:left="2268" w:hanging="2268"/>
      </w:pPr>
      <w:r>
        <w:rPr>
          <w:b/>
        </w:rPr>
        <w:t>ACCI</w:t>
      </w:r>
      <w:r>
        <w:rPr>
          <w:b/>
        </w:rPr>
        <w:tab/>
      </w:r>
      <w:r w:rsidRPr="006F6813">
        <w:t>Australian Chamber of Commerce and Industry</w:t>
      </w:r>
    </w:p>
    <w:p w14:paraId="27C95146" w14:textId="05D8AA7C" w:rsidR="006F6813" w:rsidRDefault="006F6813" w:rsidP="00161FB7">
      <w:pPr>
        <w:spacing w:after="80"/>
        <w:ind w:left="2268" w:hanging="2268"/>
      </w:pPr>
      <w:r>
        <w:rPr>
          <w:b/>
        </w:rPr>
        <w:t>ACTU</w:t>
      </w:r>
      <w:r>
        <w:rPr>
          <w:b/>
        </w:rPr>
        <w:tab/>
      </w:r>
      <w:r w:rsidRPr="006F6813">
        <w:t>Australian Council of Trade Unions</w:t>
      </w:r>
    </w:p>
    <w:p w14:paraId="6410FE4F" w14:textId="23CD68BA" w:rsidR="006F6813" w:rsidRDefault="006F6813" w:rsidP="00161FB7">
      <w:pPr>
        <w:spacing w:after="80"/>
        <w:ind w:left="2268" w:hanging="2268"/>
      </w:pPr>
      <w:r>
        <w:rPr>
          <w:b/>
        </w:rPr>
        <w:t>Ai</w:t>
      </w:r>
      <w:r w:rsidR="00B21B47">
        <w:rPr>
          <w:b/>
        </w:rPr>
        <w:t> </w:t>
      </w:r>
      <w:r>
        <w:rPr>
          <w:b/>
        </w:rPr>
        <w:t>Group</w:t>
      </w:r>
      <w:r>
        <w:rPr>
          <w:b/>
        </w:rPr>
        <w:tab/>
      </w:r>
      <w:r w:rsidRPr="006F6813">
        <w:t>Australian Industry Group</w:t>
      </w:r>
    </w:p>
    <w:p w14:paraId="177145CE" w14:textId="0CF88CA2" w:rsidR="006F6813" w:rsidRDefault="006F6813" w:rsidP="00161FB7">
      <w:pPr>
        <w:spacing w:after="80"/>
        <w:ind w:left="2268" w:hanging="2268"/>
      </w:pPr>
      <w:r>
        <w:rPr>
          <w:b/>
        </w:rPr>
        <w:t>AMMA</w:t>
      </w:r>
      <w:r>
        <w:rPr>
          <w:b/>
        </w:rPr>
        <w:tab/>
      </w:r>
      <w:r w:rsidRPr="006F6813">
        <w:t>Australian Minerals and Metals Association</w:t>
      </w:r>
    </w:p>
    <w:p w14:paraId="3637D295" w14:textId="22D82F35" w:rsidR="006F6813" w:rsidRDefault="006F6813" w:rsidP="00161FB7">
      <w:pPr>
        <w:spacing w:after="80"/>
        <w:ind w:left="2268" w:hanging="2268"/>
      </w:pPr>
      <w:r>
        <w:rPr>
          <w:b/>
        </w:rPr>
        <w:t>ARC</w:t>
      </w:r>
      <w:r>
        <w:rPr>
          <w:b/>
        </w:rPr>
        <w:tab/>
      </w:r>
      <w:r w:rsidRPr="006F6813">
        <w:t>Administrative Review Council</w:t>
      </w:r>
    </w:p>
    <w:p w14:paraId="5A97D999" w14:textId="2C52DF9D" w:rsidR="00F03AEF" w:rsidRDefault="00F03AEF" w:rsidP="00161FB7">
      <w:pPr>
        <w:spacing w:after="80"/>
        <w:ind w:left="2268" w:hanging="2268"/>
      </w:pPr>
      <w:r>
        <w:rPr>
          <w:b/>
        </w:rPr>
        <w:t>AWU</w:t>
      </w:r>
      <w:r>
        <w:rPr>
          <w:b/>
        </w:rPr>
        <w:tab/>
      </w:r>
      <w:r w:rsidRPr="00F03AEF">
        <w:t>Australian Workers Union</w:t>
      </w:r>
    </w:p>
    <w:p w14:paraId="0259423C" w14:textId="7C06BCDA" w:rsidR="00F03AEF" w:rsidRDefault="00F03AEF" w:rsidP="00161FB7">
      <w:pPr>
        <w:spacing w:after="80"/>
        <w:ind w:left="2268" w:hanging="2268"/>
      </w:pPr>
      <w:r w:rsidRPr="00F03AEF">
        <w:rPr>
          <w:b/>
        </w:rPr>
        <w:t>BCII Act</w:t>
      </w:r>
      <w:r>
        <w:rPr>
          <w:b/>
        </w:rPr>
        <w:tab/>
      </w:r>
      <w:r w:rsidRPr="00F03AEF">
        <w:rPr>
          <w:i/>
        </w:rPr>
        <w:t>Building and Construction Industry Improvement Act 2005</w:t>
      </w:r>
    </w:p>
    <w:p w14:paraId="6E46371A" w14:textId="0A70CD0E" w:rsidR="00F03AEF" w:rsidRDefault="00F03AEF" w:rsidP="00161FB7">
      <w:pPr>
        <w:spacing w:after="80"/>
        <w:ind w:left="2268" w:hanging="2268"/>
      </w:pPr>
      <w:r w:rsidRPr="00F03AEF">
        <w:rPr>
          <w:b/>
        </w:rPr>
        <w:t>BCIIP Act</w:t>
      </w:r>
      <w:r>
        <w:rPr>
          <w:b/>
        </w:rPr>
        <w:tab/>
      </w:r>
      <w:r w:rsidRPr="00F03AEF">
        <w:rPr>
          <w:i/>
        </w:rPr>
        <w:t>Building and Construction Industry (Improving Productivity) Act 2016</w:t>
      </w:r>
    </w:p>
    <w:p w14:paraId="4992CB2A" w14:textId="4A9204CC" w:rsidR="00F03AEF" w:rsidRDefault="00F03AEF" w:rsidP="00161FB7">
      <w:pPr>
        <w:spacing w:after="80"/>
        <w:ind w:left="2268" w:hanging="2268"/>
      </w:pPr>
      <w:r w:rsidRPr="00F03AEF">
        <w:rPr>
          <w:b/>
        </w:rPr>
        <w:t>BCIIP Bill</w:t>
      </w:r>
      <w:r>
        <w:rPr>
          <w:b/>
        </w:rPr>
        <w:tab/>
      </w:r>
      <w:r w:rsidRPr="00F03AEF">
        <w:t>Building and Construction Industry (Improving Productivity) Bill 2013</w:t>
      </w:r>
    </w:p>
    <w:p w14:paraId="2A6BA1A5" w14:textId="3A3D7B49" w:rsidR="00F03AEF" w:rsidRDefault="00030165" w:rsidP="00161FB7">
      <w:pPr>
        <w:spacing w:after="80"/>
        <w:ind w:left="2268" w:hanging="2268"/>
      </w:pPr>
      <w:r>
        <w:rPr>
          <w:b/>
        </w:rPr>
        <w:t>CCF</w:t>
      </w:r>
      <w:r>
        <w:rPr>
          <w:b/>
        </w:rPr>
        <w:tab/>
      </w:r>
      <w:r w:rsidRPr="00030165">
        <w:t>Civil Contractors Federation</w:t>
      </w:r>
    </w:p>
    <w:p w14:paraId="63AF7FF3" w14:textId="62FBA629" w:rsidR="00030165" w:rsidRDefault="00030165" w:rsidP="00161FB7">
      <w:pPr>
        <w:spacing w:after="80"/>
        <w:ind w:left="2268" w:hanging="2268"/>
      </w:pPr>
      <w:r>
        <w:rPr>
          <w:b/>
        </w:rPr>
        <w:t>CFMEU</w:t>
      </w:r>
      <w:r>
        <w:rPr>
          <w:b/>
        </w:rPr>
        <w:tab/>
      </w:r>
      <w:r w:rsidR="006A7B05" w:rsidRPr="006A7B05">
        <w:t>Construction, Forestry, Mining and Energy Union</w:t>
      </w:r>
    </w:p>
    <w:p w14:paraId="6B225127" w14:textId="2C8CC1D1" w:rsidR="006A7B05" w:rsidRDefault="006A7B05" w:rsidP="00161FB7">
      <w:pPr>
        <w:spacing w:after="80"/>
        <w:ind w:left="2268" w:hanging="2268"/>
      </w:pPr>
      <w:r>
        <w:rPr>
          <w:b/>
        </w:rPr>
        <w:t>CFMMEU</w:t>
      </w:r>
      <w:r>
        <w:rPr>
          <w:b/>
        </w:rPr>
        <w:tab/>
      </w:r>
      <w:r w:rsidRPr="006A7B05">
        <w:t>Construction, Forestry, Maritime, Mining and Energy Union</w:t>
      </w:r>
    </w:p>
    <w:p w14:paraId="2EF4331D" w14:textId="7B57C02E" w:rsidR="006A7B05" w:rsidRPr="006F6813" w:rsidRDefault="006A7B05" w:rsidP="00161FB7">
      <w:pPr>
        <w:spacing w:after="80"/>
        <w:ind w:left="2268" w:hanging="2268"/>
        <w:rPr>
          <w:b/>
        </w:rPr>
      </w:pPr>
      <w:r>
        <w:rPr>
          <w:b/>
        </w:rPr>
        <w:t>FSC</w:t>
      </w:r>
      <w:r>
        <w:rPr>
          <w:b/>
        </w:rPr>
        <w:tab/>
      </w:r>
      <w:r w:rsidRPr="006A7B05">
        <w:t>Federal Safety Commissioner</w:t>
      </w:r>
    </w:p>
    <w:p w14:paraId="24684B1F" w14:textId="6BF88B9B" w:rsidR="004C65A0" w:rsidRDefault="004C65A0" w:rsidP="00161FB7">
      <w:pPr>
        <w:spacing w:after="80"/>
        <w:ind w:left="2268" w:hanging="2268"/>
      </w:pPr>
      <w:r w:rsidRPr="004C65A0">
        <w:rPr>
          <w:b/>
        </w:rPr>
        <w:t>FSC Scheme</w:t>
      </w:r>
      <w:r>
        <w:tab/>
      </w:r>
      <w:r w:rsidRPr="004C65A0">
        <w:t>Work Health and Safety Accreditation Scheme</w:t>
      </w:r>
    </w:p>
    <w:p w14:paraId="39109CBD" w14:textId="484B95B0" w:rsidR="006A7B05" w:rsidRPr="004C65A0" w:rsidRDefault="006A7B05" w:rsidP="00161FB7">
      <w:pPr>
        <w:spacing w:after="80"/>
        <w:ind w:left="2268" w:hanging="2268"/>
      </w:pPr>
      <w:r w:rsidRPr="006A7B05">
        <w:rPr>
          <w:b/>
        </w:rPr>
        <w:t>FW Act</w:t>
      </w:r>
      <w:r>
        <w:tab/>
      </w:r>
      <w:r w:rsidRPr="006A7B05">
        <w:rPr>
          <w:i/>
        </w:rPr>
        <w:t>Fair Work Act 2009</w:t>
      </w:r>
    </w:p>
    <w:p w14:paraId="649122D2" w14:textId="6498C7BF" w:rsidR="006D193A" w:rsidRDefault="00FA661F" w:rsidP="00161FB7">
      <w:pPr>
        <w:spacing w:after="80"/>
        <w:ind w:left="2268" w:hanging="2268"/>
      </w:pPr>
      <w:r w:rsidRPr="00FA661F">
        <w:rPr>
          <w:b/>
        </w:rPr>
        <w:t>FWBC</w:t>
      </w:r>
      <w:r>
        <w:rPr>
          <w:b/>
        </w:rPr>
        <w:tab/>
      </w:r>
      <w:r w:rsidRPr="00FA661F">
        <w:t>Fair Work Building and Construction</w:t>
      </w:r>
    </w:p>
    <w:p w14:paraId="5433CC51" w14:textId="6878F90E" w:rsidR="006A7B05" w:rsidRDefault="006A7B05" w:rsidP="00161FB7">
      <w:pPr>
        <w:spacing w:after="80"/>
        <w:ind w:left="2268" w:hanging="2268"/>
      </w:pPr>
      <w:r w:rsidRPr="006A7B05">
        <w:rPr>
          <w:b/>
        </w:rPr>
        <w:t>FWBI Act</w:t>
      </w:r>
      <w:r w:rsidRPr="006A7B05">
        <w:rPr>
          <w:b/>
        </w:rPr>
        <w:tab/>
      </w:r>
      <w:r w:rsidRPr="006A7B05">
        <w:rPr>
          <w:i/>
        </w:rPr>
        <w:t>Fair Work Building Industry Act 2012</w:t>
      </w:r>
    </w:p>
    <w:p w14:paraId="24B54BC7" w14:textId="7570F6AC" w:rsidR="006A7B05" w:rsidRDefault="006A7B05" w:rsidP="00161FB7">
      <w:pPr>
        <w:spacing w:after="80"/>
        <w:ind w:left="2268" w:hanging="2268"/>
      </w:pPr>
      <w:r>
        <w:rPr>
          <w:b/>
        </w:rPr>
        <w:t>FWO</w:t>
      </w:r>
      <w:r>
        <w:rPr>
          <w:b/>
        </w:rPr>
        <w:tab/>
      </w:r>
      <w:r w:rsidRPr="006A7B05">
        <w:t>Fair Work Ombudsman</w:t>
      </w:r>
    </w:p>
    <w:p w14:paraId="09B41687" w14:textId="214DCC5F" w:rsidR="006A7B05" w:rsidRDefault="006A7B05" w:rsidP="00161FB7">
      <w:pPr>
        <w:spacing w:after="80"/>
        <w:ind w:left="2268" w:hanging="2268"/>
      </w:pPr>
      <w:r w:rsidRPr="006A7B05">
        <w:rPr>
          <w:b/>
        </w:rPr>
        <w:t>GATS</w:t>
      </w:r>
      <w:r>
        <w:rPr>
          <w:b/>
        </w:rPr>
        <w:tab/>
      </w:r>
      <w:r w:rsidRPr="006A7B05">
        <w:t xml:space="preserve">General </w:t>
      </w:r>
      <w:r>
        <w:t>Agreement on Trade in Services</w:t>
      </w:r>
    </w:p>
    <w:p w14:paraId="40A61BA6" w14:textId="62DDE320" w:rsidR="00891F67" w:rsidRDefault="00612537" w:rsidP="00161FB7">
      <w:pPr>
        <w:spacing w:after="80"/>
        <w:ind w:left="2268" w:hanging="2268"/>
      </w:pPr>
      <w:r w:rsidRPr="00612537">
        <w:rPr>
          <w:b/>
        </w:rPr>
        <w:t>HIA</w:t>
      </w:r>
      <w:r>
        <w:tab/>
      </w:r>
      <w:r w:rsidRPr="00612537">
        <w:t>Housing Industry Association</w:t>
      </w:r>
    </w:p>
    <w:p w14:paraId="755F1AF6" w14:textId="6E17B99D" w:rsidR="00612537" w:rsidRDefault="00612537" w:rsidP="00161FB7">
      <w:pPr>
        <w:spacing w:after="80"/>
        <w:ind w:left="2268" w:hanging="2268"/>
      </w:pPr>
      <w:r w:rsidRPr="00612537">
        <w:rPr>
          <w:b/>
        </w:rPr>
        <w:t>MBA</w:t>
      </w:r>
      <w:r>
        <w:tab/>
      </w:r>
      <w:r w:rsidRPr="00612537">
        <w:t>Master Builders Association</w:t>
      </w:r>
    </w:p>
    <w:p w14:paraId="1F38B007" w14:textId="4AE64943" w:rsidR="00612537" w:rsidRDefault="00612537" w:rsidP="00161FB7">
      <w:pPr>
        <w:spacing w:after="80"/>
        <w:ind w:left="2268" w:hanging="2268"/>
        <w:rPr>
          <w:i/>
        </w:rPr>
      </w:pPr>
      <w:r>
        <w:rPr>
          <w:b/>
        </w:rPr>
        <w:t>Migration Act</w:t>
      </w:r>
      <w:r>
        <w:rPr>
          <w:b/>
        </w:rPr>
        <w:tab/>
      </w:r>
      <w:r w:rsidRPr="00612537">
        <w:rPr>
          <w:i/>
        </w:rPr>
        <w:t>Migration Act 1958</w:t>
      </w:r>
    </w:p>
    <w:p w14:paraId="7F956B80" w14:textId="345D45A2" w:rsidR="00612537" w:rsidRPr="006A7B05" w:rsidRDefault="00612537" w:rsidP="00161FB7">
      <w:pPr>
        <w:spacing w:after="80"/>
        <w:ind w:left="2268" w:hanging="2268"/>
      </w:pPr>
      <w:r>
        <w:rPr>
          <w:b/>
        </w:rPr>
        <w:t>MoU</w:t>
      </w:r>
      <w:r>
        <w:rPr>
          <w:b/>
        </w:rPr>
        <w:tab/>
      </w:r>
      <w:r w:rsidRPr="00612537">
        <w:t>Memorandum of Understanding</w:t>
      </w:r>
    </w:p>
    <w:p w14:paraId="1A98D02B" w14:textId="1941C721" w:rsidR="00FA661F" w:rsidRDefault="00FA661F" w:rsidP="00161FB7">
      <w:pPr>
        <w:spacing w:after="80"/>
        <w:ind w:left="2268" w:hanging="2268"/>
      </w:pPr>
      <w:r w:rsidRPr="00FA661F">
        <w:rPr>
          <w:b/>
        </w:rPr>
        <w:t>Murray Review</w:t>
      </w:r>
      <w:r>
        <w:rPr>
          <w:b/>
        </w:rPr>
        <w:tab/>
      </w:r>
      <w:proofErr w:type="spellStart"/>
      <w:r w:rsidRPr="00FA661F">
        <w:t>Review</w:t>
      </w:r>
      <w:proofErr w:type="spellEnd"/>
      <w:r w:rsidRPr="00FA661F">
        <w:t xml:space="preserve"> of Security of Payment Laws</w:t>
      </w:r>
      <w:r>
        <w:t xml:space="preserve">, </w:t>
      </w:r>
      <w:r w:rsidRPr="00FA661F">
        <w:t>conducted by Mr John Murray AM</w:t>
      </w:r>
    </w:p>
    <w:p w14:paraId="0B80ED3F" w14:textId="2103D5BA" w:rsidR="00612537" w:rsidRDefault="00612537" w:rsidP="00161FB7">
      <w:pPr>
        <w:spacing w:after="80"/>
        <w:ind w:left="2268" w:hanging="2268"/>
      </w:pPr>
      <w:r>
        <w:rPr>
          <w:b/>
        </w:rPr>
        <w:t>NECA</w:t>
      </w:r>
      <w:r>
        <w:rPr>
          <w:b/>
        </w:rPr>
        <w:tab/>
      </w:r>
      <w:r w:rsidRPr="00612537">
        <w:t>National Electrical and Communications Association</w:t>
      </w:r>
    </w:p>
    <w:p w14:paraId="2B2B170A" w14:textId="29CE4236" w:rsidR="00612537" w:rsidRDefault="00692AF7" w:rsidP="00161FB7">
      <w:pPr>
        <w:spacing w:after="80"/>
        <w:ind w:left="2268" w:hanging="2268"/>
      </w:pPr>
      <w:r w:rsidRPr="00692AF7">
        <w:rPr>
          <w:b/>
        </w:rPr>
        <w:t>NCC</w:t>
      </w:r>
      <w:r>
        <w:tab/>
      </w:r>
      <w:r w:rsidRPr="00692AF7">
        <w:t>National Construction Code</w:t>
      </w:r>
    </w:p>
    <w:p w14:paraId="68CEEBFB" w14:textId="3E4F2D2D" w:rsidR="00692AF7" w:rsidRDefault="00692AF7" w:rsidP="00161FB7">
      <w:pPr>
        <w:spacing w:after="80"/>
        <w:ind w:left="2268" w:hanging="2268"/>
      </w:pPr>
      <w:r>
        <w:rPr>
          <w:b/>
        </w:rPr>
        <w:t>NCP</w:t>
      </w:r>
      <w:r>
        <w:rPr>
          <w:b/>
        </w:rPr>
        <w:tab/>
      </w:r>
      <w:r w:rsidRPr="00692AF7">
        <w:t>Non-compliant products</w:t>
      </w:r>
    </w:p>
    <w:p w14:paraId="7E84F96D" w14:textId="09FE8892" w:rsidR="00430C4D" w:rsidRPr="00430C4D" w:rsidRDefault="00430C4D" w:rsidP="00161FB7">
      <w:pPr>
        <w:spacing w:after="80"/>
        <w:ind w:left="2268" w:hanging="2268"/>
      </w:pPr>
      <w:r w:rsidRPr="00430C4D">
        <w:rPr>
          <w:b/>
        </w:rPr>
        <w:t>Ombudsman</w:t>
      </w:r>
      <w:r>
        <w:rPr>
          <w:b/>
        </w:rPr>
        <w:tab/>
      </w:r>
      <w:r w:rsidRPr="00430C4D">
        <w:t>Commonwealth Ombudsman</w:t>
      </w:r>
    </w:p>
    <w:p w14:paraId="5F7B3585" w14:textId="77777777" w:rsidR="006D193A" w:rsidRDefault="006D193A" w:rsidP="00161FB7">
      <w:pPr>
        <w:spacing w:after="80"/>
        <w:ind w:left="2268" w:hanging="2268"/>
      </w:pPr>
      <w:r w:rsidRPr="006D193A">
        <w:rPr>
          <w:b/>
        </w:rPr>
        <w:t>2013 Cod</w:t>
      </w:r>
      <w:r>
        <w:rPr>
          <w:b/>
        </w:rPr>
        <w:t>e</w:t>
      </w:r>
      <w:r>
        <w:rPr>
          <w:b/>
        </w:rPr>
        <w:tab/>
      </w:r>
      <w:r w:rsidRPr="006D193A">
        <w:rPr>
          <w:i/>
        </w:rPr>
        <w:t>Building Code 2013</w:t>
      </w:r>
    </w:p>
    <w:p w14:paraId="5777A729" w14:textId="18231E93" w:rsidR="006D193A" w:rsidRDefault="006D193A" w:rsidP="00161FB7">
      <w:pPr>
        <w:spacing w:after="80"/>
        <w:ind w:left="2268" w:hanging="2268"/>
      </w:pPr>
      <w:r w:rsidRPr="006D193A">
        <w:rPr>
          <w:b/>
        </w:rPr>
        <w:t>2016 Code</w:t>
      </w:r>
      <w:r w:rsidRPr="006D193A">
        <w:rPr>
          <w:b/>
        </w:rPr>
        <w:tab/>
      </w:r>
      <w:proofErr w:type="spellStart"/>
      <w:r w:rsidRPr="006D193A">
        <w:rPr>
          <w:i/>
        </w:rPr>
        <w:t>Code</w:t>
      </w:r>
      <w:proofErr w:type="spellEnd"/>
      <w:r w:rsidRPr="006D193A">
        <w:rPr>
          <w:i/>
        </w:rPr>
        <w:t xml:space="preserve"> for the Tendering and Performance of Building Work 2016</w:t>
      </w:r>
    </w:p>
    <w:p w14:paraId="0FA9222A" w14:textId="788D806B" w:rsidR="000C7A9D" w:rsidRDefault="000C7A9D">
      <w:pPr>
        <w:rPr>
          <w:sz w:val="36"/>
          <w:szCs w:val="36"/>
        </w:rPr>
      </w:pPr>
    </w:p>
    <w:p w14:paraId="67847105" w14:textId="77777777" w:rsidR="000C7A9D" w:rsidRDefault="000C7A9D">
      <w:pPr>
        <w:rPr>
          <w:sz w:val="36"/>
          <w:szCs w:val="36"/>
        </w:rPr>
        <w:sectPr w:rsidR="000C7A9D" w:rsidSect="004706A4">
          <w:footerReference w:type="default" r:id="rId19"/>
          <w:pgSz w:w="11906" w:h="16838" w:code="9"/>
          <w:pgMar w:top="1440" w:right="1440" w:bottom="1440" w:left="1440" w:header="709" w:footer="567" w:gutter="0"/>
          <w:pgNumType w:fmt="lowerRoman"/>
          <w:cols w:space="708"/>
          <w:docGrid w:linePitch="360"/>
        </w:sectPr>
      </w:pPr>
    </w:p>
    <w:p w14:paraId="63304C43" w14:textId="77777777" w:rsidR="004334B0" w:rsidRPr="00814595" w:rsidRDefault="004334B0" w:rsidP="004334B0">
      <w:pPr>
        <w:pStyle w:val="Heading1"/>
      </w:pPr>
      <w:bookmarkStart w:id="10" w:name="_Toc523154917"/>
      <w:bookmarkStart w:id="11" w:name="_Toc527632981"/>
      <w:bookmarkStart w:id="12" w:name="_Hlk522704728"/>
      <w:r w:rsidRPr="00814595">
        <w:lastRenderedPageBreak/>
        <w:t>Summary and recommendations</w:t>
      </w:r>
      <w:bookmarkEnd w:id="10"/>
      <w:bookmarkEnd w:id="11"/>
    </w:p>
    <w:p w14:paraId="4EEA9B01" w14:textId="31FD0C61" w:rsidR="004334B0" w:rsidRPr="00916419" w:rsidRDefault="004334B0" w:rsidP="00666485">
      <w:pPr>
        <w:spacing w:after="200" w:line="276" w:lineRule="auto"/>
        <w:rPr>
          <w:rFonts w:eastAsia="Times New Roman" w:cstheme="minorHAnsi"/>
          <w:lang w:eastAsia="en-AU"/>
        </w:rPr>
      </w:pPr>
      <w:r w:rsidRPr="00916419">
        <w:rPr>
          <w:rFonts w:eastAsia="Times New Roman" w:cstheme="minorHAnsi"/>
          <w:lang w:eastAsia="en-AU"/>
        </w:rPr>
        <w:t xml:space="preserve">The main object of the </w:t>
      </w:r>
      <w:r w:rsidRPr="00916419">
        <w:rPr>
          <w:rFonts w:eastAsia="Times New Roman" w:cstheme="minorHAnsi"/>
          <w:i/>
          <w:bdr w:val="nil"/>
          <w:lang w:eastAsia="en-AU"/>
        </w:rPr>
        <w:t>Building and Construction Industry (Improving Productivity) Act</w:t>
      </w:r>
      <w:r w:rsidR="0076186E" w:rsidRPr="00E45E66">
        <w:rPr>
          <w:rFonts w:eastAsia="Times New Roman" w:cstheme="minorHAnsi"/>
          <w:i/>
          <w:bdr w:val="nil"/>
          <w:lang w:eastAsia="en-AU"/>
        </w:rPr>
        <w:t> </w:t>
      </w:r>
      <w:r w:rsidRPr="00916419">
        <w:rPr>
          <w:rFonts w:eastAsia="Times New Roman" w:cstheme="minorHAnsi"/>
          <w:i/>
          <w:bdr w:val="nil"/>
          <w:lang w:eastAsia="en-AU"/>
        </w:rPr>
        <w:t>2016</w:t>
      </w:r>
      <w:r w:rsidRPr="00916419">
        <w:rPr>
          <w:rFonts w:eastAsia="Times New Roman" w:cstheme="minorHAnsi"/>
          <w:bdr w:val="nil"/>
          <w:lang w:eastAsia="en-AU"/>
        </w:rPr>
        <w:t xml:space="preserve"> (</w:t>
      </w:r>
      <w:r w:rsidRPr="00916419">
        <w:rPr>
          <w:rFonts w:eastAsia="Times New Roman" w:cstheme="minorHAnsi"/>
          <w:lang w:eastAsia="en-AU"/>
        </w:rPr>
        <w:t>BCIIP</w:t>
      </w:r>
      <w:r>
        <w:rPr>
          <w:rFonts w:eastAsia="Times New Roman" w:cstheme="minorHAnsi"/>
          <w:lang w:eastAsia="en-AU"/>
        </w:rPr>
        <w:t> </w:t>
      </w:r>
      <w:r w:rsidRPr="00916419">
        <w:rPr>
          <w:rFonts w:eastAsia="Times New Roman" w:cstheme="minorHAnsi"/>
          <w:lang w:eastAsia="en-AU"/>
        </w:rPr>
        <w:t>Act)</w:t>
      </w:r>
      <w:r>
        <w:rPr>
          <w:rFonts w:eastAsia="Times New Roman" w:cstheme="minorHAnsi"/>
          <w:lang w:eastAsia="en-AU"/>
        </w:rPr>
        <w:t xml:space="preserve"> </w:t>
      </w:r>
      <w:r w:rsidRPr="00916419">
        <w:rPr>
          <w:rFonts w:eastAsia="Times New Roman" w:cstheme="minorHAnsi"/>
          <w:lang w:eastAsia="en-AU"/>
        </w:rPr>
        <w:t xml:space="preserve">is to provide an improved workplace relations framework for building work to ensure </w:t>
      </w:r>
      <w:r>
        <w:rPr>
          <w:rFonts w:eastAsia="Times New Roman" w:cstheme="minorHAnsi"/>
          <w:lang w:eastAsia="en-AU"/>
        </w:rPr>
        <w:t xml:space="preserve">that building </w:t>
      </w:r>
      <w:r w:rsidRPr="00916419">
        <w:rPr>
          <w:rFonts w:eastAsia="Times New Roman" w:cstheme="minorHAnsi"/>
          <w:lang w:eastAsia="en-AU"/>
        </w:rPr>
        <w:t xml:space="preserve">work is carried out fairly, efficiently and productively, without distinction between interests of building industry participants, </w:t>
      </w:r>
      <w:r>
        <w:rPr>
          <w:rFonts w:eastAsia="Times New Roman" w:cstheme="minorHAnsi"/>
          <w:lang w:eastAsia="en-AU"/>
        </w:rPr>
        <w:t xml:space="preserve">and </w:t>
      </w:r>
      <w:r>
        <w:t xml:space="preserve">for the benefit of all building industry participants </w:t>
      </w:r>
      <w:r w:rsidRPr="00916419">
        <w:rPr>
          <w:rFonts w:eastAsia="Times New Roman" w:cstheme="minorHAnsi"/>
          <w:lang w:eastAsia="en-AU"/>
        </w:rPr>
        <w:t>and</w:t>
      </w:r>
      <w:r w:rsidR="00A549C0">
        <w:rPr>
          <w:rFonts w:eastAsia="Times New Roman" w:cstheme="minorHAnsi"/>
          <w:lang w:eastAsia="en-AU"/>
        </w:rPr>
        <w:t xml:space="preserve"> for</w:t>
      </w:r>
      <w:r w:rsidRPr="00916419">
        <w:rPr>
          <w:rFonts w:eastAsia="Times New Roman" w:cstheme="minorHAnsi"/>
          <w:lang w:eastAsia="en-AU"/>
        </w:rPr>
        <w:t xml:space="preserve"> the Australian economy as a whole.</w:t>
      </w:r>
      <w:r w:rsidRPr="00916419">
        <w:rPr>
          <w:rStyle w:val="FootnoteReference"/>
          <w:rFonts w:eastAsia="Times New Roman" w:cstheme="minorHAnsi"/>
          <w:lang w:eastAsia="en-AU"/>
        </w:rPr>
        <w:footnoteReference w:id="2"/>
      </w:r>
      <w:r w:rsidRPr="00916419">
        <w:rPr>
          <w:rFonts w:cstheme="minorHAnsi"/>
        </w:rPr>
        <w:t xml:space="preserve"> </w:t>
      </w:r>
      <w:r>
        <w:rPr>
          <w:rFonts w:cstheme="minorHAnsi"/>
        </w:rPr>
        <w:t>The BCIIP Act came into effect on 2</w:t>
      </w:r>
      <w:r w:rsidR="0076186E" w:rsidRPr="00E732BC">
        <w:rPr>
          <w:rFonts w:cstheme="minorHAnsi"/>
        </w:rPr>
        <w:t> </w:t>
      </w:r>
      <w:r>
        <w:rPr>
          <w:rFonts w:cstheme="minorHAnsi"/>
        </w:rPr>
        <w:t>December</w:t>
      </w:r>
      <w:r w:rsidR="0076186E" w:rsidRPr="00E45E66">
        <w:rPr>
          <w:rFonts w:cstheme="minorHAnsi"/>
        </w:rPr>
        <w:t> </w:t>
      </w:r>
      <w:r>
        <w:rPr>
          <w:rFonts w:cstheme="minorHAnsi"/>
        </w:rPr>
        <w:t>2016.</w:t>
      </w:r>
    </w:p>
    <w:p w14:paraId="7236A1CF" w14:textId="248561D9" w:rsidR="0076186E" w:rsidRPr="00EE0A20" w:rsidRDefault="004334B0" w:rsidP="00666485">
      <w:pPr>
        <w:spacing w:after="200" w:line="276" w:lineRule="auto"/>
        <w:rPr>
          <w:rFonts w:eastAsia="Times New Roman" w:cstheme="minorHAnsi"/>
          <w:lang w:eastAsia="en-AU"/>
        </w:rPr>
      </w:pPr>
      <w:r w:rsidRPr="00916419">
        <w:rPr>
          <w:rFonts w:cstheme="minorHAnsi"/>
          <w:bCs/>
          <w:color w:val="000000"/>
        </w:rPr>
        <w:t>S</w:t>
      </w:r>
      <w:r w:rsidR="001025C9">
        <w:rPr>
          <w:rFonts w:cstheme="minorHAnsi"/>
          <w:bCs/>
          <w:color w:val="000000"/>
        </w:rPr>
        <w:t>ub-s</w:t>
      </w:r>
      <w:r w:rsidRPr="00916419">
        <w:rPr>
          <w:rFonts w:cstheme="minorHAnsi"/>
          <w:bCs/>
          <w:color w:val="000000"/>
        </w:rPr>
        <w:t>ection</w:t>
      </w:r>
      <w:r>
        <w:rPr>
          <w:rFonts w:cstheme="minorHAnsi"/>
          <w:bCs/>
          <w:color w:val="000000"/>
        </w:rPr>
        <w:t> </w:t>
      </w:r>
      <w:r w:rsidRPr="00916419">
        <w:rPr>
          <w:rFonts w:cstheme="minorHAnsi"/>
          <w:bCs/>
          <w:color w:val="000000"/>
        </w:rPr>
        <w:t>119</w:t>
      </w:r>
      <w:proofErr w:type="gramStart"/>
      <w:r w:rsidRPr="00916419">
        <w:rPr>
          <w:rFonts w:cstheme="minorHAnsi"/>
          <w:bCs/>
          <w:color w:val="000000"/>
        </w:rPr>
        <w:t>A</w:t>
      </w:r>
      <w:r w:rsidR="001025C9">
        <w:rPr>
          <w:rFonts w:cstheme="minorHAnsi"/>
          <w:bCs/>
          <w:color w:val="000000"/>
        </w:rPr>
        <w:t>(</w:t>
      </w:r>
      <w:proofErr w:type="gramEnd"/>
      <w:r w:rsidR="001025C9">
        <w:rPr>
          <w:rFonts w:cstheme="minorHAnsi"/>
          <w:bCs/>
          <w:color w:val="000000"/>
        </w:rPr>
        <w:t>1)</w:t>
      </w:r>
      <w:r w:rsidRPr="00916419">
        <w:rPr>
          <w:rFonts w:cstheme="minorHAnsi"/>
          <w:bCs/>
          <w:color w:val="000000"/>
        </w:rPr>
        <w:t xml:space="preserve"> of </w:t>
      </w:r>
      <w:r>
        <w:rPr>
          <w:rFonts w:cstheme="minorHAnsi"/>
          <w:bCs/>
          <w:color w:val="000000"/>
        </w:rPr>
        <w:t>the</w:t>
      </w:r>
      <w:r w:rsidRPr="00916419">
        <w:rPr>
          <w:rFonts w:cstheme="minorHAnsi"/>
          <w:bCs/>
          <w:color w:val="000000"/>
        </w:rPr>
        <w:t xml:space="preserve"> </w:t>
      </w:r>
      <w:r>
        <w:rPr>
          <w:rFonts w:cstheme="minorHAnsi"/>
          <w:bCs/>
          <w:color w:val="000000"/>
        </w:rPr>
        <w:t>BCIIP </w:t>
      </w:r>
      <w:r w:rsidRPr="00916419">
        <w:rPr>
          <w:rFonts w:cstheme="minorHAnsi"/>
          <w:bCs/>
          <w:color w:val="000000"/>
        </w:rPr>
        <w:t xml:space="preserve">Act </w:t>
      </w:r>
      <w:r w:rsidR="001025C9">
        <w:rPr>
          <w:rFonts w:cstheme="minorHAnsi"/>
          <w:bCs/>
          <w:color w:val="000000"/>
        </w:rPr>
        <w:t xml:space="preserve">states that </w:t>
      </w:r>
      <w:r w:rsidR="00F02FFE">
        <w:rPr>
          <w:rFonts w:cstheme="minorHAnsi"/>
          <w:bCs/>
          <w:color w:val="000000"/>
        </w:rPr>
        <w:t>‘</w:t>
      </w:r>
      <w:r w:rsidR="00666485">
        <w:rPr>
          <w:rFonts w:cstheme="minorHAnsi"/>
          <w:bCs/>
          <w:color w:val="000000"/>
        </w:rPr>
        <w:t>b</w:t>
      </w:r>
      <w:r w:rsidR="001025C9">
        <w:t>efore the end of the period of 12 months after the commencement of this section, the Minister must cause to be conducted a review into the operation of this Act.</w:t>
      </w:r>
      <w:r w:rsidR="00F02FFE">
        <w:t>’</w:t>
      </w:r>
      <w:r w:rsidR="001025C9">
        <w:t xml:space="preserve"> </w:t>
      </w:r>
      <w:r>
        <w:rPr>
          <w:rFonts w:eastAsia="Times New Roman" w:cstheme="minorHAnsi"/>
          <w:lang w:eastAsia="en-AU"/>
        </w:rPr>
        <w:t>Terms of reference for the review of the operation of the</w:t>
      </w:r>
      <w:r>
        <w:rPr>
          <w:rFonts w:eastAsia="Times New Roman" w:cstheme="minorHAnsi"/>
          <w:i/>
          <w:bdr w:val="none" w:sz="0" w:space="0" w:color="auto" w:frame="1"/>
          <w:lang w:eastAsia="en-AU"/>
        </w:rPr>
        <w:t xml:space="preserve"> </w:t>
      </w:r>
      <w:r>
        <w:rPr>
          <w:rFonts w:eastAsia="Times New Roman" w:cstheme="minorHAnsi"/>
          <w:lang w:eastAsia="en-AU"/>
        </w:rPr>
        <w:t>BCIIP Act were approved on 1</w:t>
      </w:r>
      <w:r w:rsidR="0076186E" w:rsidRPr="00E45E66">
        <w:rPr>
          <w:rFonts w:eastAsia="Times New Roman" w:cstheme="minorHAnsi"/>
          <w:lang w:eastAsia="en-AU"/>
        </w:rPr>
        <w:t> </w:t>
      </w:r>
      <w:r>
        <w:rPr>
          <w:rFonts w:eastAsia="Times New Roman" w:cstheme="minorHAnsi"/>
          <w:lang w:eastAsia="en-AU"/>
        </w:rPr>
        <w:t>December</w:t>
      </w:r>
      <w:r w:rsidR="0076186E" w:rsidRPr="00EE0A20">
        <w:rPr>
          <w:rFonts w:eastAsia="Times New Roman" w:cstheme="minorHAnsi"/>
          <w:lang w:eastAsia="en-AU"/>
        </w:rPr>
        <w:t> </w:t>
      </w:r>
      <w:r>
        <w:rPr>
          <w:rFonts w:eastAsia="Times New Roman" w:cstheme="minorHAnsi"/>
          <w:lang w:eastAsia="en-AU"/>
        </w:rPr>
        <w:t>2017, thus formally commencing the review.</w:t>
      </w:r>
    </w:p>
    <w:p w14:paraId="2B5F3BDA" w14:textId="204653A5" w:rsidR="004334B0" w:rsidRDefault="004334B0" w:rsidP="00666485">
      <w:pPr>
        <w:spacing w:after="200" w:line="276" w:lineRule="auto"/>
        <w:rPr>
          <w:rFonts w:eastAsia="Times New Roman" w:cstheme="minorHAnsi"/>
          <w:lang w:eastAsia="en-AU"/>
        </w:rPr>
      </w:pPr>
      <w:r>
        <w:rPr>
          <w:rFonts w:eastAsia="Times New Roman" w:cstheme="minorHAnsi"/>
          <w:lang w:eastAsia="en-AU"/>
        </w:rPr>
        <w:t xml:space="preserve">The terms of reference focus largely on the provisions in the BCIIP Act that arose from Senate amendments. These provisions created new functions for the Australian Building and Construction </w:t>
      </w:r>
      <w:r w:rsidRPr="00EE0A20">
        <w:rPr>
          <w:rFonts w:eastAsia="Times New Roman" w:cstheme="minorHAnsi"/>
          <w:lang w:eastAsia="en-AU"/>
        </w:rPr>
        <w:t>Commission</w:t>
      </w:r>
      <w:r w:rsidR="007D6E51" w:rsidRPr="000B41D1">
        <w:rPr>
          <w:rFonts w:eastAsia="Times New Roman" w:cstheme="minorHAnsi"/>
          <w:lang w:eastAsia="en-AU"/>
        </w:rPr>
        <w:t>er</w:t>
      </w:r>
      <w:r w:rsidRPr="00EE0A20">
        <w:rPr>
          <w:rFonts w:eastAsia="Times New Roman" w:cstheme="minorHAnsi"/>
          <w:lang w:eastAsia="en-AU"/>
        </w:rPr>
        <w:t xml:space="preserve"> (ABC</w:t>
      </w:r>
      <w:r w:rsidR="007B23BE">
        <w:rPr>
          <w:rFonts w:eastAsia="Times New Roman" w:cstheme="minorHAnsi"/>
          <w:lang w:eastAsia="en-AU"/>
        </w:rPr>
        <w:t> </w:t>
      </w:r>
      <w:r w:rsidRPr="000B41D1">
        <w:rPr>
          <w:rFonts w:eastAsia="Times New Roman" w:cstheme="minorHAnsi"/>
          <w:lang w:eastAsia="en-AU"/>
        </w:rPr>
        <w:t>C</w:t>
      </w:r>
      <w:r w:rsidR="007D6E51" w:rsidRPr="000B41D1">
        <w:rPr>
          <w:rFonts w:eastAsia="Times New Roman" w:cstheme="minorHAnsi"/>
          <w:lang w:eastAsia="en-AU"/>
        </w:rPr>
        <w:t>ommissioner</w:t>
      </w:r>
      <w:r>
        <w:rPr>
          <w:rFonts w:eastAsia="Times New Roman" w:cstheme="minorHAnsi"/>
          <w:lang w:eastAsia="en-AU"/>
        </w:rPr>
        <w:t xml:space="preserve">) and the Federal Safety Commissioner (FSC). Section 119A was also the product of a Senate amendment. </w:t>
      </w:r>
    </w:p>
    <w:p w14:paraId="1906A45B" w14:textId="78E1C648" w:rsidR="004334B0" w:rsidRDefault="004334B0" w:rsidP="00666485">
      <w:pPr>
        <w:spacing w:after="200" w:line="276" w:lineRule="auto"/>
        <w:rPr>
          <w:rFonts w:eastAsia="Times New Roman" w:cstheme="minorHAnsi"/>
          <w:lang w:eastAsia="en-AU"/>
        </w:rPr>
      </w:pPr>
      <w:r>
        <w:rPr>
          <w:rFonts w:eastAsia="Times New Roman" w:cstheme="minorHAnsi"/>
          <w:lang w:eastAsia="en-AU"/>
        </w:rPr>
        <w:t xml:space="preserve">The BCIIP Act replaced the </w:t>
      </w:r>
      <w:r w:rsidRPr="00A20A0A">
        <w:rPr>
          <w:rFonts w:eastAsia="Times New Roman" w:cstheme="minorHAnsi"/>
          <w:i/>
          <w:lang w:eastAsia="en-AU"/>
        </w:rPr>
        <w:t>Fair Work (Buildi</w:t>
      </w:r>
      <w:r w:rsidR="00C01C9D">
        <w:rPr>
          <w:rFonts w:eastAsia="Times New Roman" w:cstheme="minorHAnsi"/>
          <w:i/>
          <w:lang w:eastAsia="en-AU"/>
        </w:rPr>
        <w:t>ng Industry) Act </w:t>
      </w:r>
      <w:r w:rsidRPr="00A20A0A">
        <w:rPr>
          <w:rFonts w:eastAsia="Times New Roman" w:cstheme="minorHAnsi"/>
          <w:i/>
          <w:lang w:eastAsia="en-AU"/>
        </w:rPr>
        <w:t>2012</w:t>
      </w:r>
      <w:r>
        <w:rPr>
          <w:rFonts w:eastAsia="Times New Roman" w:cstheme="minorHAnsi"/>
          <w:lang w:eastAsia="en-AU"/>
        </w:rPr>
        <w:t xml:space="preserve"> (FWBI Act) and re-established the Australian Building and Construction Commission (ABCC)</w:t>
      </w:r>
      <w:r w:rsidR="00666485">
        <w:rPr>
          <w:rFonts w:eastAsia="Times New Roman" w:cstheme="minorHAnsi"/>
          <w:lang w:eastAsia="en-AU"/>
        </w:rPr>
        <w:t>, which existed between October 2005 and May </w:t>
      </w:r>
      <w:r>
        <w:rPr>
          <w:rFonts w:eastAsia="Times New Roman" w:cstheme="minorHAnsi"/>
          <w:lang w:eastAsia="en-AU"/>
        </w:rPr>
        <w:t xml:space="preserve">2012, prior to being replaced by </w:t>
      </w:r>
      <w:r w:rsidR="007D6E51" w:rsidRPr="000B41D1">
        <w:rPr>
          <w:rFonts w:eastAsia="Times New Roman" w:cstheme="minorHAnsi"/>
          <w:lang w:eastAsia="en-AU"/>
        </w:rPr>
        <w:t xml:space="preserve">the Office of the </w:t>
      </w:r>
      <w:r w:rsidRPr="000B41D1">
        <w:rPr>
          <w:rFonts w:eastAsia="Times New Roman" w:cstheme="minorHAnsi"/>
          <w:lang w:eastAsia="en-AU"/>
        </w:rPr>
        <w:t xml:space="preserve">Fair Work Building </w:t>
      </w:r>
      <w:r w:rsidR="007D6E51" w:rsidRPr="000B41D1">
        <w:rPr>
          <w:rFonts w:eastAsia="Times New Roman" w:cstheme="minorHAnsi"/>
          <w:lang w:eastAsia="en-AU"/>
        </w:rPr>
        <w:t>Industry Inspectorate</w:t>
      </w:r>
      <w:r w:rsidR="007D6E51" w:rsidRPr="00EE0A20">
        <w:rPr>
          <w:rFonts w:eastAsia="Times New Roman" w:cstheme="minorHAnsi"/>
          <w:lang w:eastAsia="en-AU"/>
        </w:rPr>
        <w:t xml:space="preserve"> (</w:t>
      </w:r>
      <w:r w:rsidR="007D6E51" w:rsidRPr="000B41D1">
        <w:rPr>
          <w:rFonts w:eastAsia="Times New Roman" w:cstheme="minorHAnsi"/>
          <w:lang w:eastAsia="en-AU"/>
        </w:rPr>
        <w:t xml:space="preserve">known as </w:t>
      </w:r>
      <w:r w:rsidRPr="000B41D1">
        <w:t>Fair Work Building and Construction (FWBC</w:t>
      </w:r>
      <w:r w:rsidRPr="000B41D1">
        <w:rPr>
          <w:rFonts w:eastAsia="Times New Roman" w:cstheme="minorHAnsi"/>
          <w:lang w:eastAsia="en-AU"/>
        </w:rPr>
        <w:t>)</w:t>
      </w:r>
      <w:r w:rsidR="007D6E51" w:rsidRPr="000B41D1">
        <w:rPr>
          <w:rFonts w:eastAsia="Times New Roman" w:cstheme="minorHAnsi"/>
          <w:lang w:eastAsia="en-AU"/>
        </w:rPr>
        <w:t>)</w:t>
      </w:r>
      <w:r w:rsidRPr="000B41D1">
        <w:rPr>
          <w:rFonts w:eastAsia="Times New Roman" w:cstheme="minorHAnsi"/>
          <w:lang w:eastAsia="en-AU"/>
        </w:rPr>
        <w:t>,</w:t>
      </w:r>
      <w:r>
        <w:rPr>
          <w:rFonts w:eastAsia="Times New Roman" w:cstheme="minorHAnsi"/>
          <w:lang w:eastAsia="en-AU"/>
        </w:rPr>
        <w:t xml:space="preserve"> established under the FWBI Act. Like the former FWBC, the ABCC is a dedicated workplace relations regulator for the building and construction industry. Both the BCIIP Act and the former FWBI Act establish building industry-specific workplace relations legislation. While this legislation is broadly similar, key differences include:</w:t>
      </w:r>
    </w:p>
    <w:p w14:paraId="2EDBF82C" w14:textId="39E1F06D" w:rsidR="004334B0" w:rsidRDefault="00BC0D9F" w:rsidP="004F647D">
      <w:pPr>
        <w:pStyle w:val="ListBullet"/>
        <w:numPr>
          <w:ilvl w:val="0"/>
          <w:numId w:val="11"/>
        </w:numPr>
        <w:ind w:left="360"/>
        <w:rPr>
          <w:rFonts w:eastAsia="Times New Roman" w:cstheme="minorHAnsi"/>
          <w:lang w:eastAsia="en-AU"/>
        </w:rPr>
      </w:pPr>
      <w:r w:rsidRPr="00E45E66">
        <w:rPr>
          <w:rFonts w:eastAsia="Times New Roman" w:cstheme="minorHAnsi"/>
          <w:lang w:eastAsia="en-AU"/>
        </w:rPr>
        <w:t>a</w:t>
      </w:r>
      <w:r w:rsidR="004334B0">
        <w:rPr>
          <w:rFonts w:eastAsia="Times New Roman" w:cstheme="minorHAnsi"/>
          <w:lang w:eastAsia="en-AU"/>
        </w:rPr>
        <w:t xml:space="preserve"> specific obligation for the ABC</w:t>
      </w:r>
      <w:r w:rsidR="007B23BE">
        <w:rPr>
          <w:rFonts w:eastAsia="Times New Roman" w:cstheme="minorHAnsi"/>
          <w:lang w:eastAsia="en-AU"/>
        </w:rPr>
        <w:t> </w:t>
      </w:r>
      <w:r w:rsidR="004334B0">
        <w:rPr>
          <w:rFonts w:eastAsia="Times New Roman" w:cstheme="minorHAnsi"/>
          <w:lang w:eastAsia="en-AU"/>
        </w:rPr>
        <w:t>Commissioner to ensure that policies and procedures adopted and resources allocated are applied in a reasonable and proportionate manner to each of the categories of building industry participants</w:t>
      </w:r>
    </w:p>
    <w:p w14:paraId="47CC83E7" w14:textId="71EE19C9" w:rsidR="004334B0" w:rsidRDefault="00BC0D9F" w:rsidP="004F647D">
      <w:pPr>
        <w:pStyle w:val="ListBullet"/>
        <w:numPr>
          <w:ilvl w:val="0"/>
          <w:numId w:val="11"/>
        </w:numPr>
        <w:ind w:left="360"/>
        <w:rPr>
          <w:rFonts w:eastAsia="Times New Roman" w:cstheme="minorHAnsi"/>
          <w:lang w:eastAsia="en-AU"/>
        </w:rPr>
      </w:pPr>
      <w:r w:rsidRPr="00EE0A20">
        <w:rPr>
          <w:rFonts w:eastAsia="Times New Roman" w:cstheme="minorHAnsi"/>
          <w:lang w:eastAsia="en-AU"/>
        </w:rPr>
        <w:t>t</w:t>
      </w:r>
      <w:r w:rsidR="004334B0">
        <w:rPr>
          <w:rFonts w:eastAsia="Times New Roman" w:cstheme="minorHAnsi"/>
          <w:lang w:eastAsia="en-AU"/>
        </w:rPr>
        <w:t xml:space="preserve">he existence of </w:t>
      </w:r>
      <w:bookmarkStart w:id="13" w:name="_Hlk522708535"/>
      <w:r w:rsidR="004334B0">
        <w:rPr>
          <w:rFonts w:eastAsia="Times New Roman" w:cstheme="minorHAnsi"/>
          <w:lang w:eastAsia="en-AU"/>
        </w:rPr>
        <w:t xml:space="preserve">specific </w:t>
      </w:r>
      <w:r w:rsidR="007D6E51" w:rsidRPr="000B41D1">
        <w:rPr>
          <w:rFonts w:eastAsia="Times New Roman" w:cstheme="minorHAnsi"/>
          <w:lang w:eastAsia="en-AU"/>
        </w:rPr>
        <w:t>civil remedy</w:t>
      </w:r>
      <w:r w:rsidR="007D6E51" w:rsidRPr="00EE0A20">
        <w:rPr>
          <w:rFonts w:eastAsia="Times New Roman" w:cstheme="minorHAnsi"/>
          <w:lang w:eastAsia="en-AU"/>
        </w:rPr>
        <w:t xml:space="preserve"> </w:t>
      </w:r>
      <w:r w:rsidR="004334B0">
        <w:rPr>
          <w:rFonts w:eastAsia="Times New Roman" w:cstheme="minorHAnsi"/>
          <w:lang w:eastAsia="en-AU"/>
        </w:rPr>
        <w:t>provisions relating to matters including picketing and unlawful industrial action</w:t>
      </w:r>
      <w:bookmarkEnd w:id="13"/>
      <w:r w:rsidR="004334B0">
        <w:rPr>
          <w:rFonts w:eastAsia="Times New Roman" w:cstheme="minorHAnsi"/>
          <w:lang w:eastAsia="en-AU"/>
        </w:rPr>
        <w:t xml:space="preserve"> in the BCIIP</w:t>
      </w:r>
      <w:r w:rsidR="00B91B9C">
        <w:rPr>
          <w:rFonts w:eastAsia="Times New Roman" w:cstheme="minorHAnsi"/>
          <w:lang w:eastAsia="en-AU"/>
        </w:rPr>
        <w:t> </w:t>
      </w:r>
      <w:r w:rsidR="007D6E51" w:rsidRPr="00E732BC">
        <w:rPr>
          <w:rFonts w:eastAsia="Times New Roman" w:cstheme="minorHAnsi"/>
          <w:lang w:eastAsia="en-AU"/>
        </w:rPr>
        <w:t>Act</w:t>
      </w:r>
    </w:p>
    <w:p w14:paraId="0BED1F8B" w14:textId="7B78EA6C" w:rsidR="004334B0" w:rsidRDefault="00BC0D9F" w:rsidP="004F647D">
      <w:pPr>
        <w:pStyle w:val="ListBullet"/>
        <w:numPr>
          <w:ilvl w:val="0"/>
          <w:numId w:val="11"/>
        </w:numPr>
        <w:ind w:left="360"/>
        <w:rPr>
          <w:rFonts w:eastAsia="Times New Roman" w:cstheme="minorHAnsi"/>
          <w:lang w:eastAsia="en-AU"/>
        </w:rPr>
      </w:pPr>
      <w:r w:rsidRPr="00EE0A20">
        <w:rPr>
          <w:rFonts w:eastAsia="Times New Roman" w:cstheme="minorHAnsi"/>
          <w:lang w:eastAsia="en-AU"/>
        </w:rPr>
        <w:t>t</w:t>
      </w:r>
      <w:r w:rsidR="004334B0">
        <w:rPr>
          <w:rFonts w:eastAsia="Times New Roman" w:cstheme="minorHAnsi"/>
          <w:lang w:eastAsia="en-AU"/>
        </w:rPr>
        <w:t>he availability of substantially higher maximum penalties for breaches of the BCIIP Act</w:t>
      </w:r>
      <w:r w:rsidR="007D6E51" w:rsidRPr="00EE0A20">
        <w:rPr>
          <w:rFonts w:eastAsia="Times New Roman" w:cstheme="minorHAnsi"/>
          <w:lang w:eastAsia="en-AU"/>
        </w:rPr>
        <w:t xml:space="preserve"> </w:t>
      </w:r>
      <w:r w:rsidR="007D6E51" w:rsidRPr="000B41D1">
        <w:rPr>
          <w:rFonts w:eastAsia="Times New Roman" w:cstheme="minorHAnsi"/>
          <w:lang w:eastAsia="en-AU"/>
        </w:rPr>
        <w:t xml:space="preserve">than for breaches of similar civil remedy provisions in the </w:t>
      </w:r>
      <w:r w:rsidR="00C01C9D">
        <w:rPr>
          <w:rFonts w:eastAsia="Times New Roman" w:cstheme="minorHAnsi"/>
          <w:i/>
          <w:lang w:eastAsia="en-AU"/>
        </w:rPr>
        <w:t>Fair Work Act </w:t>
      </w:r>
      <w:r w:rsidR="007D6E51" w:rsidRPr="000B41D1">
        <w:rPr>
          <w:rFonts w:eastAsia="Times New Roman" w:cstheme="minorHAnsi"/>
          <w:i/>
          <w:lang w:eastAsia="en-AU"/>
        </w:rPr>
        <w:t>2009</w:t>
      </w:r>
      <w:r w:rsidR="00666485">
        <w:rPr>
          <w:rFonts w:eastAsia="Times New Roman" w:cstheme="minorHAnsi"/>
          <w:i/>
          <w:lang w:eastAsia="en-AU"/>
        </w:rPr>
        <w:t xml:space="preserve"> </w:t>
      </w:r>
      <w:r w:rsidR="00666485" w:rsidRPr="00666485">
        <w:rPr>
          <w:rFonts w:eastAsia="Times New Roman" w:cstheme="minorHAnsi"/>
          <w:lang w:eastAsia="en-AU"/>
        </w:rPr>
        <w:t>(FW Act)</w:t>
      </w:r>
    </w:p>
    <w:p w14:paraId="22DFDD2E" w14:textId="1D4D1378" w:rsidR="004334B0" w:rsidRDefault="00BC0D9F" w:rsidP="004F647D">
      <w:pPr>
        <w:pStyle w:val="ListBullet"/>
        <w:numPr>
          <w:ilvl w:val="0"/>
          <w:numId w:val="11"/>
        </w:numPr>
        <w:ind w:left="360"/>
        <w:rPr>
          <w:rFonts w:eastAsia="Times New Roman" w:cstheme="minorHAnsi"/>
          <w:lang w:eastAsia="en-AU"/>
        </w:rPr>
      </w:pPr>
      <w:r w:rsidRPr="00E732BC">
        <w:rPr>
          <w:rFonts w:eastAsia="Times New Roman" w:cstheme="minorHAnsi"/>
          <w:lang w:eastAsia="en-AU"/>
        </w:rPr>
        <w:t>t</w:t>
      </w:r>
      <w:r w:rsidR="004334B0">
        <w:rPr>
          <w:rFonts w:eastAsia="Times New Roman" w:cstheme="minorHAnsi"/>
          <w:lang w:eastAsia="en-AU"/>
        </w:rPr>
        <w:t>he adoption of a requirement for the Commonwealth Ombudsman to report quarterly on the use of the ABC</w:t>
      </w:r>
      <w:r w:rsidR="007B23BE">
        <w:rPr>
          <w:rFonts w:eastAsia="Times New Roman" w:cstheme="minorHAnsi"/>
          <w:lang w:eastAsia="en-AU"/>
        </w:rPr>
        <w:t> </w:t>
      </w:r>
      <w:r w:rsidR="004334B0">
        <w:rPr>
          <w:rFonts w:eastAsia="Times New Roman" w:cstheme="minorHAnsi"/>
          <w:lang w:eastAsia="en-AU"/>
        </w:rPr>
        <w:t>Commissioner’s compulsory examination powers</w:t>
      </w:r>
    </w:p>
    <w:p w14:paraId="013504B5" w14:textId="4DED2E34" w:rsidR="004334B0" w:rsidRDefault="00BC0D9F" w:rsidP="004F647D">
      <w:pPr>
        <w:pStyle w:val="ListBullet"/>
        <w:numPr>
          <w:ilvl w:val="0"/>
          <w:numId w:val="11"/>
        </w:numPr>
        <w:ind w:left="360"/>
        <w:rPr>
          <w:rFonts w:eastAsia="Times New Roman" w:cstheme="minorHAnsi"/>
          <w:lang w:eastAsia="en-AU"/>
        </w:rPr>
      </w:pPr>
      <w:r w:rsidRPr="00EE0A20">
        <w:rPr>
          <w:rFonts w:eastAsia="Times New Roman" w:cstheme="minorHAnsi"/>
          <w:lang w:eastAsia="en-AU"/>
        </w:rPr>
        <w:t>t</w:t>
      </w:r>
      <w:r w:rsidR="004334B0">
        <w:rPr>
          <w:rFonts w:eastAsia="Times New Roman" w:cstheme="minorHAnsi"/>
          <w:lang w:eastAsia="en-AU"/>
        </w:rPr>
        <w:t xml:space="preserve">he broadening of the range of matters addressed by the 2016 Code, which must be complied with by </w:t>
      </w:r>
      <w:r w:rsidR="007D6E51" w:rsidRPr="000B41D1">
        <w:rPr>
          <w:rFonts w:eastAsia="Times New Roman" w:cstheme="minorHAnsi"/>
          <w:lang w:eastAsia="en-AU"/>
        </w:rPr>
        <w:t>certain</w:t>
      </w:r>
      <w:r w:rsidR="004334B0" w:rsidRPr="000B41D1">
        <w:t xml:space="preserve"> building industry participants undertaking </w:t>
      </w:r>
      <w:r w:rsidR="007D6E51" w:rsidRPr="000B41D1">
        <w:rPr>
          <w:rFonts w:eastAsia="Times New Roman" w:cstheme="minorHAnsi"/>
          <w:lang w:eastAsia="en-AU"/>
        </w:rPr>
        <w:t>Commonwealth</w:t>
      </w:r>
      <w:r w:rsidR="004334B0" w:rsidRPr="000B41D1">
        <w:t>-</w:t>
      </w:r>
      <w:r w:rsidR="004334B0">
        <w:rPr>
          <w:rFonts w:eastAsia="Times New Roman" w:cstheme="minorHAnsi"/>
          <w:lang w:eastAsia="en-AU"/>
        </w:rPr>
        <w:t>funded building work.</w:t>
      </w:r>
    </w:p>
    <w:p w14:paraId="6A0242CE" w14:textId="3F1246C2" w:rsidR="004334B0" w:rsidRDefault="004334B0" w:rsidP="00666485">
      <w:pPr>
        <w:spacing w:after="200" w:line="276" w:lineRule="auto"/>
        <w:rPr>
          <w:rFonts w:eastAsia="Times New Roman" w:cstheme="minorHAnsi"/>
          <w:lang w:eastAsia="en-AU"/>
        </w:rPr>
      </w:pPr>
      <w:r>
        <w:rPr>
          <w:rFonts w:eastAsia="Times New Roman" w:cstheme="minorHAnsi"/>
          <w:lang w:eastAsia="en-AU"/>
        </w:rPr>
        <w:t>In addition, the functions of the ABC</w:t>
      </w:r>
      <w:r w:rsidR="007B23BE">
        <w:rPr>
          <w:rFonts w:eastAsia="Times New Roman" w:cstheme="minorHAnsi"/>
          <w:lang w:eastAsia="en-AU"/>
        </w:rPr>
        <w:t> </w:t>
      </w:r>
      <w:r>
        <w:rPr>
          <w:rFonts w:eastAsia="Times New Roman" w:cstheme="minorHAnsi"/>
          <w:lang w:eastAsia="en-AU"/>
        </w:rPr>
        <w:t xml:space="preserve">Commissioner have been broadened (by comparison with those established under the </w:t>
      </w:r>
      <w:r w:rsidRPr="000B41D1">
        <w:rPr>
          <w:rFonts w:eastAsia="Times New Roman" w:cstheme="minorHAnsi"/>
          <w:lang w:eastAsia="en-AU"/>
        </w:rPr>
        <w:t>FWB</w:t>
      </w:r>
      <w:r w:rsidR="00C01C9D">
        <w:rPr>
          <w:rFonts w:eastAsia="Times New Roman" w:cstheme="minorHAnsi"/>
          <w:lang w:eastAsia="en-AU"/>
        </w:rPr>
        <w:t>I </w:t>
      </w:r>
      <w:r w:rsidR="007D6E51" w:rsidRPr="000B41D1">
        <w:rPr>
          <w:rFonts w:eastAsia="Times New Roman" w:cstheme="minorHAnsi"/>
          <w:lang w:eastAsia="en-AU"/>
        </w:rPr>
        <w:t>Act</w:t>
      </w:r>
      <w:r w:rsidRPr="000B41D1">
        <w:t>)</w:t>
      </w:r>
      <w:r w:rsidR="00666485">
        <w:rPr>
          <w:rFonts w:eastAsia="Times New Roman" w:cstheme="minorHAnsi"/>
          <w:lang w:eastAsia="en-AU"/>
        </w:rPr>
        <w:t>.</w:t>
      </w:r>
    </w:p>
    <w:p w14:paraId="21FFAD1D" w14:textId="0E4E641A" w:rsidR="004334B0" w:rsidRDefault="004334B0" w:rsidP="00666485">
      <w:pPr>
        <w:spacing w:after="200" w:line="276" w:lineRule="auto"/>
        <w:rPr>
          <w:rFonts w:eastAsia="Times New Roman" w:cstheme="minorHAnsi"/>
          <w:lang w:eastAsia="en-AU"/>
        </w:rPr>
      </w:pPr>
      <w:r>
        <w:rPr>
          <w:rFonts w:eastAsia="Times New Roman" w:cstheme="minorHAnsi"/>
          <w:lang w:eastAsia="en-AU"/>
        </w:rPr>
        <w:lastRenderedPageBreak/>
        <w:t xml:space="preserve">The following </w:t>
      </w:r>
      <w:r w:rsidR="0076186E" w:rsidRPr="00E732BC">
        <w:rPr>
          <w:rFonts w:eastAsia="Times New Roman" w:cstheme="minorHAnsi"/>
          <w:lang w:eastAsia="en-AU"/>
        </w:rPr>
        <w:t>summary</w:t>
      </w:r>
      <w:r w:rsidRPr="00E732BC">
        <w:rPr>
          <w:rFonts w:eastAsia="Times New Roman" w:cstheme="minorHAnsi"/>
          <w:lang w:eastAsia="en-AU"/>
        </w:rPr>
        <w:t xml:space="preserve"> </w:t>
      </w:r>
      <w:r>
        <w:rPr>
          <w:rFonts w:eastAsia="Times New Roman" w:cstheme="minorHAnsi"/>
          <w:lang w:eastAsia="en-AU"/>
        </w:rPr>
        <w:t>addresses each of the review’s terms of reference in turn.</w:t>
      </w:r>
    </w:p>
    <w:p w14:paraId="411B2BCF" w14:textId="77777777" w:rsidR="006F4FDF" w:rsidRPr="009F2BC6" w:rsidRDefault="006F4FDF" w:rsidP="006F4FDF">
      <w:pPr>
        <w:pStyle w:val="Heading2"/>
        <w:pBdr>
          <w:top w:val="single" w:sz="4" w:space="1" w:color="auto"/>
          <w:bottom w:val="single" w:sz="4" w:space="1" w:color="auto"/>
        </w:pBdr>
        <w:shd w:val="clear" w:color="auto" w:fill="DEEAF6" w:themeFill="accent1" w:themeFillTint="33"/>
        <w:spacing w:before="120"/>
        <w:rPr>
          <w:szCs w:val="28"/>
        </w:rPr>
      </w:pPr>
      <w:bookmarkStart w:id="14" w:name="_Toc527373152"/>
      <w:bookmarkStart w:id="15" w:name="_Toc527622263"/>
      <w:bookmarkStart w:id="16" w:name="_Toc527632982"/>
      <w:r w:rsidRPr="009F2BC6">
        <w:rPr>
          <w:szCs w:val="28"/>
        </w:rPr>
        <w:t>Term of reference 1</w:t>
      </w:r>
      <w:bookmarkEnd w:id="14"/>
      <w:bookmarkEnd w:id="15"/>
      <w:bookmarkEnd w:id="16"/>
    </w:p>
    <w:p w14:paraId="7062DFBB" w14:textId="4A6C70C7" w:rsidR="006F4FDF" w:rsidRDefault="006F4FDF" w:rsidP="006F4FDF">
      <w:pPr>
        <w:pBdr>
          <w:top w:val="single" w:sz="4" w:space="1" w:color="auto"/>
          <w:bottom w:val="single" w:sz="4" w:space="1" w:color="auto"/>
        </w:pBdr>
        <w:shd w:val="clear" w:color="auto" w:fill="DEEAF6" w:themeFill="accent1" w:themeFillTint="33"/>
        <w:spacing w:after="200" w:line="276" w:lineRule="auto"/>
        <w:rPr>
          <w:rFonts w:eastAsia="Times New Roman" w:cstheme="minorHAnsi"/>
          <w:lang w:eastAsia="en-AU"/>
        </w:rPr>
      </w:pPr>
      <w:r w:rsidRPr="00887DE0">
        <w:rPr>
          <w:rFonts w:eastAsia="Times New Roman" w:cstheme="minorHAnsi"/>
          <w:lang w:eastAsia="en-AU"/>
        </w:rPr>
        <w:t>The review will examine the performance by the Australian Building and Construction Commission (ABCC) of its 'full service regulator' function (</w:t>
      </w:r>
      <w:r w:rsidRPr="00EE0A20">
        <w:rPr>
          <w:rFonts w:eastAsia="Times New Roman" w:cstheme="minorHAnsi"/>
          <w:lang w:eastAsia="en-AU"/>
        </w:rPr>
        <w:t>that is,</w:t>
      </w:r>
      <w:r w:rsidRPr="00887DE0">
        <w:rPr>
          <w:rFonts w:eastAsia="Times New Roman" w:cstheme="minorHAnsi"/>
          <w:lang w:eastAsia="en-AU"/>
        </w:rPr>
        <w:t xml:space="preserve"> reviewing building industry employers' compliance with wages and entitlements obligations as well as regulating building industry participants' compliance with freedom of association, right of entry and similar laws).</w:t>
      </w:r>
    </w:p>
    <w:p w14:paraId="4A32280F" w14:textId="65A4D5B8" w:rsidR="004334B0" w:rsidRDefault="004334B0" w:rsidP="00666485">
      <w:pPr>
        <w:spacing w:before="200" w:after="200" w:line="276" w:lineRule="auto"/>
        <w:rPr>
          <w:rFonts w:cstheme="minorHAnsi"/>
          <w:bCs/>
          <w:color w:val="000000"/>
        </w:rPr>
      </w:pPr>
      <w:r>
        <w:t xml:space="preserve">Subsection 16(3) of the BCIIP Act explicitly requires the ABCC to </w:t>
      </w:r>
      <w:r>
        <w:rPr>
          <w:rFonts w:cstheme="minorHAnsi"/>
          <w:bCs/>
          <w:color w:val="000000"/>
        </w:rPr>
        <w:t xml:space="preserve">regulate a number of matters addressed by the FW Act, including wages and entitlements, sham contracting arrangements, and discrimination, while subsection 16(2) requires the </w:t>
      </w:r>
      <w:r w:rsidR="00530C06" w:rsidRPr="000B41D1">
        <w:t>ABC</w:t>
      </w:r>
      <w:r w:rsidR="00530C06" w:rsidRPr="00EE0A20">
        <w:t> </w:t>
      </w:r>
      <w:r w:rsidRPr="000B41D1">
        <w:t>Commissioner</w:t>
      </w:r>
      <w:r>
        <w:rPr>
          <w:rFonts w:cstheme="minorHAnsi"/>
          <w:bCs/>
          <w:color w:val="000000"/>
        </w:rPr>
        <w:t xml:space="preserve"> to adopt policies and procedures and apply the resources of the </w:t>
      </w:r>
      <w:r w:rsidR="00530C06" w:rsidRPr="00E732BC">
        <w:rPr>
          <w:rFonts w:cstheme="minorHAnsi"/>
          <w:bCs/>
          <w:color w:val="000000"/>
        </w:rPr>
        <w:t xml:space="preserve">ABCC </w:t>
      </w:r>
      <w:r>
        <w:rPr>
          <w:rFonts w:cstheme="minorHAnsi"/>
          <w:bCs/>
          <w:color w:val="000000"/>
        </w:rPr>
        <w:t xml:space="preserve">in a reasonable and proportionate way, having regard to complaints received. </w:t>
      </w:r>
    </w:p>
    <w:p w14:paraId="0137AB8F" w14:textId="429698BF" w:rsidR="004334B0" w:rsidRDefault="004334B0" w:rsidP="00666485">
      <w:pPr>
        <w:spacing w:after="200" w:line="276" w:lineRule="auto"/>
      </w:pPr>
      <w:r w:rsidRPr="00642167">
        <w:t xml:space="preserve">The </w:t>
      </w:r>
      <w:proofErr w:type="gramStart"/>
      <w:r w:rsidRPr="00642167">
        <w:t>full service</w:t>
      </w:r>
      <w:proofErr w:type="gramEnd"/>
      <w:r w:rsidRPr="00642167">
        <w:t xml:space="preserve"> regulator</w:t>
      </w:r>
      <w:r>
        <w:t xml:space="preserve"> concept</w:t>
      </w:r>
      <w:r w:rsidRPr="00642167">
        <w:t xml:space="preserve"> </w:t>
      </w:r>
      <w:r>
        <w:t>implies that the ABCC is seen to act impartially and be responsive to the concerns of all building industry participants</w:t>
      </w:r>
      <w:r w:rsidRPr="00642167">
        <w:t>.</w:t>
      </w:r>
    </w:p>
    <w:p w14:paraId="4FBD33D6" w14:textId="1CF249DE" w:rsidR="004334B0" w:rsidRDefault="004334B0" w:rsidP="00666485">
      <w:pPr>
        <w:spacing w:after="200" w:line="276" w:lineRule="auto"/>
      </w:pPr>
      <w:r>
        <w:t xml:space="preserve">Several industry submissions questioned the appropriateness of this concept, arguing that the result would be a diversion of ABCC resources into areas that they see as lying beyond its core functions, which were identified as addressing concerns over </w:t>
      </w:r>
      <w:r>
        <w:rPr>
          <w:rFonts w:cstheme="minorHAnsi"/>
          <w:color w:val="000000"/>
          <w:szCs w:val="20"/>
        </w:rPr>
        <w:t>freedom of association, enterprise bargaining, right of entry, industrial action and coercion</w:t>
      </w:r>
      <w:r w:rsidR="00470579">
        <w:t xml:space="preserve">. </w:t>
      </w:r>
      <w:r>
        <w:t>It was ar</w:t>
      </w:r>
      <w:r w:rsidR="00666485">
        <w:t>gued that the effect of subs</w:t>
      </w:r>
      <w:r w:rsidR="009D2459">
        <w:t>ection </w:t>
      </w:r>
      <w:r>
        <w:t>1</w:t>
      </w:r>
      <w:r w:rsidR="007D6E51" w:rsidRPr="00EE0A20">
        <w:t>6</w:t>
      </w:r>
      <w:r>
        <w:t>(3) would be to require the ABCC to undertake roles which other regulators could better fulfil. However, the issue of the appropriateness of the full-service regulator function lies outside the scope of this term of reference.</w:t>
      </w:r>
    </w:p>
    <w:p w14:paraId="287A7D00" w14:textId="122C33CF" w:rsidR="004334B0" w:rsidRDefault="004334B0" w:rsidP="00666485">
      <w:pPr>
        <w:spacing w:after="200" w:line="276" w:lineRule="auto"/>
        <w:rPr>
          <w:rFonts w:eastAsia="Times New Roman" w:cstheme="minorHAnsi"/>
          <w:lang w:eastAsia="en-AU"/>
        </w:rPr>
      </w:pPr>
      <w:r>
        <w:t xml:space="preserve">The ACTU argued strongly that the ABCC is not functioning as a full-service regulator, </w:t>
      </w:r>
      <w:r>
        <w:rPr>
          <w:rFonts w:cstheme="minorHAnsi"/>
          <w:color w:val="000000"/>
        </w:rPr>
        <w:t>instead showing a strong bias toward investigating and prosecuting unions and workers, while giving little attention to wages and entitlements issues. However, much of the evidence presented by the ACTU in support of this proposition related to the operations of the ABCC’s predecessor organisations. Data on the activities of the ABCC indicates that a substantial, and progressively increasing, proportion of its resources have been devoted to wages and entitlements and sham contracting issues, while a recent recruitment process will further strengthen its capacities in this area. Analysis of investigations also found a near identical proportion of employers and employees/unions as the subjects of investigations. The</w:t>
      </w:r>
      <w:r w:rsidRPr="00EE0A20">
        <w:rPr>
          <w:rFonts w:cstheme="minorHAnsi"/>
          <w:color w:val="000000"/>
        </w:rPr>
        <w:t xml:space="preserve"> </w:t>
      </w:r>
      <w:r w:rsidR="00530C06" w:rsidRPr="00EE0A20">
        <w:rPr>
          <w:rFonts w:cstheme="minorHAnsi"/>
          <w:color w:val="000000"/>
        </w:rPr>
        <w:t>ABC</w:t>
      </w:r>
      <w:r w:rsidR="007B23BE">
        <w:rPr>
          <w:rFonts w:cstheme="minorHAnsi"/>
          <w:color w:val="000000"/>
        </w:rPr>
        <w:t> </w:t>
      </w:r>
      <w:r>
        <w:rPr>
          <w:rFonts w:cstheme="minorHAnsi"/>
          <w:color w:val="000000"/>
        </w:rPr>
        <w:t xml:space="preserve">Commissioner also indicated in discussion with the review a clear focus on the need for the </w:t>
      </w:r>
      <w:r w:rsidR="00530C06" w:rsidRPr="00EE0A20">
        <w:rPr>
          <w:rFonts w:cstheme="minorHAnsi"/>
          <w:color w:val="000000"/>
        </w:rPr>
        <w:t xml:space="preserve">ABCC </w:t>
      </w:r>
      <w:r>
        <w:rPr>
          <w:rFonts w:cstheme="minorHAnsi"/>
          <w:color w:val="000000"/>
        </w:rPr>
        <w:t xml:space="preserve">to be responsive to the concerns of all industry participants. </w:t>
      </w:r>
    </w:p>
    <w:p w14:paraId="4CAECFE1" w14:textId="37D09145" w:rsidR="004334B0" w:rsidRDefault="004334B0" w:rsidP="00666485">
      <w:pPr>
        <w:spacing w:after="200" w:line="276" w:lineRule="auto"/>
      </w:pPr>
      <w:bookmarkStart w:id="17" w:name="_Hlk522709584"/>
      <w:r w:rsidRPr="00642167">
        <w:t xml:space="preserve">The </w:t>
      </w:r>
      <w:proofErr w:type="gramStart"/>
      <w:r w:rsidRPr="00642167">
        <w:t>full service</w:t>
      </w:r>
      <w:proofErr w:type="gramEnd"/>
      <w:r w:rsidRPr="00642167">
        <w:t xml:space="preserve"> regulator concept </w:t>
      </w:r>
      <w:r>
        <w:t xml:space="preserve">aims to ensure that the ABCC will, in future, have the support of all building industry participants, in contrast to its predecessor bodies. </w:t>
      </w:r>
      <w:bookmarkEnd w:id="17"/>
      <w:r>
        <w:t>T</w:t>
      </w:r>
      <w:r w:rsidRPr="00642167">
        <w:t xml:space="preserve">his will only occur if the level of activity of the ABCC in pursuing issues </w:t>
      </w:r>
      <w:r>
        <w:t>such as</w:t>
      </w:r>
      <w:r w:rsidRPr="00642167">
        <w:t xml:space="preserve"> wages and entitlements and sham contracting is sufficient to overcome embedded scepticism as to its orientation and provide confiden</w:t>
      </w:r>
      <w:r>
        <w:t>ce</w:t>
      </w:r>
      <w:r w:rsidRPr="00642167">
        <w:t xml:space="preserve"> that</w:t>
      </w:r>
      <w:r>
        <w:t xml:space="preserve"> it</w:t>
      </w:r>
      <w:r w:rsidRPr="00642167">
        <w:t xml:space="preserve"> will behave in an </w:t>
      </w:r>
      <w:r>
        <w:t>even-handed</w:t>
      </w:r>
      <w:r w:rsidRPr="00642167">
        <w:t xml:space="preserve"> fashion</w:t>
      </w:r>
      <w:r>
        <w:t xml:space="preserve">. While this review is being undertaken at a very early stage in the operations of the ABCC, </w:t>
      </w:r>
      <w:bookmarkStart w:id="18" w:name="_Hlk522709635"/>
      <w:r>
        <w:t xml:space="preserve">the available quantitative evidence regarding its activities indicates that it is acting consistently with this requirement, while the strategic orientations of the ABCC, as outlined by the </w:t>
      </w:r>
      <w:r w:rsidR="007B23BE">
        <w:t>ABC </w:t>
      </w:r>
      <w:r>
        <w:t xml:space="preserve">Commissioner, are also consistent with its obligations under </w:t>
      </w:r>
      <w:r w:rsidR="00F869E6">
        <w:t>s</w:t>
      </w:r>
      <w:r w:rsidRPr="00EE0A20">
        <w:t>ection</w:t>
      </w:r>
      <w:r w:rsidR="009D2459">
        <w:t> </w:t>
      </w:r>
      <w:r>
        <w:t xml:space="preserve">16 of the </w:t>
      </w:r>
      <w:r w:rsidR="00C01C9D">
        <w:t>BCIIP </w:t>
      </w:r>
      <w:r>
        <w:t>Act.</w:t>
      </w:r>
      <w:bookmarkEnd w:id="18"/>
    </w:p>
    <w:p w14:paraId="7F8F6848" w14:textId="77777777" w:rsidR="006F4FDF" w:rsidRPr="009F2BC6" w:rsidRDefault="006F4FDF" w:rsidP="004706A4">
      <w:pPr>
        <w:pStyle w:val="Heading2"/>
        <w:keepNext/>
        <w:pBdr>
          <w:top w:val="single" w:sz="4" w:space="1" w:color="auto"/>
          <w:bottom w:val="single" w:sz="4" w:space="1" w:color="auto"/>
        </w:pBdr>
        <w:shd w:val="clear" w:color="auto" w:fill="FBE4D5" w:themeFill="accent2" w:themeFillTint="33"/>
        <w:spacing w:before="120"/>
        <w:rPr>
          <w:szCs w:val="28"/>
        </w:rPr>
      </w:pPr>
      <w:bookmarkStart w:id="19" w:name="_Toc525908046"/>
      <w:bookmarkStart w:id="20" w:name="_Toc525908236"/>
      <w:bookmarkStart w:id="21" w:name="_Toc527373153"/>
      <w:bookmarkStart w:id="22" w:name="_Toc527622264"/>
      <w:bookmarkStart w:id="23" w:name="_Toc527632983"/>
      <w:r w:rsidRPr="009F2BC6">
        <w:rPr>
          <w:szCs w:val="28"/>
        </w:rPr>
        <w:lastRenderedPageBreak/>
        <w:t>Finding and recommendations</w:t>
      </w:r>
      <w:bookmarkEnd w:id="19"/>
      <w:bookmarkEnd w:id="20"/>
      <w:bookmarkEnd w:id="21"/>
      <w:bookmarkEnd w:id="22"/>
      <w:bookmarkEnd w:id="23"/>
    </w:p>
    <w:p w14:paraId="3BA0A0F8" w14:textId="77777777" w:rsidR="006F4FDF" w:rsidRDefault="006F4FDF" w:rsidP="004706A4">
      <w:pPr>
        <w:keepNext/>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The activities of the ABCC since its establishment, together with the strategic priorities identified by the ABC Commissioner, are consistent with its full-service regulator function.</w:t>
      </w:r>
    </w:p>
    <w:p w14:paraId="1C4C2C07" w14:textId="77777777" w:rsidR="006F4FDF" w:rsidRDefault="006F4FDF" w:rsidP="004706A4">
      <w:pPr>
        <w:keepNext/>
        <w:pBdr>
          <w:top w:val="single" w:sz="4" w:space="1" w:color="auto"/>
          <w:bottom w:val="single" w:sz="4" w:space="1" w:color="auto"/>
        </w:pBdr>
        <w:shd w:val="clear" w:color="auto" w:fill="FBE4D5" w:themeFill="accent2" w:themeFillTint="33"/>
        <w:spacing w:before="120" w:after="120"/>
      </w:pPr>
      <w:r w:rsidRPr="00154456">
        <w:rPr>
          <w:b/>
        </w:rPr>
        <w:t>Recommendation 1.1:</w:t>
      </w:r>
      <w:r w:rsidRPr="00154456">
        <w:t xml:space="preserve"> That the ABCC should more clearly articulate its commitment to increase the confidence of all building industry participants as to its impartiality.</w:t>
      </w:r>
    </w:p>
    <w:p w14:paraId="3141CB88" w14:textId="7C3F0D17" w:rsidR="006F4FDF" w:rsidRDefault="006F4FDF" w:rsidP="004706A4">
      <w:pPr>
        <w:keepNext/>
        <w:pBdr>
          <w:top w:val="single" w:sz="4" w:space="1" w:color="auto"/>
          <w:bottom w:val="single" w:sz="4" w:space="1" w:color="auto"/>
        </w:pBdr>
        <w:shd w:val="clear" w:color="auto" w:fill="FBE4D5" w:themeFill="accent2" w:themeFillTint="33"/>
        <w:spacing w:before="120" w:after="120"/>
      </w:pPr>
      <w:r w:rsidRPr="00154456">
        <w:rPr>
          <w:b/>
        </w:rPr>
        <w:t>Recommendation 1.2:</w:t>
      </w:r>
      <w:r w:rsidRPr="00154456">
        <w:t xml:space="preserve"> That, as a step toward this goal, the ABCC consider publishing additional material in its quarterly and annual reports which provides more detailed information on the matters investigated by it, including </w:t>
      </w:r>
      <w:r>
        <w:t xml:space="preserve">legal </w:t>
      </w:r>
      <w:r w:rsidRPr="00154456">
        <w:t>proceedings commenced.</w:t>
      </w:r>
    </w:p>
    <w:p w14:paraId="5761D80F" w14:textId="4429E2B8" w:rsidR="006F4FDF" w:rsidRPr="00642167" w:rsidRDefault="006F4FDF" w:rsidP="004706A4">
      <w:pPr>
        <w:keepNext/>
        <w:pBdr>
          <w:top w:val="single" w:sz="4" w:space="1" w:color="auto"/>
          <w:bottom w:val="single" w:sz="4" w:space="1" w:color="auto"/>
        </w:pBdr>
        <w:shd w:val="clear" w:color="auto" w:fill="FBE4D5" w:themeFill="accent2" w:themeFillTint="33"/>
        <w:spacing w:after="200" w:line="276" w:lineRule="auto"/>
      </w:pPr>
      <w:r w:rsidRPr="00154456">
        <w:rPr>
          <w:b/>
        </w:rPr>
        <w:t>Recommendation 1.3:</w:t>
      </w:r>
      <w:r w:rsidRPr="00154456">
        <w:t xml:space="preserve"> That this additional information should be of a type that would assist building industry participants to better understand the allocation of ABCC resources and the focus of its activities. It should also include information on the ABCC’s priorities and strategic approaches.</w:t>
      </w:r>
    </w:p>
    <w:p w14:paraId="288DAAD0" w14:textId="49D74EE0" w:rsidR="00763BF5" w:rsidRDefault="00763BF5" w:rsidP="00D72768">
      <w:pPr>
        <w:spacing w:before="200" w:after="200"/>
      </w:pPr>
    </w:p>
    <w:p w14:paraId="2D2A4A23" w14:textId="77777777" w:rsidR="006F4FDF" w:rsidRPr="009F2BC6" w:rsidRDefault="006F4FDF" w:rsidP="006F4FDF">
      <w:pPr>
        <w:pStyle w:val="Heading2"/>
        <w:pBdr>
          <w:top w:val="single" w:sz="4" w:space="1" w:color="auto"/>
          <w:bottom w:val="single" w:sz="4" w:space="1" w:color="auto"/>
        </w:pBdr>
        <w:shd w:val="clear" w:color="auto" w:fill="DEEAF6" w:themeFill="accent1" w:themeFillTint="33"/>
        <w:spacing w:before="120"/>
        <w:rPr>
          <w:szCs w:val="28"/>
        </w:rPr>
      </w:pPr>
      <w:bookmarkStart w:id="24" w:name="_Toc525894822"/>
      <w:bookmarkStart w:id="25" w:name="_Toc525908047"/>
      <w:bookmarkStart w:id="26" w:name="_Toc525908237"/>
      <w:bookmarkStart w:id="27" w:name="_Toc527373154"/>
      <w:bookmarkStart w:id="28" w:name="_Toc527622265"/>
      <w:bookmarkStart w:id="29" w:name="_Toc527632984"/>
      <w:r w:rsidRPr="009F2BC6">
        <w:rPr>
          <w:szCs w:val="28"/>
        </w:rPr>
        <w:t>Term of reference 2</w:t>
      </w:r>
      <w:bookmarkEnd w:id="24"/>
      <w:bookmarkEnd w:id="25"/>
      <w:bookmarkEnd w:id="26"/>
      <w:bookmarkEnd w:id="27"/>
      <w:bookmarkEnd w:id="28"/>
      <w:bookmarkEnd w:id="29"/>
    </w:p>
    <w:p w14:paraId="63F9B91F" w14:textId="4A6AEA38" w:rsidR="006F4FDF" w:rsidRDefault="006F4FDF" w:rsidP="006F4FDF">
      <w:pPr>
        <w:pBdr>
          <w:top w:val="single" w:sz="4" w:space="1" w:color="auto"/>
          <w:bottom w:val="single" w:sz="4" w:space="1" w:color="auto"/>
        </w:pBdr>
        <w:shd w:val="clear" w:color="auto" w:fill="DEEAF6" w:themeFill="accent1" w:themeFillTint="33"/>
        <w:spacing w:before="200" w:after="200"/>
      </w:pPr>
      <w:r w:rsidRPr="00887DE0">
        <w:rPr>
          <w:rFonts w:eastAsia="Times New Roman" w:cstheme="minorHAnsi"/>
          <w:lang w:eastAsia="en-AU"/>
        </w:rPr>
        <w:t>The review will examine the independent oversight of the</w:t>
      </w:r>
      <w:r>
        <w:rPr>
          <w:rFonts w:eastAsia="Times New Roman" w:cstheme="minorHAnsi"/>
          <w:lang w:eastAsia="en-AU"/>
        </w:rPr>
        <w:t xml:space="preserve"> ABCC’s</w:t>
      </w:r>
      <w:r w:rsidRPr="00887DE0">
        <w:rPr>
          <w:rFonts w:eastAsia="Times New Roman" w:cstheme="minorHAnsi"/>
          <w:lang w:eastAsia="en-AU"/>
        </w:rPr>
        <w:t xml:space="preserve"> compulsory examination powers, including reporting requirements (</w:t>
      </w:r>
      <w:r w:rsidRPr="00EE0A20">
        <w:rPr>
          <w:rFonts w:eastAsia="Times New Roman" w:cstheme="minorHAnsi"/>
          <w:lang w:eastAsia="en-AU"/>
        </w:rPr>
        <w:t>for example,</w:t>
      </w:r>
      <w:r w:rsidRPr="00887DE0">
        <w:rPr>
          <w:rFonts w:eastAsia="Times New Roman" w:cstheme="minorHAnsi"/>
          <w:lang w:eastAsia="en-AU"/>
        </w:rPr>
        <w:t xml:space="preserve"> the freque</w:t>
      </w:r>
      <w:r>
        <w:rPr>
          <w:rFonts w:eastAsia="Times New Roman" w:cstheme="minorHAnsi"/>
          <w:lang w:eastAsia="en-AU"/>
        </w:rPr>
        <w:t xml:space="preserve">ncy these reports are required), </w:t>
      </w:r>
      <w:r w:rsidRPr="00887DE0">
        <w:rPr>
          <w:rFonts w:eastAsia="Times New Roman" w:cstheme="minorHAnsi"/>
          <w:lang w:eastAsia="en-AU"/>
        </w:rPr>
        <w:t>and safeguards and public accountability in the application of these powers.</w:t>
      </w:r>
    </w:p>
    <w:p w14:paraId="4245EB45" w14:textId="39203BF1" w:rsidR="004334B0" w:rsidRDefault="004334B0" w:rsidP="00D72768">
      <w:pPr>
        <w:spacing w:before="200" w:after="200" w:line="276" w:lineRule="auto"/>
        <w:rPr>
          <w:rFonts w:cstheme="minorHAnsi"/>
          <w:bCs/>
          <w:color w:val="000000"/>
        </w:rPr>
      </w:pPr>
      <w:r>
        <w:rPr>
          <w:rFonts w:cstheme="minorHAnsi"/>
          <w:bCs/>
          <w:color w:val="000000"/>
        </w:rPr>
        <w:t xml:space="preserve">Several safeguards apply to the use of the compulsory examination powers of the </w:t>
      </w:r>
      <w:r w:rsidR="00530C06" w:rsidRPr="00EE0A20">
        <w:rPr>
          <w:rFonts w:cstheme="minorHAnsi"/>
          <w:bCs/>
          <w:color w:val="000000"/>
        </w:rPr>
        <w:t>ABC </w:t>
      </w:r>
      <w:r w:rsidR="00D72768">
        <w:rPr>
          <w:rFonts w:cstheme="minorHAnsi"/>
          <w:bCs/>
          <w:color w:val="000000"/>
        </w:rPr>
        <w:t>Commissioner. In particular,</w:t>
      </w:r>
      <w:r>
        <w:rPr>
          <w:rFonts w:cstheme="minorHAnsi"/>
          <w:bCs/>
          <w:color w:val="000000"/>
        </w:rPr>
        <w:t xml:space="preserve"> examinations can only be undertaken after a notice is issued by a nominated </w:t>
      </w:r>
      <w:r w:rsidR="007D6E51" w:rsidRPr="000B41D1">
        <w:rPr>
          <w:rFonts w:cstheme="minorHAnsi"/>
          <w:bCs/>
          <w:color w:val="000000"/>
        </w:rPr>
        <w:t xml:space="preserve">Administrative Appeals Tribunal (AAT) </w:t>
      </w:r>
      <w:r w:rsidRPr="006F6C62">
        <w:rPr>
          <w:color w:val="000000"/>
        </w:rPr>
        <w:t xml:space="preserve">presidential member </w:t>
      </w:r>
      <w:r>
        <w:rPr>
          <w:rFonts w:cstheme="minorHAnsi"/>
          <w:bCs/>
          <w:color w:val="000000"/>
        </w:rPr>
        <w:t xml:space="preserve">in response to an application by the </w:t>
      </w:r>
      <w:r w:rsidR="00530C06" w:rsidRPr="00E732BC">
        <w:rPr>
          <w:rFonts w:cstheme="minorHAnsi"/>
          <w:bCs/>
          <w:color w:val="000000"/>
        </w:rPr>
        <w:t>ABC </w:t>
      </w:r>
      <w:r>
        <w:rPr>
          <w:rFonts w:cstheme="minorHAnsi"/>
          <w:bCs/>
          <w:color w:val="000000"/>
        </w:rPr>
        <w:t xml:space="preserve">Commissioner; all examinations must be conducted by the </w:t>
      </w:r>
      <w:r w:rsidR="00530C06" w:rsidRPr="00E45E66">
        <w:rPr>
          <w:rFonts w:cstheme="minorHAnsi"/>
          <w:bCs/>
          <w:color w:val="000000"/>
        </w:rPr>
        <w:t>ABC </w:t>
      </w:r>
      <w:r>
        <w:rPr>
          <w:rFonts w:cstheme="minorHAnsi"/>
          <w:bCs/>
          <w:color w:val="000000"/>
        </w:rPr>
        <w:t xml:space="preserve">Commissioner, a Deputy Commissioner or a senior executive of the </w:t>
      </w:r>
      <w:r w:rsidR="00530C06" w:rsidRPr="00EE0A20">
        <w:rPr>
          <w:rFonts w:cstheme="minorHAnsi"/>
          <w:bCs/>
          <w:color w:val="000000"/>
        </w:rPr>
        <w:t>ABCC</w:t>
      </w:r>
      <w:r>
        <w:rPr>
          <w:rFonts w:cstheme="minorHAnsi"/>
          <w:bCs/>
          <w:color w:val="000000"/>
        </w:rPr>
        <w:t xml:space="preserve">; the witness has a right to legal representation; the </w:t>
      </w:r>
      <w:r w:rsidRPr="00117F1F">
        <w:rPr>
          <w:rFonts w:cstheme="minorHAnsi"/>
          <w:bCs/>
          <w:color w:val="000000"/>
        </w:rPr>
        <w:t xml:space="preserve">Commonwealth Ombudsman </w:t>
      </w:r>
      <w:r>
        <w:rPr>
          <w:rFonts w:cstheme="minorHAnsi"/>
          <w:bCs/>
          <w:color w:val="000000"/>
        </w:rPr>
        <w:t xml:space="preserve">(Ombudsman) must report quarterly to Parliament on the use of the powers; and the </w:t>
      </w:r>
      <w:r w:rsidR="00530C06" w:rsidRPr="00EE0A20">
        <w:rPr>
          <w:rFonts w:cstheme="minorHAnsi"/>
          <w:bCs/>
          <w:color w:val="000000"/>
        </w:rPr>
        <w:t>ABC </w:t>
      </w:r>
      <w:r>
        <w:rPr>
          <w:rFonts w:cstheme="minorHAnsi"/>
          <w:bCs/>
          <w:color w:val="000000"/>
        </w:rPr>
        <w:t>Commissioner is required to report quarterly to the Minister on the ABCC’s performance of its functions, including the use of these powers.</w:t>
      </w:r>
    </w:p>
    <w:p w14:paraId="0F5F8E1C" w14:textId="38F3846B" w:rsidR="004334B0" w:rsidRDefault="004334B0" w:rsidP="00D72768">
      <w:pPr>
        <w:spacing w:after="200" w:line="276" w:lineRule="auto"/>
        <w:rPr>
          <w:rFonts w:cstheme="minorHAnsi"/>
        </w:rPr>
      </w:pPr>
      <w:r>
        <w:t>While virtually all submissions to the review addressed this term of reference, most focused on the appropriateness of the compulsory examination powers, rather than the oversight provisions applying to them. Industry submissions supported the powers, while the ACTU argued for their removal and replacement with ‘</w:t>
      </w:r>
      <w:r w:rsidRPr="000B41D1">
        <w:t xml:space="preserve">the usual discovery and subpoena powers supervised by the </w:t>
      </w:r>
      <w:r w:rsidRPr="000B41D1">
        <w:rPr>
          <w:rFonts w:cstheme="minorHAnsi"/>
        </w:rPr>
        <w:t>courts’</w:t>
      </w:r>
      <w:r w:rsidR="00D72768">
        <w:rPr>
          <w:rFonts w:cstheme="minorHAnsi"/>
        </w:rPr>
        <w:t>.</w:t>
      </w:r>
      <w:r>
        <w:rPr>
          <w:rFonts w:cstheme="minorHAnsi"/>
        </w:rPr>
        <w:t xml:space="preserve"> This issue is beyond the scope of the terms of reference for the review.</w:t>
      </w:r>
    </w:p>
    <w:p w14:paraId="7888C643" w14:textId="22B2FC3C" w:rsidR="004334B0" w:rsidRDefault="004334B0" w:rsidP="00D72768">
      <w:pPr>
        <w:spacing w:after="200" w:line="276" w:lineRule="auto"/>
        <w:rPr>
          <w:rFonts w:cstheme="minorHAnsi"/>
        </w:rPr>
      </w:pPr>
      <w:r>
        <w:rPr>
          <w:rFonts w:cstheme="minorHAnsi"/>
        </w:rPr>
        <w:t xml:space="preserve">To the extent that the oversight powers were addressed, all submissions except for that of the ACTU argued that the powers were adequate and appropriate. Conversely, the ACTU highlighted questions in relation to both the timeliness and availability of the Ombudsman’s reports. The ACTU argued that the current oversight mechanisms do not allow </w:t>
      </w:r>
      <w:r w:rsidR="00530C06" w:rsidRPr="00EE0A20">
        <w:rPr>
          <w:rFonts w:cstheme="minorHAnsi"/>
        </w:rPr>
        <w:t>‘</w:t>
      </w:r>
      <w:r>
        <w:rPr>
          <w:rFonts w:cstheme="minorHAnsi"/>
        </w:rPr>
        <w:t>real time oversight</w:t>
      </w:r>
      <w:r w:rsidR="00530C06" w:rsidRPr="00EE0A20">
        <w:rPr>
          <w:rFonts w:cstheme="minorHAnsi"/>
        </w:rPr>
        <w:t>’</w:t>
      </w:r>
      <w:r w:rsidR="00D72768">
        <w:rPr>
          <w:rFonts w:cstheme="minorHAnsi"/>
        </w:rPr>
        <w:t>,</w:t>
      </w:r>
      <w:r>
        <w:rPr>
          <w:rFonts w:cstheme="minorHAnsi"/>
        </w:rPr>
        <w:t xml:space="preserve"> with the associated ability to address issues as they arise, rather than making unenforceable r</w:t>
      </w:r>
      <w:r w:rsidR="00D72768">
        <w:rPr>
          <w:rFonts w:cstheme="minorHAnsi"/>
        </w:rPr>
        <w:t>ecommendations after the fact.</w:t>
      </w:r>
    </w:p>
    <w:p w14:paraId="322AF240" w14:textId="5DAABBDE" w:rsidR="004334B0" w:rsidRDefault="004334B0" w:rsidP="00D72768">
      <w:pPr>
        <w:spacing w:after="200" w:line="276" w:lineRule="auto"/>
        <w:rPr>
          <w:rFonts w:cstheme="minorHAnsi"/>
        </w:rPr>
      </w:pPr>
      <w:r>
        <w:rPr>
          <w:rFonts w:cstheme="minorHAnsi"/>
        </w:rPr>
        <w:lastRenderedPageBreak/>
        <w:t>Assessment of the most recent Annual Report published by the Ombudsman indicates that only one recommendation was made</w:t>
      </w:r>
      <w:r w:rsidR="00530C06" w:rsidRPr="00EE0A20">
        <w:rPr>
          <w:rFonts w:cstheme="minorHAnsi"/>
        </w:rPr>
        <w:t>.</w:t>
      </w:r>
      <w:r>
        <w:rPr>
          <w:rStyle w:val="FootnoteReference"/>
          <w:rFonts w:cstheme="minorHAnsi"/>
        </w:rPr>
        <w:footnoteReference w:id="3"/>
      </w:r>
      <w:r>
        <w:rPr>
          <w:rFonts w:cstheme="minorHAnsi"/>
        </w:rPr>
        <w:t xml:space="preserve"> This was that the then</w:t>
      </w:r>
      <w:r w:rsidR="00D72768">
        <w:rPr>
          <w:rFonts w:cstheme="minorHAnsi"/>
        </w:rPr>
        <w:t xml:space="preserve"> FWBC </w:t>
      </w:r>
      <w:r w:rsidR="007D6E51" w:rsidRPr="000B41D1">
        <w:rPr>
          <w:rFonts w:cstheme="minorHAnsi"/>
        </w:rPr>
        <w:t>Director</w:t>
      </w:r>
      <w:r>
        <w:rPr>
          <w:rFonts w:cstheme="minorHAnsi"/>
        </w:rPr>
        <w:t xml:space="preserve"> should not express a preference to examinees that they not disclose the matters discussed at examination. While this recommendation was not immediately accepted by the FWBC, the current ABC Commissioner has adopted a new approach in this area, which appears consistent with the recommendation. While the Ombudsman’s reports have highlighted several smaller issues associated with the use of these powers, an overall assessment of these reports indicates that the powers have been used appropriately by the ABCC.</w:t>
      </w:r>
    </w:p>
    <w:p w14:paraId="6AAD7210" w14:textId="0F1404AC" w:rsidR="004334B0" w:rsidRDefault="004334B0" w:rsidP="00D72768">
      <w:pPr>
        <w:spacing w:after="200" w:line="276" w:lineRule="auto"/>
        <w:rPr>
          <w:rFonts w:cstheme="minorHAnsi"/>
        </w:rPr>
      </w:pPr>
      <w:r>
        <w:rPr>
          <w:rFonts w:cstheme="minorHAnsi"/>
        </w:rPr>
        <w:t>In a submission to the review, the Ombudsman argued that the current quarterly reporting frequency is unusually short, relative to similar requirements of other legislation, and that this creates practical difficulties for both the Ombudsman’s office and the ABCC. The Ombudsman believes that biannual reporting would be preferable on practical grounds and would not compromise its ability to exercise effective scrutiny.</w:t>
      </w:r>
    </w:p>
    <w:p w14:paraId="14CECA63" w14:textId="77777777" w:rsidR="004334B0" w:rsidRDefault="004334B0" w:rsidP="00D72768">
      <w:pPr>
        <w:spacing w:after="200" w:line="276" w:lineRule="auto"/>
      </w:pPr>
      <w:r>
        <w:t xml:space="preserve">The review concludes that the current arrangements for exercising oversight of the compulsory examination powers are generally appropriate. However, it accepts the view put forward by the Ombudsman in relation to the difficulties caused by the current requirement for quarterly reporting. </w:t>
      </w:r>
    </w:p>
    <w:p w14:paraId="5C3704EA" w14:textId="2B974CD8" w:rsidR="004334B0" w:rsidRDefault="004334B0" w:rsidP="00D72768">
      <w:pPr>
        <w:spacing w:after="200" w:line="276" w:lineRule="auto"/>
      </w:pPr>
      <w:r>
        <w:t>The review believes that publication of these reports on the Ombudsman’s website is appropriate. However, given the ACTU’s suggestion that their publication on the ABCC website would enhance their effective accessibility, it notes that there appears to be no obvious impediment to access being available through both websites.</w:t>
      </w:r>
    </w:p>
    <w:p w14:paraId="2975CEF7" w14:textId="77777777" w:rsidR="006F4FDF" w:rsidRPr="009F2BC6" w:rsidRDefault="006F4FDF" w:rsidP="004706A4">
      <w:pPr>
        <w:pStyle w:val="Heading2"/>
        <w:keepNext/>
        <w:pBdr>
          <w:top w:val="single" w:sz="4" w:space="1" w:color="auto"/>
          <w:bottom w:val="single" w:sz="4" w:space="1" w:color="auto"/>
        </w:pBdr>
        <w:shd w:val="clear" w:color="auto" w:fill="FBE4D5" w:themeFill="accent2" w:themeFillTint="33"/>
        <w:spacing w:before="120"/>
        <w:rPr>
          <w:szCs w:val="28"/>
        </w:rPr>
      </w:pPr>
      <w:bookmarkStart w:id="30" w:name="_Toc525908048"/>
      <w:bookmarkStart w:id="31" w:name="_Toc525908238"/>
      <w:bookmarkStart w:id="32" w:name="_Toc527373155"/>
      <w:bookmarkStart w:id="33" w:name="_Toc527622266"/>
      <w:bookmarkStart w:id="34" w:name="_Toc527632985"/>
      <w:r w:rsidRPr="009F2BC6">
        <w:rPr>
          <w:szCs w:val="28"/>
        </w:rPr>
        <w:t>Finding and recommendations</w:t>
      </w:r>
      <w:bookmarkEnd w:id="30"/>
      <w:bookmarkEnd w:id="31"/>
      <w:bookmarkEnd w:id="32"/>
      <w:bookmarkEnd w:id="33"/>
      <w:bookmarkEnd w:id="34"/>
    </w:p>
    <w:p w14:paraId="27919659" w14:textId="77777777" w:rsidR="006F4FDF" w:rsidRDefault="006F4FDF" w:rsidP="004706A4">
      <w:pPr>
        <w:keepNext/>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That the safeguards and public accountability mechanisms incorporated in the current oversight arrangements in respect of the ABCC’s compulsory examination powers are adequate and appropriate.</w:t>
      </w:r>
    </w:p>
    <w:p w14:paraId="1741AC27" w14:textId="77777777" w:rsidR="006F4FDF" w:rsidRDefault="006F4FDF" w:rsidP="004706A4">
      <w:pPr>
        <w:keepNext/>
        <w:pBdr>
          <w:top w:val="single" w:sz="4" w:space="1" w:color="auto"/>
          <w:bottom w:val="single" w:sz="4" w:space="1" w:color="auto"/>
        </w:pBdr>
        <w:shd w:val="clear" w:color="auto" w:fill="FBE4D5" w:themeFill="accent2" w:themeFillTint="33"/>
        <w:spacing w:before="120" w:after="120"/>
      </w:pPr>
      <w:r>
        <w:rPr>
          <w:b/>
        </w:rPr>
        <w:t>Recommendation 2</w:t>
      </w:r>
      <w:r w:rsidRPr="00154456">
        <w:rPr>
          <w:b/>
        </w:rPr>
        <w:t>.1:</w:t>
      </w:r>
      <w:r w:rsidRPr="00154456">
        <w:t xml:space="preserve"> That the current oversight arrangements should be retained, subject to the changes proposed in recommendations 2.2 and 2.3.</w:t>
      </w:r>
    </w:p>
    <w:p w14:paraId="4D760326" w14:textId="77777777" w:rsidR="006F4FDF" w:rsidRDefault="006F4FDF" w:rsidP="004706A4">
      <w:pPr>
        <w:keepNext/>
        <w:pBdr>
          <w:top w:val="single" w:sz="4" w:space="1" w:color="auto"/>
          <w:bottom w:val="single" w:sz="4" w:space="1" w:color="auto"/>
        </w:pBdr>
        <w:shd w:val="clear" w:color="auto" w:fill="FBE4D5" w:themeFill="accent2" w:themeFillTint="33"/>
        <w:spacing w:before="120" w:after="120"/>
      </w:pPr>
      <w:r>
        <w:rPr>
          <w:b/>
        </w:rPr>
        <w:t>Recommendation 2</w:t>
      </w:r>
      <w:r w:rsidRPr="00154456">
        <w:rPr>
          <w:b/>
        </w:rPr>
        <w:t>.2:</w:t>
      </w:r>
      <w:r w:rsidRPr="00154456">
        <w:t xml:space="preserve"> Th</w:t>
      </w:r>
      <w:r>
        <w:t>at the provisions of subsection 65(6) of the BCIIP </w:t>
      </w:r>
      <w:r w:rsidRPr="00154456">
        <w:t>Act be amended to provide for the Ombudsman to report to Parliament on a biannual basis, rather than a quarterly basis.</w:t>
      </w:r>
    </w:p>
    <w:p w14:paraId="666BD787" w14:textId="43639E5F" w:rsidR="006F4FDF" w:rsidRDefault="006F4FDF" w:rsidP="004706A4">
      <w:pPr>
        <w:keepNext/>
        <w:pBdr>
          <w:top w:val="single" w:sz="4" w:space="1" w:color="auto"/>
          <w:bottom w:val="single" w:sz="4" w:space="1" w:color="auto"/>
        </w:pBdr>
        <w:shd w:val="clear" w:color="auto" w:fill="FBE4D5" w:themeFill="accent2" w:themeFillTint="33"/>
        <w:spacing w:after="200" w:line="276" w:lineRule="auto"/>
      </w:pPr>
      <w:r w:rsidRPr="00154456">
        <w:rPr>
          <w:b/>
        </w:rPr>
        <w:t xml:space="preserve">Recommendation </w:t>
      </w:r>
      <w:r>
        <w:rPr>
          <w:b/>
        </w:rPr>
        <w:t>2</w:t>
      </w:r>
      <w:r w:rsidRPr="00154456">
        <w:rPr>
          <w:b/>
        </w:rPr>
        <w:t>.3:</w:t>
      </w:r>
      <w:r w:rsidRPr="00154456">
        <w:t xml:space="preserve"> That the Minister request that the ABCC incorporate a link to the Ombudsman’s reports on its website.</w:t>
      </w:r>
    </w:p>
    <w:p w14:paraId="33B44555" w14:textId="77777777" w:rsidR="00917EAC" w:rsidRDefault="00917EAC">
      <w:r>
        <w:br w:type="page"/>
      </w:r>
    </w:p>
    <w:p w14:paraId="39C41F68" w14:textId="77777777" w:rsidR="006F4FDF" w:rsidRPr="009F2BC6" w:rsidRDefault="006F4FDF" w:rsidP="006F4FDF">
      <w:pPr>
        <w:pStyle w:val="Heading2"/>
        <w:pBdr>
          <w:top w:val="single" w:sz="4" w:space="1" w:color="auto"/>
          <w:bottom w:val="single" w:sz="4" w:space="1" w:color="auto"/>
        </w:pBdr>
        <w:shd w:val="clear" w:color="auto" w:fill="DEEAF6" w:themeFill="accent1" w:themeFillTint="33"/>
        <w:spacing w:before="120"/>
        <w:rPr>
          <w:szCs w:val="28"/>
        </w:rPr>
      </w:pPr>
      <w:bookmarkStart w:id="35" w:name="_Toc525894823"/>
      <w:bookmarkStart w:id="36" w:name="_Toc525908049"/>
      <w:bookmarkStart w:id="37" w:name="_Toc525908239"/>
      <w:bookmarkStart w:id="38" w:name="_Toc527373156"/>
      <w:bookmarkStart w:id="39" w:name="_Toc527622267"/>
      <w:bookmarkStart w:id="40" w:name="_Toc527632986"/>
      <w:r w:rsidRPr="009F2BC6">
        <w:rPr>
          <w:szCs w:val="28"/>
        </w:rPr>
        <w:lastRenderedPageBreak/>
        <w:t>Term of reference 3</w:t>
      </w:r>
      <w:bookmarkEnd w:id="35"/>
      <w:bookmarkEnd w:id="36"/>
      <w:bookmarkEnd w:id="37"/>
      <w:bookmarkEnd w:id="38"/>
      <w:bookmarkEnd w:id="39"/>
      <w:bookmarkEnd w:id="40"/>
    </w:p>
    <w:p w14:paraId="7E2F9AF4" w14:textId="33F5A3EF" w:rsidR="006F4FDF" w:rsidRDefault="006F4FDF" w:rsidP="006F4FDF">
      <w:pPr>
        <w:pBdr>
          <w:top w:val="single" w:sz="4" w:space="1" w:color="auto"/>
          <w:bottom w:val="single" w:sz="4" w:space="1" w:color="auto"/>
        </w:pBdr>
        <w:shd w:val="clear" w:color="auto" w:fill="DEEAF6" w:themeFill="accent1" w:themeFillTint="33"/>
        <w:spacing w:before="200" w:after="200" w:line="276" w:lineRule="auto"/>
        <w:rPr>
          <w:rFonts w:cstheme="minorHAnsi"/>
          <w:bCs/>
          <w:color w:val="000000"/>
        </w:rPr>
      </w:pPr>
      <w:r w:rsidRPr="00887DE0">
        <w:rPr>
          <w:rFonts w:eastAsia="Times New Roman" w:cstheme="minorHAnsi"/>
          <w:lang w:eastAsia="en-AU"/>
        </w:rPr>
        <w:t xml:space="preserve">The review will examine </w:t>
      </w:r>
      <w:r>
        <w:rPr>
          <w:rFonts w:eastAsia="Times New Roman" w:cstheme="minorHAnsi"/>
          <w:lang w:eastAsia="en-AU"/>
        </w:rPr>
        <w:t>w</w:t>
      </w:r>
      <w:r w:rsidRPr="00AD31DF">
        <w:rPr>
          <w:rFonts w:eastAsia="Times New Roman" w:cstheme="minorHAnsi"/>
          <w:lang w:eastAsia="en-AU"/>
        </w:rPr>
        <w:t>hether the higher penalties under the BCII</w:t>
      </w:r>
      <w:r>
        <w:rPr>
          <w:rFonts w:eastAsia="Times New Roman" w:cstheme="minorHAnsi"/>
          <w:lang w:eastAsia="en-AU"/>
        </w:rPr>
        <w:t>P </w:t>
      </w:r>
      <w:r w:rsidRPr="00AD31DF">
        <w:rPr>
          <w:rFonts w:eastAsia="Times New Roman" w:cstheme="minorHAnsi"/>
          <w:lang w:eastAsia="en-AU"/>
        </w:rPr>
        <w:t>Act are acting as a deterrent to prevent contraventions of workplace relations laws by industry participants.</w:t>
      </w:r>
    </w:p>
    <w:p w14:paraId="3A5AEA44" w14:textId="6E34E484" w:rsidR="004334B0" w:rsidRDefault="004334B0" w:rsidP="00917EAC">
      <w:pPr>
        <w:spacing w:before="200" w:after="200" w:line="276" w:lineRule="auto"/>
        <w:rPr>
          <w:rFonts w:cstheme="minorHAnsi"/>
          <w:bCs/>
          <w:color w:val="000000"/>
        </w:rPr>
      </w:pPr>
      <w:r>
        <w:rPr>
          <w:rFonts w:cstheme="minorHAnsi"/>
          <w:bCs/>
          <w:color w:val="000000"/>
        </w:rPr>
        <w:t>The BCIIP Act contains several building industry specific workplace relations civil remedy provisions. Some of these provide for higher maximum penalties</w:t>
      </w:r>
      <w:r w:rsidRPr="00A44153">
        <w:rPr>
          <w:rFonts w:cstheme="minorHAnsi"/>
          <w:bCs/>
          <w:color w:val="000000"/>
        </w:rPr>
        <w:t xml:space="preserve"> </w:t>
      </w:r>
      <w:r>
        <w:rPr>
          <w:rFonts w:cstheme="minorHAnsi"/>
          <w:bCs/>
          <w:color w:val="000000"/>
        </w:rPr>
        <w:t xml:space="preserve">for contraventions than those able to be </w:t>
      </w:r>
      <w:r w:rsidRPr="006F6C62">
        <w:rPr>
          <w:color w:val="000000"/>
        </w:rPr>
        <w:t xml:space="preserve">imposed </w:t>
      </w:r>
      <w:r w:rsidR="007D6E51" w:rsidRPr="000B41D1">
        <w:rPr>
          <w:rFonts w:cstheme="minorHAnsi"/>
          <w:bCs/>
          <w:color w:val="000000"/>
        </w:rPr>
        <w:t>when</w:t>
      </w:r>
      <w:r w:rsidRPr="006F6C62">
        <w:rPr>
          <w:color w:val="000000"/>
        </w:rPr>
        <w:t xml:space="preserve"> the FWBI Act</w:t>
      </w:r>
      <w:r w:rsidR="007D6E51" w:rsidRPr="000B41D1">
        <w:rPr>
          <w:rFonts w:cstheme="minorHAnsi"/>
          <w:bCs/>
          <w:color w:val="000000"/>
        </w:rPr>
        <w:t xml:space="preserve"> was in operation</w:t>
      </w:r>
      <w:r w:rsidRPr="006F6C62">
        <w:rPr>
          <w:color w:val="000000"/>
        </w:rPr>
        <w:t xml:space="preserve">, which relied on the generally applicable penalties for contraventions of similar </w:t>
      </w:r>
      <w:r w:rsidR="007D6E51" w:rsidRPr="000B41D1">
        <w:rPr>
          <w:rFonts w:cstheme="minorHAnsi"/>
          <w:bCs/>
          <w:color w:val="000000"/>
        </w:rPr>
        <w:t>civil remedy</w:t>
      </w:r>
      <w:r w:rsidR="007D6E51" w:rsidRPr="00EE0A20">
        <w:rPr>
          <w:rFonts w:cstheme="minorHAnsi"/>
          <w:bCs/>
          <w:color w:val="000000"/>
        </w:rPr>
        <w:t xml:space="preserve"> </w:t>
      </w:r>
      <w:r>
        <w:rPr>
          <w:rFonts w:cstheme="minorHAnsi"/>
          <w:bCs/>
          <w:color w:val="000000"/>
        </w:rPr>
        <w:t xml:space="preserve">provisions of </w:t>
      </w:r>
      <w:r w:rsidRPr="006F625F">
        <w:rPr>
          <w:rFonts w:cstheme="minorHAnsi"/>
          <w:bCs/>
          <w:color w:val="000000"/>
        </w:rPr>
        <w:t>the</w:t>
      </w:r>
      <w:r>
        <w:rPr>
          <w:rFonts w:cstheme="minorHAnsi"/>
          <w:bCs/>
          <w:color w:val="000000"/>
        </w:rPr>
        <w:t xml:space="preserve"> FW Act</w:t>
      </w:r>
      <w:r>
        <w:rPr>
          <w:rFonts w:cstheme="minorHAnsi"/>
          <w:bCs/>
          <w:i/>
          <w:color w:val="000000"/>
        </w:rPr>
        <w:t xml:space="preserve">. </w:t>
      </w:r>
      <w:r>
        <w:rPr>
          <w:rFonts w:cstheme="minorHAnsi"/>
          <w:bCs/>
          <w:color w:val="000000"/>
        </w:rPr>
        <w:t xml:space="preserve">The penalties contained in the BCIIP Act are similar in size to those provided under the former </w:t>
      </w:r>
      <w:r w:rsidRPr="00A44153">
        <w:rPr>
          <w:rFonts w:cstheme="minorHAnsi"/>
          <w:bCs/>
          <w:i/>
          <w:color w:val="000000"/>
        </w:rPr>
        <w:t>Building and Construction Industry Improvement Act</w:t>
      </w:r>
      <w:r>
        <w:rPr>
          <w:rFonts w:cstheme="minorHAnsi"/>
          <w:bCs/>
          <w:i/>
          <w:color w:val="000000"/>
        </w:rPr>
        <w:t> </w:t>
      </w:r>
      <w:r w:rsidRPr="00A44153">
        <w:rPr>
          <w:rFonts w:cstheme="minorHAnsi"/>
          <w:bCs/>
          <w:i/>
          <w:color w:val="000000"/>
        </w:rPr>
        <w:t>2005</w:t>
      </w:r>
      <w:r>
        <w:rPr>
          <w:rFonts w:cstheme="minorHAnsi"/>
          <w:bCs/>
          <w:i/>
          <w:color w:val="000000"/>
        </w:rPr>
        <w:t xml:space="preserve"> </w:t>
      </w:r>
      <w:r w:rsidRPr="00C90A5B">
        <w:rPr>
          <w:rFonts w:cstheme="minorHAnsi"/>
          <w:bCs/>
          <w:color w:val="000000"/>
        </w:rPr>
        <w:t>(BCII</w:t>
      </w:r>
      <w:r>
        <w:rPr>
          <w:rFonts w:cstheme="minorHAnsi"/>
          <w:bCs/>
          <w:color w:val="000000"/>
        </w:rPr>
        <w:t> </w:t>
      </w:r>
      <w:r w:rsidRPr="00C90A5B">
        <w:rPr>
          <w:rFonts w:cstheme="minorHAnsi"/>
          <w:bCs/>
          <w:color w:val="000000"/>
        </w:rPr>
        <w:t>Act)</w:t>
      </w:r>
      <w:r>
        <w:rPr>
          <w:rFonts w:cstheme="minorHAnsi"/>
          <w:bCs/>
          <w:i/>
          <w:color w:val="000000"/>
        </w:rPr>
        <w:t xml:space="preserve">. </w:t>
      </w:r>
      <w:r>
        <w:rPr>
          <w:rFonts w:cstheme="minorHAnsi"/>
          <w:bCs/>
          <w:color w:val="000000"/>
        </w:rPr>
        <w:t>Thus, the BCIIP Act has re-established a building industry-specific regime of higher penalties. This change was the result of concerns as to whether the previous penalty arrangements provided a sufficient disincentive to non-compliant behaviour.</w:t>
      </w:r>
    </w:p>
    <w:p w14:paraId="61CFDCCF" w14:textId="77777777" w:rsidR="004334B0" w:rsidRDefault="004334B0" w:rsidP="00917EAC">
      <w:pPr>
        <w:spacing w:after="200" w:line="276" w:lineRule="auto"/>
      </w:pPr>
      <w:r>
        <w:t xml:space="preserve">Industry submissions generally argued that it was not yet possible to draw a clear conclusion as to the incentive effects of the higher penalty regime, although two submissions did argue that some evidence suggests a reduction in non-compliant behaviour within the industry. All argued for the retention of the penalties at their current level, while at least one argued that the government should be open to further increasing the level of penalties available. </w:t>
      </w:r>
    </w:p>
    <w:p w14:paraId="6364888B" w14:textId="77777777" w:rsidR="004334B0" w:rsidRDefault="004334B0" w:rsidP="00BE04A2">
      <w:pPr>
        <w:spacing w:after="200" w:line="276" w:lineRule="auto"/>
      </w:pPr>
      <w:r>
        <w:t xml:space="preserve">Submissions from the AWU and the ACTU did not directly address whether the higher penalties were affecting compliance, but the </w:t>
      </w:r>
      <w:r w:rsidRPr="000E388C">
        <w:t xml:space="preserve">ACTU </w:t>
      </w:r>
      <w:r>
        <w:t xml:space="preserve">argued that higher penalties should be extended to </w:t>
      </w:r>
      <w:r w:rsidRPr="000E388C">
        <w:t xml:space="preserve">non-compliance with wages and </w:t>
      </w:r>
      <w:r>
        <w:t>entitlements</w:t>
      </w:r>
      <w:r w:rsidRPr="000E388C">
        <w:t xml:space="preserve"> obligations </w:t>
      </w:r>
      <w:r>
        <w:t xml:space="preserve">and contraventions of work health and </w:t>
      </w:r>
      <w:r w:rsidRPr="000E388C">
        <w:t xml:space="preserve">safety </w:t>
      </w:r>
      <w:r>
        <w:t>laws.</w:t>
      </w:r>
    </w:p>
    <w:p w14:paraId="33A58EB4" w14:textId="2408920C" w:rsidR="004334B0" w:rsidRDefault="004334B0" w:rsidP="00BE04A2">
      <w:pPr>
        <w:spacing w:after="200" w:line="276" w:lineRule="auto"/>
      </w:pPr>
      <w:r>
        <w:t xml:space="preserve">The ABC Commissioner pointed out that no </w:t>
      </w:r>
      <w:r w:rsidR="00032FD1">
        <w:t xml:space="preserve">penalties </w:t>
      </w:r>
      <w:r>
        <w:t xml:space="preserve">have yet been imposed in a context in which the new higher penalties are available. This means that any incentive effects observed to date would necessarily be indirect in nature – </w:t>
      </w:r>
      <w:r w:rsidR="00530C06" w:rsidRPr="00EE0A20">
        <w:t xml:space="preserve">that is, </w:t>
      </w:r>
      <w:r>
        <w:t>they would be the result of awareness of the availability of higher penalties, rather than their actual imposition.</w:t>
      </w:r>
    </w:p>
    <w:p w14:paraId="4677BC90" w14:textId="6364429B" w:rsidR="00763BF5" w:rsidRDefault="004334B0" w:rsidP="00BE04A2">
      <w:pPr>
        <w:spacing w:after="200" w:line="276" w:lineRule="auto"/>
        <w:rPr>
          <w:rFonts w:cstheme="minorHAnsi"/>
          <w:bCs/>
          <w:color w:val="000000"/>
        </w:rPr>
      </w:pPr>
      <w:r>
        <w:rPr>
          <w:rFonts w:cstheme="minorHAnsi"/>
          <w:bCs/>
          <w:color w:val="000000"/>
        </w:rPr>
        <w:t>In light of this, there is little reliable basis on which to draw a conclusion as to the probable deterrent effects of the higher penalties provided under the BCIIP Act. This, in turn, suggests that there is no sound basis for recommending any change to the current penalty arrangements.</w:t>
      </w:r>
    </w:p>
    <w:p w14:paraId="6F5421BB" w14:textId="77777777" w:rsidR="006F4FDF" w:rsidRPr="009F2BC6" w:rsidRDefault="006F4FDF" w:rsidP="006F4FDF">
      <w:pPr>
        <w:pStyle w:val="Heading2"/>
        <w:keepNext/>
        <w:keepLines/>
        <w:pBdr>
          <w:top w:val="single" w:sz="4" w:space="1" w:color="auto"/>
          <w:bottom w:val="single" w:sz="4" w:space="1" w:color="auto"/>
        </w:pBdr>
        <w:shd w:val="clear" w:color="auto" w:fill="FBE4D5" w:themeFill="accent2" w:themeFillTint="33"/>
        <w:spacing w:before="120"/>
        <w:rPr>
          <w:szCs w:val="28"/>
        </w:rPr>
      </w:pPr>
      <w:bookmarkStart w:id="41" w:name="_Toc525908050"/>
      <w:bookmarkStart w:id="42" w:name="_Toc525908240"/>
      <w:bookmarkStart w:id="43" w:name="_Toc527373157"/>
      <w:bookmarkStart w:id="44" w:name="_Toc527622268"/>
      <w:bookmarkStart w:id="45" w:name="_Toc527632987"/>
      <w:r w:rsidRPr="009F2BC6">
        <w:rPr>
          <w:szCs w:val="28"/>
        </w:rPr>
        <w:lastRenderedPageBreak/>
        <w:t>Finding and recommendations</w:t>
      </w:r>
      <w:bookmarkEnd w:id="41"/>
      <w:bookmarkEnd w:id="42"/>
      <w:bookmarkEnd w:id="43"/>
      <w:bookmarkEnd w:id="44"/>
      <w:bookmarkEnd w:id="45"/>
    </w:p>
    <w:p w14:paraId="099F03F7" w14:textId="07AB4DCB" w:rsidR="006F4FDF" w:rsidRDefault="006F4FDF" w:rsidP="006F4FDF">
      <w:pPr>
        <w:keepNext/>
        <w:keepLines/>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w:t>
      </w:r>
      <w:r w:rsidRPr="0032771E">
        <w:t xml:space="preserve">That little evidence as to the deterrent effects of the increased penalties </w:t>
      </w:r>
      <w:r>
        <w:t>provided</w:t>
      </w:r>
      <w:r w:rsidRPr="0032771E">
        <w:t xml:space="preserve"> </w:t>
      </w:r>
      <w:r>
        <w:t>under the BCIIP </w:t>
      </w:r>
      <w:r w:rsidRPr="0032771E">
        <w:t>Act is currently available. This largely reflects the fact that no penalties ha</w:t>
      </w:r>
      <w:r>
        <w:t>ve been imposed under the BCIIP </w:t>
      </w:r>
      <w:r w:rsidRPr="0032771E">
        <w:t>Act. Limited evidence of reductions in the number of days lost to industrial disputes and t</w:t>
      </w:r>
      <w:r>
        <w:t xml:space="preserve">he number of proceedings initiated </w:t>
      </w:r>
      <w:r w:rsidRPr="0032771E">
        <w:t>by the ABCC sinc</w:t>
      </w:r>
      <w:r>
        <w:t>e the commencement of the BCIIP </w:t>
      </w:r>
      <w:r w:rsidRPr="0032771E">
        <w:t>Act may suggest that some incentive effects have been felt. However, no confident conclusion can be drawn on this point.</w:t>
      </w:r>
    </w:p>
    <w:p w14:paraId="3467C61D" w14:textId="77777777" w:rsidR="006F4FDF" w:rsidRDefault="006F4FDF" w:rsidP="006F4FDF">
      <w:pPr>
        <w:keepNext/>
        <w:keepLines/>
        <w:pBdr>
          <w:top w:val="single" w:sz="4" w:space="1" w:color="auto"/>
          <w:bottom w:val="single" w:sz="4" w:space="1" w:color="auto"/>
        </w:pBdr>
        <w:shd w:val="clear" w:color="auto" w:fill="FBE4D5" w:themeFill="accent2" w:themeFillTint="33"/>
        <w:spacing w:before="120" w:after="120"/>
      </w:pPr>
      <w:r>
        <w:rPr>
          <w:b/>
        </w:rPr>
        <w:t>Recommendation 3</w:t>
      </w:r>
      <w:r w:rsidRPr="00154456">
        <w:rPr>
          <w:b/>
        </w:rPr>
        <w:t>.1:</w:t>
      </w:r>
      <w:r w:rsidRPr="00154456">
        <w:t xml:space="preserve"> </w:t>
      </w:r>
      <w:r w:rsidRPr="0032771E">
        <w:t xml:space="preserve">That, in light of the above finding, no changes to the current </w:t>
      </w:r>
      <w:proofErr w:type="gramStart"/>
      <w:r w:rsidRPr="0032771E">
        <w:t>pe</w:t>
      </w:r>
      <w:r>
        <w:t>nalties</w:t>
      </w:r>
      <w:proofErr w:type="gramEnd"/>
      <w:r>
        <w:t xml:space="preserve"> provisions of the BCIIP </w:t>
      </w:r>
      <w:r w:rsidRPr="0032771E">
        <w:t>Act should be adopted at this point.</w:t>
      </w:r>
    </w:p>
    <w:p w14:paraId="3814C22E" w14:textId="0C2826E5" w:rsidR="006445E8" w:rsidRDefault="006F4FDF" w:rsidP="006F4FDF">
      <w:pPr>
        <w:keepNext/>
        <w:keepLines/>
        <w:pBdr>
          <w:top w:val="single" w:sz="4" w:space="1" w:color="auto"/>
          <w:bottom w:val="single" w:sz="4" w:space="1" w:color="auto"/>
        </w:pBdr>
        <w:shd w:val="clear" w:color="auto" w:fill="FBE4D5" w:themeFill="accent2" w:themeFillTint="33"/>
        <w:spacing w:before="200" w:after="200"/>
      </w:pPr>
      <w:r>
        <w:rPr>
          <w:b/>
        </w:rPr>
        <w:t>Recommendation 3</w:t>
      </w:r>
      <w:r w:rsidRPr="00154456">
        <w:rPr>
          <w:b/>
        </w:rPr>
        <w:t>.2:</w:t>
      </w:r>
      <w:r w:rsidRPr="00154456">
        <w:t xml:space="preserve"> </w:t>
      </w:r>
      <w:r>
        <w:t>That the impact of the BCIIP </w:t>
      </w:r>
      <w:r w:rsidRPr="0032771E">
        <w:t>Act’s penalties provisions be monitored by the Department of Jobs and Small Business to enable the provision of further policy advice on this issue.</w:t>
      </w:r>
    </w:p>
    <w:p w14:paraId="5C2D0C4C" w14:textId="443554F1" w:rsidR="006F4FDF" w:rsidRDefault="006F4FDF" w:rsidP="006445E8">
      <w:pPr>
        <w:spacing w:before="200" w:after="200"/>
      </w:pPr>
    </w:p>
    <w:p w14:paraId="3AE8457F" w14:textId="77777777" w:rsidR="006F4FDF" w:rsidRPr="009F2BC6" w:rsidRDefault="006F4FDF" w:rsidP="006F4FDF">
      <w:pPr>
        <w:pStyle w:val="Heading2"/>
        <w:pBdr>
          <w:top w:val="single" w:sz="4" w:space="1" w:color="auto"/>
          <w:bottom w:val="single" w:sz="4" w:space="1" w:color="auto"/>
        </w:pBdr>
        <w:shd w:val="clear" w:color="auto" w:fill="DEEAF6" w:themeFill="accent1" w:themeFillTint="33"/>
        <w:spacing w:before="120"/>
        <w:rPr>
          <w:szCs w:val="28"/>
        </w:rPr>
      </w:pPr>
      <w:bookmarkStart w:id="46" w:name="_Toc525894824"/>
      <w:bookmarkStart w:id="47" w:name="_Toc525908051"/>
      <w:bookmarkStart w:id="48" w:name="_Toc525908241"/>
      <w:bookmarkStart w:id="49" w:name="_Toc527373158"/>
      <w:bookmarkStart w:id="50" w:name="_Toc527622269"/>
      <w:bookmarkStart w:id="51" w:name="_Toc527632988"/>
      <w:r w:rsidRPr="009F2BC6">
        <w:rPr>
          <w:szCs w:val="28"/>
        </w:rPr>
        <w:t>Term of reference 4</w:t>
      </w:r>
      <w:bookmarkEnd w:id="46"/>
      <w:bookmarkEnd w:id="47"/>
      <w:bookmarkEnd w:id="48"/>
      <w:bookmarkEnd w:id="49"/>
      <w:bookmarkEnd w:id="50"/>
      <w:bookmarkEnd w:id="51"/>
    </w:p>
    <w:p w14:paraId="4D088A9A" w14:textId="7BBEEF3A" w:rsidR="006F4FDF" w:rsidRDefault="006F4FDF" w:rsidP="006F4FDF">
      <w:pPr>
        <w:pBdr>
          <w:top w:val="single" w:sz="4" w:space="1" w:color="auto"/>
          <w:bottom w:val="single" w:sz="4" w:space="1" w:color="auto"/>
        </w:pBdr>
        <w:shd w:val="clear" w:color="auto" w:fill="DEEAF6" w:themeFill="accent1" w:themeFillTint="33"/>
        <w:spacing w:before="200" w:after="200"/>
      </w:pPr>
      <w:r w:rsidRPr="00336F72">
        <w:rPr>
          <w:rFonts w:eastAsia="Times New Roman" w:cstheme="minorHAnsi"/>
          <w:lang w:eastAsia="en-AU"/>
        </w:rPr>
        <w:t xml:space="preserve">The review will examine any need for amendments that will streamline and clarify the application of the BCIIP Act, in particular when it interacts with other Commonwealth legislation (for example, where the recruitment obligations regarding the employment of foreign workers in the BCIIP Act and the </w:t>
      </w:r>
      <w:r w:rsidRPr="00336F72">
        <w:rPr>
          <w:rFonts w:eastAsia="Times New Roman" w:cstheme="minorHAnsi"/>
          <w:i/>
          <w:lang w:eastAsia="en-AU"/>
        </w:rPr>
        <w:t>Code for the Tendering and Performance of Building Work 2016</w:t>
      </w:r>
      <w:r w:rsidRPr="00336F72">
        <w:rPr>
          <w:rFonts w:eastAsia="Times New Roman" w:cstheme="minorHAnsi"/>
          <w:lang w:eastAsia="en-AU"/>
        </w:rPr>
        <w:t xml:space="preserve"> (2016 Code) overlap with obligations in the </w:t>
      </w:r>
      <w:r w:rsidRPr="00336F72">
        <w:rPr>
          <w:rFonts w:eastAsia="Times New Roman" w:cstheme="minorHAnsi"/>
          <w:i/>
          <w:lang w:eastAsia="en-AU"/>
        </w:rPr>
        <w:t>Migration Act 1958</w:t>
      </w:r>
      <w:r w:rsidRPr="00336F72">
        <w:rPr>
          <w:rFonts w:eastAsia="Times New Roman" w:cstheme="minorHAnsi"/>
          <w:lang w:eastAsia="en-AU"/>
        </w:rPr>
        <w:t xml:space="preserve"> or Australia's international trade obligations). This should include consideration of whether technical amendments are required to the 2016 Code to clarify its application/improve its operation.</w:t>
      </w:r>
    </w:p>
    <w:p w14:paraId="7A80E7C2" w14:textId="7D500293" w:rsidR="004334B0" w:rsidRDefault="004334B0" w:rsidP="00336F72">
      <w:pPr>
        <w:spacing w:before="200" w:after="200" w:line="276" w:lineRule="auto"/>
      </w:pPr>
      <w:r w:rsidRPr="00336F72">
        <w:t>This term of reference establishes a general requirement for the review to identify any need for amendments to streamline and clarify the operation of the BCIIP Act, and specifically identifies an</w:t>
      </w:r>
      <w:r>
        <w:t xml:space="preserve"> overlap between the requirements of the</w:t>
      </w:r>
      <w:r w:rsidRPr="00D73E18">
        <w:t xml:space="preserve"> BCIIP</w:t>
      </w:r>
      <w:r>
        <w:t> </w:t>
      </w:r>
      <w:r w:rsidRPr="00D73E18">
        <w:t>Act</w:t>
      </w:r>
      <w:r>
        <w:t xml:space="preserve"> and those of the </w:t>
      </w:r>
      <w:r w:rsidRPr="00C90A5B">
        <w:rPr>
          <w:i/>
        </w:rPr>
        <w:t>Migration Act</w:t>
      </w:r>
      <w:r>
        <w:rPr>
          <w:i/>
        </w:rPr>
        <w:t> </w:t>
      </w:r>
      <w:r w:rsidRPr="00C90A5B">
        <w:rPr>
          <w:i/>
        </w:rPr>
        <w:t>1958</w:t>
      </w:r>
      <w:r>
        <w:rPr>
          <w:i/>
        </w:rPr>
        <w:t xml:space="preserve"> </w:t>
      </w:r>
      <w:r w:rsidRPr="00C90A5B">
        <w:t>(Migration</w:t>
      </w:r>
      <w:r>
        <w:t> </w:t>
      </w:r>
      <w:r w:rsidRPr="00C90A5B">
        <w:t>Act)</w:t>
      </w:r>
      <w:r>
        <w:t>. The issue of obligations regarding the employment of foreign workers was addressed in several submissions. Only a small number of other issues were raised in submissions in response to this term of reference, with each of these other issues being raised in only one or two submissions.</w:t>
      </w:r>
    </w:p>
    <w:p w14:paraId="6B828674" w14:textId="77777777" w:rsidR="004334B0" w:rsidRPr="00431DB9" w:rsidRDefault="004334B0" w:rsidP="00431DB9">
      <w:pPr>
        <w:pStyle w:val="Heading3"/>
      </w:pPr>
      <w:bookmarkStart w:id="52" w:name="_Toc527622270"/>
      <w:bookmarkStart w:id="53" w:name="_Toc527632989"/>
      <w:r>
        <w:t>Market testing requirements</w:t>
      </w:r>
      <w:bookmarkEnd w:id="52"/>
      <w:bookmarkEnd w:id="53"/>
    </w:p>
    <w:p w14:paraId="37BFB5A7" w14:textId="08B5AF98" w:rsidR="004334B0" w:rsidRDefault="004334B0" w:rsidP="00336F72">
      <w:pPr>
        <w:spacing w:before="200" w:after="200" w:line="276" w:lineRule="auto"/>
      </w:pPr>
      <w:r>
        <w:t>As several submissions noted, the market testing requirements of the BCIIP Act, while broadly similar to those of the Migration Act, differ in two important ways. One is the more onerous requirement of the BCIIP Act to demonstrate that no Australian resident can do the job in question, while the second is that the BCIIP Act does not include an exemption mechanism for circumstances in which undertaking market testing would be inconsistent with Australia’s i</w:t>
      </w:r>
      <w:r w:rsidR="00336F72">
        <w:t>nternational trade obligations.</w:t>
      </w:r>
    </w:p>
    <w:p w14:paraId="6C5D9708" w14:textId="77777777" w:rsidR="004334B0" w:rsidRDefault="004334B0" w:rsidP="00336F72">
      <w:pPr>
        <w:spacing w:after="200" w:line="276" w:lineRule="auto"/>
      </w:pPr>
      <w:r>
        <w:t xml:space="preserve">Review of legislative instruments made under the relevant Migration Act provisions (notably IMMI 17/109) indicates that inconsistencies between the Migration Act’s market testing requirements and Australia’s international trade obligations are acknowledged as being quite widespread. In this context, the absence of an exemption mechanism in respect of the broadly similar requirements of the BCIIP Act appear to expose Australia to the risk of dispute proceedings being commenced by its </w:t>
      </w:r>
      <w:r>
        <w:lastRenderedPageBreak/>
        <w:t>trading partners in the World Trade Organisation (WTO) context. In addition, at least one industry submission has highlighted efficiency costs borne by business in complying with the market testing requirements.</w:t>
      </w:r>
    </w:p>
    <w:p w14:paraId="7DFEE9CF" w14:textId="4193E840" w:rsidR="00763BF5" w:rsidRDefault="004334B0" w:rsidP="00336F72">
      <w:pPr>
        <w:spacing w:after="200" w:line="276" w:lineRule="auto"/>
        <w:rPr>
          <w:rFonts w:cstheme="minorHAnsi"/>
          <w:color w:val="000000"/>
        </w:rPr>
      </w:pPr>
      <w:r>
        <w:t>While the market testing requirements appear to have been adopted</w:t>
      </w:r>
      <w:r w:rsidR="001E30C4">
        <w:t xml:space="preserve">, </w:t>
      </w:r>
      <w:r w:rsidR="00406960">
        <w:t xml:space="preserve">at least </w:t>
      </w:r>
      <w:r w:rsidR="001E30C4">
        <w:t>in part,</w:t>
      </w:r>
      <w:r>
        <w:t xml:space="preserve"> in response to concerns regarding the misuse of the former 457 visa class</w:t>
      </w:r>
      <w:r w:rsidR="00406960">
        <w:t xml:space="preserve"> in the building industry</w:t>
      </w:r>
      <w:r>
        <w:t xml:space="preserve">, these have since been addressed at an economy-wide level via the abolition of this visa class and its replacement with the </w:t>
      </w:r>
      <w:r w:rsidR="001B1997">
        <w:t xml:space="preserve">Temporary Skill Shortage </w:t>
      </w:r>
      <w:r>
        <w:t xml:space="preserve">482 visa as of 18 March 2018. </w:t>
      </w:r>
      <w:bookmarkStart w:id="54" w:name="_Hlk522712417"/>
      <w:r>
        <w:rPr>
          <w:rFonts w:cstheme="minorHAnsi"/>
          <w:color w:val="000000"/>
        </w:rPr>
        <w:t xml:space="preserve">These considerations suggest that there is a clear argument for removing subsection 34(2D) from the BCIIP Act and section 11F from the </w:t>
      </w:r>
      <w:r w:rsidRPr="00C31DDB">
        <w:rPr>
          <w:i/>
          <w:color w:val="000000"/>
        </w:rPr>
        <w:t>Code</w:t>
      </w:r>
      <w:r w:rsidR="007D6E51" w:rsidRPr="00C31DDB">
        <w:rPr>
          <w:rFonts w:cstheme="minorHAnsi"/>
          <w:i/>
          <w:color w:val="000000"/>
        </w:rPr>
        <w:t xml:space="preserve"> for the Tendering and Performance of Building Work 2016</w:t>
      </w:r>
      <w:r w:rsidR="007D6E51" w:rsidRPr="00C4783A">
        <w:rPr>
          <w:rFonts w:cstheme="minorHAnsi"/>
          <w:color w:val="000000"/>
        </w:rPr>
        <w:t xml:space="preserve"> (the </w:t>
      </w:r>
      <w:r w:rsidRPr="00C4783A">
        <w:rPr>
          <w:rFonts w:cstheme="minorHAnsi"/>
          <w:color w:val="000000"/>
        </w:rPr>
        <w:t>2016 Code</w:t>
      </w:r>
      <w:r w:rsidR="007D6E51" w:rsidRPr="00C4783A">
        <w:rPr>
          <w:rFonts w:cstheme="minorHAnsi"/>
          <w:color w:val="000000"/>
        </w:rPr>
        <w:t>)</w:t>
      </w:r>
      <w:r w:rsidRPr="00C4783A">
        <w:rPr>
          <w:rFonts w:cstheme="minorHAnsi"/>
          <w:color w:val="000000"/>
        </w:rPr>
        <w:t>.</w:t>
      </w:r>
      <w:r>
        <w:rPr>
          <w:rFonts w:cstheme="minorHAnsi"/>
          <w:color w:val="000000"/>
        </w:rPr>
        <w:t xml:space="preserve"> Code-covered entities would remain subject to the market testin</w:t>
      </w:r>
      <w:r w:rsidR="00C01C9D">
        <w:rPr>
          <w:rFonts w:cstheme="minorHAnsi"/>
          <w:color w:val="000000"/>
        </w:rPr>
        <w:t>g requirements of the Migration </w:t>
      </w:r>
      <w:r>
        <w:rPr>
          <w:rFonts w:cstheme="minorHAnsi"/>
          <w:color w:val="000000"/>
        </w:rPr>
        <w:t>Act if thi</w:t>
      </w:r>
      <w:r w:rsidR="00336F72">
        <w:rPr>
          <w:rFonts w:cstheme="minorHAnsi"/>
          <w:color w:val="000000"/>
        </w:rPr>
        <w:t>s approach were adopted.</w:t>
      </w:r>
    </w:p>
    <w:p w14:paraId="699F261F" w14:textId="77777777" w:rsidR="006F4FDF" w:rsidRPr="009F2BC6" w:rsidRDefault="006F4FDF" w:rsidP="004706A4">
      <w:pPr>
        <w:pStyle w:val="Heading2"/>
        <w:keepNext/>
        <w:pBdr>
          <w:top w:val="single" w:sz="4" w:space="1" w:color="auto"/>
          <w:bottom w:val="single" w:sz="4" w:space="1" w:color="auto"/>
        </w:pBdr>
        <w:shd w:val="clear" w:color="auto" w:fill="FBE4D5" w:themeFill="accent2" w:themeFillTint="33"/>
        <w:spacing w:before="120"/>
        <w:rPr>
          <w:szCs w:val="28"/>
        </w:rPr>
      </w:pPr>
      <w:bookmarkStart w:id="55" w:name="_Toc525908052"/>
      <w:bookmarkStart w:id="56" w:name="_Toc525908242"/>
      <w:bookmarkStart w:id="57" w:name="_Toc527373159"/>
      <w:bookmarkStart w:id="58" w:name="_Toc527622271"/>
      <w:bookmarkStart w:id="59" w:name="_Toc527632990"/>
      <w:r w:rsidRPr="009F2BC6">
        <w:rPr>
          <w:szCs w:val="28"/>
        </w:rPr>
        <w:t>Findings and recommendations</w:t>
      </w:r>
      <w:bookmarkEnd w:id="55"/>
      <w:bookmarkEnd w:id="56"/>
      <w:bookmarkEnd w:id="57"/>
      <w:bookmarkEnd w:id="58"/>
      <w:bookmarkEnd w:id="59"/>
    </w:p>
    <w:p w14:paraId="19865B31" w14:textId="77777777" w:rsidR="006F4FDF" w:rsidRDefault="006F4FDF" w:rsidP="004706A4">
      <w:pPr>
        <w:keepNext/>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w:t>
      </w:r>
      <w:r w:rsidRPr="00F37BD1">
        <w:t>That the available evidence indicates that the provisions of</w:t>
      </w:r>
      <w:r>
        <w:t xml:space="preserve"> subsection 34(2D) of the BCIIP Act and section 11F of the 2016 </w:t>
      </w:r>
      <w:r w:rsidRPr="00F37BD1">
        <w:t>Code are likely to be inconsistent with several of Australia’s international trade obligations.</w:t>
      </w:r>
    </w:p>
    <w:p w14:paraId="526517CE" w14:textId="77777777" w:rsidR="006F4FDF" w:rsidRDefault="006F4FDF" w:rsidP="004706A4">
      <w:pPr>
        <w:keepNext/>
        <w:pBdr>
          <w:top w:val="single" w:sz="4" w:space="1" w:color="auto"/>
          <w:bottom w:val="single" w:sz="4" w:space="1" w:color="auto"/>
        </w:pBdr>
        <w:shd w:val="clear" w:color="auto" w:fill="FBE4D5" w:themeFill="accent2" w:themeFillTint="33"/>
        <w:spacing w:before="120" w:after="120"/>
      </w:pPr>
      <w:r w:rsidRPr="00F37BD1">
        <w:rPr>
          <w:b/>
        </w:rPr>
        <w:t>Finding:</w:t>
      </w:r>
      <w:r>
        <w:t xml:space="preserve"> </w:t>
      </w:r>
      <w:r w:rsidRPr="00F37BD1">
        <w:t>That the reforms undertaken to visa arrangements for non-resident workers are likely to have addressed the concerns that led to the inclusion o</w:t>
      </w:r>
      <w:r>
        <w:t>f these provisions in the BCIIP Act and 2016 </w:t>
      </w:r>
      <w:r w:rsidRPr="00F37BD1">
        <w:t xml:space="preserve">Code, while </w:t>
      </w:r>
      <w:r>
        <w:t>the provisions of the Migration </w:t>
      </w:r>
      <w:r w:rsidRPr="00F37BD1">
        <w:t>Act provi</w:t>
      </w:r>
      <w:r>
        <w:t xml:space="preserve">de substantively similar market </w:t>
      </w:r>
      <w:r w:rsidRPr="00F37BD1">
        <w:t>testing obligations without contravening Australia’s international trade obligations.</w:t>
      </w:r>
    </w:p>
    <w:p w14:paraId="0B4F0BBC" w14:textId="77777777" w:rsidR="006F4FDF" w:rsidRDefault="006F4FDF" w:rsidP="004706A4">
      <w:pPr>
        <w:keepNext/>
        <w:pBdr>
          <w:top w:val="single" w:sz="4" w:space="1" w:color="auto"/>
          <w:bottom w:val="single" w:sz="4" w:space="1" w:color="auto"/>
        </w:pBdr>
        <w:shd w:val="clear" w:color="auto" w:fill="FBE4D5" w:themeFill="accent2" w:themeFillTint="33"/>
        <w:spacing w:before="120" w:after="120"/>
      </w:pPr>
      <w:r>
        <w:rPr>
          <w:b/>
        </w:rPr>
        <w:t>Recommendation 4</w:t>
      </w:r>
      <w:r w:rsidRPr="00154456">
        <w:rPr>
          <w:b/>
        </w:rPr>
        <w:t>.1:</w:t>
      </w:r>
      <w:r w:rsidRPr="00154456">
        <w:t xml:space="preserve"> </w:t>
      </w:r>
      <w:r w:rsidRPr="00F37BD1">
        <w:t>That the market test</w:t>
      </w:r>
      <w:r>
        <w:t>ing requirements of subsection 34(2D) of the BCIIP </w:t>
      </w:r>
      <w:r w:rsidRPr="00F37BD1">
        <w:t>Act and the asso</w:t>
      </w:r>
      <w:r>
        <w:t>ciated requirements of the 2016 </w:t>
      </w:r>
      <w:r w:rsidRPr="00F37BD1">
        <w:t>Code should be repealed.</w:t>
      </w:r>
    </w:p>
    <w:p w14:paraId="7281F33A" w14:textId="77777777" w:rsidR="006F4FDF" w:rsidRDefault="006F4FDF" w:rsidP="004706A4">
      <w:pPr>
        <w:keepNext/>
        <w:pBdr>
          <w:top w:val="single" w:sz="4" w:space="1" w:color="auto"/>
          <w:bottom w:val="single" w:sz="4" w:space="1" w:color="auto"/>
        </w:pBdr>
        <w:shd w:val="clear" w:color="auto" w:fill="FBE4D5" w:themeFill="accent2" w:themeFillTint="33"/>
        <w:spacing w:before="120" w:after="120"/>
      </w:pPr>
      <w:r>
        <w:rPr>
          <w:b/>
        </w:rPr>
        <w:t>Recommendation 4</w:t>
      </w:r>
      <w:r w:rsidRPr="00154456">
        <w:rPr>
          <w:b/>
        </w:rPr>
        <w:t>.2:</w:t>
      </w:r>
      <w:r w:rsidRPr="00154456">
        <w:t xml:space="preserve"> </w:t>
      </w:r>
      <w:r w:rsidRPr="00F37BD1">
        <w:t>That, alter</w:t>
      </w:r>
      <w:r>
        <w:t>natively, should the Australian</w:t>
      </w:r>
      <w:r w:rsidRPr="00F37BD1">
        <w:t xml:space="preserve"> Government wish to retain a market test</w:t>
      </w:r>
      <w:r>
        <w:t>ing requirement under the BCIIP Act and 2016 </w:t>
      </w:r>
      <w:r w:rsidRPr="00F37BD1">
        <w:t>Code, the current provisions should be revised or replaced to ensure consistency between these provisions and Australia’s international treaty obligations.</w:t>
      </w:r>
    </w:p>
    <w:p w14:paraId="6241AADA" w14:textId="7E5CE04B" w:rsidR="006F4FDF" w:rsidRDefault="006F4FDF" w:rsidP="004706A4">
      <w:pPr>
        <w:keepNext/>
        <w:pBdr>
          <w:top w:val="single" w:sz="4" w:space="1" w:color="auto"/>
          <w:bottom w:val="single" w:sz="4" w:space="1" w:color="auto"/>
        </w:pBdr>
        <w:shd w:val="clear" w:color="auto" w:fill="FBE4D5" w:themeFill="accent2" w:themeFillTint="33"/>
        <w:spacing w:after="200" w:line="276" w:lineRule="auto"/>
        <w:rPr>
          <w:rFonts w:cstheme="minorHAnsi"/>
          <w:color w:val="000000"/>
        </w:rPr>
      </w:pPr>
      <w:r>
        <w:rPr>
          <w:b/>
        </w:rPr>
        <w:t>Recommendation 4.3</w:t>
      </w:r>
      <w:r w:rsidRPr="00154456">
        <w:rPr>
          <w:b/>
        </w:rPr>
        <w:t>:</w:t>
      </w:r>
      <w:r w:rsidRPr="00154456">
        <w:t xml:space="preserve"> </w:t>
      </w:r>
      <w:r>
        <w:t>That, if subsection </w:t>
      </w:r>
      <w:r w:rsidRPr="00F37BD1">
        <w:t>34(2D) is retained, it should be modified to address the apparent inconsistency betwe</w:t>
      </w:r>
      <w:r>
        <w:t>en subsection 34(2D) of the BCIIP Act and section 11F of the 2016 </w:t>
      </w:r>
      <w:r w:rsidRPr="00F37BD1">
        <w:t>Code.</w:t>
      </w:r>
    </w:p>
    <w:bookmarkEnd w:id="54"/>
    <w:p w14:paraId="5BD37BCF" w14:textId="77777777" w:rsidR="00CE0D6A" w:rsidRDefault="00CE0D6A"/>
    <w:p w14:paraId="4D5A8210" w14:textId="77777777" w:rsidR="006F4FDF" w:rsidRPr="009F2BC6" w:rsidRDefault="006F4FDF" w:rsidP="006F4FDF">
      <w:pPr>
        <w:pStyle w:val="Heading2"/>
        <w:pBdr>
          <w:top w:val="single" w:sz="4" w:space="1" w:color="auto"/>
          <w:bottom w:val="single" w:sz="4" w:space="1" w:color="auto"/>
        </w:pBdr>
        <w:shd w:val="clear" w:color="auto" w:fill="DEEAF6" w:themeFill="accent1" w:themeFillTint="33"/>
        <w:spacing w:before="120"/>
        <w:rPr>
          <w:szCs w:val="28"/>
        </w:rPr>
      </w:pPr>
      <w:bookmarkStart w:id="60" w:name="_Toc525894825"/>
      <w:bookmarkStart w:id="61" w:name="_Toc525908053"/>
      <w:bookmarkStart w:id="62" w:name="_Toc525908243"/>
      <w:bookmarkStart w:id="63" w:name="_Toc527373160"/>
      <w:bookmarkStart w:id="64" w:name="_Toc527622272"/>
      <w:bookmarkStart w:id="65" w:name="_Toc527632991"/>
      <w:r w:rsidRPr="009F2BC6">
        <w:rPr>
          <w:szCs w:val="28"/>
        </w:rPr>
        <w:t>Term of reference 5</w:t>
      </w:r>
      <w:bookmarkEnd w:id="60"/>
      <w:bookmarkEnd w:id="61"/>
      <w:bookmarkEnd w:id="62"/>
      <w:bookmarkEnd w:id="63"/>
      <w:bookmarkEnd w:id="64"/>
      <w:bookmarkEnd w:id="65"/>
    </w:p>
    <w:p w14:paraId="2C8F27A9" w14:textId="243C802C" w:rsidR="005455D4" w:rsidRDefault="006F4FDF" w:rsidP="006F4FDF">
      <w:pPr>
        <w:pBdr>
          <w:top w:val="single" w:sz="4" w:space="1" w:color="auto"/>
          <w:bottom w:val="single" w:sz="4" w:space="1" w:color="auto"/>
        </w:pBdr>
        <w:shd w:val="clear" w:color="auto" w:fill="DEEAF6" w:themeFill="accent1" w:themeFillTint="33"/>
        <w:spacing w:before="200" w:after="200"/>
      </w:pPr>
      <w:r w:rsidRPr="00887DE0">
        <w:rPr>
          <w:rFonts w:eastAsia="Times New Roman" w:cstheme="minorHAnsi"/>
          <w:lang w:eastAsia="en-AU"/>
        </w:rPr>
        <w:t>The review will examine</w:t>
      </w:r>
      <w:r>
        <w:rPr>
          <w:rFonts w:eastAsia="Times New Roman" w:cstheme="minorHAnsi"/>
          <w:lang w:eastAsia="en-AU"/>
        </w:rPr>
        <w:t xml:space="preserve"> t</w:t>
      </w:r>
      <w:r w:rsidRPr="00AD31DF">
        <w:rPr>
          <w:rFonts w:eastAsia="Times New Roman" w:cstheme="minorHAnsi"/>
          <w:lang w:eastAsia="en-AU"/>
        </w:rPr>
        <w:t xml:space="preserve">he operation of </w:t>
      </w:r>
      <w:r>
        <w:rPr>
          <w:rFonts w:eastAsia="Times New Roman" w:cstheme="minorHAnsi"/>
          <w:lang w:eastAsia="en-AU"/>
        </w:rPr>
        <w:t>the new provisions in the BCIIP </w:t>
      </w:r>
      <w:r w:rsidRPr="00AD31DF">
        <w:rPr>
          <w:rFonts w:eastAsia="Times New Roman" w:cstheme="minorHAnsi"/>
          <w:lang w:eastAsia="en-AU"/>
        </w:rPr>
        <w:t>Act including the provision which requires the Federal Safety Commissioner to audit Commonwealth-funded building work against the National Construction Code's performance requirements in relation to building materials.</w:t>
      </w:r>
    </w:p>
    <w:p w14:paraId="3416BF6C" w14:textId="40DCC5B9" w:rsidR="004334B0" w:rsidRDefault="004334B0" w:rsidP="004C583C">
      <w:pPr>
        <w:spacing w:before="200" w:after="200" w:line="276" w:lineRule="auto"/>
        <w:rPr>
          <w:rFonts w:cstheme="minorHAnsi"/>
        </w:rPr>
      </w:pPr>
      <w:r>
        <w:t xml:space="preserve">The Federal Safety Commissioner (FSC) was established in 2005 to </w:t>
      </w:r>
      <w:r>
        <w:rPr>
          <w:rFonts w:cstheme="minorHAnsi"/>
        </w:rPr>
        <w:t xml:space="preserve">promote and improve worker safety in the building and construction industry, via administration of the Australian Government’s Work Health and Safety Accreditation Scheme (the FSC Scheme). </w:t>
      </w:r>
      <w:r>
        <w:t xml:space="preserve">The FSC Scheme aims to ensure building work is </w:t>
      </w:r>
      <w:r w:rsidRPr="009D5529">
        <w:rPr>
          <w:iCs/>
        </w:rPr>
        <w:t>performed safely</w:t>
      </w:r>
      <w:r>
        <w:rPr>
          <w:iCs/>
        </w:rPr>
        <w:t xml:space="preserve"> and t</w:t>
      </w:r>
      <w:r>
        <w:t>he FSC is its accrediting authority. The only new function allocated to the FSC under the BCIIP Act is that conferred by subsection 38(ca), which is to audit c</w:t>
      </w:r>
      <w:r w:rsidRPr="00117F1F">
        <w:t xml:space="preserve">ompliance with </w:t>
      </w:r>
      <w:r>
        <w:t xml:space="preserve">the </w:t>
      </w:r>
      <w:r w:rsidRPr="00117F1F">
        <w:t>National Construction Code</w:t>
      </w:r>
      <w:r>
        <w:t xml:space="preserve">’s </w:t>
      </w:r>
      <w:r w:rsidR="00530C06" w:rsidRPr="00E45E66">
        <w:t xml:space="preserve">(NCC) </w:t>
      </w:r>
      <w:r w:rsidRPr="00117F1F">
        <w:t xml:space="preserve">performance requirements in relation to </w:t>
      </w:r>
      <w:r w:rsidRPr="00117F1F">
        <w:lastRenderedPageBreak/>
        <w:t>building materials</w:t>
      </w:r>
      <w:r>
        <w:t>. This new function differs markedly from</w:t>
      </w:r>
      <w:r w:rsidR="00B6500F">
        <w:t xml:space="preserve"> the</w:t>
      </w:r>
      <w:r>
        <w:t xml:space="preserve"> FSC’s existing functions, in that it </w:t>
      </w:r>
      <w:r>
        <w:rPr>
          <w:rFonts w:cstheme="minorHAnsi"/>
        </w:rPr>
        <w:t>extends the FSC’s role beyond worker safety to include a regulatory function focussed on the built environment. The context for the expansion of the FSC’s role is that of widespread concern regarding the use of flammable cladding materials and associated concerns about the potential for wider non-compliance with the NCC.</w:t>
      </w:r>
    </w:p>
    <w:p w14:paraId="67BA59DD" w14:textId="629BFABE" w:rsidR="004334B0" w:rsidRDefault="004334B0" w:rsidP="004334B0">
      <w:pPr>
        <w:spacing w:line="276" w:lineRule="auto"/>
        <w:rPr>
          <w:rFonts w:cstheme="minorHAnsi"/>
        </w:rPr>
      </w:pPr>
      <w:r>
        <w:rPr>
          <w:rFonts w:cstheme="minorHAnsi"/>
        </w:rPr>
        <w:t>A key issue identified in this area is that of regulatory overl</w:t>
      </w:r>
      <w:r w:rsidR="00470579">
        <w:rPr>
          <w:rFonts w:cstheme="minorHAnsi"/>
        </w:rPr>
        <w:t xml:space="preserve">ap. </w:t>
      </w:r>
      <w:r>
        <w:rPr>
          <w:rFonts w:cstheme="minorHAnsi"/>
        </w:rPr>
        <w:t xml:space="preserve">That is, responsibility for ensuring that building materials are used in a manner that is compliant with the NCC essentially lies with state and </w:t>
      </w:r>
      <w:r w:rsidR="00470579">
        <w:rPr>
          <w:rFonts w:cstheme="minorHAnsi"/>
        </w:rPr>
        <w:t xml:space="preserve">territory building regulators. </w:t>
      </w:r>
      <w:r>
        <w:rPr>
          <w:rFonts w:cstheme="minorHAnsi"/>
        </w:rPr>
        <w:t xml:space="preserve">The FSC’s new role in this area in relation to </w:t>
      </w:r>
      <w:r w:rsidR="000E316E">
        <w:rPr>
          <w:rFonts w:cstheme="minorHAnsi"/>
        </w:rPr>
        <w:t xml:space="preserve">NCC </w:t>
      </w:r>
      <w:r>
        <w:rPr>
          <w:rFonts w:cstheme="minorHAnsi"/>
        </w:rPr>
        <w:t>covered entities necessarily gives rise to</w:t>
      </w:r>
      <w:r w:rsidR="00470579">
        <w:rPr>
          <w:rFonts w:cstheme="minorHAnsi"/>
        </w:rPr>
        <w:t xml:space="preserve"> potential regulatory overlap. </w:t>
      </w:r>
      <w:r>
        <w:rPr>
          <w:rFonts w:cstheme="minorHAnsi"/>
        </w:rPr>
        <w:t xml:space="preserve">The FSC has sought to avoid duplication of state and territory regulatory responsibilities in this area by adopting an approach to fulfilling its role which is based on a desktop, systems-based audit. It has completed a pilot audit </w:t>
      </w:r>
      <w:r w:rsidR="000E316E">
        <w:rPr>
          <w:rFonts w:cstheme="minorHAnsi"/>
        </w:rPr>
        <w:t xml:space="preserve">program </w:t>
      </w:r>
      <w:r>
        <w:rPr>
          <w:rFonts w:cstheme="minorHAnsi"/>
        </w:rPr>
        <w:t>and is working to develop a workable audit scheme.</w:t>
      </w:r>
    </w:p>
    <w:p w14:paraId="731665FF" w14:textId="72EE3F55" w:rsidR="004334B0" w:rsidRDefault="004334B0" w:rsidP="004334B0">
      <w:pPr>
        <w:spacing w:line="276" w:lineRule="auto"/>
        <w:rPr>
          <w:rFonts w:cstheme="minorHAnsi"/>
        </w:rPr>
      </w:pPr>
      <w:r>
        <w:rPr>
          <w:rFonts w:cstheme="minorHAnsi"/>
        </w:rPr>
        <w:t xml:space="preserve">A small number of submissions addressed this issue. They acknowledged the importance of addressing the underlying issue of compliance with the NCC, but questioned whether the FSC had, or could readily develop, the expertise required to undertake this role effectively. The question of providing adequate resourcing to </w:t>
      </w:r>
      <w:r w:rsidR="00B6500F">
        <w:rPr>
          <w:rFonts w:cstheme="minorHAnsi"/>
        </w:rPr>
        <w:t xml:space="preserve">the </w:t>
      </w:r>
      <w:r>
        <w:rPr>
          <w:rFonts w:cstheme="minorHAnsi"/>
        </w:rPr>
        <w:t xml:space="preserve">FSC to undertake what was widely seen as a substantial additional function was raised in several submissions, while the FSC also indicated an expectation that undertaking its NCC function would be resource-intensive. A key concern raised in submissions was that the need for </w:t>
      </w:r>
      <w:r w:rsidR="00B6500F">
        <w:rPr>
          <w:rFonts w:cstheme="minorHAnsi"/>
        </w:rPr>
        <w:t xml:space="preserve">the </w:t>
      </w:r>
      <w:r>
        <w:rPr>
          <w:rFonts w:cstheme="minorHAnsi"/>
        </w:rPr>
        <w:t xml:space="preserve">FSC to undertake this additional function could divert its focus and efforts away from what was widely seen as its highly effective role in improving WHS standards. </w:t>
      </w:r>
    </w:p>
    <w:p w14:paraId="3D53EB5C" w14:textId="2141350E" w:rsidR="004334B0" w:rsidRPr="00036C11" w:rsidRDefault="004334B0" w:rsidP="00036C11">
      <w:pPr>
        <w:spacing w:after="200" w:line="276" w:lineRule="auto"/>
      </w:pPr>
      <w:r w:rsidRPr="00036C11">
        <w:t xml:space="preserve">The apparent effectiveness of </w:t>
      </w:r>
      <w:r w:rsidR="00530C06" w:rsidRPr="00036C11">
        <w:t xml:space="preserve">the </w:t>
      </w:r>
      <w:r w:rsidRPr="00036C11">
        <w:t xml:space="preserve">FSC </w:t>
      </w:r>
      <w:r w:rsidR="00530C06" w:rsidRPr="00036C11">
        <w:t>Scheme</w:t>
      </w:r>
      <w:r w:rsidRPr="00036C11">
        <w:t xml:space="preserve"> in improving the WHS performance of building companies could be taken as evidence of the likely benefit of adopting a similar, systems-based audit approach in relation to </w:t>
      </w:r>
      <w:r w:rsidRPr="006F6C62">
        <w:t>compliance</w:t>
      </w:r>
      <w:r w:rsidR="007D6E51" w:rsidRPr="00036C11">
        <w:t xml:space="preserve"> with NCC performance requirements in relation to building materials</w:t>
      </w:r>
      <w:r w:rsidRPr="00036C11">
        <w:t xml:space="preserve">. However, to the extent that broadening the FSC’s role to include </w:t>
      </w:r>
      <w:r w:rsidR="007D6E51" w:rsidRPr="00036C11">
        <w:t xml:space="preserve">this function </w:t>
      </w:r>
      <w:r w:rsidRPr="00036C11">
        <w:t xml:space="preserve">reduces its focus on WHS issues, there could be a reduction in net benefits. This is a particular risk if additional resourcing is not provided to the FSC commensurate </w:t>
      </w:r>
      <w:r w:rsidR="00470579" w:rsidRPr="00036C11">
        <w:t xml:space="preserve">with its new responsibilities. </w:t>
      </w:r>
      <w:r w:rsidRPr="00036C11">
        <w:t>That is, if resources had to be diverted f</w:t>
      </w:r>
      <w:r w:rsidR="007D6E51" w:rsidRPr="00036C11">
        <w:t>r</w:t>
      </w:r>
      <w:r w:rsidRPr="00036C11">
        <w:t>om WHS-related functions to NCC-related functions, it is likely that their overall productivity would be reduced.</w:t>
      </w:r>
    </w:p>
    <w:p w14:paraId="539E2227" w14:textId="77777777" w:rsidR="006F4FDF" w:rsidRPr="009F2BC6" w:rsidRDefault="006F4FDF" w:rsidP="006F4FDF">
      <w:pPr>
        <w:pStyle w:val="Heading2"/>
        <w:keepNext/>
        <w:keepLines/>
        <w:pBdr>
          <w:top w:val="single" w:sz="4" w:space="1" w:color="auto"/>
          <w:bottom w:val="single" w:sz="4" w:space="1" w:color="auto"/>
        </w:pBdr>
        <w:shd w:val="clear" w:color="auto" w:fill="FBE4D5" w:themeFill="accent2" w:themeFillTint="33"/>
        <w:spacing w:before="120"/>
        <w:rPr>
          <w:szCs w:val="28"/>
        </w:rPr>
      </w:pPr>
      <w:bookmarkStart w:id="66" w:name="_Toc525908054"/>
      <w:bookmarkStart w:id="67" w:name="_Toc525908244"/>
      <w:bookmarkStart w:id="68" w:name="_Toc527373161"/>
      <w:bookmarkStart w:id="69" w:name="_Toc527622273"/>
      <w:bookmarkStart w:id="70" w:name="_Toc527632992"/>
      <w:r w:rsidRPr="009F2BC6">
        <w:rPr>
          <w:szCs w:val="28"/>
        </w:rPr>
        <w:t>Recommendations</w:t>
      </w:r>
      <w:bookmarkEnd w:id="66"/>
      <w:bookmarkEnd w:id="67"/>
      <w:bookmarkEnd w:id="68"/>
      <w:bookmarkEnd w:id="69"/>
      <w:bookmarkEnd w:id="70"/>
    </w:p>
    <w:p w14:paraId="74911C6A" w14:textId="77777777" w:rsidR="006F4FDF" w:rsidRDefault="006F4FDF" w:rsidP="006F4FDF">
      <w:pPr>
        <w:keepNext/>
        <w:keepLines/>
        <w:pBdr>
          <w:top w:val="single" w:sz="4" w:space="1" w:color="auto"/>
          <w:bottom w:val="single" w:sz="4" w:space="1" w:color="auto"/>
        </w:pBdr>
        <w:shd w:val="clear" w:color="auto" w:fill="FBE4D5" w:themeFill="accent2" w:themeFillTint="33"/>
        <w:spacing w:before="120" w:after="120"/>
      </w:pPr>
      <w:r>
        <w:rPr>
          <w:b/>
        </w:rPr>
        <w:t>Recommendation 5</w:t>
      </w:r>
      <w:r w:rsidRPr="00154456">
        <w:rPr>
          <w:b/>
        </w:rPr>
        <w:t>.1:</w:t>
      </w:r>
      <w:r w:rsidRPr="00154456">
        <w:t xml:space="preserve"> </w:t>
      </w:r>
      <w:r w:rsidRPr="00F37BD1">
        <w:t>That the Australian Government should keep the requirement for the FSC to address NCC issues under review as state and territory government responses to this issue evolve in the short to medium-term.</w:t>
      </w:r>
    </w:p>
    <w:p w14:paraId="7DFBFE13" w14:textId="77777777" w:rsidR="006F4FDF" w:rsidRDefault="006F4FDF" w:rsidP="006F4FDF">
      <w:pPr>
        <w:keepNext/>
        <w:keepLines/>
        <w:pBdr>
          <w:top w:val="single" w:sz="4" w:space="1" w:color="auto"/>
          <w:bottom w:val="single" w:sz="4" w:space="1" w:color="auto"/>
        </w:pBdr>
        <w:shd w:val="clear" w:color="auto" w:fill="FBE4D5" w:themeFill="accent2" w:themeFillTint="33"/>
        <w:spacing w:before="120" w:after="120"/>
      </w:pPr>
      <w:r>
        <w:rPr>
          <w:b/>
        </w:rPr>
        <w:t>Recommendation 5</w:t>
      </w:r>
      <w:r w:rsidRPr="00154456">
        <w:rPr>
          <w:b/>
        </w:rPr>
        <w:t>.2:</w:t>
      </w:r>
      <w:r w:rsidRPr="00154456">
        <w:t xml:space="preserve"> </w:t>
      </w:r>
      <w:r w:rsidRPr="00F37BD1">
        <w:t>That there should be a presumption in favour of repealing</w:t>
      </w:r>
      <w:r>
        <w:t xml:space="preserve"> subsection 38(ca) of the BCIIP </w:t>
      </w:r>
      <w:r w:rsidRPr="00F37BD1">
        <w:t>Act</w:t>
      </w:r>
      <w:r>
        <w:t xml:space="preserve">, provided that the Australian </w:t>
      </w:r>
      <w:r w:rsidRPr="00F37BD1">
        <w:t>Government is satisfied with the state and territory government reforms in this area.</w:t>
      </w:r>
    </w:p>
    <w:p w14:paraId="69294469" w14:textId="474F0A93" w:rsidR="006F4FDF" w:rsidRDefault="006F4FDF" w:rsidP="009F2BC6">
      <w:pPr>
        <w:keepLines/>
        <w:pBdr>
          <w:top w:val="single" w:sz="4" w:space="1" w:color="auto"/>
          <w:bottom w:val="single" w:sz="4" w:space="1" w:color="auto"/>
        </w:pBdr>
        <w:shd w:val="clear" w:color="auto" w:fill="FBE4D5" w:themeFill="accent2" w:themeFillTint="33"/>
        <w:spacing w:before="200" w:after="200" w:line="276" w:lineRule="auto"/>
        <w:rPr>
          <w:b/>
        </w:rPr>
      </w:pPr>
      <w:r>
        <w:rPr>
          <w:b/>
        </w:rPr>
        <w:t>Recommendation 5.3</w:t>
      </w:r>
      <w:r w:rsidRPr="00154456">
        <w:rPr>
          <w:b/>
        </w:rPr>
        <w:t>:</w:t>
      </w:r>
      <w:r w:rsidRPr="00154456">
        <w:t xml:space="preserve"> </w:t>
      </w:r>
      <w:r>
        <w:t>That</w:t>
      </w:r>
      <w:r w:rsidRPr="00F37BD1">
        <w:t xml:space="preserve"> the Government should ensure the FSC is adequately funded to undertake NCC-related activities to avoid compromising the effectiveness of its core functions in relation to workplace health and safety.</w:t>
      </w:r>
    </w:p>
    <w:p w14:paraId="1ACEFF27" w14:textId="41B3F0A5" w:rsidR="004334B0" w:rsidRPr="00431DB9" w:rsidRDefault="004334B0" w:rsidP="009F2BC6">
      <w:pPr>
        <w:pStyle w:val="Heading3"/>
        <w:keepNext/>
      </w:pPr>
      <w:bookmarkStart w:id="71" w:name="_Toc527622274"/>
      <w:bookmarkStart w:id="72" w:name="_Toc527632993"/>
      <w:r w:rsidRPr="009D5529">
        <w:lastRenderedPageBreak/>
        <w:t>Security of payment</w:t>
      </w:r>
      <w:bookmarkEnd w:id="71"/>
      <w:bookmarkEnd w:id="72"/>
    </w:p>
    <w:p w14:paraId="537528C8" w14:textId="04815B2C" w:rsidR="004334B0" w:rsidRDefault="004334B0" w:rsidP="009F2BC6">
      <w:pPr>
        <w:keepNext/>
        <w:spacing w:before="200" w:after="200" w:line="276" w:lineRule="auto"/>
      </w:pPr>
      <w:r>
        <w:t>The other issue raised in submissions in relation to term of reference</w:t>
      </w:r>
      <w:r w:rsidR="00530C06" w:rsidRPr="00EE0A20">
        <w:t> </w:t>
      </w:r>
      <w:r>
        <w:t>5 was that of security of payments. This term</w:t>
      </w:r>
      <w:r w:rsidRPr="002D6D70">
        <w:t xml:space="preserve"> refers to </w:t>
      </w:r>
      <w:r>
        <w:t xml:space="preserve">a system that entitles </w:t>
      </w:r>
      <w:r w:rsidRPr="002D6D70">
        <w:t xml:space="preserve">contractors, </w:t>
      </w:r>
      <w:r>
        <w:t>subcontractors, consultants and</w:t>
      </w:r>
      <w:r w:rsidRPr="002D6D70">
        <w:t xml:space="preserve"> suppliers in the </w:t>
      </w:r>
      <w:r>
        <w:t xml:space="preserve">construction industry </w:t>
      </w:r>
      <w:r w:rsidRPr="002D6D70">
        <w:t xml:space="preserve">contractual chain to </w:t>
      </w:r>
      <w:r>
        <w:t xml:space="preserve">receive </w:t>
      </w:r>
      <w:r w:rsidRPr="002D6D70">
        <w:t>payments for work undertaken under a construction contract.</w:t>
      </w:r>
      <w:r>
        <w:t xml:space="preserve"> All states and territories have enacted specific security of payment legislation in recent years, providing statutory entitlements to progress payments and rapid, low-cost adjudication processes to deal with disputed payments. </w:t>
      </w:r>
    </w:p>
    <w:p w14:paraId="50AA686E" w14:textId="49625064" w:rsidR="004334B0" w:rsidRDefault="004334B0" w:rsidP="00063683">
      <w:pPr>
        <w:spacing w:before="200" w:after="200" w:line="276" w:lineRule="auto"/>
      </w:pPr>
      <w:r>
        <w:t xml:space="preserve">Section 32A of the BCIIP Act requires a Security of Payment Working Group to be established to advise the </w:t>
      </w:r>
      <w:r w:rsidR="00530C06" w:rsidRPr="00E732BC">
        <w:t>ABC </w:t>
      </w:r>
      <w:r>
        <w:t>Commissioner and monitor the ABCC’s effectiveness in exercising its powers in relation to security of payment</w:t>
      </w:r>
      <w:r w:rsidR="00B6500F">
        <w:t>s</w:t>
      </w:r>
      <w:r>
        <w:t xml:space="preserve">, advise and make recommendations to the </w:t>
      </w:r>
      <w:r w:rsidR="007B23BE">
        <w:t>ABC </w:t>
      </w:r>
      <w:r>
        <w:t>Commissioner and make recommendations to the Minister in response to any matters the Minister requests it to consider. This was not</w:t>
      </w:r>
      <w:r w:rsidR="00470579">
        <w:t xml:space="preserve"> a requirement of the FWBI Act.</w:t>
      </w:r>
      <w:r w:rsidR="009D2459">
        <w:t xml:space="preserve"> In addition, Sections 11D and </w:t>
      </w:r>
      <w:r>
        <w:t xml:space="preserve">11E of the </w:t>
      </w:r>
      <w:r w:rsidR="00B6500F">
        <w:t>2016 </w:t>
      </w:r>
      <w:r>
        <w:t>Code address security of payments issues, placing a range of specific obligations on code-covered entities.</w:t>
      </w:r>
    </w:p>
    <w:p w14:paraId="347533C1" w14:textId="6F0ECBB4" w:rsidR="004334B0" w:rsidRDefault="004334B0" w:rsidP="00063683">
      <w:pPr>
        <w:spacing w:after="200" w:line="276" w:lineRule="auto"/>
      </w:pPr>
      <w:r>
        <w:t xml:space="preserve">Only three submissions addressed this issue. The MBA argued that, while this issue is an important one, the ABCC is not the appropriate body to address it. Moreover, the need to do so could divert its focus away from its core functions. </w:t>
      </w:r>
      <w:r w:rsidR="00530C06" w:rsidRPr="00EE0A20">
        <w:t xml:space="preserve">The </w:t>
      </w:r>
      <w:r>
        <w:t>MBA also questioned whether the successive changes and additions to the regulation of this issue in recent years had been effective and raised the prospect that further change could yield significant confusion. The ACTU supports</w:t>
      </w:r>
      <w:r w:rsidRPr="00EE0A20">
        <w:t xml:space="preserve"> </w:t>
      </w:r>
      <w:r w:rsidR="00530C06" w:rsidRPr="00EE0A20">
        <w:t>the</w:t>
      </w:r>
      <w:r>
        <w:t xml:space="preserve"> ABCC’s involvement in this area but argued that it had performed poorly to date. The ACTU believes that an improved definition of a disputed or delayed payment is required which would enable the ABCC to become engaged in security of payments disputes at an earlier stage. The Civil Contractors’ Federation also supported earlier involvement by ABCC in security of payment disputes.</w:t>
      </w:r>
    </w:p>
    <w:p w14:paraId="0F4F4D41" w14:textId="0190C87C" w:rsidR="004334B0" w:rsidRDefault="004334B0" w:rsidP="00063683">
      <w:pPr>
        <w:spacing w:after="200" w:line="276" w:lineRule="auto"/>
      </w:pPr>
      <w:r>
        <w:t xml:space="preserve">The review believes that the focus of the Security of Payments Working Group on increasing awareness of the existing state and territory security of payments legislation is an appropriate response to the observed low level of awareness of this legislation among industry participants, as highlighted in the Murray Review. There may also be unexplored potential for better cooperation and data flows between the relevant state and territory government bodies and the ABCC in relation to security of payment issues. </w:t>
      </w:r>
    </w:p>
    <w:p w14:paraId="70537DCB" w14:textId="77777777" w:rsidR="004334B0" w:rsidRDefault="004334B0" w:rsidP="00063683">
      <w:pPr>
        <w:spacing w:after="200" w:line="276" w:lineRule="auto"/>
      </w:pPr>
      <w:r>
        <w:t xml:space="preserve">However, security of payments is a further area in which the provisions of the BCIIP Act and the 2016 Code extend to issues for which state and territory governments have primary responsibility. The fact that all states and territories have adopted legislation specifically addressing security of payments in the decade between 1999 and 2009 clearly indicates a general acceptance that this is an issue of major concern. As some submissions noted, this raises the question of whether ABCC can be expected to add substantial value. </w:t>
      </w:r>
    </w:p>
    <w:p w14:paraId="4E0DC404" w14:textId="77777777" w:rsidR="004334B0" w:rsidRDefault="004334B0" w:rsidP="00063683">
      <w:pPr>
        <w:spacing w:after="200" w:line="276" w:lineRule="auto"/>
      </w:pPr>
      <w:r>
        <w:t xml:space="preserve">It seems likely that the need for </w:t>
      </w:r>
      <w:r w:rsidR="00530C06" w:rsidRPr="00EE0A20">
        <w:t xml:space="preserve">the </w:t>
      </w:r>
      <w:r>
        <w:t xml:space="preserve">ABCC to fulfil its responsibilities in this area could lead to a diversion of ABCC resources from other activities, as suggested by </w:t>
      </w:r>
      <w:r w:rsidR="00530C06" w:rsidRPr="00EE0A20">
        <w:t>the</w:t>
      </w:r>
      <w:r w:rsidRPr="00EE0A20">
        <w:t xml:space="preserve"> </w:t>
      </w:r>
      <w:r>
        <w:t>MBA. To the extent that the recently developed education campaign is successful in raising awareness, a further increase in the number of delayed and disputed payments reported to regulators is also to be expected. Again, this may have implications for ABCC resourcing.</w:t>
      </w:r>
    </w:p>
    <w:p w14:paraId="01259D42" w14:textId="319260DF" w:rsidR="004334B0" w:rsidRDefault="004334B0" w:rsidP="00063683">
      <w:pPr>
        <w:spacing w:after="200" w:line="276" w:lineRule="auto"/>
        <w:rPr>
          <w:rFonts w:cstheme="minorHAnsi"/>
          <w:szCs w:val="24"/>
        </w:rPr>
      </w:pPr>
      <w:r>
        <w:rPr>
          <w:rFonts w:cstheme="minorHAnsi"/>
          <w:szCs w:val="24"/>
        </w:rPr>
        <w:lastRenderedPageBreak/>
        <w:t>The Murray Review has addressed the issue of security of payments in detail. Its recommendations focus on the need to achieve greater consistency between state and territory laws and on identifying the preferred characteristics of security of payment legislation around which harmonisation should occur. The Australian Government is, at the time of writing, yet to provide its formal response to the Murray Review. This response could potentially be delayed for some time, pending consultation with state and territory governments regarding the nature and extent of any harmonisation initiatives to be adopted. In this context, any changes in the BCIIP Act provisions in this area should await clarification of the expected outcomes in the broader policy environment.</w:t>
      </w:r>
    </w:p>
    <w:p w14:paraId="0CF4D855" w14:textId="77777777" w:rsidR="006F4FDF" w:rsidRPr="009F2BC6" w:rsidRDefault="006F4FDF" w:rsidP="00CE0D6A">
      <w:pPr>
        <w:pStyle w:val="Heading2"/>
        <w:keepNext/>
        <w:pBdr>
          <w:top w:val="single" w:sz="4" w:space="1" w:color="auto"/>
          <w:bottom w:val="single" w:sz="4" w:space="1" w:color="auto"/>
        </w:pBdr>
        <w:shd w:val="clear" w:color="auto" w:fill="FBE4D5" w:themeFill="accent2" w:themeFillTint="33"/>
        <w:spacing w:before="120"/>
        <w:rPr>
          <w:szCs w:val="28"/>
        </w:rPr>
      </w:pPr>
      <w:bookmarkStart w:id="73" w:name="_Toc525908055"/>
      <w:bookmarkStart w:id="74" w:name="_Toc525908245"/>
      <w:bookmarkStart w:id="75" w:name="_Toc527373162"/>
      <w:bookmarkStart w:id="76" w:name="_Toc527622275"/>
      <w:bookmarkStart w:id="77" w:name="_Toc527632994"/>
      <w:r w:rsidRPr="009F2BC6">
        <w:rPr>
          <w:szCs w:val="28"/>
        </w:rPr>
        <w:t>Finding and recommendations</w:t>
      </w:r>
      <w:bookmarkEnd w:id="73"/>
      <w:bookmarkEnd w:id="74"/>
      <w:bookmarkEnd w:id="75"/>
      <w:bookmarkEnd w:id="76"/>
      <w:bookmarkEnd w:id="77"/>
    </w:p>
    <w:p w14:paraId="281BF7A4" w14:textId="77777777" w:rsidR="006F4FDF" w:rsidRDefault="006F4FDF" w:rsidP="00CE0D6A">
      <w:pPr>
        <w:keepNext/>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w:t>
      </w:r>
      <w:r w:rsidRPr="003B5987">
        <w:t>There is relatively limited support among stakeholders for the role of the ABCC in relation to security of pa</w:t>
      </w:r>
      <w:r>
        <w:t>yment matters. However, the ABC </w:t>
      </w:r>
      <w:r w:rsidRPr="003B5987">
        <w:t>Commissioner believes that the Security of Payments Working Group has, to date, worked effectively and achieved significant outcomes.</w:t>
      </w:r>
    </w:p>
    <w:p w14:paraId="53F82259" w14:textId="77777777" w:rsidR="006F4FDF" w:rsidRDefault="006F4FDF" w:rsidP="00CE0D6A">
      <w:pPr>
        <w:keepNext/>
        <w:pBdr>
          <w:top w:val="single" w:sz="4" w:space="1" w:color="auto"/>
          <w:bottom w:val="single" w:sz="4" w:space="1" w:color="auto"/>
        </w:pBdr>
        <w:shd w:val="clear" w:color="auto" w:fill="FBE4D5" w:themeFill="accent2" w:themeFillTint="33"/>
        <w:spacing w:before="120" w:after="120"/>
      </w:pPr>
      <w:r>
        <w:rPr>
          <w:b/>
        </w:rPr>
        <w:t>Recommendation 5.4</w:t>
      </w:r>
      <w:r w:rsidRPr="00154456">
        <w:rPr>
          <w:b/>
        </w:rPr>
        <w:t>:</w:t>
      </w:r>
      <w:r w:rsidRPr="00154456">
        <w:t xml:space="preserve"> </w:t>
      </w:r>
      <w:r w:rsidRPr="003B5987">
        <w:t>That the ABCC should continue to cooperate systematically with state and territory government bodies responsible for administering and enforcing security of payments laws, particularly in terms of data and intelligence sharing.</w:t>
      </w:r>
    </w:p>
    <w:p w14:paraId="579B2779" w14:textId="714A8D04" w:rsidR="006F4FDF" w:rsidRDefault="006F4FDF" w:rsidP="00CE0D6A">
      <w:pPr>
        <w:keepNext/>
        <w:pBdr>
          <w:top w:val="single" w:sz="4" w:space="1" w:color="auto"/>
          <w:bottom w:val="single" w:sz="4" w:space="1" w:color="auto"/>
        </w:pBdr>
        <w:shd w:val="clear" w:color="auto" w:fill="FBE4D5" w:themeFill="accent2" w:themeFillTint="33"/>
        <w:spacing w:after="200" w:line="276" w:lineRule="auto"/>
        <w:rPr>
          <w:rFonts w:cstheme="minorHAnsi"/>
          <w:szCs w:val="24"/>
        </w:rPr>
      </w:pPr>
      <w:r>
        <w:rPr>
          <w:b/>
        </w:rPr>
        <w:t>Recommendation 5.5</w:t>
      </w:r>
      <w:r w:rsidRPr="00154456">
        <w:rPr>
          <w:b/>
        </w:rPr>
        <w:t>:</w:t>
      </w:r>
      <w:r w:rsidRPr="00154456">
        <w:t xml:space="preserve"> </w:t>
      </w:r>
      <w:r w:rsidRPr="003B5987">
        <w:t>That the Australian Government further consider the nature of the ABCC’s role in relation to any changes to security of payment arrangements, including in the context of its response to the Murray Review into this issue.</w:t>
      </w:r>
    </w:p>
    <w:p w14:paraId="131EB78B" w14:textId="77777777" w:rsidR="00CE0D6A" w:rsidRDefault="00CE0D6A" w:rsidP="004334B0">
      <w:pPr>
        <w:autoSpaceDE w:val="0"/>
        <w:autoSpaceDN w:val="0"/>
        <w:adjustRightInd w:val="0"/>
        <w:spacing w:after="0" w:line="240" w:lineRule="auto"/>
        <w:rPr>
          <w:rFonts w:cstheme="minorHAnsi"/>
          <w:color w:val="000000"/>
          <w:szCs w:val="24"/>
        </w:rPr>
      </w:pPr>
    </w:p>
    <w:p w14:paraId="32C496DC" w14:textId="77777777" w:rsidR="00CE0D6A" w:rsidRDefault="00CE0D6A" w:rsidP="004334B0">
      <w:pPr>
        <w:autoSpaceDE w:val="0"/>
        <w:autoSpaceDN w:val="0"/>
        <w:adjustRightInd w:val="0"/>
        <w:spacing w:after="0" w:line="240" w:lineRule="auto"/>
        <w:rPr>
          <w:rFonts w:cstheme="minorHAnsi"/>
          <w:color w:val="000000"/>
          <w:szCs w:val="24"/>
        </w:rPr>
        <w:sectPr w:rsidR="00CE0D6A" w:rsidSect="004706A4">
          <w:footerReference w:type="default" r:id="rId20"/>
          <w:pgSz w:w="11906" w:h="16838" w:code="9"/>
          <w:pgMar w:top="1440" w:right="1440" w:bottom="1440" w:left="1440" w:header="709" w:footer="1009" w:gutter="0"/>
          <w:pgNumType w:start="1"/>
          <w:cols w:space="708"/>
          <w:docGrid w:linePitch="360"/>
        </w:sectPr>
      </w:pPr>
    </w:p>
    <w:p w14:paraId="066A84D0" w14:textId="77777777" w:rsidR="00EF44A0" w:rsidRPr="00814595" w:rsidRDefault="00EF44A0" w:rsidP="00814595">
      <w:pPr>
        <w:pStyle w:val="Heading1"/>
      </w:pPr>
      <w:bookmarkStart w:id="78" w:name="_Toc523154918"/>
      <w:bookmarkStart w:id="79" w:name="_Toc527632995"/>
      <w:bookmarkEnd w:id="12"/>
      <w:r w:rsidRPr="00814595">
        <w:lastRenderedPageBreak/>
        <w:t>Introduction</w:t>
      </w:r>
      <w:bookmarkEnd w:id="78"/>
      <w:bookmarkEnd w:id="79"/>
    </w:p>
    <w:p w14:paraId="3F75CE2B" w14:textId="77777777" w:rsidR="00241F1D" w:rsidRPr="00431DB9" w:rsidRDefault="00241F1D" w:rsidP="00063683">
      <w:pPr>
        <w:pStyle w:val="Heading2"/>
      </w:pPr>
      <w:bookmarkStart w:id="80" w:name="_Toc527632996"/>
      <w:r w:rsidRPr="00431DB9">
        <w:t>Background</w:t>
      </w:r>
      <w:r w:rsidR="00AB2788" w:rsidRPr="00431DB9">
        <w:t xml:space="preserve"> to the review</w:t>
      </w:r>
      <w:bookmarkEnd w:id="80"/>
    </w:p>
    <w:p w14:paraId="4CBABED5" w14:textId="6C4EF40D" w:rsidR="00241F1D" w:rsidRPr="00916419" w:rsidRDefault="00241F1D" w:rsidP="00063683">
      <w:pPr>
        <w:spacing w:before="200" w:after="200" w:line="276" w:lineRule="auto"/>
        <w:rPr>
          <w:rFonts w:eastAsia="Times New Roman" w:cstheme="minorHAnsi"/>
          <w:lang w:eastAsia="en-AU"/>
        </w:rPr>
      </w:pPr>
      <w:r w:rsidRPr="00916419">
        <w:rPr>
          <w:rFonts w:eastAsia="Times New Roman" w:cstheme="minorHAnsi"/>
          <w:lang w:eastAsia="en-AU"/>
        </w:rPr>
        <w:t xml:space="preserve">The </w:t>
      </w:r>
      <w:r w:rsidR="000D610F" w:rsidRPr="00916419">
        <w:rPr>
          <w:rFonts w:eastAsia="Times New Roman" w:cstheme="minorHAnsi"/>
          <w:lang w:eastAsia="en-AU"/>
        </w:rPr>
        <w:t xml:space="preserve">main </w:t>
      </w:r>
      <w:r w:rsidRPr="00916419">
        <w:rPr>
          <w:rFonts w:eastAsia="Times New Roman" w:cstheme="minorHAnsi"/>
          <w:lang w:eastAsia="en-AU"/>
        </w:rPr>
        <w:t xml:space="preserve">object of the </w:t>
      </w:r>
      <w:r w:rsidRPr="00916419">
        <w:rPr>
          <w:rFonts w:eastAsia="Times New Roman" w:cstheme="minorHAnsi"/>
          <w:i/>
          <w:bdr w:val="nil"/>
          <w:lang w:eastAsia="en-AU"/>
        </w:rPr>
        <w:t>Building and Construction Industry (Improving Productivity) Act</w:t>
      </w:r>
      <w:r w:rsidR="00383F12">
        <w:rPr>
          <w:rFonts w:eastAsia="Times New Roman" w:cstheme="minorHAnsi"/>
          <w:i/>
          <w:bdr w:val="nil"/>
          <w:lang w:eastAsia="en-AU"/>
        </w:rPr>
        <w:t> </w:t>
      </w:r>
      <w:r w:rsidRPr="00916419">
        <w:rPr>
          <w:rFonts w:eastAsia="Times New Roman" w:cstheme="minorHAnsi"/>
          <w:i/>
          <w:bdr w:val="nil"/>
          <w:lang w:eastAsia="en-AU"/>
        </w:rPr>
        <w:t>2016</w:t>
      </w:r>
      <w:r w:rsidRPr="00916419">
        <w:rPr>
          <w:rFonts w:eastAsia="Times New Roman" w:cstheme="minorHAnsi"/>
          <w:bdr w:val="nil"/>
          <w:lang w:eastAsia="en-AU"/>
        </w:rPr>
        <w:t xml:space="preserve"> (</w:t>
      </w:r>
      <w:r w:rsidRPr="00916419">
        <w:rPr>
          <w:rFonts w:eastAsia="Times New Roman" w:cstheme="minorHAnsi"/>
          <w:lang w:eastAsia="en-AU"/>
        </w:rPr>
        <w:t>BCIIP</w:t>
      </w:r>
      <w:r w:rsidR="00383F12">
        <w:rPr>
          <w:rFonts w:eastAsia="Times New Roman" w:cstheme="minorHAnsi"/>
          <w:lang w:eastAsia="en-AU"/>
        </w:rPr>
        <w:t> </w:t>
      </w:r>
      <w:r w:rsidRPr="00916419">
        <w:rPr>
          <w:rFonts w:eastAsia="Times New Roman" w:cstheme="minorHAnsi"/>
          <w:lang w:eastAsia="en-AU"/>
        </w:rPr>
        <w:t>Act)</w:t>
      </w:r>
      <w:r w:rsidR="00C9342F">
        <w:rPr>
          <w:rFonts w:eastAsia="Times New Roman" w:cstheme="minorHAnsi"/>
          <w:lang w:eastAsia="en-AU"/>
        </w:rPr>
        <w:t xml:space="preserve"> </w:t>
      </w:r>
      <w:r w:rsidRPr="00916419">
        <w:rPr>
          <w:rFonts w:eastAsia="Times New Roman" w:cstheme="minorHAnsi"/>
          <w:lang w:eastAsia="en-AU"/>
        </w:rPr>
        <w:t>is to provide an improved workplace relations framework for building work</w:t>
      </w:r>
      <w:r w:rsidR="00822082">
        <w:rPr>
          <w:rFonts w:eastAsia="Times New Roman" w:cstheme="minorHAnsi"/>
          <w:lang w:eastAsia="en-AU"/>
        </w:rPr>
        <w:t>,</w:t>
      </w:r>
      <w:r w:rsidRPr="00916419">
        <w:rPr>
          <w:rFonts w:eastAsia="Times New Roman" w:cstheme="minorHAnsi"/>
          <w:lang w:eastAsia="en-AU"/>
        </w:rPr>
        <w:t xml:space="preserve"> to ensure </w:t>
      </w:r>
      <w:r w:rsidR="00EA60CA">
        <w:rPr>
          <w:rFonts w:eastAsia="Times New Roman" w:cstheme="minorHAnsi"/>
          <w:lang w:eastAsia="en-AU"/>
        </w:rPr>
        <w:t xml:space="preserve">that building </w:t>
      </w:r>
      <w:r w:rsidRPr="00916419">
        <w:rPr>
          <w:rFonts w:eastAsia="Times New Roman" w:cstheme="minorHAnsi"/>
          <w:lang w:eastAsia="en-AU"/>
        </w:rPr>
        <w:t>work is carried out</w:t>
      </w:r>
      <w:r w:rsidR="00D828DB" w:rsidRPr="00916419">
        <w:rPr>
          <w:rFonts w:eastAsia="Times New Roman" w:cstheme="minorHAnsi"/>
          <w:lang w:eastAsia="en-AU"/>
        </w:rPr>
        <w:t xml:space="preserve"> </w:t>
      </w:r>
      <w:r w:rsidRPr="00916419">
        <w:rPr>
          <w:rFonts w:eastAsia="Times New Roman" w:cstheme="minorHAnsi"/>
          <w:lang w:eastAsia="en-AU"/>
        </w:rPr>
        <w:t>fairly, efficiently and productively, without distinction between interests of building industry participants</w:t>
      </w:r>
      <w:r w:rsidR="00312526" w:rsidRPr="00916419">
        <w:rPr>
          <w:rFonts w:eastAsia="Times New Roman" w:cstheme="minorHAnsi"/>
          <w:lang w:eastAsia="en-AU"/>
        </w:rPr>
        <w:t>,</w:t>
      </w:r>
      <w:r w:rsidRPr="00916419">
        <w:rPr>
          <w:rFonts w:eastAsia="Times New Roman" w:cstheme="minorHAnsi"/>
          <w:lang w:eastAsia="en-AU"/>
        </w:rPr>
        <w:t xml:space="preserve"> </w:t>
      </w:r>
      <w:r w:rsidR="00EA60CA">
        <w:t xml:space="preserve">for the benefit of all building industry participants </w:t>
      </w:r>
      <w:r w:rsidRPr="00916419">
        <w:rPr>
          <w:rFonts w:eastAsia="Times New Roman" w:cstheme="minorHAnsi"/>
          <w:lang w:eastAsia="en-AU"/>
        </w:rPr>
        <w:t>and the Australian economy as a whole</w:t>
      </w:r>
      <w:r w:rsidR="00312526" w:rsidRPr="00916419">
        <w:rPr>
          <w:rFonts w:eastAsia="Times New Roman" w:cstheme="minorHAnsi"/>
          <w:lang w:eastAsia="en-AU"/>
        </w:rPr>
        <w:t>.</w:t>
      </w:r>
      <w:r w:rsidRPr="00916419">
        <w:rPr>
          <w:rStyle w:val="FootnoteReference"/>
          <w:rFonts w:eastAsia="Times New Roman" w:cstheme="minorHAnsi"/>
          <w:lang w:eastAsia="en-AU"/>
        </w:rPr>
        <w:footnoteReference w:id="4"/>
      </w:r>
      <w:r w:rsidRPr="00916419">
        <w:rPr>
          <w:rFonts w:cstheme="minorHAnsi"/>
        </w:rPr>
        <w:t xml:space="preserve"> </w:t>
      </w:r>
    </w:p>
    <w:p w14:paraId="7ED7F0E0" w14:textId="1FC9A032" w:rsidR="00241F1D" w:rsidRPr="00916419" w:rsidRDefault="00241F1D" w:rsidP="00063683">
      <w:pPr>
        <w:spacing w:after="200" w:line="276" w:lineRule="auto"/>
        <w:rPr>
          <w:rFonts w:eastAsia="Times New Roman" w:cstheme="minorHAnsi"/>
          <w:lang w:eastAsia="en-AU"/>
        </w:rPr>
      </w:pPr>
      <w:r w:rsidRPr="00916419">
        <w:rPr>
          <w:rFonts w:eastAsia="Times New Roman" w:cstheme="minorHAnsi"/>
          <w:lang w:eastAsia="en-AU"/>
        </w:rPr>
        <w:t xml:space="preserve">Additionally, </w:t>
      </w:r>
      <w:r w:rsidR="000D610F" w:rsidRPr="00916419">
        <w:rPr>
          <w:rFonts w:eastAsia="Times New Roman" w:cstheme="minorHAnsi"/>
          <w:lang w:eastAsia="en-AU"/>
        </w:rPr>
        <w:t>the</w:t>
      </w:r>
      <w:r w:rsidRPr="00916419">
        <w:rPr>
          <w:rFonts w:eastAsia="Times New Roman" w:cstheme="minorHAnsi"/>
          <w:i/>
          <w:lang w:eastAsia="en-AU"/>
        </w:rPr>
        <w:t xml:space="preserve"> Code for the Tendering and Performance of Building Work 2016</w:t>
      </w:r>
      <w:r w:rsidRPr="00916419">
        <w:rPr>
          <w:rFonts w:eastAsia="Times New Roman" w:cstheme="minorHAnsi"/>
          <w:lang w:eastAsia="en-AU"/>
        </w:rPr>
        <w:t xml:space="preserve"> (</w:t>
      </w:r>
      <w:r w:rsidR="00814595">
        <w:rPr>
          <w:rFonts w:eastAsia="Times New Roman" w:cstheme="minorHAnsi"/>
          <w:lang w:eastAsia="en-AU"/>
        </w:rPr>
        <w:t>2016</w:t>
      </w:r>
      <w:r w:rsidR="00BC0D9F" w:rsidRPr="00EE0A20">
        <w:rPr>
          <w:rFonts w:eastAsia="Times New Roman" w:cstheme="minorHAnsi"/>
          <w:lang w:eastAsia="en-AU"/>
        </w:rPr>
        <w:t> </w:t>
      </w:r>
      <w:r w:rsidRPr="00916419">
        <w:rPr>
          <w:rFonts w:eastAsia="Times New Roman" w:cstheme="minorHAnsi"/>
          <w:lang w:eastAsia="en-AU"/>
        </w:rPr>
        <w:t>Code)</w:t>
      </w:r>
      <w:r w:rsidR="00822082">
        <w:rPr>
          <w:rFonts w:eastAsia="Times New Roman" w:cstheme="minorHAnsi"/>
          <w:lang w:eastAsia="en-AU"/>
        </w:rPr>
        <w:t xml:space="preserve">, made under the authority of the </w:t>
      </w:r>
      <w:r w:rsidR="00C9342F">
        <w:rPr>
          <w:rFonts w:eastAsia="Times New Roman" w:cstheme="minorHAnsi"/>
          <w:lang w:eastAsia="en-AU"/>
        </w:rPr>
        <w:t>BCIIP</w:t>
      </w:r>
      <w:r w:rsidR="00383F12">
        <w:rPr>
          <w:rFonts w:eastAsia="Times New Roman" w:cstheme="minorHAnsi"/>
          <w:lang w:eastAsia="en-AU"/>
        </w:rPr>
        <w:t> </w:t>
      </w:r>
      <w:r w:rsidR="00822082">
        <w:rPr>
          <w:rFonts w:eastAsia="Times New Roman" w:cstheme="minorHAnsi"/>
          <w:lang w:eastAsia="en-AU"/>
        </w:rPr>
        <w:t>Act,</w:t>
      </w:r>
      <w:r w:rsidRPr="00916419">
        <w:rPr>
          <w:rFonts w:eastAsia="Times New Roman" w:cstheme="minorHAnsi"/>
          <w:lang w:eastAsia="en-AU"/>
        </w:rPr>
        <w:t xml:space="preserve"> sets out the Australian Government’s expected standards of conduct for </w:t>
      </w:r>
      <w:r w:rsidR="007D6E51" w:rsidRPr="00EE0A20">
        <w:rPr>
          <w:rFonts w:eastAsia="Times New Roman" w:cstheme="minorHAnsi"/>
          <w:lang w:eastAsia="en-AU"/>
        </w:rPr>
        <w:t>certain</w:t>
      </w:r>
      <w:r w:rsidRPr="00EE0A20">
        <w:rPr>
          <w:rFonts w:eastAsia="Times New Roman" w:cstheme="minorHAnsi"/>
          <w:lang w:eastAsia="en-AU"/>
        </w:rPr>
        <w:t xml:space="preserve"> </w:t>
      </w:r>
      <w:r w:rsidRPr="00916419">
        <w:rPr>
          <w:rFonts w:eastAsia="Times New Roman" w:cstheme="minorHAnsi"/>
          <w:lang w:eastAsia="en-AU"/>
        </w:rPr>
        <w:t>building industry participants that seek to be, or are, undertaking Commonwealth</w:t>
      </w:r>
      <w:r w:rsidR="00822082">
        <w:rPr>
          <w:rFonts w:eastAsia="Times New Roman" w:cstheme="minorHAnsi"/>
          <w:lang w:eastAsia="en-AU"/>
        </w:rPr>
        <w:t>-</w:t>
      </w:r>
      <w:r w:rsidRPr="00916419">
        <w:rPr>
          <w:rFonts w:eastAsia="Times New Roman" w:cstheme="minorHAnsi"/>
          <w:lang w:eastAsia="en-AU"/>
        </w:rPr>
        <w:t xml:space="preserve">funded building work. </w:t>
      </w:r>
      <w:r w:rsidR="006C4A36">
        <w:rPr>
          <w:rFonts w:eastAsia="Times New Roman" w:cstheme="minorHAnsi"/>
          <w:lang w:eastAsia="en-AU"/>
        </w:rPr>
        <w:t xml:space="preserve">Once a building industry participant becomes subject to the </w:t>
      </w:r>
      <w:r w:rsidR="00814595">
        <w:rPr>
          <w:rFonts w:eastAsia="Times New Roman" w:cstheme="minorHAnsi"/>
          <w:lang w:eastAsia="en-AU"/>
        </w:rPr>
        <w:t>2016 </w:t>
      </w:r>
      <w:r w:rsidR="006C4A36">
        <w:rPr>
          <w:rFonts w:eastAsia="Times New Roman" w:cstheme="minorHAnsi"/>
          <w:lang w:eastAsia="en-AU"/>
        </w:rPr>
        <w:t xml:space="preserve">Code, it must comply with the </w:t>
      </w:r>
      <w:r w:rsidR="00814595">
        <w:rPr>
          <w:rFonts w:eastAsia="Times New Roman" w:cstheme="minorHAnsi"/>
          <w:lang w:eastAsia="en-AU"/>
        </w:rPr>
        <w:t>2016 </w:t>
      </w:r>
      <w:r w:rsidR="006C4A36">
        <w:rPr>
          <w:rFonts w:eastAsia="Times New Roman" w:cstheme="minorHAnsi"/>
          <w:lang w:eastAsia="en-AU"/>
        </w:rPr>
        <w:t>Code in relation to all building work it</w:t>
      </w:r>
      <w:r w:rsidR="006E0CE4">
        <w:rPr>
          <w:rFonts w:eastAsia="Times New Roman" w:cstheme="minorHAnsi"/>
          <w:lang w:eastAsia="en-AU"/>
        </w:rPr>
        <w:t xml:space="preserve"> undertakes.</w:t>
      </w:r>
    </w:p>
    <w:p w14:paraId="08233A7D" w14:textId="437CE100" w:rsidR="000C407E" w:rsidRDefault="000D610F" w:rsidP="00063683">
      <w:pPr>
        <w:spacing w:after="200" w:line="276" w:lineRule="auto"/>
        <w:rPr>
          <w:rFonts w:eastAsia="Times New Roman" w:cstheme="minorHAnsi"/>
          <w:lang w:eastAsia="en-AU"/>
        </w:rPr>
      </w:pPr>
      <w:r w:rsidRPr="00916419">
        <w:rPr>
          <w:rFonts w:cstheme="minorHAnsi"/>
          <w:bCs/>
          <w:color w:val="000000"/>
        </w:rPr>
        <w:t>Section</w:t>
      </w:r>
      <w:r w:rsidR="0099154A">
        <w:rPr>
          <w:rFonts w:cstheme="minorHAnsi"/>
          <w:bCs/>
          <w:color w:val="000000"/>
        </w:rPr>
        <w:t> </w:t>
      </w:r>
      <w:r w:rsidRPr="00916419">
        <w:rPr>
          <w:rFonts w:cstheme="minorHAnsi"/>
          <w:bCs/>
          <w:color w:val="000000"/>
        </w:rPr>
        <w:t xml:space="preserve">119A of </w:t>
      </w:r>
      <w:r w:rsidR="00C9342F">
        <w:rPr>
          <w:rFonts w:cstheme="minorHAnsi"/>
          <w:bCs/>
          <w:color w:val="000000"/>
        </w:rPr>
        <w:t>t</w:t>
      </w:r>
      <w:r w:rsidR="002D251C" w:rsidRPr="00916419">
        <w:rPr>
          <w:rFonts w:cstheme="minorHAnsi"/>
          <w:bCs/>
          <w:color w:val="000000"/>
        </w:rPr>
        <w:t>he BCIIP</w:t>
      </w:r>
      <w:r w:rsidR="00383F12">
        <w:rPr>
          <w:rFonts w:cstheme="minorHAnsi"/>
          <w:bCs/>
          <w:color w:val="000000"/>
        </w:rPr>
        <w:t> </w:t>
      </w:r>
      <w:r w:rsidR="002D251C" w:rsidRPr="00916419">
        <w:rPr>
          <w:rFonts w:cstheme="minorHAnsi"/>
          <w:bCs/>
          <w:color w:val="000000"/>
        </w:rPr>
        <w:t xml:space="preserve">Act </w:t>
      </w:r>
      <w:r w:rsidR="00406960">
        <w:rPr>
          <w:rFonts w:cstheme="minorHAnsi"/>
          <w:bCs/>
          <w:color w:val="000000"/>
        </w:rPr>
        <w:t xml:space="preserve">states that </w:t>
      </w:r>
      <w:r w:rsidR="00F02FFE">
        <w:rPr>
          <w:rFonts w:cstheme="minorHAnsi"/>
          <w:bCs/>
          <w:color w:val="000000"/>
        </w:rPr>
        <w:t>‘[b]</w:t>
      </w:r>
      <w:proofErr w:type="spellStart"/>
      <w:r w:rsidR="00406960">
        <w:t>efore</w:t>
      </w:r>
      <w:proofErr w:type="spellEnd"/>
      <w:r w:rsidR="00406960">
        <w:t xml:space="preserve"> the end of the period of 12 months after the commencement of this section, the Minister must cause to be conducted a review </w:t>
      </w:r>
      <w:r w:rsidR="00063683">
        <w:t>into the operation of this Act</w:t>
      </w:r>
      <w:r w:rsidR="00F02FFE">
        <w:t>’</w:t>
      </w:r>
      <w:r w:rsidRPr="00916419">
        <w:rPr>
          <w:rFonts w:cstheme="minorHAnsi"/>
          <w:bCs/>
          <w:color w:val="000000"/>
        </w:rPr>
        <w:t>.</w:t>
      </w:r>
      <w:r w:rsidR="002D251C" w:rsidRPr="00916419">
        <w:rPr>
          <w:rFonts w:cstheme="minorHAnsi"/>
          <w:bCs/>
          <w:color w:val="000000"/>
        </w:rPr>
        <w:t xml:space="preserve"> </w:t>
      </w:r>
      <w:r w:rsidR="00F02FFE">
        <w:rPr>
          <w:rFonts w:eastAsia="Times New Roman" w:cstheme="minorHAnsi"/>
          <w:lang w:eastAsia="en-AU"/>
        </w:rPr>
        <w:t>On 1 December </w:t>
      </w:r>
      <w:r w:rsidR="00A569E1">
        <w:rPr>
          <w:rFonts w:eastAsia="Times New Roman" w:cstheme="minorHAnsi"/>
          <w:lang w:eastAsia="en-AU"/>
        </w:rPr>
        <w:t>2017, terms of reference for the review were approved</w:t>
      </w:r>
      <w:r w:rsidR="000C407E">
        <w:rPr>
          <w:rFonts w:eastAsia="Times New Roman" w:cstheme="minorHAnsi"/>
          <w:lang w:eastAsia="en-AU"/>
        </w:rPr>
        <w:t xml:space="preserve">, thus formally commencing the review. The terms of reference focus largely on the provisions in the BCIIP Act that arose from Senate amendments. These provisions created new functions for the Australian Building and Construction </w:t>
      </w:r>
      <w:r w:rsidR="000C407E" w:rsidRPr="00EE0A20">
        <w:rPr>
          <w:rFonts w:eastAsia="Times New Roman" w:cstheme="minorHAnsi"/>
          <w:lang w:eastAsia="en-AU"/>
        </w:rPr>
        <w:t>Commission</w:t>
      </w:r>
      <w:r w:rsidR="00F869E6">
        <w:rPr>
          <w:rFonts w:eastAsia="Times New Roman" w:cstheme="minorHAnsi"/>
          <w:lang w:eastAsia="en-AU"/>
        </w:rPr>
        <w:t>er</w:t>
      </w:r>
      <w:r w:rsidR="000C407E" w:rsidRPr="00EE0A20">
        <w:rPr>
          <w:rFonts w:eastAsia="Times New Roman" w:cstheme="minorHAnsi"/>
          <w:lang w:eastAsia="en-AU"/>
        </w:rPr>
        <w:t xml:space="preserve"> (ABC</w:t>
      </w:r>
      <w:r w:rsidR="007B23BE">
        <w:rPr>
          <w:rFonts w:eastAsia="Times New Roman" w:cstheme="minorHAnsi"/>
          <w:lang w:eastAsia="en-AU"/>
        </w:rPr>
        <w:t> </w:t>
      </w:r>
      <w:r w:rsidR="000C407E" w:rsidRPr="00EE0A20">
        <w:rPr>
          <w:rFonts w:eastAsia="Times New Roman" w:cstheme="minorHAnsi"/>
          <w:lang w:eastAsia="en-AU"/>
        </w:rPr>
        <w:t>C</w:t>
      </w:r>
      <w:r w:rsidR="00F869E6">
        <w:rPr>
          <w:rFonts w:eastAsia="Times New Roman" w:cstheme="minorHAnsi"/>
          <w:lang w:eastAsia="en-AU"/>
        </w:rPr>
        <w:t>ommissioner</w:t>
      </w:r>
      <w:r w:rsidR="000C407E">
        <w:rPr>
          <w:rFonts w:eastAsia="Times New Roman" w:cstheme="minorHAnsi"/>
          <w:lang w:eastAsia="en-AU"/>
        </w:rPr>
        <w:t xml:space="preserve">) and the Federal Safety Commissioner (FSC). Section 119A was also the product of a Senate amendment. </w:t>
      </w:r>
    </w:p>
    <w:p w14:paraId="7AC28B18" w14:textId="1E77A953" w:rsidR="00AB2788" w:rsidRPr="00431DB9" w:rsidRDefault="00AB2788" w:rsidP="00063683">
      <w:pPr>
        <w:pStyle w:val="Heading2"/>
      </w:pPr>
      <w:bookmarkStart w:id="81" w:name="_Toc527632997"/>
      <w:r w:rsidRPr="00431DB9">
        <w:t xml:space="preserve">Background to the </w:t>
      </w:r>
      <w:r w:rsidRPr="00431DB9">
        <w:rPr>
          <w:i/>
        </w:rPr>
        <w:t>Building and Construction Indust</w:t>
      </w:r>
      <w:r w:rsidR="00C01C9D" w:rsidRPr="00431DB9">
        <w:rPr>
          <w:i/>
        </w:rPr>
        <w:t>ry (Improving Productivity) Act </w:t>
      </w:r>
      <w:r w:rsidRPr="00431DB9">
        <w:rPr>
          <w:i/>
        </w:rPr>
        <w:t>2016</w:t>
      </w:r>
      <w:bookmarkEnd w:id="81"/>
    </w:p>
    <w:p w14:paraId="145EFEC0" w14:textId="4A4E78AC" w:rsidR="00AB2788" w:rsidRDefault="00AB2788" w:rsidP="00063683">
      <w:pPr>
        <w:spacing w:before="200" w:after="200" w:line="276" w:lineRule="auto"/>
        <w:rPr>
          <w:rFonts w:eastAsia="Times New Roman" w:cstheme="minorHAnsi"/>
          <w:lang w:eastAsia="en-AU"/>
        </w:rPr>
      </w:pPr>
      <w:r>
        <w:rPr>
          <w:rFonts w:eastAsia="Times New Roman" w:cstheme="minorHAnsi"/>
          <w:lang w:eastAsia="en-AU"/>
        </w:rPr>
        <w:t>The BCIIP</w:t>
      </w:r>
      <w:r w:rsidR="00383F12">
        <w:rPr>
          <w:rFonts w:eastAsia="Times New Roman" w:cstheme="minorHAnsi"/>
          <w:lang w:eastAsia="en-AU"/>
        </w:rPr>
        <w:t> </w:t>
      </w:r>
      <w:r>
        <w:rPr>
          <w:rFonts w:eastAsia="Times New Roman" w:cstheme="minorHAnsi"/>
          <w:lang w:eastAsia="en-AU"/>
        </w:rPr>
        <w:t>Act commenced on 2</w:t>
      </w:r>
      <w:r w:rsidR="00383F12">
        <w:rPr>
          <w:rFonts w:eastAsia="Times New Roman" w:cstheme="minorHAnsi"/>
          <w:lang w:eastAsia="en-AU"/>
        </w:rPr>
        <w:t> </w:t>
      </w:r>
      <w:r>
        <w:rPr>
          <w:rFonts w:eastAsia="Times New Roman" w:cstheme="minorHAnsi"/>
          <w:lang w:eastAsia="en-AU"/>
        </w:rPr>
        <w:t>December</w:t>
      </w:r>
      <w:r w:rsidR="00383F12">
        <w:rPr>
          <w:rFonts w:eastAsia="Times New Roman" w:cstheme="minorHAnsi"/>
          <w:lang w:eastAsia="en-AU"/>
        </w:rPr>
        <w:t> </w:t>
      </w:r>
      <w:r>
        <w:rPr>
          <w:rFonts w:eastAsia="Times New Roman" w:cstheme="minorHAnsi"/>
          <w:lang w:eastAsia="en-AU"/>
        </w:rPr>
        <w:t>2016</w:t>
      </w:r>
      <w:r w:rsidR="00F91CAA">
        <w:rPr>
          <w:rFonts w:eastAsia="Times New Roman" w:cstheme="minorHAnsi"/>
          <w:lang w:eastAsia="en-AU"/>
        </w:rPr>
        <w:t xml:space="preserve">. </w:t>
      </w:r>
      <w:r>
        <w:rPr>
          <w:rFonts w:eastAsia="Times New Roman" w:cstheme="minorHAnsi"/>
          <w:lang w:eastAsia="en-AU"/>
        </w:rPr>
        <w:t xml:space="preserve">It replaced the </w:t>
      </w:r>
      <w:r w:rsidRPr="00A20A0A">
        <w:rPr>
          <w:rFonts w:eastAsia="Times New Roman" w:cstheme="minorHAnsi"/>
          <w:i/>
          <w:lang w:eastAsia="en-AU"/>
        </w:rPr>
        <w:t>Fair Work (Building Industry) Act</w:t>
      </w:r>
      <w:r w:rsidR="00383F12">
        <w:rPr>
          <w:rFonts w:eastAsia="Times New Roman" w:cstheme="minorHAnsi"/>
          <w:i/>
          <w:lang w:eastAsia="en-AU"/>
        </w:rPr>
        <w:t> </w:t>
      </w:r>
      <w:r w:rsidRPr="00A20A0A">
        <w:rPr>
          <w:rFonts w:eastAsia="Times New Roman" w:cstheme="minorHAnsi"/>
          <w:i/>
          <w:lang w:eastAsia="en-AU"/>
        </w:rPr>
        <w:t>2012</w:t>
      </w:r>
      <w:r>
        <w:rPr>
          <w:rFonts w:eastAsia="Times New Roman" w:cstheme="minorHAnsi"/>
          <w:lang w:eastAsia="en-AU"/>
        </w:rPr>
        <w:t xml:space="preserve"> (FWBI</w:t>
      </w:r>
      <w:r w:rsidR="00383F12">
        <w:rPr>
          <w:rFonts w:eastAsia="Times New Roman" w:cstheme="minorHAnsi"/>
          <w:lang w:eastAsia="en-AU"/>
        </w:rPr>
        <w:t> </w:t>
      </w:r>
      <w:r>
        <w:rPr>
          <w:rFonts w:eastAsia="Times New Roman" w:cstheme="minorHAnsi"/>
          <w:lang w:eastAsia="en-AU"/>
        </w:rPr>
        <w:t>Act) and re-established the Australian Building and Construction Commission (ABCC), which existed between October</w:t>
      </w:r>
      <w:r w:rsidR="00383F12">
        <w:rPr>
          <w:rFonts w:eastAsia="Times New Roman" w:cstheme="minorHAnsi"/>
          <w:lang w:eastAsia="en-AU"/>
        </w:rPr>
        <w:t> </w:t>
      </w:r>
      <w:r>
        <w:rPr>
          <w:rFonts w:eastAsia="Times New Roman" w:cstheme="minorHAnsi"/>
          <w:lang w:eastAsia="en-AU"/>
        </w:rPr>
        <w:t>2005 and May</w:t>
      </w:r>
      <w:r w:rsidR="00383F12">
        <w:rPr>
          <w:rFonts w:eastAsia="Times New Roman" w:cstheme="minorHAnsi"/>
          <w:lang w:eastAsia="en-AU"/>
        </w:rPr>
        <w:t> </w:t>
      </w:r>
      <w:r>
        <w:rPr>
          <w:rFonts w:eastAsia="Times New Roman" w:cstheme="minorHAnsi"/>
          <w:lang w:eastAsia="en-AU"/>
        </w:rPr>
        <w:t xml:space="preserve">2012, prior to being replaced by </w:t>
      </w:r>
      <w:r w:rsidR="00EF52C4" w:rsidRPr="00EE0A20">
        <w:rPr>
          <w:rFonts w:eastAsia="Times New Roman" w:cstheme="minorHAnsi"/>
          <w:lang w:eastAsia="en-AU"/>
        </w:rPr>
        <w:t xml:space="preserve">the Office of the </w:t>
      </w:r>
      <w:r w:rsidRPr="00EE0A20">
        <w:rPr>
          <w:rFonts w:eastAsia="Times New Roman" w:cstheme="minorHAnsi"/>
          <w:lang w:eastAsia="en-AU"/>
        </w:rPr>
        <w:t xml:space="preserve">Fair Work </w:t>
      </w:r>
      <w:r w:rsidR="001F7738" w:rsidRPr="00EE0A20">
        <w:rPr>
          <w:rFonts w:eastAsia="Times New Roman" w:cstheme="minorHAnsi"/>
          <w:lang w:eastAsia="en-AU"/>
        </w:rPr>
        <w:t xml:space="preserve">Building </w:t>
      </w:r>
      <w:r w:rsidR="00EF52C4" w:rsidRPr="00EE0A20">
        <w:rPr>
          <w:rFonts w:eastAsia="Times New Roman" w:cstheme="minorHAnsi"/>
          <w:lang w:eastAsia="en-AU"/>
        </w:rPr>
        <w:t xml:space="preserve">Industry Inspectorate (known as </w:t>
      </w:r>
      <w:r>
        <w:rPr>
          <w:rFonts w:eastAsia="Times New Roman" w:cstheme="minorHAnsi"/>
          <w:lang w:eastAsia="en-AU"/>
        </w:rPr>
        <w:t xml:space="preserve">Fair Work </w:t>
      </w:r>
      <w:r w:rsidR="001F7738">
        <w:rPr>
          <w:rFonts w:eastAsia="Times New Roman" w:cstheme="minorHAnsi"/>
          <w:lang w:eastAsia="en-AU"/>
        </w:rPr>
        <w:t>Building and Construction</w:t>
      </w:r>
      <w:r w:rsidR="00822082">
        <w:rPr>
          <w:rFonts w:eastAsia="Times New Roman" w:cstheme="minorHAnsi"/>
          <w:lang w:eastAsia="en-AU"/>
        </w:rPr>
        <w:t xml:space="preserve"> (FWBC</w:t>
      </w:r>
      <w:r w:rsidR="00822082" w:rsidRPr="00EE0A20">
        <w:rPr>
          <w:rFonts w:eastAsia="Times New Roman" w:cstheme="minorHAnsi"/>
          <w:lang w:eastAsia="en-AU"/>
        </w:rPr>
        <w:t>)</w:t>
      </w:r>
      <w:r w:rsidR="00EF52C4" w:rsidRPr="00EE0A20">
        <w:rPr>
          <w:rFonts w:eastAsia="Times New Roman" w:cstheme="minorHAnsi"/>
          <w:lang w:eastAsia="en-AU"/>
        </w:rPr>
        <w:t>)</w:t>
      </w:r>
      <w:r w:rsidR="001F7738" w:rsidRPr="00EE0A20">
        <w:rPr>
          <w:rFonts w:eastAsia="Times New Roman" w:cstheme="minorHAnsi"/>
          <w:lang w:eastAsia="en-AU"/>
        </w:rPr>
        <w:t>,</w:t>
      </w:r>
      <w:r w:rsidR="001F7738">
        <w:rPr>
          <w:rFonts w:eastAsia="Times New Roman" w:cstheme="minorHAnsi"/>
          <w:lang w:eastAsia="en-AU"/>
        </w:rPr>
        <w:t xml:space="preserve"> established under the FWBI</w:t>
      </w:r>
      <w:r w:rsidR="00383F12">
        <w:rPr>
          <w:rFonts w:eastAsia="Times New Roman" w:cstheme="minorHAnsi"/>
          <w:lang w:eastAsia="en-AU"/>
        </w:rPr>
        <w:t> </w:t>
      </w:r>
      <w:r w:rsidR="001F7738">
        <w:rPr>
          <w:rFonts w:eastAsia="Times New Roman" w:cstheme="minorHAnsi"/>
          <w:lang w:eastAsia="en-AU"/>
        </w:rPr>
        <w:t>Act</w:t>
      </w:r>
      <w:r>
        <w:rPr>
          <w:rFonts w:eastAsia="Times New Roman" w:cstheme="minorHAnsi"/>
          <w:lang w:eastAsia="en-AU"/>
        </w:rPr>
        <w:t xml:space="preserve">. </w:t>
      </w:r>
    </w:p>
    <w:p w14:paraId="1B5FB5F0" w14:textId="42C87696" w:rsidR="009F23AE" w:rsidRPr="00431DB9" w:rsidRDefault="009F23AE" w:rsidP="00063683">
      <w:pPr>
        <w:pStyle w:val="Heading2"/>
      </w:pPr>
      <w:bookmarkStart w:id="82" w:name="_Toc527632998"/>
      <w:r w:rsidRPr="00431DB9">
        <w:t>Comparing the BCIIP</w:t>
      </w:r>
      <w:r w:rsidR="00383F12" w:rsidRPr="00431DB9">
        <w:t> </w:t>
      </w:r>
      <w:r w:rsidRPr="00431DB9">
        <w:t>Act and the FWBI</w:t>
      </w:r>
      <w:r w:rsidR="00383F12" w:rsidRPr="00431DB9">
        <w:t> </w:t>
      </w:r>
      <w:r w:rsidRPr="00431DB9">
        <w:t>Act</w:t>
      </w:r>
      <w:bookmarkEnd w:id="82"/>
    </w:p>
    <w:p w14:paraId="3A8D9CCB" w14:textId="38589EB4" w:rsidR="00083D7E" w:rsidRPr="009F23AE" w:rsidRDefault="009F23AE" w:rsidP="00063683">
      <w:pPr>
        <w:spacing w:before="200" w:after="200" w:line="276" w:lineRule="auto"/>
        <w:rPr>
          <w:rFonts w:eastAsia="Times New Roman" w:cstheme="minorHAnsi"/>
          <w:lang w:eastAsia="en-AU"/>
        </w:rPr>
      </w:pPr>
      <w:r>
        <w:rPr>
          <w:rFonts w:eastAsia="Times New Roman" w:cstheme="minorHAnsi"/>
          <w:lang w:eastAsia="en-AU"/>
        </w:rPr>
        <w:t>In common with the FWBI</w:t>
      </w:r>
      <w:r w:rsidR="00383F12">
        <w:rPr>
          <w:rFonts w:eastAsia="Times New Roman" w:cstheme="minorHAnsi"/>
          <w:lang w:eastAsia="en-AU"/>
        </w:rPr>
        <w:t> </w:t>
      </w:r>
      <w:r>
        <w:rPr>
          <w:rFonts w:eastAsia="Times New Roman" w:cstheme="minorHAnsi"/>
          <w:lang w:eastAsia="en-AU"/>
        </w:rPr>
        <w:t>Act, the BCIIP</w:t>
      </w:r>
      <w:r w:rsidR="00383F12">
        <w:rPr>
          <w:rFonts w:eastAsia="Times New Roman" w:cstheme="minorHAnsi"/>
          <w:lang w:eastAsia="en-AU"/>
        </w:rPr>
        <w:t> </w:t>
      </w:r>
      <w:r>
        <w:rPr>
          <w:rFonts w:eastAsia="Times New Roman" w:cstheme="minorHAnsi"/>
          <w:lang w:eastAsia="en-AU"/>
        </w:rPr>
        <w:t xml:space="preserve">Act aims to achieve its objectives by establishing a dedicated workplace relations regulator, </w:t>
      </w:r>
      <w:r w:rsidR="00405896">
        <w:rPr>
          <w:rFonts w:eastAsia="Times New Roman" w:cstheme="minorHAnsi"/>
          <w:lang w:eastAsia="en-AU"/>
        </w:rPr>
        <w:t xml:space="preserve">(now </w:t>
      </w:r>
      <w:r>
        <w:rPr>
          <w:rFonts w:eastAsia="Times New Roman" w:cstheme="minorHAnsi"/>
          <w:lang w:eastAsia="en-AU"/>
        </w:rPr>
        <w:t>the ABCC</w:t>
      </w:r>
      <w:r w:rsidR="00405896">
        <w:rPr>
          <w:rFonts w:eastAsia="Times New Roman" w:cstheme="minorHAnsi"/>
          <w:lang w:eastAsia="en-AU"/>
        </w:rPr>
        <w:t>)</w:t>
      </w:r>
      <w:r>
        <w:rPr>
          <w:rFonts w:eastAsia="Times New Roman" w:cstheme="minorHAnsi"/>
          <w:lang w:eastAsia="en-AU"/>
        </w:rPr>
        <w:t>, and building industry-specific workplace relations legislation</w:t>
      </w:r>
      <w:r w:rsidR="00F91CAA">
        <w:rPr>
          <w:rFonts w:eastAsia="Times New Roman" w:cstheme="minorHAnsi"/>
          <w:lang w:eastAsia="en-AU"/>
        </w:rPr>
        <w:t xml:space="preserve">. </w:t>
      </w:r>
      <w:r>
        <w:rPr>
          <w:rFonts w:eastAsia="Times New Roman" w:cstheme="minorHAnsi"/>
          <w:lang w:eastAsia="en-AU"/>
        </w:rPr>
        <w:t xml:space="preserve">While </w:t>
      </w:r>
      <w:r w:rsidR="00EF52C4" w:rsidRPr="00EE0A20">
        <w:rPr>
          <w:rFonts w:eastAsia="Times New Roman" w:cstheme="minorHAnsi"/>
          <w:lang w:eastAsia="en-AU"/>
        </w:rPr>
        <w:t xml:space="preserve">some of </w:t>
      </w:r>
      <w:r>
        <w:rPr>
          <w:rFonts w:eastAsia="Times New Roman" w:cstheme="minorHAnsi"/>
          <w:lang w:eastAsia="en-AU"/>
        </w:rPr>
        <w:t>the</w:t>
      </w:r>
      <w:r w:rsidRPr="00EE0A20">
        <w:rPr>
          <w:rFonts w:eastAsia="Times New Roman" w:cstheme="minorHAnsi"/>
          <w:lang w:eastAsia="en-AU"/>
        </w:rPr>
        <w:t xml:space="preserve"> </w:t>
      </w:r>
      <w:r w:rsidR="00EF52C4" w:rsidRPr="00EE0A20">
        <w:rPr>
          <w:rFonts w:eastAsia="Times New Roman" w:cstheme="minorHAnsi"/>
          <w:lang w:eastAsia="en-AU"/>
        </w:rPr>
        <w:t>civil remedy</w:t>
      </w:r>
      <w:r>
        <w:rPr>
          <w:rFonts w:eastAsia="Times New Roman" w:cstheme="minorHAnsi"/>
          <w:lang w:eastAsia="en-AU"/>
        </w:rPr>
        <w:t xml:space="preserve"> provisions of this workplace relations legislation, such as prohibitions on </w:t>
      </w:r>
      <w:r w:rsidR="00EF52C4" w:rsidRPr="00EE0A20">
        <w:rPr>
          <w:rFonts w:eastAsia="Times New Roman" w:cstheme="minorHAnsi"/>
          <w:lang w:eastAsia="en-AU"/>
        </w:rPr>
        <w:t>coercion and discrimination</w:t>
      </w:r>
      <w:r w:rsidR="00405896">
        <w:rPr>
          <w:rFonts w:eastAsia="Times New Roman" w:cstheme="minorHAnsi"/>
          <w:lang w:eastAsia="en-AU"/>
        </w:rPr>
        <w:t>,</w:t>
      </w:r>
      <w:r>
        <w:rPr>
          <w:rFonts w:eastAsia="Times New Roman" w:cstheme="minorHAnsi"/>
          <w:lang w:eastAsia="en-AU"/>
        </w:rPr>
        <w:t xml:space="preserve"> are similar to those established in the </w:t>
      </w:r>
      <w:r w:rsidRPr="0020360D">
        <w:rPr>
          <w:rFonts w:eastAsia="Times New Roman" w:cstheme="minorHAnsi"/>
          <w:i/>
          <w:lang w:eastAsia="en-AU"/>
        </w:rPr>
        <w:t>Fair Work Act</w:t>
      </w:r>
      <w:r w:rsidR="00383F12">
        <w:rPr>
          <w:rFonts w:eastAsia="Times New Roman" w:cstheme="minorHAnsi"/>
          <w:i/>
          <w:lang w:eastAsia="en-AU"/>
        </w:rPr>
        <w:t> </w:t>
      </w:r>
      <w:r w:rsidRPr="0020360D">
        <w:rPr>
          <w:rFonts w:eastAsia="Times New Roman" w:cstheme="minorHAnsi"/>
          <w:i/>
          <w:lang w:eastAsia="en-AU"/>
        </w:rPr>
        <w:t>2009</w:t>
      </w:r>
      <w:r w:rsidR="00C9342F">
        <w:rPr>
          <w:rFonts w:eastAsia="Times New Roman" w:cstheme="minorHAnsi"/>
          <w:i/>
          <w:lang w:eastAsia="en-AU"/>
        </w:rPr>
        <w:t xml:space="preserve"> </w:t>
      </w:r>
      <w:r w:rsidR="00C9342F" w:rsidRPr="00C9342F">
        <w:rPr>
          <w:rFonts w:eastAsia="Times New Roman" w:cstheme="minorHAnsi"/>
          <w:lang w:eastAsia="en-AU"/>
        </w:rPr>
        <w:t>(FW</w:t>
      </w:r>
      <w:r w:rsidR="00383F12">
        <w:rPr>
          <w:rFonts w:eastAsia="Times New Roman" w:cstheme="minorHAnsi"/>
          <w:lang w:eastAsia="en-AU"/>
        </w:rPr>
        <w:t> </w:t>
      </w:r>
      <w:r w:rsidR="00C9342F" w:rsidRPr="00C9342F">
        <w:rPr>
          <w:rFonts w:eastAsia="Times New Roman" w:cstheme="minorHAnsi"/>
          <w:lang w:eastAsia="en-AU"/>
        </w:rPr>
        <w:t>Act)</w:t>
      </w:r>
      <w:r>
        <w:rPr>
          <w:rFonts w:eastAsia="Times New Roman" w:cstheme="minorHAnsi"/>
          <w:i/>
          <w:lang w:eastAsia="en-AU"/>
        </w:rPr>
        <w:t xml:space="preserve">, </w:t>
      </w:r>
      <w:r>
        <w:rPr>
          <w:rFonts w:eastAsia="Times New Roman" w:cstheme="minorHAnsi"/>
          <w:lang w:eastAsia="en-AU"/>
        </w:rPr>
        <w:t xml:space="preserve">a key difference is that the </w:t>
      </w:r>
      <w:r w:rsidR="00823E91">
        <w:rPr>
          <w:rFonts w:eastAsia="Times New Roman" w:cstheme="minorHAnsi"/>
          <w:lang w:eastAsia="en-AU"/>
        </w:rPr>
        <w:t>BCIIP </w:t>
      </w:r>
      <w:r w:rsidR="00083D7E">
        <w:rPr>
          <w:rFonts w:eastAsia="Times New Roman" w:cstheme="minorHAnsi"/>
          <w:lang w:eastAsia="en-AU"/>
        </w:rPr>
        <w:t xml:space="preserve">Act </w:t>
      </w:r>
      <w:r w:rsidR="00083D7E">
        <w:rPr>
          <w:rFonts w:cstheme="minorHAnsi"/>
          <w:color w:val="001423"/>
          <w:shd w:val="clear" w:color="auto" w:fill="FFFFFF"/>
        </w:rPr>
        <w:t xml:space="preserve">contains </w:t>
      </w:r>
      <w:r w:rsidR="00083D7E">
        <w:rPr>
          <w:rFonts w:eastAsia="Times New Roman" w:cstheme="minorHAnsi"/>
          <w:lang w:eastAsia="en-AU"/>
        </w:rPr>
        <w:t xml:space="preserve">specific </w:t>
      </w:r>
      <w:r w:rsidR="00EF52C4" w:rsidRPr="00EE0A20">
        <w:rPr>
          <w:rFonts w:eastAsia="Times New Roman" w:cstheme="minorHAnsi"/>
          <w:lang w:eastAsia="en-AU"/>
        </w:rPr>
        <w:t xml:space="preserve">civil remedy </w:t>
      </w:r>
      <w:r w:rsidR="00083D7E">
        <w:rPr>
          <w:rFonts w:eastAsia="Times New Roman" w:cstheme="minorHAnsi"/>
          <w:lang w:eastAsia="en-AU"/>
        </w:rPr>
        <w:t xml:space="preserve">provisions relating to matters including picketing and unlawful industrial action. In addition, the </w:t>
      </w:r>
      <w:r>
        <w:rPr>
          <w:rFonts w:eastAsia="Times New Roman" w:cstheme="minorHAnsi"/>
          <w:lang w:eastAsia="en-AU"/>
        </w:rPr>
        <w:t>maximum penalties available under the BCIIP</w:t>
      </w:r>
      <w:r w:rsidR="00383F12">
        <w:rPr>
          <w:rFonts w:eastAsia="Times New Roman" w:cstheme="minorHAnsi"/>
          <w:lang w:eastAsia="en-AU"/>
        </w:rPr>
        <w:t> </w:t>
      </w:r>
      <w:r>
        <w:rPr>
          <w:rFonts w:eastAsia="Times New Roman" w:cstheme="minorHAnsi"/>
          <w:lang w:eastAsia="en-AU"/>
        </w:rPr>
        <w:t xml:space="preserve">Act are three times higher than </w:t>
      </w:r>
      <w:r w:rsidR="00190A6A">
        <w:rPr>
          <w:rFonts w:eastAsia="Times New Roman" w:cstheme="minorHAnsi"/>
          <w:lang w:eastAsia="en-AU"/>
        </w:rPr>
        <w:t xml:space="preserve">the </w:t>
      </w:r>
      <w:r w:rsidR="00EF52C4" w:rsidRPr="00EE0A20">
        <w:rPr>
          <w:rFonts w:eastAsia="Times New Roman" w:cstheme="minorHAnsi"/>
          <w:lang w:eastAsia="en-AU"/>
        </w:rPr>
        <w:t xml:space="preserve">similar civil remedy </w:t>
      </w:r>
      <w:r w:rsidRPr="004A3D0B">
        <w:rPr>
          <w:rFonts w:eastAsia="Times New Roman" w:cstheme="minorHAnsi"/>
          <w:lang w:eastAsia="en-AU"/>
        </w:rPr>
        <w:lastRenderedPageBreak/>
        <w:t xml:space="preserve">provisions </w:t>
      </w:r>
      <w:r>
        <w:rPr>
          <w:rFonts w:eastAsia="Times New Roman" w:cstheme="minorHAnsi"/>
          <w:lang w:eastAsia="en-AU"/>
        </w:rPr>
        <w:t xml:space="preserve">under </w:t>
      </w:r>
      <w:r w:rsidRPr="004A3D0B">
        <w:rPr>
          <w:rFonts w:eastAsia="Times New Roman" w:cstheme="minorHAnsi"/>
          <w:lang w:eastAsia="en-AU"/>
        </w:rPr>
        <w:t xml:space="preserve">the </w:t>
      </w:r>
      <w:r w:rsidR="00C9342F">
        <w:rPr>
          <w:rFonts w:eastAsia="Times New Roman" w:cstheme="minorHAnsi"/>
          <w:lang w:eastAsia="en-AU"/>
        </w:rPr>
        <w:t>FW</w:t>
      </w:r>
      <w:r w:rsidR="00383F12">
        <w:rPr>
          <w:rFonts w:eastAsia="Times New Roman" w:cstheme="minorHAnsi"/>
          <w:lang w:eastAsia="en-AU"/>
        </w:rPr>
        <w:t> </w:t>
      </w:r>
      <w:r w:rsidR="00C9342F">
        <w:rPr>
          <w:rFonts w:eastAsia="Times New Roman" w:cstheme="minorHAnsi"/>
          <w:lang w:eastAsia="en-AU"/>
        </w:rPr>
        <w:t>Act</w:t>
      </w:r>
      <w:r>
        <w:rPr>
          <w:rFonts w:eastAsia="Times New Roman" w:cstheme="minorHAnsi"/>
          <w:lang w:eastAsia="en-AU"/>
        </w:rPr>
        <w:t xml:space="preserve">. These higher penalties </w:t>
      </w:r>
      <w:r w:rsidR="00EF52C4" w:rsidRPr="00EE0A20">
        <w:rPr>
          <w:rFonts w:eastAsia="Times New Roman" w:cstheme="minorHAnsi"/>
          <w:lang w:eastAsia="en-AU"/>
        </w:rPr>
        <w:t xml:space="preserve">are similar in size to those provided under the former </w:t>
      </w:r>
      <w:r w:rsidRPr="00C9342F">
        <w:rPr>
          <w:rFonts w:cstheme="minorHAnsi"/>
          <w:i/>
          <w:color w:val="001423"/>
          <w:shd w:val="clear" w:color="auto" w:fill="FFFFFF"/>
        </w:rPr>
        <w:t>Building and Construction Industry Improvement Act</w:t>
      </w:r>
      <w:r w:rsidR="00383F12">
        <w:rPr>
          <w:rFonts w:cstheme="minorHAnsi"/>
          <w:i/>
          <w:color w:val="001423"/>
          <w:shd w:val="clear" w:color="auto" w:fill="FFFFFF"/>
        </w:rPr>
        <w:t> </w:t>
      </w:r>
      <w:r w:rsidRPr="00C9342F">
        <w:rPr>
          <w:rFonts w:cstheme="minorHAnsi"/>
          <w:i/>
          <w:color w:val="001423"/>
          <w:shd w:val="clear" w:color="auto" w:fill="FFFFFF"/>
        </w:rPr>
        <w:t>2005</w:t>
      </w:r>
      <w:r w:rsidR="00C9342F">
        <w:rPr>
          <w:rFonts w:cstheme="minorHAnsi"/>
          <w:color w:val="001423"/>
          <w:shd w:val="clear" w:color="auto" w:fill="FFFFFF"/>
        </w:rPr>
        <w:t xml:space="preserve"> (BCII</w:t>
      </w:r>
      <w:r w:rsidR="00383F12">
        <w:rPr>
          <w:rFonts w:cstheme="minorHAnsi"/>
          <w:color w:val="001423"/>
          <w:shd w:val="clear" w:color="auto" w:fill="FFFFFF"/>
        </w:rPr>
        <w:t> </w:t>
      </w:r>
      <w:r w:rsidR="00C9342F">
        <w:rPr>
          <w:rFonts w:cstheme="minorHAnsi"/>
          <w:color w:val="001423"/>
          <w:shd w:val="clear" w:color="auto" w:fill="FFFFFF"/>
        </w:rPr>
        <w:t>Act)</w:t>
      </w:r>
      <w:r>
        <w:rPr>
          <w:rFonts w:cstheme="minorHAnsi"/>
          <w:color w:val="001423"/>
          <w:shd w:val="clear" w:color="auto" w:fill="FFFFFF"/>
        </w:rPr>
        <w:t>.</w:t>
      </w:r>
      <w:r w:rsidRPr="009D5529">
        <w:rPr>
          <w:rFonts w:cstheme="minorHAnsi"/>
          <w:color w:val="001423"/>
          <w:shd w:val="clear" w:color="auto" w:fill="FFFFFF"/>
        </w:rPr>
        <w:t> </w:t>
      </w:r>
    </w:p>
    <w:p w14:paraId="685A38F8" w14:textId="589DE948" w:rsidR="009F23AE" w:rsidRDefault="009F23AE" w:rsidP="00063683">
      <w:pPr>
        <w:spacing w:after="200" w:line="276" w:lineRule="auto"/>
        <w:rPr>
          <w:rFonts w:eastAsia="Times New Roman" w:cstheme="minorHAnsi"/>
          <w:lang w:eastAsia="en-AU"/>
        </w:rPr>
      </w:pPr>
      <w:r>
        <w:rPr>
          <w:rFonts w:eastAsia="Times New Roman" w:cstheme="minorHAnsi"/>
          <w:lang w:eastAsia="en-AU"/>
        </w:rPr>
        <w:t>T</w:t>
      </w:r>
      <w:r w:rsidR="00861DBC">
        <w:rPr>
          <w:rFonts w:eastAsia="Times New Roman" w:cstheme="minorHAnsi"/>
          <w:lang w:eastAsia="en-AU"/>
        </w:rPr>
        <w:t xml:space="preserve">he examination powers </w:t>
      </w:r>
      <w:r>
        <w:rPr>
          <w:rFonts w:eastAsia="Times New Roman" w:cstheme="minorHAnsi"/>
          <w:lang w:eastAsia="en-AU"/>
        </w:rPr>
        <w:t xml:space="preserve">of the </w:t>
      </w:r>
      <w:r w:rsidRPr="00E732BC">
        <w:rPr>
          <w:rFonts w:eastAsia="Times New Roman" w:cstheme="minorHAnsi"/>
          <w:lang w:eastAsia="en-AU"/>
        </w:rPr>
        <w:t>ABC</w:t>
      </w:r>
      <w:r w:rsidR="007B23BE">
        <w:rPr>
          <w:rFonts w:eastAsia="Times New Roman" w:cstheme="minorHAnsi"/>
          <w:lang w:eastAsia="en-AU"/>
        </w:rPr>
        <w:t> </w:t>
      </w:r>
      <w:r w:rsidRPr="00EE0A20">
        <w:rPr>
          <w:rFonts w:eastAsia="Times New Roman" w:cstheme="minorHAnsi"/>
          <w:lang w:eastAsia="en-AU"/>
        </w:rPr>
        <w:t>C</w:t>
      </w:r>
      <w:r w:rsidR="00EF52C4" w:rsidRPr="00EE0A20">
        <w:rPr>
          <w:rFonts w:eastAsia="Times New Roman" w:cstheme="minorHAnsi"/>
          <w:lang w:eastAsia="en-AU"/>
        </w:rPr>
        <w:t>ommissioner</w:t>
      </w:r>
      <w:r>
        <w:rPr>
          <w:rFonts w:eastAsia="Times New Roman" w:cstheme="minorHAnsi"/>
          <w:lang w:eastAsia="en-AU"/>
        </w:rPr>
        <w:t xml:space="preserve"> established in the BCIIP</w:t>
      </w:r>
      <w:r w:rsidR="00383F12">
        <w:rPr>
          <w:rFonts w:eastAsia="Times New Roman" w:cstheme="minorHAnsi"/>
          <w:lang w:eastAsia="en-AU"/>
        </w:rPr>
        <w:t> </w:t>
      </w:r>
      <w:r>
        <w:rPr>
          <w:rFonts w:eastAsia="Times New Roman" w:cstheme="minorHAnsi"/>
          <w:lang w:eastAsia="en-AU"/>
        </w:rPr>
        <w:t xml:space="preserve">Act </w:t>
      </w:r>
      <w:r w:rsidR="00861DBC">
        <w:rPr>
          <w:rFonts w:eastAsia="Times New Roman" w:cstheme="minorHAnsi"/>
          <w:lang w:eastAsia="en-AU"/>
        </w:rPr>
        <w:t xml:space="preserve">are similar to those available to the FWBC </w:t>
      </w:r>
      <w:r w:rsidR="00EF52C4" w:rsidRPr="00EE0A20">
        <w:rPr>
          <w:rFonts w:eastAsia="Times New Roman" w:cstheme="minorHAnsi"/>
          <w:lang w:eastAsia="en-AU"/>
        </w:rPr>
        <w:t>Director</w:t>
      </w:r>
      <w:r w:rsidR="00EF52C4" w:rsidRPr="00C67D1D">
        <w:rPr>
          <w:rFonts w:eastAsia="Times New Roman" w:cstheme="minorHAnsi"/>
          <w:lang w:eastAsia="en-AU"/>
        </w:rPr>
        <w:t xml:space="preserve"> </w:t>
      </w:r>
      <w:r w:rsidR="00861DBC">
        <w:rPr>
          <w:rFonts w:eastAsia="Times New Roman" w:cstheme="minorHAnsi"/>
          <w:lang w:eastAsia="en-AU"/>
        </w:rPr>
        <w:t>under the FWBI</w:t>
      </w:r>
      <w:r w:rsidR="00383F12">
        <w:rPr>
          <w:rFonts w:eastAsia="Times New Roman" w:cstheme="minorHAnsi"/>
          <w:lang w:eastAsia="en-AU"/>
        </w:rPr>
        <w:t> </w:t>
      </w:r>
      <w:r w:rsidR="00861DBC">
        <w:rPr>
          <w:rFonts w:eastAsia="Times New Roman" w:cstheme="minorHAnsi"/>
          <w:lang w:eastAsia="en-AU"/>
        </w:rPr>
        <w:t>Act</w:t>
      </w:r>
      <w:r w:rsidR="000C407E">
        <w:rPr>
          <w:rFonts w:eastAsia="Times New Roman" w:cstheme="minorHAnsi"/>
          <w:lang w:eastAsia="en-AU"/>
        </w:rPr>
        <w:t>, as are the safeguards on the use of these powers</w:t>
      </w:r>
      <w:r w:rsidR="00861DBC">
        <w:rPr>
          <w:rFonts w:eastAsia="Times New Roman" w:cstheme="minorHAnsi"/>
          <w:lang w:eastAsia="en-AU"/>
        </w:rPr>
        <w:t xml:space="preserve">. </w:t>
      </w:r>
      <w:r w:rsidR="000C407E">
        <w:rPr>
          <w:rFonts w:eastAsia="Times New Roman" w:cstheme="minorHAnsi"/>
          <w:lang w:eastAsia="en-AU"/>
        </w:rPr>
        <w:t xml:space="preserve">However, an additional requirement is that </w:t>
      </w:r>
      <w:r>
        <w:rPr>
          <w:rFonts w:eastAsia="Times New Roman" w:cstheme="minorHAnsi"/>
          <w:lang w:eastAsia="en-AU"/>
        </w:rPr>
        <w:t>the Commonwealth Ombudsman</w:t>
      </w:r>
      <w:r w:rsidR="000C407E">
        <w:rPr>
          <w:rFonts w:eastAsia="Times New Roman" w:cstheme="minorHAnsi"/>
          <w:lang w:eastAsia="en-AU"/>
        </w:rPr>
        <w:t xml:space="preserve"> </w:t>
      </w:r>
      <w:r w:rsidR="00BC0D9F" w:rsidRPr="00EE0A20">
        <w:rPr>
          <w:rFonts w:eastAsia="Times New Roman" w:cstheme="minorHAnsi"/>
          <w:lang w:eastAsia="en-AU"/>
        </w:rPr>
        <w:t xml:space="preserve">(Ombudsman) </w:t>
      </w:r>
      <w:r w:rsidR="000C407E">
        <w:rPr>
          <w:rFonts w:eastAsia="Times New Roman" w:cstheme="minorHAnsi"/>
          <w:lang w:eastAsia="en-AU"/>
        </w:rPr>
        <w:t>report quarterly on their use</w:t>
      </w:r>
      <w:r>
        <w:rPr>
          <w:rFonts w:eastAsia="Times New Roman" w:cstheme="minorHAnsi"/>
          <w:lang w:eastAsia="en-AU"/>
        </w:rPr>
        <w:t>.</w:t>
      </w:r>
    </w:p>
    <w:p w14:paraId="68486E96" w14:textId="01297DC0" w:rsidR="00861DBC" w:rsidRPr="00D20755" w:rsidRDefault="00861DBC" w:rsidP="00063683">
      <w:pPr>
        <w:spacing w:after="200" w:line="276" w:lineRule="auto"/>
        <w:rPr>
          <w:rFonts w:eastAsia="Times New Roman" w:cstheme="minorHAnsi"/>
          <w:lang w:eastAsia="en-AU"/>
        </w:rPr>
      </w:pPr>
      <w:r w:rsidRPr="00D20755">
        <w:rPr>
          <w:rFonts w:eastAsia="Times New Roman" w:cstheme="minorHAnsi"/>
          <w:lang w:eastAsia="en-AU"/>
        </w:rPr>
        <w:t>Both</w:t>
      </w:r>
      <w:r w:rsidR="00814595">
        <w:rPr>
          <w:rFonts w:eastAsia="Times New Roman" w:cstheme="minorHAnsi"/>
          <w:lang w:eastAsia="en-AU"/>
        </w:rPr>
        <w:t xml:space="preserve"> the BCIIP </w:t>
      </w:r>
      <w:r w:rsidR="00C9342F">
        <w:rPr>
          <w:rFonts w:eastAsia="Times New Roman" w:cstheme="minorHAnsi"/>
          <w:lang w:eastAsia="en-AU"/>
        </w:rPr>
        <w:t xml:space="preserve">Act </w:t>
      </w:r>
      <w:r>
        <w:rPr>
          <w:rFonts w:eastAsia="Times New Roman" w:cstheme="minorHAnsi"/>
          <w:lang w:eastAsia="en-AU"/>
        </w:rPr>
        <w:t xml:space="preserve">and </w:t>
      </w:r>
      <w:r w:rsidR="00C9342F">
        <w:rPr>
          <w:rFonts w:eastAsia="Times New Roman" w:cstheme="minorHAnsi"/>
          <w:lang w:eastAsia="en-AU"/>
        </w:rPr>
        <w:t>FWBI</w:t>
      </w:r>
      <w:r w:rsidR="00814595">
        <w:rPr>
          <w:rFonts w:eastAsia="Times New Roman" w:cstheme="minorHAnsi"/>
          <w:lang w:eastAsia="en-AU"/>
        </w:rPr>
        <w:t> </w:t>
      </w:r>
      <w:r w:rsidRPr="00D20755">
        <w:rPr>
          <w:rFonts w:eastAsia="Times New Roman" w:cstheme="minorHAnsi"/>
          <w:lang w:eastAsia="en-AU"/>
        </w:rPr>
        <w:t>Act provide for the issu</w:t>
      </w:r>
      <w:r w:rsidR="00405896">
        <w:rPr>
          <w:rFonts w:eastAsia="Times New Roman" w:cstheme="minorHAnsi"/>
          <w:lang w:eastAsia="en-AU"/>
        </w:rPr>
        <w:t>e</w:t>
      </w:r>
      <w:r w:rsidRPr="00D20755">
        <w:rPr>
          <w:rFonts w:eastAsia="Times New Roman" w:cstheme="minorHAnsi"/>
          <w:lang w:eastAsia="en-AU"/>
        </w:rPr>
        <w:t xml:space="preserve"> of a code of practi</w:t>
      </w:r>
      <w:r>
        <w:rPr>
          <w:rFonts w:eastAsia="Times New Roman" w:cstheme="minorHAnsi"/>
          <w:lang w:eastAsia="en-AU"/>
        </w:rPr>
        <w:t>ce that is to be complied with in respect of Commonwealth</w:t>
      </w:r>
      <w:r w:rsidR="00405896">
        <w:rPr>
          <w:rFonts w:eastAsia="Times New Roman" w:cstheme="minorHAnsi"/>
          <w:lang w:eastAsia="en-AU"/>
        </w:rPr>
        <w:t>-</w:t>
      </w:r>
      <w:r>
        <w:rPr>
          <w:rFonts w:eastAsia="Times New Roman" w:cstheme="minorHAnsi"/>
          <w:lang w:eastAsia="en-AU"/>
        </w:rPr>
        <w:t xml:space="preserve">funded building work. However, </w:t>
      </w:r>
      <w:r w:rsidR="0015160D">
        <w:rPr>
          <w:rFonts w:eastAsia="Times New Roman" w:cstheme="minorHAnsi"/>
          <w:lang w:eastAsia="en-AU"/>
        </w:rPr>
        <w:t>the BCIIP</w:t>
      </w:r>
      <w:r w:rsidR="00814595">
        <w:rPr>
          <w:rFonts w:eastAsia="Times New Roman" w:cstheme="minorHAnsi"/>
          <w:lang w:eastAsia="en-AU"/>
        </w:rPr>
        <w:t> </w:t>
      </w:r>
      <w:r w:rsidR="0015160D">
        <w:rPr>
          <w:rFonts w:eastAsia="Times New Roman" w:cstheme="minorHAnsi"/>
          <w:lang w:eastAsia="en-AU"/>
        </w:rPr>
        <w:t xml:space="preserve">Act </w:t>
      </w:r>
      <w:r w:rsidR="00EF52C4" w:rsidRPr="00EE0A20">
        <w:rPr>
          <w:rFonts w:eastAsia="Times New Roman" w:cstheme="minorHAnsi"/>
          <w:lang w:eastAsia="en-AU"/>
        </w:rPr>
        <w:t xml:space="preserve">mandates </w:t>
      </w:r>
      <w:r w:rsidR="003D58FD">
        <w:rPr>
          <w:rFonts w:eastAsia="Times New Roman" w:cstheme="minorHAnsi"/>
          <w:lang w:eastAsia="en-AU"/>
        </w:rPr>
        <w:t xml:space="preserve">that </w:t>
      </w:r>
      <w:r>
        <w:rPr>
          <w:rFonts w:eastAsia="Times New Roman" w:cstheme="minorHAnsi"/>
          <w:lang w:eastAsia="en-AU"/>
        </w:rPr>
        <w:t>a building c</w:t>
      </w:r>
      <w:r w:rsidRPr="00D20755">
        <w:rPr>
          <w:rFonts w:eastAsia="Times New Roman" w:cstheme="minorHAnsi"/>
          <w:lang w:eastAsia="en-AU"/>
        </w:rPr>
        <w:t xml:space="preserve">ode issued under </w:t>
      </w:r>
      <w:r w:rsidR="003D58FD">
        <w:rPr>
          <w:rFonts w:eastAsia="Times New Roman" w:cstheme="minorHAnsi"/>
          <w:lang w:eastAsia="en-AU"/>
        </w:rPr>
        <w:t xml:space="preserve">its authority </w:t>
      </w:r>
      <w:r w:rsidR="003315C1">
        <w:rPr>
          <w:rFonts w:eastAsia="Times New Roman" w:cstheme="minorHAnsi"/>
          <w:lang w:eastAsia="en-AU"/>
        </w:rPr>
        <w:t>must</w:t>
      </w:r>
      <w:r w:rsidR="003D58FD">
        <w:rPr>
          <w:rFonts w:eastAsia="Times New Roman" w:cstheme="minorHAnsi"/>
          <w:lang w:eastAsia="en-AU"/>
        </w:rPr>
        <w:t xml:space="preserve"> address</w:t>
      </w:r>
      <w:r w:rsidR="00EF52C4" w:rsidRPr="00EE0A20">
        <w:rPr>
          <w:rFonts w:eastAsia="Times New Roman" w:cstheme="minorHAnsi"/>
          <w:lang w:eastAsia="en-AU"/>
        </w:rPr>
        <w:t xml:space="preserve"> certain matters</w:t>
      </w:r>
      <w:r w:rsidR="00B6500F">
        <w:rPr>
          <w:rFonts w:eastAsia="Times New Roman" w:cstheme="minorHAnsi"/>
          <w:lang w:eastAsia="en-AU"/>
        </w:rPr>
        <w:t>,</w:t>
      </w:r>
      <w:r w:rsidR="003D58FD">
        <w:rPr>
          <w:rFonts w:eastAsia="Times New Roman" w:cstheme="minorHAnsi"/>
          <w:lang w:eastAsia="en-AU"/>
        </w:rPr>
        <w:t xml:space="preserve"> </w:t>
      </w:r>
      <w:r w:rsidR="00405896">
        <w:rPr>
          <w:rFonts w:eastAsia="Times New Roman" w:cstheme="minorHAnsi"/>
          <w:lang w:eastAsia="en-AU"/>
        </w:rPr>
        <w:t>includ</w:t>
      </w:r>
      <w:r w:rsidR="00B6500F">
        <w:rPr>
          <w:rFonts w:eastAsia="Times New Roman" w:cstheme="minorHAnsi"/>
          <w:lang w:eastAsia="en-AU"/>
        </w:rPr>
        <w:t>ing</w:t>
      </w:r>
      <w:r w:rsidR="00EF52C4" w:rsidRPr="00EE0A20">
        <w:rPr>
          <w:rFonts w:eastAsia="Times New Roman" w:cstheme="minorHAnsi"/>
          <w:lang w:eastAsia="en-AU"/>
        </w:rPr>
        <w:t xml:space="preserve"> requiring funding entities to</w:t>
      </w:r>
      <w:r w:rsidRPr="00D20755">
        <w:rPr>
          <w:rFonts w:eastAsia="Times New Roman" w:cstheme="minorHAnsi"/>
          <w:lang w:eastAsia="en-AU"/>
        </w:rPr>
        <w:t>:</w:t>
      </w:r>
    </w:p>
    <w:p w14:paraId="303600B3" w14:textId="1439DA94" w:rsidR="00861DBC" w:rsidRPr="00D61F2F" w:rsidRDefault="00EF52C4" w:rsidP="004F647D">
      <w:pPr>
        <w:pStyle w:val="ListBullet"/>
        <w:numPr>
          <w:ilvl w:val="0"/>
          <w:numId w:val="16"/>
        </w:numPr>
        <w:ind w:left="360"/>
        <w:rPr>
          <w:rFonts w:eastAsia="Times New Roman" w:cstheme="minorHAnsi"/>
          <w:lang w:eastAsia="en-AU"/>
        </w:rPr>
      </w:pPr>
      <w:r w:rsidRPr="00D61F2F">
        <w:rPr>
          <w:rFonts w:eastAsia="Times New Roman" w:cstheme="minorHAnsi"/>
          <w:lang w:eastAsia="en-AU"/>
        </w:rPr>
        <w:t>ensure that preferred tenderers provide certain information, including in relation to use of</w:t>
      </w:r>
      <w:r w:rsidR="00861DBC" w:rsidRPr="00D61F2F">
        <w:rPr>
          <w:rFonts w:eastAsia="Times New Roman" w:cstheme="minorHAnsi"/>
          <w:lang w:eastAsia="en-AU"/>
        </w:rPr>
        <w:t xml:space="preserve"> domestically sourced materials </w:t>
      </w:r>
    </w:p>
    <w:p w14:paraId="22C5A8F9" w14:textId="4A52F48D" w:rsidR="00861DBC" w:rsidRPr="00D61F2F" w:rsidRDefault="00EF52C4" w:rsidP="004F647D">
      <w:pPr>
        <w:pStyle w:val="ListBullet"/>
        <w:numPr>
          <w:ilvl w:val="0"/>
          <w:numId w:val="16"/>
        </w:numPr>
        <w:ind w:left="360"/>
        <w:rPr>
          <w:rFonts w:eastAsia="Times New Roman" w:cstheme="minorHAnsi"/>
          <w:lang w:eastAsia="en-AU"/>
        </w:rPr>
      </w:pPr>
      <w:r w:rsidRPr="00D61F2F">
        <w:rPr>
          <w:rFonts w:eastAsia="Times New Roman" w:cstheme="minorHAnsi"/>
          <w:lang w:eastAsia="en-AU"/>
        </w:rPr>
        <w:t>require building industry participants to only use products in building work that comply with</w:t>
      </w:r>
      <w:r w:rsidR="00861DBC" w:rsidRPr="00D61F2F">
        <w:rPr>
          <w:rFonts w:eastAsia="Times New Roman" w:cstheme="minorHAnsi"/>
          <w:lang w:eastAsia="en-AU"/>
        </w:rPr>
        <w:t xml:space="preserve"> Australian standards</w:t>
      </w:r>
      <w:r w:rsidR="00F869E6" w:rsidRPr="00D61F2F">
        <w:rPr>
          <w:rFonts w:eastAsia="Times New Roman" w:cstheme="minorHAnsi"/>
          <w:lang w:eastAsia="en-AU"/>
        </w:rPr>
        <w:t>.</w:t>
      </w:r>
      <w:r w:rsidR="00861DBC" w:rsidRPr="00D61F2F">
        <w:rPr>
          <w:rFonts w:eastAsia="Times New Roman" w:cstheme="minorHAnsi"/>
          <w:lang w:eastAsia="en-AU"/>
        </w:rPr>
        <w:t xml:space="preserve"> </w:t>
      </w:r>
    </w:p>
    <w:p w14:paraId="1D546195" w14:textId="3BE86E46" w:rsidR="007B2426" w:rsidRDefault="00861DBC" w:rsidP="00063683">
      <w:pPr>
        <w:spacing w:after="200" w:line="276" w:lineRule="auto"/>
        <w:rPr>
          <w:rFonts w:eastAsia="Times New Roman" w:cstheme="minorHAnsi"/>
          <w:lang w:eastAsia="en-AU"/>
        </w:rPr>
      </w:pPr>
      <w:r w:rsidRPr="009D5529">
        <w:t xml:space="preserve">The </w:t>
      </w:r>
      <w:r w:rsidRPr="00D20755">
        <w:rPr>
          <w:rFonts w:eastAsia="Times New Roman" w:cstheme="minorHAnsi"/>
          <w:lang w:eastAsia="en-AU"/>
        </w:rPr>
        <w:t>functions of the FWBC</w:t>
      </w:r>
      <w:r w:rsidR="00702725">
        <w:rPr>
          <w:rFonts w:eastAsia="Times New Roman" w:cstheme="minorHAnsi"/>
          <w:lang w:eastAsia="en-AU"/>
        </w:rPr>
        <w:t> </w:t>
      </w:r>
      <w:r w:rsidRPr="00D20755">
        <w:rPr>
          <w:rFonts w:eastAsia="Times New Roman" w:cstheme="minorHAnsi"/>
          <w:lang w:eastAsia="en-AU"/>
        </w:rPr>
        <w:t>Director and</w:t>
      </w:r>
      <w:r w:rsidR="00702725">
        <w:rPr>
          <w:rFonts w:eastAsia="Times New Roman" w:cstheme="minorHAnsi"/>
          <w:lang w:eastAsia="en-AU"/>
        </w:rPr>
        <w:t xml:space="preserve"> ABC </w:t>
      </w:r>
      <w:r>
        <w:rPr>
          <w:rFonts w:eastAsia="Times New Roman" w:cstheme="minorHAnsi"/>
          <w:lang w:eastAsia="en-AU"/>
        </w:rPr>
        <w:t>Commissioner are similar</w:t>
      </w:r>
      <w:r w:rsidR="00036CD3">
        <w:rPr>
          <w:rFonts w:eastAsia="Times New Roman" w:cstheme="minorHAnsi"/>
          <w:lang w:eastAsia="en-AU"/>
        </w:rPr>
        <w:t xml:space="preserve"> under the two Acts</w:t>
      </w:r>
      <w:r>
        <w:rPr>
          <w:rFonts w:eastAsia="Times New Roman" w:cstheme="minorHAnsi"/>
          <w:lang w:eastAsia="en-AU"/>
        </w:rPr>
        <w:t xml:space="preserve">. </w:t>
      </w:r>
      <w:r w:rsidRPr="00D20755">
        <w:rPr>
          <w:rFonts w:eastAsia="Times New Roman" w:cstheme="minorHAnsi"/>
          <w:lang w:eastAsia="en-AU"/>
        </w:rPr>
        <w:t xml:space="preserve">However, </w:t>
      </w:r>
      <w:r w:rsidR="007B2426">
        <w:rPr>
          <w:rFonts w:eastAsia="Times New Roman" w:cstheme="minorHAnsi"/>
          <w:lang w:eastAsia="en-AU"/>
        </w:rPr>
        <w:t>S</w:t>
      </w:r>
      <w:r w:rsidR="005971C5">
        <w:rPr>
          <w:rFonts w:eastAsia="Times New Roman" w:cstheme="minorHAnsi"/>
          <w:lang w:eastAsia="en-AU"/>
        </w:rPr>
        <w:t>ubs</w:t>
      </w:r>
      <w:r w:rsidR="007B2426">
        <w:rPr>
          <w:rFonts w:eastAsia="Times New Roman" w:cstheme="minorHAnsi"/>
          <w:lang w:eastAsia="en-AU"/>
        </w:rPr>
        <w:t>ection</w:t>
      </w:r>
      <w:r w:rsidR="005971C5">
        <w:rPr>
          <w:rFonts w:eastAsia="Times New Roman" w:cstheme="minorHAnsi"/>
          <w:lang w:eastAsia="en-AU"/>
        </w:rPr>
        <w:t> </w:t>
      </w:r>
      <w:r w:rsidR="00823E91">
        <w:rPr>
          <w:rFonts w:eastAsia="Times New Roman" w:cstheme="minorHAnsi"/>
          <w:lang w:eastAsia="en-AU"/>
        </w:rPr>
        <w:t xml:space="preserve">16(2) of the </w:t>
      </w:r>
      <w:r w:rsidR="00823E91" w:rsidRPr="00823E91">
        <w:t>BCIIP</w:t>
      </w:r>
      <w:r w:rsidR="00823E91">
        <w:t> </w:t>
      </w:r>
      <w:r w:rsidR="007B2426" w:rsidRPr="00823E91">
        <w:t>Act</w:t>
      </w:r>
      <w:r w:rsidR="007B2426">
        <w:rPr>
          <w:rFonts w:eastAsia="Times New Roman" w:cstheme="minorHAnsi"/>
          <w:lang w:eastAsia="en-AU"/>
        </w:rPr>
        <w:t xml:space="preserve"> imposes specific </w:t>
      </w:r>
      <w:r w:rsidR="007B23BE">
        <w:rPr>
          <w:rFonts w:eastAsia="Times New Roman" w:cstheme="minorHAnsi"/>
          <w:lang w:eastAsia="en-AU"/>
        </w:rPr>
        <w:t>obligations on the ABC </w:t>
      </w:r>
      <w:r w:rsidR="007B2426">
        <w:rPr>
          <w:rFonts w:eastAsia="Times New Roman" w:cstheme="minorHAnsi"/>
          <w:lang w:eastAsia="en-AU"/>
        </w:rPr>
        <w:t>Commissioner in carrying out his/her functions to</w:t>
      </w:r>
      <w:r w:rsidR="008C3F00">
        <w:rPr>
          <w:rFonts w:eastAsia="Times New Roman" w:cstheme="minorHAnsi"/>
          <w:lang w:eastAsia="en-AU"/>
        </w:rPr>
        <w:t xml:space="preserve"> ensure </w:t>
      </w:r>
      <w:r w:rsidR="00F3499F">
        <w:rPr>
          <w:rFonts w:eastAsia="Times New Roman" w:cstheme="minorHAnsi"/>
          <w:lang w:eastAsia="en-AU"/>
        </w:rPr>
        <w:t>that (s)he acts impartially as between categories of b</w:t>
      </w:r>
      <w:r w:rsidR="00470579">
        <w:rPr>
          <w:rFonts w:eastAsia="Times New Roman" w:cstheme="minorHAnsi"/>
          <w:lang w:eastAsia="en-AU"/>
        </w:rPr>
        <w:t xml:space="preserve">uilding industry participants. </w:t>
      </w:r>
      <w:r w:rsidR="00F3499F">
        <w:rPr>
          <w:rFonts w:eastAsia="Times New Roman" w:cstheme="minorHAnsi"/>
          <w:lang w:eastAsia="en-AU"/>
        </w:rPr>
        <w:t>It states:</w:t>
      </w:r>
    </w:p>
    <w:p w14:paraId="5BD31F55" w14:textId="68991E9C" w:rsidR="007B2426" w:rsidRPr="005F0130" w:rsidRDefault="007B2426" w:rsidP="00063683">
      <w:pPr>
        <w:spacing w:after="200" w:line="276" w:lineRule="auto"/>
        <w:ind w:left="426"/>
        <w:rPr>
          <w:sz w:val="20"/>
        </w:rPr>
      </w:pPr>
      <w:r w:rsidRPr="005F0130">
        <w:rPr>
          <w:sz w:val="20"/>
        </w:rPr>
        <w:t>In performing the func</w:t>
      </w:r>
      <w:r w:rsidR="009D2459">
        <w:rPr>
          <w:sz w:val="20"/>
        </w:rPr>
        <w:t>tions referred to in subsection </w:t>
      </w:r>
      <w:r w:rsidRPr="005F0130">
        <w:rPr>
          <w:sz w:val="20"/>
        </w:rPr>
        <w:t>(1), the ABC</w:t>
      </w:r>
      <w:r w:rsidR="007B23BE">
        <w:rPr>
          <w:sz w:val="20"/>
        </w:rPr>
        <w:t> </w:t>
      </w:r>
      <w:r w:rsidRPr="005F0130">
        <w:rPr>
          <w:sz w:val="20"/>
        </w:rPr>
        <w:t>Commissioner must ensure that the policies and procedures adopted and resources allocated for protecting and enforcing rights and obligations arising under this Act, designated building laws and the Building Code are, to the greatest extent practicable having regard to industry conditions based on</w:t>
      </w:r>
      <w:r w:rsidR="007B23BE">
        <w:rPr>
          <w:sz w:val="20"/>
        </w:rPr>
        <w:t xml:space="preserve"> complaints received by the ABC </w:t>
      </w:r>
      <w:r w:rsidRPr="005F0130">
        <w:rPr>
          <w:sz w:val="20"/>
        </w:rPr>
        <w:t>Commissioner, applied in a reasonable and proportionate manner to each of the categories of building industry participants.</w:t>
      </w:r>
    </w:p>
    <w:p w14:paraId="616E6F64" w14:textId="0099E716" w:rsidR="00861DBC" w:rsidRPr="005971C5" w:rsidRDefault="00F3499F" w:rsidP="00063683">
      <w:pPr>
        <w:spacing w:after="200" w:line="276" w:lineRule="auto"/>
        <w:rPr>
          <w:rFonts w:eastAsia="Times New Roman" w:cstheme="minorHAnsi"/>
          <w:lang w:eastAsia="en-AU"/>
        </w:rPr>
      </w:pPr>
      <w:r>
        <w:rPr>
          <w:rFonts w:eastAsia="Times New Roman" w:cstheme="minorHAnsi"/>
          <w:lang w:eastAsia="en-AU"/>
        </w:rPr>
        <w:t xml:space="preserve">In addition, </w:t>
      </w:r>
      <w:r w:rsidR="005971C5">
        <w:rPr>
          <w:rFonts w:eastAsia="Times New Roman" w:cstheme="minorHAnsi"/>
          <w:lang w:eastAsia="en-AU"/>
        </w:rPr>
        <w:t>subs</w:t>
      </w:r>
      <w:r w:rsidR="009D2459">
        <w:rPr>
          <w:rFonts w:eastAsia="Times New Roman" w:cstheme="minorHAnsi"/>
          <w:lang w:eastAsia="en-AU"/>
        </w:rPr>
        <w:t>ection </w:t>
      </w:r>
      <w:r>
        <w:rPr>
          <w:rFonts w:eastAsia="Times New Roman" w:cstheme="minorHAnsi"/>
          <w:lang w:eastAsia="en-AU"/>
        </w:rPr>
        <w:t xml:space="preserve">16(3) explicitly requires the Commissioner to </w:t>
      </w:r>
      <w:r w:rsidR="00715392">
        <w:rPr>
          <w:rFonts w:eastAsia="Times New Roman" w:cstheme="minorHAnsi"/>
          <w:lang w:eastAsia="en-AU"/>
        </w:rPr>
        <w:t>e</w:t>
      </w:r>
      <w:r w:rsidR="00861DBC" w:rsidRPr="00F3499F">
        <w:rPr>
          <w:rFonts w:eastAsia="Times New Roman" w:cstheme="minorHAnsi"/>
          <w:lang w:eastAsia="en-AU"/>
        </w:rPr>
        <w:t xml:space="preserve">xercise his or her powers </w:t>
      </w:r>
      <w:r>
        <w:rPr>
          <w:rFonts w:eastAsia="Times New Roman" w:cstheme="minorHAnsi"/>
          <w:lang w:eastAsia="en-AU"/>
        </w:rPr>
        <w:t>in relation to certai</w:t>
      </w:r>
      <w:r w:rsidR="00C01C9D">
        <w:rPr>
          <w:rFonts w:eastAsia="Times New Roman" w:cstheme="minorHAnsi"/>
          <w:lang w:eastAsia="en-AU"/>
        </w:rPr>
        <w:t>n specific provisions of the FW </w:t>
      </w:r>
      <w:r w:rsidR="00470579">
        <w:rPr>
          <w:rFonts w:eastAsia="Times New Roman" w:cstheme="minorHAnsi"/>
          <w:lang w:eastAsia="en-AU"/>
        </w:rPr>
        <w:t>Act.</w:t>
      </w:r>
      <w:r>
        <w:rPr>
          <w:rFonts w:eastAsia="Times New Roman" w:cstheme="minorHAnsi"/>
          <w:lang w:eastAsia="en-AU"/>
        </w:rPr>
        <w:t xml:space="preserve"> These include </w:t>
      </w:r>
      <w:r w:rsidR="00A44302" w:rsidRPr="00F3499F">
        <w:rPr>
          <w:rFonts w:eastAsia="Times New Roman" w:cstheme="minorHAnsi"/>
          <w:lang w:eastAsia="en-AU"/>
        </w:rPr>
        <w:t xml:space="preserve">wages and </w:t>
      </w:r>
      <w:r>
        <w:rPr>
          <w:rFonts w:eastAsia="Times New Roman" w:cstheme="minorHAnsi"/>
          <w:lang w:eastAsia="en-AU"/>
        </w:rPr>
        <w:t xml:space="preserve">entitlements, </w:t>
      </w:r>
      <w:r w:rsidR="00861DBC" w:rsidRPr="00F3499F">
        <w:rPr>
          <w:rFonts w:eastAsia="Times New Roman" w:cstheme="minorHAnsi"/>
          <w:lang w:eastAsia="en-AU"/>
        </w:rPr>
        <w:t xml:space="preserve">sham </w:t>
      </w:r>
      <w:r w:rsidR="00A44302" w:rsidRPr="00F3499F">
        <w:rPr>
          <w:rFonts w:eastAsia="Times New Roman" w:cstheme="minorHAnsi"/>
          <w:lang w:eastAsia="en-AU"/>
        </w:rPr>
        <w:t>contracting</w:t>
      </w:r>
      <w:r>
        <w:rPr>
          <w:rFonts w:eastAsia="Times New Roman" w:cstheme="minorHAnsi"/>
          <w:lang w:eastAsia="en-AU"/>
        </w:rPr>
        <w:t>, freedom of association, coercion and discrimination.</w:t>
      </w:r>
    </w:p>
    <w:p w14:paraId="7250BD9D" w14:textId="749A2919" w:rsidR="00861DBC" w:rsidRDefault="00861DBC" w:rsidP="00063683">
      <w:pPr>
        <w:spacing w:after="200" w:line="276" w:lineRule="auto"/>
        <w:rPr>
          <w:rFonts w:eastAsia="Times New Roman" w:cstheme="minorHAnsi"/>
          <w:lang w:eastAsia="en-AU"/>
        </w:rPr>
      </w:pPr>
      <w:r w:rsidRPr="00EB6CC6">
        <w:rPr>
          <w:rFonts w:eastAsia="Times New Roman" w:cstheme="minorHAnsi"/>
          <w:lang w:eastAsia="en-AU"/>
        </w:rPr>
        <w:t>The 2016</w:t>
      </w:r>
      <w:r w:rsidR="00814595">
        <w:rPr>
          <w:rFonts w:eastAsia="Times New Roman" w:cstheme="minorHAnsi"/>
          <w:lang w:eastAsia="en-AU"/>
        </w:rPr>
        <w:t> </w:t>
      </w:r>
      <w:r>
        <w:rPr>
          <w:rFonts w:eastAsia="Times New Roman" w:cstheme="minorHAnsi"/>
          <w:lang w:eastAsia="en-AU"/>
        </w:rPr>
        <w:t>Code also commenced on 2</w:t>
      </w:r>
      <w:r w:rsidR="00814595">
        <w:rPr>
          <w:rFonts w:eastAsia="Times New Roman" w:cstheme="minorHAnsi"/>
          <w:lang w:eastAsia="en-AU"/>
        </w:rPr>
        <w:t> December </w:t>
      </w:r>
      <w:r>
        <w:rPr>
          <w:rFonts w:eastAsia="Times New Roman" w:cstheme="minorHAnsi"/>
          <w:lang w:eastAsia="en-AU"/>
        </w:rPr>
        <w:t xml:space="preserve">2016. The </w:t>
      </w:r>
      <w:r w:rsidR="00814595">
        <w:rPr>
          <w:rFonts w:eastAsia="Times New Roman" w:cstheme="minorHAnsi"/>
          <w:lang w:eastAsia="en-AU"/>
        </w:rPr>
        <w:t>2016 </w:t>
      </w:r>
      <w:r>
        <w:rPr>
          <w:rFonts w:eastAsia="Times New Roman" w:cstheme="minorHAnsi"/>
          <w:lang w:eastAsia="en-AU"/>
        </w:rPr>
        <w:t>Code sets out the Australian Government’s expected workplace relations standards of conduct for building industry participants that seek to be, or are, undertaking Commonwealth</w:t>
      </w:r>
      <w:r w:rsidR="00FE4B95">
        <w:rPr>
          <w:rFonts w:eastAsia="Times New Roman" w:cstheme="minorHAnsi"/>
          <w:lang w:eastAsia="en-AU"/>
        </w:rPr>
        <w:t>-</w:t>
      </w:r>
      <w:r>
        <w:rPr>
          <w:rFonts w:eastAsia="Times New Roman" w:cstheme="minorHAnsi"/>
          <w:lang w:eastAsia="en-AU"/>
        </w:rPr>
        <w:t>funded building work</w:t>
      </w:r>
      <w:r w:rsidR="00F91CAA">
        <w:rPr>
          <w:rFonts w:eastAsia="Times New Roman" w:cstheme="minorHAnsi"/>
          <w:lang w:eastAsia="en-AU"/>
        </w:rPr>
        <w:t xml:space="preserve">. </w:t>
      </w:r>
      <w:r>
        <w:rPr>
          <w:rFonts w:eastAsia="Times New Roman" w:cstheme="minorHAnsi"/>
          <w:lang w:eastAsia="en-AU"/>
        </w:rPr>
        <w:t>Once a building industry participant becomes subject to the 2016</w:t>
      </w:r>
      <w:r w:rsidR="00814595">
        <w:rPr>
          <w:rFonts w:eastAsia="Times New Roman" w:cstheme="minorHAnsi"/>
          <w:lang w:eastAsia="en-AU"/>
        </w:rPr>
        <w:t> </w:t>
      </w:r>
      <w:r>
        <w:rPr>
          <w:rFonts w:eastAsia="Times New Roman" w:cstheme="minorHAnsi"/>
          <w:lang w:eastAsia="en-AU"/>
        </w:rPr>
        <w:t>Code, it must comply with the 2016</w:t>
      </w:r>
      <w:r w:rsidR="00814595">
        <w:rPr>
          <w:rFonts w:eastAsia="Times New Roman" w:cstheme="minorHAnsi"/>
          <w:lang w:eastAsia="en-AU"/>
        </w:rPr>
        <w:t> </w:t>
      </w:r>
      <w:r>
        <w:rPr>
          <w:rFonts w:eastAsia="Times New Roman" w:cstheme="minorHAnsi"/>
          <w:lang w:eastAsia="en-AU"/>
        </w:rPr>
        <w:t>Code in relation to all building work it undertakes.</w:t>
      </w:r>
    </w:p>
    <w:p w14:paraId="1E871E8F" w14:textId="55A70954" w:rsidR="00861DBC" w:rsidRDefault="00861DBC" w:rsidP="00063683">
      <w:pPr>
        <w:spacing w:after="200" w:line="276" w:lineRule="auto"/>
        <w:rPr>
          <w:rFonts w:eastAsia="Times New Roman" w:cstheme="minorHAnsi"/>
          <w:lang w:eastAsia="en-AU"/>
        </w:rPr>
      </w:pPr>
      <w:r>
        <w:rPr>
          <w:rFonts w:eastAsia="Times New Roman" w:cstheme="minorHAnsi"/>
          <w:lang w:eastAsia="en-AU"/>
        </w:rPr>
        <w:t>The 2016</w:t>
      </w:r>
      <w:r w:rsidR="00814595">
        <w:rPr>
          <w:rFonts w:eastAsia="Times New Roman" w:cstheme="minorHAnsi"/>
          <w:lang w:eastAsia="en-AU"/>
        </w:rPr>
        <w:t> </w:t>
      </w:r>
      <w:r>
        <w:rPr>
          <w:rFonts w:eastAsia="Times New Roman" w:cstheme="minorHAnsi"/>
          <w:lang w:eastAsia="en-AU"/>
        </w:rPr>
        <w:t>Code replac</w:t>
      </w:r>
      <w:r w:rsidR="00814595">
        <w:rPr>
          <w:rFonts w:eastAsia="Times New Roman" w:cstheme="minorHAnsi"/>
          <w:lang w:eastAsia="en-AU"/>
        </w:rPr>
        <w:t xml:space="preserve">ed the </w:t>
      </w:r>
      <w:r w:rsidR="00814595" w:rsidRPr="00814595">
        <w:rPr>
          <w:rFonts w:eastAsia="Times New Roman" w:cstheme="minorHAnsi"/>
          <w:i/>
          <w:lang w:eastAsia="en-AU"/>
        </w:rPr>
        <w:t>Building Code 2013</w:t>
      </w:r>
      <w:r w:rsidR="00814595">
        <w:rPr>
          <w:rFonts w:eastAsia="Times New Roman" w:cstheme="minorHAnsi"/>
          <w:lang w:eastAsia="en-AU"/>
        </w:rPr>
        <w:t xml:space="preserve"> (2013 </w:t>
      </w:r>
      <w:r>
        <w:rPr>
          <w:rFonts w:eastAsia="Times New Roman" w:cstheme="minorHAnsi"/>
          <w:lang w:eastAsia="en-AU"/>
        </w:rPr>
        <w:t>Code</w:t>
      </w:r>
      <w:r w:rsidRPr="00EE0A20">
        <w:rPr>
          <w:rFonts w:eastAsia="Times New Roman" w:cstheme="minorHAnsi"/>
          <w:lang w:eastAsia="en-AU"/>
        </w:rPr>
        <w:t>)</w:t>
      </w:r>
      <w:r w:rsidR="00EE0A20" w:rsidRPr="00EE0A20">
        <w:rPr>
          <w:rFonts w:eastAsia="Times New Roman" w:cstheme="minorHAnsi"/>
          <w:lang w:eastAsia="en-AU"/>
        </w:rPr>
        <w:t xml:space="preserve"> and the Building Code 2013</w:t>
      </w:r>
      <w:r w:rsidR="00EB6CC6">
        <w:rPr>
          <w:rFonts w:eastAsia="Times New Roman" w:cstheme="minorHAnsi"/>
          <w:lang w:eastAsia="en-AU"/>
        </w:rPr>
        <w:t xml:space="preserve"> – Supporting Guidelines (April </w:t>
      </w:r>
      <w:r w:rsidR="00EE0A20" w:rsidRPr="00EE0A20">
        <w:rPr>
          <w:rFonts w:eastAsia="Times New Roman" w:cstheme="minorHAnsi"/>
          <w:lang w:eastAsia="en-AU"/>
        </w:rPr>
        <w:t>2016</w:t>
      </w:r>
      <w:r>
        <w:rPr>
          <w:rFonts w:eastAsia="Times New Roman" w:cstheme="minorHAnsi"/>
          <w:lang w:eastAsia="en-AU"/>
        </w:rPr>
        <w:t>)</w:t>
      </w:r>
      <w:r w:rsidR="00FE4B95">
        <w:rPr>
          <w:rFonts w:eastAsia="Times New Roman" w:cstheme="minorHAnsi"/>
          <w:lang w:eastAsia="en-AU"/>
        </w:rPr>
        <w:t xml:space="preserve">, which </w:t>
      </w:r>
      <w:r>
        <w:rPr>
          <w:rFonts w:eastAsia="Times New Roman" w:cstheme="minorHAnsi"/>
          <w:lang w:eastAsia="en-AU"/>
        </w:rPr>
        <w:t>similarly require</w:t>
      </w:r>
      <w:r w:rsidR="00FE4B95">
        <w:rPr>
          <w:rFonts w:eastAsia="Times New Roman" w:cstheme="minorHAnsi"/>
          <w:lang w:eastAsia="en-AU"/>
        </w:rPr>
        <w:t>d</w:t>
      </w:r>
      <w:r>
        <w:rPr>
          <w:rFonts w:eastAsia="Times New Roman" w:cstheme="minorHAnsi"/>
          <w:lang w:eastAsia="en-AU"/>
        </w:rPr>
        <w:t xml:space="preserve"> that contractors demonstrate code-compliance to be eligible to tender for or be awarded Commonwealth</w:t>
      </w:r>
      <w:r w:rsidR="0012704A">
        <w:rPr>
          <w:rFonts w:eastAsia="Times New Roman" w:cstheme="minorHAnsi"/>
          <w:lang w:eastAsia="en-AU"/>
        </w:rPr>
        <w:t>-</w:t>
      </w:r>
      <w:r>
        <w:rPr>
          <w:rFonts w:eastAsia="Times New Roman" w:cstheme="minorHAnsi"/>
          <w:lang w:eastAsia="en-AU"/>
        </w:rPr>
        <w:t>funded building work. The two eligibility requirements to tender for or be awarded Commonwealth</w:t>
      </w:r>
      <w:r w:rsidR="0012704A">
        <w:rPr>
          <w:rFonts w:eastAsia="Times New Roman" w:cstheme="minorHAnsi"/>
          <w:lang w:eastAsia="en-AU"/>
        </w:rPr>
        <w:t>-</w:t>
      </w:r>
      <w:r>
        <w:rPr>
          <w:rFonts w:eastAsia="Times New Roman" w:cstheme="minorHAnsi"/>
          <w:lang w:eastAsia="en-AU"/>
        </w:rPr>
        <w:t>funded building work under the 2016</w:t>
      </w:r>
      <w:r w:rsidR="00814595">
        <w:rPr>
          <w:rFonts w:eastAsia="Times New Roman" w:cstheme="minorHAnsi"/>
          <w:lang w:eastAsia="en-AU"/>
        </w:rPr>
        <w:t> </w:t>
      </w:r>
      <w:r>
        <w:rPr>
          <w:rFonts w:eastAsia="Times New Roman" w:cstheme="minorHAnsi"/>
          <w:lang w:eastAsia="en-AU"/>
        </w:rPr>
        <w:t xml:space="preserve">Code are: </w:t>
      </w:r>
    </w:p>
    <w:p w14:paraId="40AC046E" w14:textId="03A80716" w:rsidR="00861DBC" w:rsidRDefault="00861DBC" w:rsidP="004F647D">
      <w:pPr>
        <w:pStyle w:val="ListBullet"/>
        <w:numPr>
          <w:ilvl w:val="0"/>
          <w:numId w:val="16"/>
        </w:numPr>
        <w:ind w:left="360"/>
        <w:rPr>
          <w:rFonts w:eastAsia="Times New Roman" w:cstheme="minorHAnsi"/>
          <w:lang w:eastAsia="en-AU"/>
        </w:rPr>
      </w:pPr>
      <w:r>
        <w:rPr>
          <w:rFonts w:eastAsia="Times New Roman" w:cstheme="minorHAnsi"/>
          <w:lang w:eastAsia="en-AU"/>
        </w:rPr>
        <w:t xml:space="preserve">demonstrating that a contractor </w:t>
      </w:r>
      <w:r w:rsidRPr="00E5746E">
        <w:rPr>
          <w:rFonts w:eastAsia="Times New Roman" w:cstheme="minorHAnsi"/>
          <w:lang w:eastAsia="en-AU"/>
        </w:rPr>
        <w:t xml:space="preserve">is </w:t>
      </w:r>
      <w:r>
        <w:rPr>
          <w:rFonts w:eastAsia="Times New Roman" w:cstheme="minorHAnsi"/>
          <w:lang w:eastAsia="en-AU"/>
        </w:rPr>
        <w:t xml:space="preserve">not currently </w:t>
      </w:r>
      <w:r w:rsidRPr="00E5746E">
        <w:rPr>
          <w:rFonts w:eastAsia="Times New Roman" w:cstheme="minorHAnsi"/>
          <w:lang w:eastAsia="en-AU"/>
        </w:rPr>
        <w:t>subject to an exclusi</w:t>
      </w:r>
      <w:r w:rsidR="00CE0D6A">
        <w:rPr>
          <w:rFonts w:eastAsia="Times New Roman" w:cstheme="minorHAnsi"/>
          <w:lang w:eastAsia="en-AU"/>
        </w:rPr>
        <w:t>on sanction</w:t>
      </w:r>
    </w:p>
    <w:p w14:paraId="2232B772" w14:textId="70E98BE6" w:rsidR="00861DBC" w:rsidRDefault="0017077E" w:rsidP="004F647D">
      <w:pPr>
        <w:pStyle w:val="ListBullet"/>
        <w:numPr>
          <w:ilvl w:val="0"/>
          <w:numId w:val="16"/>
        </w:numPr>
        <w:ind w:left="360"/>
        <w:rPr>
          <w:rFonts w:eastAsia="Times New Roman" w:cstheme="minorHAnsi"/>
          <w:lang w:eastAsia="en-AU"/>
        </w:rPr>
      </w:pPr>
      <w:r>
        <w:rPr>
          <w:rFonts w:eastAsia="Times New Roman" w:cstheme="minorHAnsi"/>
          <w:lang w:eastAsia="en-AU"/>
        </w:rPr>
        <w:lastRenderedPageBreak/>
        <w:t xml:space="preserve">demonstrating </w:t>
      </w:r>
      <w:r w:rsidR="00861DBC">
        <w:rPr>
          <w:rFonts w:eastAsia="Times New Roman" w:cstheme="minorHAnsi"/>
          <w:lang w:eastAsia="en-AU"/>
        </w:rPr>
        <w:t>the contractor</w:t>
      </w:r>
      <w:r w:rsidR="00861DBC" w:rsidRPr="00E5746E">
        <w:rPr>
          <w:rFonts w:eastAsia="Times New Roman" w:cstheme="minorHAnsi"/>
          <w:lang w:eastAsia="en-AU"/>
        </w:rPr>
        <w:t xml:space="preserve"> and </w:t>
      </w:r>
      <w:r w:rsidR="00EE0A20" w:rsidRPr="00EE0A20">
        <w:rPr>
          <w:rFonts w:eastAsia="Times New Roman" w:cstheme="minorHAnsi"/>
          <w:lang w:eastAsia="en-AU"/>
        </w:rPr>
        <w:t xml:space="preserve">its </w:t>
      </w:r>
      <w:r w:rsidR="00861DBC" w:rsidRPr="00E5746E">
        <w:rPr>
          <w:rFonts w:eastAsia="Times New Roman" w:cstheme="minorHAnsi"/>
          <w:lang w:eastAsia="en-AU"/>
        </w:rPr>
        <w:t xml:space="preserve">related entities </w:t>
      </w:r>
      <w:r w:rsidR="00861DBC" w:rsidRPr="00EE0A20">
        <w:rPr>
          <w:rFonts w:eastAsia="Times New Roman" w:cstheme="minorHAnsi"/>
          <w:lang w:eastAsia="en-AU"/>
        </w:rPr>
        <w:t>meet</w:t>
      </w:r>
      <w:r w:rsidR="00861DBC" w:rsidRPr="00E5746E">
        <w:rPr>
          <w:rFonts w:eastAsia="Times New Roman" w:cstheme="minorHAnsi"/>
          <w:lang w:eastAsia="en-AU"/>
        </w:rPr>
        <w:t xml:space="preserve"> the requirements of section</w:t>
      </w:r>
      <w:r w:rsidR="00E01867">
        <w:rPr>
          <w:rFonts w:eastAsia="Times New Roman" w:cstheme="minorHAnsi"/>
          <w:lang w:eastAsia="en-AU"/>
        </w:rPr>
        <w:t> </w:t>
      </w:r>
      <w:r w:rsidR="00861DBC" w:rsidRPr="00E5746E">
        <w:rPr>
          <w:rFonts w:eastAsia="Times New Roman" w:cstheme="minorHAnsi"/>
          <w:lang w:eastAsia="en-AU"/>
        </w:rPr>
        <w:t xml:space="preserve">11 of the </w:t>
      </w:r>
      <w:r w:rsidR="00E01867">
        <w:rPr>
          <w:rFonts w:eastAsia="Times New Roman" w:cstheme="minorHAnsi"/>
          <w:lang w:eastAsia="en-AU"/>
        </w:rPr>
        <w:t>2016 </w:t>
      </w:r>
      <w:r w:rsidR="00861DBC">
        <w:rPr>
          <w:rFonts w:eastAsia="Times New Roman" w:cstheme="minorHAnsi"/>
          <w:lang w:eastAsia="en-AU"/>
        </w:rPr>
        <w:t>C</w:t>
      </w:r>
      <w:r w:rsidR="00861DBC" w:rsidRPr="00E5746E">
        <w:rPr>
          <w:rFonts w:eastAsia="Times New Roman" w:cstheme="minorHAnsi"/>
          <w:lang w:eastAsia="en-AU"/>
        </w:rPr>
        <w:t xml:space="preserve">ode. </w:t>
      </w:r>
      <w:r w:rsidR="00861DBC">
        <w:rPr>
          <w:rFonts w:eastAsia="Times New Roman" w:cstheme="minorHAnsi"/>
          <w:lang w:eastAsia="en-AU"/>
        </w:rPr>
        <w:t>Section</w:t>
      </w:r>
      <w:r w:rsidR="0099154A">
        <w:rPr>
          <w:rFonts w:eastAsia="Times New Roman" w:cstheme="minorHAnsi"/>
          <w:lang w:eastAsia="en-AU"/>
        </w:rPr>
        <w:t> </w:t>
      </w:r>
      <w:r w:rsidR="00861DBC">
        <w:rPr>
          <w:rFonts w:eastAsia="Times New Roman" w:cstheme="minorHAnsi"/>
          <w:lang w:eastAsia="en-AU"/>
        </w:rPr>
        <w:t>11 of the 2016</w:t>
      </w:r>
      <w:r w:rsidR="00814595">
        <w:rPr>
          <w:rFonts w:eastAsia="Times New Roman" w:cstheme="minorHAnsi"/>
          <w:lang w:eastAsia="en-AU"/>
        </w:rPr>
        <w:t> </w:t>
      </w:r>
      <w:r w:rsidR="00861DBC">
        <w:rPr>
          <w:rFonts w:eastAsia="Times New Roman" w:cstheme="minorHAnsi"/>
          <w:lang w:eastAsia="en-AU"/>
        </w:rPr>
        <w:t xml:space="preserve">Code </w:t>
      </w:r>
      <w:r w:rsidR="00EE0A20" w:rsidRPr="00EE0A20">
        <w:rPr>
          <w:rFonts w:eastAsia="Times New Roman" w:cstheme="minorHAnsi"/>
          <w:lang w:eastAsia="en-AU"/>
        </w:rPr>
        <w:t xml:space="preserve">prohibits certain types </w:t>
      </w:r>
      <w:r w:rsidR="00861DBC">
        <w:rPr>
          <w:rFonts w:eastAsia="Times New Roman" w:cstheme="minorHAnsi"/>
          <w:lang w:eastAsia="en-AU"/>
        </w:rPr>
        <w:t xml:space="preserve">of clauses </w:t>
      </w:r>
      <w:r w:rsidR="00EE0A20" w:rsidRPr="00EE0A20">
        <w:rPr>
          <w:rFonts w:eastAsia="Times New Roman" w:cstheme="minorHAnsi"/>
          <w:lang w:eastAsia="en-AU"/>
        </w:rPr>
        <w:t xml:space="preserve">from being included </w:t>
      </w:r>
      <w:r w:rsidR="00861DBC">
        <w:rPr>
          <w:rFonts w:eastAsia="Times New Roman" w:cstheme="minorHAnsi"/>
          <w:lang w:eastAsia="en-AU"/>
        </w:rPr>
        <w:t xml:space="preserve">in enterprise agreements. </w:t>
      </w:r>
    </w:p>
    <w:p w14:paraId="3641009F" w14:textId="6CC2F6C0" w:rsidR="00861DBC" w:rsidRDefault="00F3499F" w:rsidP="00063683">
      <w:pPr>
        <w:spacing w:after="200" w:line="276" w:lineRule="auto"/>
        <w:rPr>
          <w:rFonts w:eastAsia="Times New Roman" w:cstheme="minorHAnsi"/>
          <w:lang w:eastAsia="en-AU"/>
        </w:rPr>
      </w:pPr>
      <w:r>
        <w:rPr>
          <w:rFonts w:eastAsia="Times New Roman" w:cstheme="minorHAnsi"/>
          <w:lang w:eastAsia="en-AU"/>
        </w:rPr>
        <w:t xml:space="preserve">Similar to </w:t>
      </w:r>
      <w:r w:rsidR="00814595">
        <w:rPr>
          <w:rFonts w:eastAsia="Times New Roman" w:cstheme="minorHAnsi"/>
          <w:lang w:eastAsia="en-AU"/>
        </w:rPr>
        <w:t xml:space="preserve">the </w:t>
      </w:r>
      <w:r w:rsidR="00EE0A20" w:rsidRPr="00EE0A20">
        <w:rPr>
          <w:rFonts w:eastAsia="Times New Roman" w:cstheme="minorHAnsi"/>
          <w:lang w:eastAsia="en-AU"/>
        </w:rPr>
        <w:t>Building Code 2013</w:t>
      </w:r>
      <w:r w:rsidR="00EB6CC6">
        <w:rPr>
          <w:rFonts w:eastAsia="Times New Roman" w:cstheme="minorHAnsi"/>
          <w:lang w:eastAsia="en-AU"/>
        </w:rPr>
        <w:t xml:space="preserve"> – Supporting Guidelines (April </w:t>
      </w:r>
      <w:r w:rsidR="00EE0A20" w:rsidRPr="00EE0A20">
        <w:rPr>
          <w:rFonts w:eastAsia="Times New Roman" w:cstheme="minorHAnsi"/>
          <w:lang w:eastAsia="en-AU"/>
        </w:rPr>
        <w:t>2016)</w:t>
      </w:r>
      <w:r w:rsidR="00814595">
        <w:rPr>
          <w:rFonts w:eastAsia="Times New Roman" w:cstheme="minorHAnsi"/>
          <w:lang w:eastAsia="en-AU"/>
        </w:rPr>
        <w:t>, the 2016 </w:t>
      </w:r>
      <w:r w:rsidR="00BB37AC">
        <w:rPr>
          <w:rFonts w:eastAsia="Times New Roman" w:cstheme="minorHAnsi"/>
          <w:lang w:eastAsia="en-AU"/>
        </w:rPr>
        <w:t>Code provides that, i</w:t>
      </w:r>
      <w:r w:rsidR="00861DBC">
        <w:rPr>
          <w:rFonts w:eastAsia="Times New Roman" w:cstheme="minorHAnsi"/>
          <w:lang w:eastAsia="en-AU"/>
        </w:rPr>
        <w:t xml:space="preserve">f a contractor is found to have breached </w:t>
      </w:r>
      <w:r w:rsidR="00FE4B95">
        <w:rPr>
          <w:rFonts w:eastAsia="Times New Roman" w:cstheme="minorHAnsi"/>
          <w:lang w:eastAsia="en-AU"/>
        </w:rPr>
        <w:t xml:space="preserve">the </w:t>
      </w:r>
      <w:r w:rsidR="00814595">
        <w:rPr>
          <w:rFonts w:eastAsia="Times New Roman" w:cstheme="minorHAnsi"/>
          <w:lang w:eastAsia="en-AU"/>
        </w:rPr>
        <w:t>2016 </w:t>
      </w:r>
      <w:r w:rsidR="00861DBC">
        <w:rPr>
          <w:rFonts w:eastAsia="Times New Roman" w:cstheme="minorHAnsi"/>
          <w:lang w:eastAsia="en-AU"/>
        </w:rPr>
        <w:t>Code</w:t>
      </w:r>
      <w:r w:rsidR="00BB37AC">
        <w:rPr>
          <w:rFonts w:eastAsia="Times New Roman" w:cstheme="minorHAnsi"/>
          <w:lang w:eastAsia="en-AU"/>
        </w:rPr>
        <w:t>,</w:t>
      </w:r>
      <w:r w:rsidR="00861DBC">
        <w:rPr>
          <w:rFonts w:eastAsia="Times New Roman" w:cstheme="minorHAnsi"/>
          <w:lang w:eastAsia="en-AU"/>
        </w:rPr>
        <w:t xml:space="preserve"> they can be subject to an ex</w:t>
      </w:r>
      <w:r w:rsidR="007B23BE">
        <w:rPr>
          <w:rFonts w:eastAsia="Times New Roman" w:cstheme="minorHAnsi"/>
          <w:lang w:eastAsia="en-AU"/>
        </w:rPr>
        <w:t>clusion sanction. Where the ABC </w:t>
      </w:r>
      <w:r w:rsidR="00861DBC">
        <w:rPr>
          <w:rFonts w:eastAsia="Times New Roman" w:cstheme="minorHAnsi"/>
          <w:lang w:eastAsia="en-AU"/>
        </w:rPr>
        <w:t xml:space="preserve">Commissioner is satisfied a </w:t>
      </w:r>
      <w:r w:rsidR="007F3755">
        <w:rPr>
          <w:rFonts w:eastAsia="Times New Roman" w:cstheme="minorHAnsi"/>
          <w:lang w:eastAsia="en-AU"/>
        </w:rPr>
        <w:t xml:space="preserve">code-covered </w:t>
      </w:r>
      <w:r w:rsidR="00861DBC">
        <w:rPr>
          <w:rFonts w:eastAsia="Times New Roman" w:cstheme="minorHAnsi"/>
          <w:lang w:eastAsia="en-AU"/>
        </w:rPr>
        <w:t>entity has breached the 2016</w:t>
      </w:r>
      <w:r w:rsidR="00814595">
        <w:rPr>
          <w:rFonts w:eastAsia="Times New Roman" w:cstheme="minorHAnsi"/>
          <w:lang w:eastAsia="en-AU"/>
        </w:rPr>
        <w:t> </w:t>
      </w:r>
      <w:r w:rsidR="00861DBC">
        <w:rPr>
          <w:rFonts w:eastAsia="Times New Roman" w:cstheme="minorHAnsi"/>
          <w:lang w:eastAsia="en-AU"/>
        </w:rPr>
        <w:t>Code, the matter can be referred to the Minister to decide whether to impose a sanction</w:t>
      </w:r>
      <w:r w:rsidR="00F91CAA">
        <w:rPr>
          <w:rFonts w:eastAsia="Times New Roman" w:cstheme="minorHAnsi"/>
          <w:lang w:eastAsia="en-AU"/>
        </w:rPr>
        <w:t xml:space="preserve">. </w:t>
      </w:r>
      <w:r w:rsidR="00BB37AC">
        <w:rPr>
          <w:rFonts w:eastAsia="Times New Roman" w:cstheme="minorHAnsi"/>
          <w:lang w:eastAsia="en-AU"/>
        </w:rPr>
        <w:t xml:space="preserve">The </w:t>
      </w:r>
      <w:r w:rsidR="00861DBC">
        <w:rPr>
          <w:rFonts w:eastAsia="Times New Roman" w:cstheme="minorHAnsi"/>
          <w:lang w:eastAsia="en-AU"/>
        </w:rPr>
        <w:t xml:space="preserve">Minister </w:t>
      </w:r>
      <w:r w:rsidR="00BB37AC">
        <w:rPr>
          <w:rFonts w:eastAsia="Times New Roman" w:cstheme="minorHAnsi"/>
          <w:lang w:eastAsia="en-AU"/>
        </w:rPr>
        <w:t xml:space="preserve">can exclude a non-compliant entity for up to </w:t>
      </w:r>
      <w:r w:rsidR="00861DBC">
        <w:rPr>
          <w:rFonts w:eastAsia="Times New Roman" w:cstheme="minorHAnsi"/>
          <w:lang w:eastAsia="en-AU"/>
        </w:rPr>
        <w:t xml:space="preserve">one year and </w:t>
      </w:r>
      <w:r w:rsidR="00BB37AC">
        <w:rPr>
          <w:rFonts w:eastAsia="Times New Roman" w:cstheme="minorHAnsi"/>
          <w:lang w:eastAsia="en-AU"/>
        </w:rPr>
        <w:t xml:space="preserve">the exclusion </w:t>
      </w:r>
      <w:r w:rsidR="00861DBC">
        <w:rPr>
          <w:rFonts w:eastAsia="Times New Roman" w:cstheme="minorHAnsi"/>
          <w:lang w:eastAsia="en-AU"/>
        </w:rPr>
        <w:t xml:space="preserve">can extend to the contractor’s related entities. </w:t>
      </w:r>
      <w:r w:rsidR="00BB37AC">
        <w:rPr>
          <w:rFonts w:eastAsia="Times New Roman" w:cstheme="minorHAnsi"/>
          <w:lang w:eastAsia="en-AU"/>
        </w:rPr>
        <w:t>E</w:t>
      </w:r>
      <w:r w:rsidR="00861DBC">
        <w:rPr>
          <w:rFonts w:eastAsia="Times New Roman" w:cstheme="minorHAnsi"/>
          <w:lang w:eastAsia="en-AU"/>
        </w:rPr>
        <w:t>xclude</w:t>
      </w:r>
      <w:r w:rsidR="00BB37AC">
        <w:rPr>
          <w:rFonts w:eastAsia="Times New Roman" w:cstheme="minorHAnsi"/>
          <w:lang w:eastAsia="en-AU"/>
        </w:rPr>
        <w:t>d</w:t>
      </w:r>
      <w:r w:rsidR="00861DBC">
        <w:rPr>
          <w:rFonts w:eastAsia="Times New Roman" w:cstheme="minorHAnsi"/>
          <w:lang w:eastAsia="en-AU"/>
        </w:rPr>
        <w:t xml:space="preserve"> contractor</w:t>
      </w:r>
      <w:r w:rsidR="00BB37AC">
        <w:rPr>
          <w:rFonts w:eastAsia="Times New Roman" w:cstheme="minorHAnsi"/>
          <w:lang w:eastAsia="en-AU"/>
        </w:rPr>
        <w:t>s cannot</w:t>
      </w:r>
      <w:r w:rsidR="00861DBC" w:rsidRPr="00E5746E">
        <w:rPr>
          <w:rFonts w:eastAsia="Times New Roman" w:cstheme="minorHAnsi"/>
          <w:lang w:eastAsia="en-AU"/>
        </w:rPr>
        <w:t xml:space="preserve"> submit expressions of interest, tender for</w:t>
      </w:r>
      <w:r w:rsidR="00BB37AC">
        <w:rPr>
          <w:rFonts w:eastAsia="Times New Roman" w:cstheme="minorHAnsi"/>
          <w:lang w:eastAsia="en-AU"/>
        </w:rPr>
        <w:t>,</w:t>
      </w:r>
      <w:r w:rsidR="00861DBC" w:rsidRPr="00E5746E">
        <w:rPr>
          <w:rFonts w:eastAsia="Times New Roman" w:cstheme="minorHAnsi"/>
          <w:lang w:eastAsia="en-AU"/>
        </w:rPr>
        <w:t xml:space="preserve"> or be awarded Commonwealth</w:t>
      </w:r>
      <w:r w:rsidR="0012704A">
        <w:rPr>
          <w:rFonts w:eastAsia="Times New Roman" w:cstheme="minorHAnsi"/>
          <w:lang w:eastAsia="en-AU"/>
        </w:rPr>
        <w:t>-</w:t>
      </w:r>
      <w:r w:rsidR="00861DBC" w:rsidRPr="00E5746E">
        <w:rPr>
          <w:rFonts w:eastAsia="Times New Roman" w:cstheme="minorHAnsi"/>
          <w:lang w:eastAsia="en-AU"/>
        </w:rPr>
        <w:t>funded building wor</w:t>
      </w:r>
      <w:r w:rsidR="00861DBC">
        <w:rPr>
          <w:rFonts w:eastAsia="Times New Roman" w:cstheme="minorHAnsi"/>
          <w:lang w:eastAsia="en-AU"/>
        </w:rPr>
        <w:t xml:space="preserve">k during the exclusion period. </w:t>
      </w:r>
    </w:p>
    <w:p w14:paraId="76C192EC" w14:textId="17B995B7" w:rsidR="00A44302" w:rsidRDefault="00BB37AC" w:rsidP="00063683">
      <w:pPr>
        <w:spacing w:after="200" w:line="276" w:lineRule="auto"/>
        <w:rPr>
          <w:rFonts w:eastAsia="Times New Roman" w:cstheme="minorHAnsi"/>
          <w:lang w:eastAsia="en-AU"/>
        </w:rPr>
      </w:pPr>
      <w:r>
        <w:rPr>
          <w:rFonts w:eastAsia="Times New Roman" w:cstheme="minorHAnsi"/>
          <w:lang w:eastAsia="en-AU"/>
        </w:rPr>
        <w:t>Appendix</w:t>
      </w:r>
      <w:r w:rsidR="00BC0D9F" w:rsidRPr="00EE0A20">
        <w:rPr>
          <w:rFonts w:eastAsia="Times New Roman" w:cstheme="minorHAnsi"/>
          <w:lang w:eastAsia="en-AU"/>
        </w:rPr>
        <w:t> </w:t>
      </w:r>
      <w:r>
        <w:rPr>
          <w:rFonts w:eastAsia="Times New Roman" w:cstheme="minorHAnsi"/>
          <w:lang w:eastAsia="en-AU"/>
        </w:rPr>
        <w:t xml:space="preserve">2 sets out the history of the </w:t>
      </w:r>
      <w:r w:rsidR="00874C55">
        <w:rPr>
          <w:rFonts w:eastAsia="Times New Roman" w:cstheme="minorHAnsi"/>
          <w:lang w:eastAsia="en-AU"/>
        </w:rPr>
        <w:t>BCIIP</w:t>
      </w:r>
      <w:r w:rsidR="00383F12">
        <w:t> </w:t>
      </w:r>
      <w:r>
        <w:rPr>
          <w:rFonts w:eastAsia="Times New Roman" w:cstheme="minorHAnsi"/>
          <w:lang w:eastAsia="en-AU"/>
        </w:rPr>
        <w:t>Act and relevant previous legislation in diagrammatic form, while Appendix</w:t>
      </w:r>
      <w:r w:rsidR="00BC0D9F" w:rsidRPr="00EE0A20">
        <w:rPr>
          <w:rFonts w:eastAsia="Times New Roman" w:cstheme="minorHAnsi"/>
          <w:lang w:eastAsia="en-AU"/>
        </w:rPr>
        <w:t> </w:t>
      </w:r>
      <w:r>
        <w:rPr>
          <w:rFonts w:eastAsia="Times New Roman" w:cstheme="minorHAnsi"/>
          <w:lang w:eastAsia="en-AU"/>
        </w:rPr>
        <w:t xml:space="preserve">3 </w:t>
      </w:r>
      <w:r w:rsidR="00FE4B95">
        <w:rPr>
          <w:rFonts w:eastAsia="Times New Roman" w:cstheme="minorHAnsi"/>
          <w:lang w:eastAsia="en-AU"/>
        </w:rPr>
        <w:t>provides a more detailed comparison of</w:t>
      </w:r>
      <w:r>
        <w:rPr>
          <w:rFonts w:eastAsia="Times New Roman" w:cstheme="minorHAnsi"/>
          <w:lang w:eastAsia="en-AU"/>
        </w:rPr>
        <w:t xml:space="preserve"> key substantive provisions of the BCIIP</w:t>
      </w:r>
      <w:r w:rsidR="00084A9F">
        <w:rPr>
          <w:rFonts w:eastAsia="Times New Roman" w:cstheme="minorHAnsi"/>
          <w:lang w:eastAsia="en-AU"/>
        </w:rPr>
        <w:t> </w:t>
      </w:r>
      <w:r w:rsidR="00874C55">
        <w:rPr>
          <w:rFonts w:eastAsia="Times New Roman" w:cstheme="minorHAnsi"/>
          <w:lang w:eastAsia="en-AU"/>
        </w:rPr>
        <w:t>Act</w:t>
      </w:r>
      <w:r w:rsidR="00084A9F">
        <w:rPr>
          <w:rFonts w:eastAsia="Times New Roman" w:cstheme="minorHAnsi"/>
          <w:lang w:eastAsia="en-AU"/>
        </w:rPr>
        <w:t>, FWBI </w:t>
      </w:r>
      <w:r w:rsidR="00874C55">
        <w:rPr>
          <w:rFonts w:eastAsia="Times New Roman" w:cstheme="minorHAnsi"/>
          <w:lang w:eastAsia="en-AU"/>
        </w:rPr>
        <w:t xml:space="preserve">Act </w:t>
      </w:r>
      <w:r w:rsidR="00084A9F">
        <w:rPr>
          <w:rFonts w:eastAsia="Times New Roman" w:cstheme="minorHAnsi"/>
          <w:lang w:eastAsia="en-AU"/>
        </w:rPr>
        <w:t>and BCII </w:t>
      </w:r>
      <w:r>
        <w:rPr>
          <w:rFonts w:eastAsia="Times New Roman" w:cstheme="minorHAnsi"/>
          <w:lang w:eastAsia="en-AU"/>
        </w:rPr>
        <w:t>Act.</w:t>
      </w:r>
    </w:p>
    <w:p w14:paraId="25AEB02F" w14:textId="474219B3" w:rsidR="003876B4" w:rsidRDefault="003876B4" w:rsidP="002D251C">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39A9C5B4" w14:textId="25C77A75" w:rsidR="00F07615" w:rsidRDefault="00F07615" w:rsidP="008A2B8D">
      <w:pPr>
        <w:pStyle w:val="Heading1"/>
        <w:rPr>
          <w:szCs w:val="36"/>
        </w:rPr>
      </w:pPr>
      <w:bookmarkStart w:id="83" w:name="_Toc527632999"/>
      <w:r>
        <w:rPr>
          <w:szCs w:val="36"/>
        </w:rPr>
        <w:lastRenderedPageBreak/>
        <w:t>Terms of reference</w:t>
      </w:r>
      <w:bookmarkEnd w:id="83"/>
    </w:p>
    <w:p w14:paraId="411260EF" w14:textId="57A3880D" w:rsidR="00F07615" w:rsidRPr="00887DE0" w:rsidRDefault="00F07615" w:rsidP="008A2B8D">
      <w:pPr>
        <w:spacing w:before="200" w:after="200" w:line="276" w:lineRule="auto"/>
        <w:rPr>
          <w:rFonts w:eastAsia="Times New Roman" w:cstheme="minorHAnsi"/>
          <w:lang w:eastAsia="en-AU"/>
        </w:rPr>
      </w:pPr>
      <w:r w:rsidRPr="00887DE0">
        <w:rPr>
          <w:rFonts w:eastAsia="Times New Roman" w:cstheme="minorHAnsi"/>
          <w:lang w:eastAsia="en-AU"/>
        </w:rPr>
        <w:t>The review will examine the following:</w:t>
      </w:r>
    </w:p>
    <w:p w14:paraId="791D82CB" w14:textId="058A4AC8" w:rsidR="00F07615" w:rsidRPr="00887DE0" w:rsidRDefault="008A2B8D" w:rsidP="000218CE">
      <w:pPr>
        <w:pStyle w:val="ListNumber"/>
        <w:spacing w:before="120"/>
        <w:ind w:left="360" w:hanging="357"/>
        <w:contextualSpacing w:val="0"/>
        <w:rPr>
          <w:rFonts w:eastAsia="Times New Roman" w:cstheme="minorHAnsi"/>
          <w:lang w:eastAsia="en-AU"/>
        </w:rPr>
      </w:pPr>
      <w:r>
        <w:rPr>
          <w:rFonts w:eastAsia="Times New Roman" w:cstheme="minorHAnsi"/>
          <w:lang w:eastAsia="en-AU"/>
        </w:rPr>
        <w:t>1.</w:t>
      </w:r>
      <w:r>
        <w:rPr>
          <w:rFonts w:eastAsia="Times New Roman" w:cstheme="minorHAnsi"/>
          <w:lang w:eastAsia="en-AU"/>
        </w:rPr>
        <w:tab/>
      </w:r>
      <w:r w:rsidR="00F07615" w:rsidRPr="00887DE0">
        <w:rPr>
          <w:rFonts w:eastAsia="Times New Roman" w:cstheme="minorHAnsi"/>
          <w:lang w:eastAsia="en-AU"/>
        </w:rPr>
        <w:t>The performance by the Australian Building and Construction Commission (ABCC) of its 'full service regulator' function (</w:t>
      </w:r>
      <w:r w:rsidR="00BC0D9F" w:rsidRPr="00EE0A20">
        <w:rPr>
          <w:rFonts w:eastAsia="Times New Roman" w:cstheme="minorHAnsi"/>
          <w:lang w:eastAsia="en-AU"/>
        </w:rPr>
        <w:t>that is,</w:t>
      </w:r>
      <w:r w:rsidR="00F07615" w:rsidRPr="00887DE0">
        <w:rPr>
          <w:rFonts w:eastAsia="Times New Roman" w:cstheme="minorHAnsi"/>
          <w:lang w:eastAsia="en-AU"/>
        </w:rPr>
        <w:t xml:space="preserve"> reviewing building industry employers' compliance with wages and entitlements obligations as well as regulating building industry participants' compliance with freedom of association, right of entry and similar laws).</w:t>
      </w:r>
    </w:p>
    <w:p w14:paraId="495A7FE8" w14:textId="583E1C0A" w:rsidR="00F07615" w:rsidRPr="00887DE0" w:rsidRDefault="008A2B8D" w:rsidP="000218CE">
      <w:pPr>
        <w:pStyle w:val="ListNumber"/>
        <w:spacing w:before="120"/>
        <w:ind w:left="360" w:hanging="357"/>
        <w:contextualSpacing w:val="0"/>
        <w:rPr>
          <w:rFonts w:eastAsia="Times New Roman" w:cstheme="minorHAnsi"/>
          <w:lang w:eastAsia="en-AU"/>
        </w:rPr>
      </w:pPr>
      <w:r>
        <w:rPr>
          <w:rFonts w:eastAsia="Times New Roman" w:cstheme="minorHAnsi"/>
          <w:lang w:eastAsia="en-AU"/>
        </w:rPr>
        <w:t>2.</w:t>
      </w:r>
      <w:r>
        <w:rPr>
          <w:rFonts w:eastAsia="Times New Roman" w:cstheme="minorHAnsi"/>
          <w:lang w:eastAsia="en-AU"/>
        </w:rPr>
        <w:tab/>
      </w:r>
      <w:r w:rsidR="00F07615" w:rsidRPr="00887DE0">
        <w:rPr>
          <w:rFonts w:eastAsia="Times New Roman" w:cstheme="minorHAnsi"/>
          <w:lang w:eastAsia="en-AU"/>
        </w:rPr>
        <w:t>The independent oversight of the</w:t>
      </w:r>
      <w:r w:rsidR="00EF4A99">
        <w:rPr>
          <w:rFonts w:eastAsia="Times New Roman" w:cstheme="minorHAnsi"/>
          <w:lang w:eastAsia="en-AU"/>
        </w:rPr>
        <w:t xml:space="preserve"> ABCC’s</w:t>
      </w:r>
      <w:r w:rsidR="00F07615" w:rsidRPr="00887DE0">
        <w:rPr>
          <w:rFonts w:eastAsia="Times New Roman" w:cstheme="minorHAnsi"/>
          <w:lang w:eastAsia="en-AU"/>
        </w:rPr>
        <w:t xml:space="preserve"> compulsory examination powers, including:</w:t>
      </w:r>
    </w:p>
    <w:p w14:paraId="2FE9BB94" w14:textId="2F76535B" w:rsidR="00F07615" w:rsidRPr="00887DE0" w:rsidRDefault="00F07615" w:rsidP="000218CE">
      <w:pPr>
        <w:pStyle w:val="ListBullet"/>
        <w:numPr>
          <w:ilvl w:val="0"/>
          <w:numId w:val="4"/>
        </w:numPr>
        <w:spacing w:before="120"/>
        <w:ind w:left="709" w:hanging="357"/>
        <w:contextualSpacing w:val="0"/>
        <w:rPr>
          <w:rFonts w:eastAsia="Times New Roman" w:cstheme="minorHAnsi"/>
          <w:lang w:eastAsia="en-AU"/>
        </w:rPr>
      </w:pPr>
      <w:r w:rsidRPr="00887DE0">
        <w:rPr>
          <w:rFonts w:eastAsia="Times New Roman" w:cstheme="minorHAnsi"/>
          <w:lang w:eastAsia="en-AU"/>
        </w:rPr>
        <w:t>reporting requirements (</w:t>
      </w:r>
      <w:r w:rsidR="00BC0D9F" w:rsidRPr="00EE0A20">
        <w:rPr>
          <w:rFonts w:eastAsia="Times New Roman" w:cstheme="minorHAnsi"/>
          <w:lang w:eastAsia="en-AU"/>
        </w:rPr>
        <w:t>for example,</w:t>
      </w:r>
      <w:r w:rsidRPr="00887DE0">
        <w:rPr>
          <w:rFonts w:eastAsia="Times New Roman" w:cstheme="minorHAnsi"/>
          <w:lang w:eastAsia="en-AU"/>
        </w:rPr>
        <w:t xml:space="preserve"> the frequency these reports are required); and</w:t>
      </w:r>
    </w:p>
    <w:p w14:paraId="34CDDD81" w14:textId="77777777" w:rsidR="00F07615" w:rsidRPr="00887DE0" w:rsidRDefault="00F07615" w:rsidP="000218CE">
      <w:pPr>
        <w:pStyle w:val="ListBullet"/>
        <w:numPr>
          <w:ilvl w:val="0"/>
          <w:numId w:val="4"/>
        </w:numPr>
        <w:spacing w:before="120"/>
        <w:ind w:left="709" w:hanging="357"/>
        <w:contextualSpacing w:val="0"/>
        <w:rPr>
          <w:rFonts w:eastAsia="Times New Roman" w:cstheme="minorHAnsi"/>
          <w:lang w:eastAsia="en-AU"/>
        </w:rPr>
      </w:pPr>
      <w:r w:rsidRPr="00887DE0">
        <w:rPr>
          <w:rFonts w:eastAsia="Times New Roman" w:cstheme="minorHAnsi"/>
          <w:lang w:eastAsia="en-AU"/>
        </w:rPr>
        <w:t>safeguards and public accountability in the application of these powers.</w:t>
      </w:r>
    </w:p>
    <w:p w14:paraId="7BC030B3" w14:textId="7EAC4C0A" w:rsidR="00F07615" w:rsidRPr="00887DE0" w:rsidRDefault="008A2B8D" w:rsidP="000218CE">
      <w:pPr>
        <w:pStyle w:val="ListNumber"/>
        <w:spacing w:before="120"/>
        <w:ind w:left="360" w:hanging="357"/>
        <w:contextualSpacing w:val="0"/>
        <w:rPr>
          <w:rFonts w:eastAsia="Times New Roman" w:cstheme="minorHAnsi"/>
          <w:lang w:eastAsia="en-AU"/>
        </w:rPr>
      </w:pPr>
      <w:r>
        <w:rPr>
          <w:rFonts w:eastAsia="Times New Roman" w:cstheme="minorHAnsi"/>
          <w:lang w:eastAsia="en-AU"/>
        </w:rPr>
        <w:t>3.</w:t>
      </w:r>
      <w:r>
        <w:rPr>
          <w:rFonts w:eastAsia="Times New Roman" w:cstheme="minorHAnsi"/>
          <w:lang w:eastAsia="en-AU"/>
        </w:rPr>
        <w:tab/>
      </w:r>
      <w:r w:rsidR="00F07615" w:rsidRPr="00887DE0">
        <w:rPr>
          <w:rFonts w:eastAsia="Times New Roman" w:cstheme="minorHAnsi"/>
          <w:lang w:eastAsia="en-AU"/>
        </w:rPr>
        <w:t>Whether the higher penalties under the BCIIP</w:t>
      </w:r>
      <w:r w:rsidR="00383F12">
        <w:rPr>
          <w:rFonts w:eastAsia="Times New Roman" w:cstheme="minorHAnsi"/>
          <w:lang w:eastAsia="en-AU"/>
        </w:rPr>
        <w:t> </w:t>
      </w:r>
      <w:r w:rsidR="00F07615" w:rsidRPr="00887DE0">
        <w:rPr>
          <w:rFonts w:eastAsia="Times New Roman" w:cstheme="minorHAnsi"/>
          <w:lang w:eastAsia="en-AU"/>
        </w:rPr>
        <w:t>Act are acting as a deterrent to prevent</w:t>
      </w:r>
      <w:r w:rsidR="007B0A54">
        <w:rPr>
          <w:rFonts w:eastAsia="Times New Roman" w:cstheme="minorHAnsi"/>
          <w:lang w:eastAsia="en-AU"/>
        </w:rPr>
        <w:t xml:space="preserve"> </w:t>
      </w:r>
      <w:r w:rsidR="00F07615" w:rsidRPr="00887DE0">
        <w:rPr>
          <w:rFonts w:eastAsia="Times New Roman" w:cstheme="minorHAnsi"/>
          <w:lang w:eastAsia="en-AU"/>
        </w:rPr>
        <w:t>contraventions of workplace relations laws by industry participants.</w:t>
      </w:r>
    </w:p>
    <w:p w14:paraId="3BAB88D8" w14:textId="74B4538B" w:rsidR="00F07615" w:rsidRPr="00887DE0" w:rsidRDefault="008A2B8D" w:rsidP="000218CE">
      <w:pPr>
        <w:pStyle w:val="ListNumber"/>
        <w:spacing w:before="120"/>
        <w:ind w:left="360" w:hanging="357"/>
        <w:contextualSpacing w:val="0"/>
        <w:rPr>
          <w:rFonts w:eastAsia="Times New Roman" w:cstheme="minorHAnsi"/>
          <w:lang w:eastAsia="en-AU"/>
        </w:rPr>
      </w:pPr>
      <w:r>
        <w:rPr>
          <w:rFonts w:eastAsia="Times New Roman" w:cstheme="minorHAnsi"/>
          <w:lang w:eastAsia="en-AU"/>
        </w:rPr>
        <w:t>4.</w:t>
      </w:r>
      <w:r>
        <w:rPr>
          <w:rFonts w:eastAsia="Times New Roman" w:cstheme="minorHAnsi"/>
          <w:lang w:eastAsia="en-AU"/>
        </w:rPr>
        <w:tab/>
      </w:r>
      <w:r w:rsidR="00F07615" w:rsidRPr="00887DE0">
        <w:rPr>
          <w:rFonts w:eastAsia="Times New Roman" w:cstheme="minorHAnsi"/>
          <w:lang w:eastAsia="en-AU"/>
        </w:rPr>
        <w:t>Any need for amendments that will streamline and clarify the application of the BCIIP</w:t>
      </w:r>
      <w:r w:rsidR="00383F12">
        <w:rPr>
          <w:rFonts w:eastAsia="Times New Roman" w:cstheme="minorHAnsi"/>
          <w:lang w:eastAsia="en-AU"/>
        </w:rPr>
        <w:t> </w:t>
      </w:r>
      <w:r w:rsidR="00F07615" w:rsidRPr="00887DE0">
        <w:rPr>
          <w:rFonts w:eastAsia="Times New Roman" w:cstheme="minorHAnsi"/>
          <w:lang w:eastAsia="en-AU"/>
        </w:rPr>
        <w:t>Act, in particular when it interacts with other Commonwealth legislation (</w:t>
      </w:r>
      <w:r w:rsidR="00BC0D9F" w:rsidRPr="00EE0A20">
        <w:rPr>
          <w:rFonts w:eastAsia="Times New Roman" w:cstheme="minorHAnsi"/>
          <w:lang w:eastAsia="en-AU"/>
        </w:rPr>
        <w:t xml:space="preserve">for example, </w:t>
      </w:r>
      <w:r w:rsidR="00F07615" w:rsidRPr="00887DE0">
        <w:rPr>
          <w:rFonts w:eastAsia="Times New Roman" w:cstheme="minorHAnsi"/>
          <w:lang w:eastAsia="en-AU"/>
        </w:rPr>
        <w:t>where the recruitment obligations regarding the employment of foreign workers in the BCIIP</w:t>
      </w:r>
      <w:r w:rsidR="00383F12">
        <w:rPr>
          <w:rFonts w:eastAsia="Times New Roman" w:cstheme="minorHAnsi"/>
          <w:lang w:eastAsia="en-AU"/>
        </w:rPr>
        <w:t> </w:t>
      </w:r>
      <w:r w:rsidR="00F07615" w:rsidRPr="00887DE0">
        <w:rPr>
          <w:rFonts w:eastAsia="Times New Roman" w:cstheme="minorHAnsi"/>
          <w:lang w:eastAsia="en-AU"/>
        </w:rPr>
        <w:t xml:space="preserve">Act and the </w:t>
      </w:r>
      <w:r w:rsidR="00F07615" w:rsidRPr="008C5835">
        <w:rPr>
          <w:rFonts w:eastAsia="Times New Roman" w:cstheme="minorHAnsi"/>
          <w:i/>
          <w:lang w:eastAsia="en-AU"/>
        </w:rPr>
        <w:t>Code for the Tendering and Performance of Building Work</w:t>
      </w:r>
      <w:r w:rsidR="00383F12">
        <w:rPr>
          <w:rFonts w:eastAsia="Times New Roman" w:cstheme="minorHAnsi"/>
          <w:i/>
          <w:lang w:eastAsia="en-AU"/>
        </w:rPr>
        <w:t> </w:t>
      </w:r>
      <w:r w:rsidR="00F07615" w:rsidRPr="008C5835">
        <w:rPr>
          <w:rFonts w:eastAsia="Times New Roman" w:cstheme="minorHAnsi"/>
          <w:i/>
          <w:lang w:eastAsia="en-AU"/>
        </w:rPr>
        <w:t xml:space="preserve">2016 </w:t>
      </w:r>
      <w:r w:rsidR="004026E7" w:rsidRPr="008C5835">
        <w:rPr>
          <w:rFonts w:eastAsia="Times New Roman" w:cstheme="minorHAnsi"/>
          <w:lang w:eastAsia="en-AU"/>
        </w:rPr>
        <w:t>(Building Code)</w:t>
      </w:r>
      <w:r w:rsidR="004026E7">
        <w:rPr>
          <w:rFonts w:eastAsia="Times New Roman" w:cstheme="minorHAnsi"/>
          <w:i/>
          <w:lang w:eastAsia="en-AU"/>
        </w:rPr>
        <w:t xml:space="preserve"> </w:t>
      </w:r>
      <w:r w:rsidR="00F07615" w:rsidRPr="00887DE0">
        <w:rPr>
          <w:rFonts w:eastAsia="Times New Roman" w:cstheme="minorHAnsi"/>
          <w:lang w:eastAsia="en-AU"/>
        </w:rPr>
        <w:t xml:space="preserve">overlap with obligations in the </w:t>
      </w:r>
      <w:r w:rsidR="00F07615" w:rsidRPr="008C5835">
        <w:rPr>
          <w:rFonts w:eastAsia="Times New Roman" w:cstheme="minorHAnsi"/>
          <w:i/>
          <w:lang w:eastAsia="en-AU"/>
        </w:rPr>
        <w:t>Migration Act</w:t>
      </w:r>
      <w:r w:rsidR="00383F12">
        <w:rPr>
          <w:rFonts w:eastAsia="Times New Roman" w:cstheme="minorHAnsi"/>
          <w:i/>
          <w:lang w:eastAsia="en-AU"/>
        </w:rPr>
        <w:t> </w:t>
      </w:r>
      <w:r w:rsidR="00F07615" w:rsidRPr="008C5835">
        <w:rPr>
          <w:rFonts w:eastAsia="Times New Roman" w:cstheme="minorHAnsi"/>
          <w:i/>
          <w:lang w:eastAsia="en-AU"/>
        </w:rPr>
        <w:t xml:space="preserve">1958 </w:t>
      </w:r>
      <w:r w:rsidR="00F07615" w:rsidRPr="00887DE0">
        <w:rPr>
          <w:rFonts w:eastAsia="Times New Roman" w:cstheme="minorHAnsi"/>
          <w:lang w:eastAsia="en-AU"/>
        </w:rPr>
        <w:t xml:space="preserve">or Australia's international trade obligations). This should include consideration of </w:t>
      </w:r>
      <w:r w:rsidR="004026E7" w:rsidRPr="00887DE0">
        <w:rPr>
          <w:rFonts w:eastAsia="Times New Roman" w:cstheme="minorHAnsi"/>
          <w:lang w:eastAsia="en-AU"/>
        </w:rPr>
        <w:t>whether technical amendments are required</w:t>
      </w:r>
      <w:r w:rsidR="004026E7" w:rsidRPr="00887DE0" w:rsidDel="004026E7">
        <w:rPr>
          <w:rFonts w:eastAsia="Times New Roman" w:cstheme="minorHAnsi"/>
          <w:lang w:eastAsia="en-AU"/>
        </w:rPr>
        <w:t xml:space="preserve"> </w:t>
      </w:r>
      <w:r w:rsidR="004026E7">
        <w:rPr>
          <w:rFonts w:eastAsia="Times New Roman" w:cstheme="minorHAnsi"/>
          <w:lang w:eastAsia="en-AU"/>
        </w:rPr>
        <w:t xml:space="preserve">to the Building Code </w:t>
      </w:r>
      <w:r w:rsidR="00F07615" w:rsidRPr="00887DE0">
        <w:rPr>
          <w:rFonts w:eastAsia="Times New Roman" w:cstheme="minorHAnsi"/>
          <w:lang w:eastAsia="en-AU"/>
        </w:rPr>
        <w:t>to clarify its application/improve its operation.</w:t>
      </w:r>
    </w:p>
    <w:p w14:paraId="24EBF3E2" w14:textId="54C1EACA" w:rsidR="00F07615" w:rsidRPr="00887DE0" w:rsidRDefault="008A2B8D" w:rsidP="000218CE">
      <w:pPr>
        <w:pStyle w:val="ListNumber"/>
        <w:spacing w:before="120"/>
        <w:ind w:left="360" w:hanging="357"/>
        <w:contextualSpacing w:val="0"/>
        <w:rPr>
          <w:rFonts w:eastAsia="Times New Roman" w:cstheme="minorHAnsi"/>
          <w:lang w:eastAsia="en-AU"/>
        </w:rPr>
      </w:pPr>
      <w:r>
        <w:rPr>
          <w:rFonts w:eastAsia="Times New Roman" w:cstheme="minorHAnsi"/>
          <w:lang w:eastAsia="en-AU"/>
        </w:rPr>
        <w:t>5.</w:t>
      </w:r>
      <w:r>
        <w:rPr>
          <w:rFonts w:eastAsia="Times New Roman" w:cstheme="minorHAnsi"/>
          <w:lang w:eastAsia="en-AU"/>
        </w:rPr>
        <w:tab/>
      </w:r>
      <w:r w:rsidR="00F07615" w:rsidRPr="00887DE0">
        <w:rPr>
          <w:rFonts w:eastAsia="Times New Roman" w:cstheme="minorHAnsi"/>
          <w:lang w:eastAsia="en-AU"/>
        </w:rPr>
        <w:t>The Review will also examine the operation of the new provisions in the BCIIP</w:t>
      </w:r>
      <w:r w:rsidR="00383F12">
        <w:rPr>
          <w:rFonts w:eastAsia="Times New Roman" w:cstheme="minorHAnsi"/>
          <w:lang w:eastAsia="en-AU"/>
        </w:rPr>
        <w:t> </w:t>
      </w:r>
      <w:r w:rsidR="00F07615" w:rsidRPr="00887DE0">
        <w:rPr>
          <w:rFonts w:eastAsia="Times New Roman" w:cstheme="minorHAnsi"/>
          <w:lang w:eastAsia="en-AU"/>
        </w:rPr>
        <w:t>Act including the provision which requires the Federal Safety Commissioner to audit Commonwealth</w:t>
      </w:r>
      <w:r w:rsidR="0012704A">
        <w:rPr>
          <w:rFonts w:eastAsia="Times New Roman" w:cstheme="minorHAnsi"/>
          <w:lang w:eastAsia="en-AU"/>
        </w:rPr>
        <w:t>-</w:t>
      </w:r>
      <w:r w:rsidR="00F07615" w:rsidRPr="00887DE0">
        <w:rPr>
          <w:rFonts w:eastAsia="Times New Roman" w:cstheme="minorHAnsi"/>
          <w:lang w:eastAsia="en-AU"/>
        </w:rPr>
        <w:t>funded building work against the National Construction Code's performance requirements in relation to building materials.</w:t>
      </w:r>
    </w:p>
    <w:p w14:paraId="0B1ECE9F" w14:textId="5E4A3911" w:rsidR="003876B4" w:rsidRDefault="003876B4">
      <w:r>
        <w:br w:type="page"/>
      </w:r>
    </w:p>
    <w:p w14:paraId="3EF81F78" w14:textId="489C659B" w:rsidR="00A45E91" w:rsidRDefault="00DF0877" w:rsidP="00FC7E39">
      <w:pPr>
        <w:pStyle w:val="Heading1"/>
        <w:tabs>
          <w:tab w:val="left" w:pos="1843"/>
        </w:tabs>
      </w:pPr>
      <w:bookmarkStart w:id="84" w:name="_Toc523154919"/>
      <w:bookmarkStart w:id="85" w:name="_Toc527633000"/>
      <w:r>
        <w:lastRenderedPageBreak/>
        <w:t>Chapter</w:t>
      </w:r>
      <w:r w:rsidRPr="000A54B6">
        <w:t xml:space="preserve"> </w:t>
      </w:r>
      <w:r w:rsidR="00241F1D" w:rsidRPr="000A54B6">
        <w:t>1:</w:t>
      </w:r>
      <w:r w:rsidR="00C3250D">
        <w:tab/>
      </w:r>
      <w:r w:rsidR="008B186B" w:rsidRPr="008B186B">
        <w:t>The performance by the Australian Building and Construction Commission (ABCC) of its 'full service regulator' function</w:t>
      </w:r>
      <w:bookmarkEnd w:id="84"/>
      <w:bookmarkEnd w:id="85"/>
    </w:p>
    <w:p w14:paraId="4C72CF70" w14:textId="77777777" w:rsidR="006F4FDF" w:rsidRPr="004449A4" w:rsidRDefault="006F4FDF" w:rsidP="006F4FDF">
      <w:pPr>
        <w:pStyle w:val="Heading2"/>
        <w:pBdr>
          <w:top w:val="single" w:sz="4" w:space="1" w:color="auto"/>
          <w:bottom w:val="single" w:sz="4" w:space="1" w:color="auto"/>
        </w:pBdr>
        <w:shd w:val="clear" w:color="auto" w:fill="DEEAF6" w:themeFill="accent1" w:themeFillTint="33"/>
      </w:pPr>
      <w:bookmarkStart w:id="86" w:name="_Toc525908252"/>
      <w:bookmarkStart w:id="87" w:name="_Toc527633001"/>
      <w:r w:rsidRPr="004449A4">
        <w:t xml:space="preserve">Term of </w:t>
      </w:r>
      <w:r>
        <w:t>r</w:t>
      </w:r>
      <w:r w:rsidRPr="004449A4">
        <w:t>eference</w:t>
      </w:r>
      <w:r>
        <w:t xml:space="preserve"> 1</w:t>
      </w:r>
      <w:bookmarkEnd w:id="86"/>
      <w:bookmarkEnd w:id="87"/>
    </w:p>
    <w:p w14:paraId="32F2BD0E" w14:textId="6B8CE9E8" w:rsidR="006F4FDF" w:rsidRPr="006F4FDF" w:rsidRDefault="006F4FDF" w:rsidP="006F4FDF">
      <w:pPr>
        <w:pBdr>
          <w:top w:val="single" w:sz="4" w:space="1" w:color="auto"/>
          <w:bottom w:val="single" w:sz="4" w:space="1" w:color="auto"/>
        </w:pBdr>
        <w:shd w:val="clear" w:color="auto" w:fill="DEEAF6" w:themeFill="accent1" w:themeFillTint="33"/>
      </w:pPr>
      <w:r w:rsidRPr="00887DE0">
        <w:rPr>
          <w:rFonts w:eastAsia="Times New Roman" w:cstheme="minorHAnsi"/>
          <w:lang w:eastAsia="en-AU"/>
        </w:rPr>
        <w:t>The review will examine</w:t>
      </w:r>
      <w:r>
        <w:rPr>
          <w:rFonts w:eastAsia="Times New Roman" w:cstheme="minorHAnsi"/>
          <w:lang w:eastAsia="en-AU"/>
        </w:rPr>
        <w:t xml:space="preserve"> t</w:t>
      </w:r>
      <w:r w:rsidRPr="00887DE0">
        <w:rPr>
          <w:rFonts w:eastAsia="Times New Roman" w:cstheme="minorHAnsi"/>
          <w:lang w:eastAsia="en-AU"/>
        </w:rPr>
        <w:t>he performance by the Australian Building and Construction Commission (ABCC) of its 'full service regulator' function (</w:t>
      </w:r>
      <w:r w:rsidRPr="00EE0A20">
        <w:rPr>
          <w:rFonts w:eastAsia="Times New Roman" w:cstheme="minorHAnsi"/>
          <w:lang w:eastAsia="en-AU"/>
        </w:rPr>
        <w:t>that is,</w:t>
      </w:r>
      <w:r w:rsidRPr="00887DE0">
        <w:rPr>
          <w:rFonts w:eastAsia="Times New Roman" w:cstheme="minorHAnsi"/>
          <w:lang w:eastAsia="en-AU"/>
        </w:rPr>
        <w:t xml:space="preserve"> reviewing building industry employers' compliance with wages and entitlements obligations as well as regulating building industry participants' compliance with freedom of association, right of entry and similar laws).</w:t>
      </w:r>
    </w:p>
    <w:p w14:paraId="7DE92ECF" w14:textId="77777777" w:rsidR="003439A3" w:rsidRDefault="003439A3" w:rsidP="004F647D">
      <w:pPr>
        <w:pStyle w:val="Heading2"/>
        <w:numPr>
          <w:ilvl w:val="1"/>
          <w:numId w:val="5"/>
        </w:numPr>
      </w:pPr>
      <w:bookmarkStart w:id="88" w:name="_Toc523154920"/>
      <w:bookmarkStart w:id="89" w:name="_Toc527633002"/>
      <w:r>
        <w:t>Introduction</w:t>
      </w:r>
      <w:bookmarkEnd w:id="88"/>
      <w:bookmarkEnd w:id="89"/>
    </w:p>
    <w:p w14:paraId="55902ADC" w14:textId="562AA3E2" w:rsidR="003F1567" w:rsidRDefault="003439A3" w:rsidP="00FC7E39">
      <w:pPr>
        <w:spacing w:before="200" w:after="200" w:line="276" w:lineRule="auto"/>
        <w:rPr>
          <w:rFonts w:cstheme="minorHAnsi"/>
          <w:bCs/>
          <w:color w:val="000000"/>
        </w:rPr>
      </w:pPr>
      <w:r>
        <w:rPr>
          <w:rFonts w:cstheme="minorHAnsi"/>
          <w:bCs/>
          <w:color w:val="000000"/>
        </w:rPr>
        <w:t>Section</w:t>
      </w:r>
      <w:r w:rsidR="00383F12">
        <w:rPr>
          <w:rFonts w:cstheme="minorHAnsi"/>
          <w:bCs/>
          <w:color w:val="000000"/>
        </w:rPr>
        <w:t> </w:t>
      </w:r>
      <w:r>
        <w:rPr>
          <w:rFonts w:cstheme="minorHAnsi"/>
          <w:bCs/>
          <w:color w:val="000000"/>
        </w:rPr>
        <w:t>16 of the BCIIP</w:t>
      </w:r>
      <w:r w:rsidR="00383F12">
        <w:rPr>
          <w:rFonts w:cstheme="minorHAnsi"/>
          <w:bCs/>
          <w:color w:val="000000"/>
        </w:rPr>
        <w:t> </w:t>
      </w:r>
      <w:r>
        <w:rPr>
          <w:rFonts w:cstheme="minorHAnsi"/>
          <w:bCs/>
          <w:color w:val="000000"/>
        </w:rPr>
        <w:t>Act se</w:t>
      </w:r>
      <w:r w:rsidR="007B23BE">
        <w:rPr>
          <w:rFonts w:cstheme="minorHAnsi"/>
          <w:bCs/>
          <w:color w:val="000000"/>
        </w:rPr>
        <w:t>ts out the functions of the ABC </w:t>
      </w:r>
      <w:r>
        <w:rPr>
          <w:rFonts w:cstheme="minorHAnsi"/>
          <w:bCs/>
          <w:color w:val="000000"/>
        </w:rPr>
        <w:t>Commissioner. The first of these (</w:t>
      </w:r>
      <w:r w:rsidR="00E01867">
        <w:rPr>
          <w:rFonts w:cstheme="minorHAnsi"/>
          <w:bCs/>
          <w:color w:val="000000"/>
        </w:rPr>
        <w:t>subs</w:t>
      </w:r>
      <w:r>
        <w:rPr>
          <w:rFonts w:cstheme="minorHAnsi"/>
          <w:bCs/>
          <w:color w:val="000000"/>
        </w:rPr>
        <w:t>ection</w:t>
      </w:r>
      <w:r w:rsidR="0099154A">
        <w:rPr>
          <w:rFonts w:cstheme="minorHAnsi"/>
          <w:bCs/>
          <w:color w:val="000000"/>
        </w:rPr>
        <w:t> </w:t>
      </w:r>
      <w:r>
        <w:rPr>
          <w:rFonts w:cstheme="minorHAnsi"/>
          <w:bCs/>
          <w:color w:val="000000"/>
        </w:rPr>
        <w:t>16(</w:t>
      </w:r>
      <w:proofErr w:type="gramStart"/>
      <w:r>
        <w:rPr>
          <w:rFonts w:cstheme="minorHAnsi"/>
          <w:bCs/>
          <w:color w:val="000000"/>
        </w:rPr>
        <w:t>1)(</w:t>
      </w:r>
      <w:proofErr w:type="gramEnd"/>
      <w:r>
        <w:rPr>
          <w:rFonts w:cstheme="minorHAnsi"/>
          <w:bCs/>
          <w:color w:val="000000"/>
        </w:rPr>
        <w:t xml:space="preserve">aa)) is to promote the objects of the </w:t>
      </w:r>
      <w:r w:rsidR="00823E91">
        <w:rPr>
          <w:rFonts w:cstheme="minorHAnsi"/>
          <w:bCs/>
          <w:color w:val="000000"/>
        </w:rPr>
        <w:t>BCIIP </w:t>
      </w:r>
      <w:r>
        <w:rPr>
          <w:rFonts w:cstheme="minorHAnsi"/>
          <w:bCs/>
          <w:color w:val="000000"/>
        </w:rPr>
        <w:t>Act</w:t>
      </w:r>
      <w:r w:rsidR="00F91CAA">
        <w:rPr>
          <w:rFonts w:cstheme="minorHAnsi"/>
          <w:bCs/>
          <w:color w:val="000000"/>
        </w:rPr>
        <w:t xml:space="preserve">. </w:t>
      </w:r>
      <w:r w:rsidR="003F1567">
        <w:rPr>
          <w:rFonts w:cstheme="minorHAnsi"/>
          <w:bCs/>
          <w:color w:val="000000"/>
        </w:rPr>
        <w:t xml:space="preserve">The remaining functions of the </w:t>
      </w:r>
      <w:r w:rsidR="00BC0D9F" w:rsidRPr="00EE0A20">
        <w:rPr>
          <w:rFonts w:cstheme="minorHAnsi"/>
          <w:bCs/>
          <w:color w:val="000000"/>
        </w:rPr>
        <w:t>ABC </w:t>
      </w:r>
      <w:r w:rsidR="003F1567">
        <w:rPr>
          <w:rFonts w:cstheme="minorHAnsi"/>
          <w:bCs/>
          <w:color w:val="000000"/>
        </w:rPr>
        <w:t>Commissioner</w:t>
      </w:r>
      <w:r w:rsidR="004E148D">
        <w:rPr>
          <w:rFonts w:cstheme="minorHAnsi"/>
          <w:bCs/>
          <w:color w:val="000000"/>
        </w:rPr>
        <w:t>,</w:t>
      </w:r>
      <w:r w:rsidR="003F1567">
        <w:rPr>
          <w:rFonts w:cstheme="minorHAnsi"/>
          <w:bCs/>
          <w:color w:val="000000"/>
        </w:rPr>
        <w:t xml:space="preserve"> identified in </w:t>
      </w:r>
      <w:r w:rsidR="00EE0A20" w:rsidRPr="00EE0A20">
        <w:rPr>
          <w:rFonts w:cstheme="minorHAnsi"/>
          <w:bCs/>
          <w:color w:val="000000"/>
        </w:rPr>
        <w:t>sub</w:t>
      </w:r>
      <w:r w:rsidR="00E01867" w:rsidRPr="00EE0A20">
        <w:rPr>
          <w:rFonts w:cstheme="minorHAnsi"/>
          <w:bCs/>
          <w:color w:val="000000"/>
        </w:rPr>
        <w:t>s</w:t>
      </w:r>
      <w:r w:rsidR="003F1567" w:rsidRPr="00EE0A20">
        <w:rPr>
          <w:rFonts w:cstheme="minorHAnsi"/>
          <w:bCs/>
          <w:color w:val="000000"/>
        </w:rPr>
        <w:t>ection</w:t>
      </w:r>
      <w:r w:rsidR="0099154A">
        <w:rPr>
          <w:rFonts w:cstheme="minorHAnsi"/>
          <w:bCs/>
          <w:color w:val="000000"/>
        </w:rPr>
        <w:t> </w:t>
      </w:r>
      <w:r w:rsidR="003F1567">
        <w:rPr>
          <w:rFonts w:cstheme="minorHAnsi"/>
          <w:bCs/>
          <w:color w:val="000000"/>
        </w:rPr>
        <w:t>16</w:t>
      </w:r>
      <w:r w:rsidR="00EE0A20" w:rsidRPr="00EE0A20">
        <w:rPr>
          <w:rFonts w:cstheme="minorHAnsi"/>
          <w:bCs/>
          <w:color w:val="000000"/>
        </w:rPr>
        <w:t>(1)</w:t>
      </w:r>
      <w:r w:rsidR="004E148D" w:rsidRPr="00EE0A20">
        <w:rPr>
          <w:rFonts w:cstheme="minorHAnsi"/>
          <w:bCs/>
          <w:color w:val="000000"/>
        </w:rPr>
        <w:t>,</w:t>
      </w:r>
      <w:r w:rsidR="003F1567">
        <w:rPr>
          <w:rFonts w:cstheme="minorHAnsi"/>
          <w:bCs/>
          <w:color w:val="000000"/>
        </w:rPr>
        <w:t xml:space="preserve"> are:</w:t>
      </w:r>
    </w:p>
    <w:p w14:paraId="3C556283" w14:textId="2520884B" w:rsidR="003F1567" w:rsidRDefault="00BC0D9F" w:rsidP="004F647D">
      <w:pPr>
        <w:pStyle w:val="ListBullet"/>
        <w:numPr>
          <w:ilvl w:val="0"/>
          <w:numId w:val="6"/>
        </w:numPr>
        <w:ind w:left="360"/>
        <w:rPr>
          <w:rFonts w:cstheme="minorHAnsi"/>
          <w:bCs/>
          <w:color w:val="000000"/>
        </w:rPr>
      </w:pPr>
      <w:r w:rsidRPr="00EE0A20">
        <w:rPr>
          <w:rFonts w:cstheme="minorHAnsi"/>
          <w:bCs/>
          <w:color w:val="000000"/>
        </w:rPr>
        <w:t>m</w:t>
      </w:r>
      <w:r w:rsidR="003F1567" w:rsidRPr="00EE0A20">
        <w:rPr>
          <w:rFonts w:cstheme="minorHAnsi"/>
          <w:bCs/>
          <w:color w:val="000000"/>
        </w:rPr>
        <w:t>onitor</w:t>
      </w:r>
      <w:r w:rsidRPr="00EE0A20">
        <w:rPr>
          <w:rFonts w:cstheme="minorHAnsi"/>
          <w:bCs/>
          <w:color w:val="000000"/>
        </w:rPr>
        <w:t>ing</w:t>
      </w:r>
      <w:r w:rsidR="003F1567">
        <w:rPr>
          <w:rFonts w:cstheme="minorHAnsi"/>
          <w:bCs/>
          <w:color w:val="000000"/>
        </w:rPr>
        <w:t xml:space="preserve"> and </w:t>
      </w:r>
      <w:r w:rsidR="003F1567" w:rsidRPr="00EE0A20">
        <w:rPr>
          <w:rFonts w:cstheme="minorHAnsi"/>
          <w:bCs/>
          <w:color w:val="000000"/>
        </w:rPr>
        <w:t>promot</w:t>
      </w:r>
      <w:r w:rsidRPr="00EE0A20">
        <w:rPr>
          <w:rFonts w:cstheme="minorHAnsi"/>
          <w:bCs/>
          <w:color w:val="000000"/>
        </w:rPr>
        <w:t>ing</w:t>
      </w:r>
      <w:r w:rsidR="003F1567">
        <w:rPr>
          <w:rFonts w:cstheme="minorHAnsi"/>
          <w:bCs/>
          <w:color w:val="000000"/>
        </w:rPr>
        <w:t xml:space="preserve"> appropriate standards of conduct by building industry participants</w:t>
      </w:r>
    </w:p>
    <w:p w14:paraId="32B1034C" w14:textId="0E3FF16D" w:rsidR="003F1567" w:rsidRDefault="00BC0D9F" w:rsidP="004F647D">
      <w:pPr>
        <w:pStyle w:val="ListBullet"/>
        <w:numPr>
          <w:ilvl w:val="0"/>
          <w:numId w:val="6"/>
        </w:numPr>
        <w:ind w:left="360"/>
        <w:rPr>
          <w:rFonts w:cstheme="minorHAnsi"/>
          <w:bCs/>
          <w:color w:val="000000"/>
        </w:rPr>
      </w:pPr>
      <w:r w:rsidRPr="00EE0A20">
        <w:rPr>
          <w:rFonts w:cstheme="minorHAnsi"/>
          <w:bCs/>
          <w:color w:val="000000"/>
        </w:rPr>
        <w:t>i</w:t>
      </w:r>
      <w:r w:rsidR="003F1567" w:rsidRPr="00EE0A20">
        <w:rPr>
          <w:rFonts w:cstheme="minorHAnsi"/>
          <w:bCs/>
          <w:color w:val="000000"/>
        </w:rPr>
        <w:t>nvestigating</w:t>
      </w:r>
      <w:r w:rsidR="003F1567">
        <w:rPr>
          <w:rFonts w:cstheme="minorHAnsi"/>
          <w:bCs/>
          <w:color w:val="000000"/>
        </w:rPr>
        <w:t xml:space="preserve"> suspected contraventions of the </w:t>
      </w:r>
      <w:r w:rsidR="007B0A54">
        <w:rPr>
          <w:rFonts w:cstheme="minorHAnsi"/>
          <w:bCs/>
          <w:color w:val="000000"/>
        </w:rPr>
        <w:t>BCIIP </w:t>
      </w:r>
      <w:r w:rsidR="003F1567">
        <w:rPr>
          <w:rFonts w:cstheme="minorHAnsi"/>
          <w:bCs/>
          <w:color w:val="000000"/>
        </w:rPr>
        <w:t xml:space="preserve">Act, the </w:t>
      </w:r>
      <w:r w:rsidR="007B0A54">
        <w:rPr>
          <w:rFonts w:cstheme="minorHAnsi"/>
          <w:bCs/>
          <w:color w:val="000000"/>
        </w:rPr>
        <w:t>2016 </w:t>
      </w:r>
      <w:r w:rsidR="003F1567">
        <w:rPr>
          <w:rFonts w:cstheme="minorHAnsi"/>
          <w:bCs/>
          <w:color w:val="000000"/>
        </w:rPr>
        <w:t xml:space="preserve">Code and </w:t>
      </w:r>
      <w:r w:rsidR="00E13862">
        <w:rPr>
          <w:rFonts w:cstheme="minorHAnsi"/>
          <w:bCs/>
          <w:color w:val="000000"/>
        </w:rPr>
        <w:t>‘</w:t>
      </w:r>
      <w:r w:rsidR="003F1567">
        <w:rPr>
          <w:rFonts w:cstheme="minorHAnsi"/>
          <w:bCs/>
          <w:color w:val="000000"/>
        </w:rPr>
        <w:t>designated building laws</w:t>
      </w:r>
      <w:r w:rsidR="00E13862">
        <w:rPr>
          <w:rFonts w:cstheme="minorHAnsi"/>
          <w:bCs/>
          <w:color w:val="000000"/>
        </w:rPr>
        <w:t>’</w:t>
      </w:r>
      <w:r w:rsidR="003F1567">
        <w:rPr>
          <w:rFonts w:cstheme="minorHAnsi"/>
          <w:bCs/>
          <w:color w:val="000000"/>
        </w:rPr>
        <w:t xml:space="preserve"> (see below)</w:t>
      </w:r>
    </w:p>
    <w:p w14:paraId="4BD84DEE" w14:textId="5C32727C" w:rsidR="003F1567" w:rsidRDefault="00BC0D9F" w:rsidP="004F647D">
      <w:pPr>
        <w:pStyle w:val="ListBullet"/>
        <w:numPr>
          <w:ilvl w:val="0"/>
          <w:numId w:val="6"/>
        </w:numPr>
        <w:ind w:left="360"/>
        <w:rPr>
          <w:rFonts w:cstheme="minorHAnsi"/>
          <w:bCs/>
          <w:color w:val="000000"/>
        </w:rPr>
      </w:pPr>
      <w:r w:rsidRPr="00EE0A20">
        <w:rPr>
          <w:rFonts w:cstheme="minorHAnsi"/>
          <w:bCs/>
          <w:color w:val="000000"/>
        </w:rPr>
        <w:t>e</w:t>
      </w:r>
      <w:r w:rsidR="003F1567" w:rsidRPr="00EE0A20">
        <w:rPr>
          <w:rFonts w:cstheme="minorHAnsi"/>
          <w:bCs/>
          <w:color w:val="000000"/>
        </w:rPr>
        <w:t>nsuring</w:t>
      </w:r>
      <w:r w:rsidR="003F1567">
        <w:rPr>
          <w:rFonts w:cstheme="minorHAnsi"/>
          <w:bCs/>
          <w:color w:val="000000"/>
        </w:rPr>
        <w:t xml:space="preserve"> building employers and contractors comply with their obligations under the </w:t>
      </w:r>
      <w:r w:rsidR="007B0A54">
        <w:rPr>
          <w:rFonts w:cstheme="minorHAnsi"/>
          <w:bCs/>
          <w:color w:val="000000"/>
        </w:rPr>
        <w:t>BCIIP </w:t>
      </w:r>
      <w:r w:rsidR="003F1567">
        <w:rPr>
          <w:rFonts w:cstheme="minorHAnsi"/>
          <w:bCs/>
          <w:color w:val="000000"/>
        </w:rPr>
        <w:t xml:space="preserve">Act, </w:t>
      </w:r>
      <w:r w:rsidR="007B0A54">
        <w:rPr>
          <w:rFonts w:cstheme="minorHAnsi"/>
          <w:bCs/>
          <w:color w:val="000000"/>
        </w:rPr>
        <w:t>2016 </w:t>
      </w:r>
      <w:r w:rsidR="003F1567">
        <w:rPr>
          <w:rFonts w:cstheme="minorHAnsi"/>
          <w:bCs/>
          <w:color w:val="000000"/>
        </w:rPr>
        <w:t xml:space="preserve">Code and </w:t>
      </w:r>
      <w:r w:rsidR="00F02FFE">
        <w:rPr>
          <w:rFonts w:cstheme="minorHAnsi"/>
          <w:bCs/>
          <w:color w:val="000000"/>
        </w:rPr>
        <w:t>‘</w:t>
      </w:r>
      <w:r w:rsidR="003F1567">
        <w:rPr>
          <w:rFonts w:cstheme="minorHAnsi"/>
          <w:bCs/>
          <w:color w:val="000000"/>
        </w:rPr>
        <w:t>designated building laws</w:t>
      </w:r>
      <w:r w:rsidR="00F02FFE">
        <w:rPr>
          <w:rFonts w:cstheme="minorHAnsi"/>
          <w:bCs/>
          <w:color w:val="000000"/>
        </w:rPr>
        <w:t>’</w:t>
      </w:r>
    </w:p>
    <w:p w14:paraId="44327CB3" w14:textId="0E8B32E2" w:rsidR="003F1567" w:rsidRDefault="00BC0D9F" w:rsidP="004F647D">
      <w:pPr>
        <w:pStyle w:val="ListBullet"/>
        <w:numPr>
          <w:ilvl w:val="0"/>
          <w:numId w:val="6"/>
        </w:numPr>
        <w:ind w:left="360"/>
        <w:rPr>
          <w:rFonts w:cstheme="minorHAnsi"/>
          <w:bCs/>
          <w:color w:val="000000"/>
        </w:rPr>
      </w:pPr>
      <w:r w:rsidRPr="00EE0A20">
        <w:rPr>
          <w:rFonts w:cstheme="minorHAnsi"/>
          <w:bCs/>
          <w:color w:val="000000"/>
        </w:rPr>
        <w:t>i</w:t>
      </w:r>
      <w:r w:rsidR="003F1567">
        <w:rPr>
          <w:rFonts w:cstheme="minorHAnsi"/>
          <w:bCs/>
          <w:color w:val="000000"/>
        </w:rPr>
        <w:t>nstituting or intervening in proceedings</w:t>
      </w:r>
    </w:p>
    <w:p w14:paraId="5FE6C5AD" w14:textId="6D5B24D8" w:rsidR="003F1567" w:rsidRDefault="00BC0D9F" w:rsidP="004F647D">
      <w:pPr>
        <w:pStyle w:val="ListBullet"/>
        <w:numPr>
          <w:ilvl w:val="0"/>
          <w:numId w:val="6"/>
        </w:numPr>
        <w:ind w:left="360"/>
        <w:rPr>
          <w:rFonts w:cstheme="minorHAnsi"/>
          <w:bCs/>
          <w:color w:val="000000"/>
        </w:rPr>
      </w:pPr>
      <w:proofErr w:type="gramStart"/>
      <w:r w:rsidRPr="00EE0A20">
        <w:rPr>
          <w:rFonts w:cstheme="minorHAnsi"/>
          <w:bCs/>
          <w:color w:val="000000"/>
        </w:rPr>
        <w:t>p</w:t>
      </w:r>
      <w:r w:rsidR="003F1567" w:rsidRPr="00EE0A20">
        <w:rPr>
          <w:rFonts w:cstheme="minorHAnsi"/>
          <w:bCs/>
          <w:color w:val="000000"/>
        </w:rPr>
        <w:t>roviding</w:t>
      </w:r>
      <w:r w:rsidR="003F1567">
        <w:rPr>
          <w:rFonts w:cstheme="minorHAnsi"/>
          <w:bCs/>
          <w:color w:val="000000"/>
        </w:rPr>
        <w:t xml:space="preserve"> assistance</w:t>
      </w:r>
      <w:proofErr w:type="gramEnd"/>
      <w:r w:rsidR="003F1567">
        <w:rPr>
          <w:rFonts w:cstheme="minorHAnsi"/>
          <w:bCs/>
          <w:color w:val="000000"/>
        </w:rPr>
        <w:t xml:space="preserve"> and advice to building industry participants regarding their rights and obligations</w:t>
      </w:r>
    </w:p>
    <w:p w14:paraId="333A7835" w14:textId="3541B260" w:rsidR="003F1567" w:rsidRDefault="00BC0D9F" w:rsidP="004F647D">
      <w:pPr>
        <w:pStyle w:val="ListBullet"/>
        <w:numPr>
          <w:ilvl w:val="0"/>
          <w:numId w:val="6"/>
        </w:numPr>
        <w:ind w:left="360"/>
        <w:rPr>
          <w:rFonts w:cstheme="minorHAnsi"/>
          <w:bCs/>
          <w:color w:val="000000"/>
        </w:rPr>
      </w:pPr>
      <w:r w:rsidRPr="00EE0A20">
        <w:rPr>
          <w:rFonts w:cstheme="minorHAnsi"/>
          <w:bCs/>
          <w:color w:val="000000"/>
        </w:rPr>
        <w:t>p</w:t>
      </w:r>
      <w:r w:rsidR="003F1567">
        <w:rPr>
          <w:rFonts w:cstheme="minorHAnsi"/>
          <w:bCs/>
          <w:color w:val="000000"/>
        </w:rPr>
        <w:t xml:space="preserve">roviding representation to a building industry participant in proceedings, where the Commissioner believes that this would promote the enforcement of the </w:t>
      </w:r>
      <w:r w:rsidR="007B0A54">
        <w:rPr>
          <w:rFonts w:cstheme="minorHAnsi"/>
          <w:bCs/>
          <w:color w:val="000000"/>
        </w:rPr>
        <w:t>BCIIP </w:t>
      </w:r>
      <w:r w:rsidR="003F1567">
        <w:rPr>
          <w:rFonts w:cstheme="minorHAnsi"/>
          <w:bCs/>
          <w:color w:val="000000"/>
        </w:rPr>
        <w:t>Act</w:t>
      </w:r>
      <w:r w:rsidR="00EE0A20" w:rsidRPr="00EE0A20">
        <w:rPr>
          <w:rFonts w:cstheme="minorHAnsi"/>
          <w:bCs/>
          <w:color w:val="000000"/>
        </w:rPr>
        <w:t>, the law</w:t>
      </w:r>
      <w:r w:rsidR="003F1567">
        <w:rPr>
          <w:rFonts w:cstheme="minorHAnsi"/>
          <w:bCs/>
          <w:color w:val="000000"/>
        </w:rPr>
        <w:t xml:space="preserve"> or </w:t>
      </w:r>
      <w:r w:rsidR="007B0A54">
        <w:rPr>
          <w:rFonts w:cstheme="minorHAnsi"/>
          <w:bCs/>
          <w:color w:val="000000"/>
        </w:rPr>
        <w:t>2016 C</w:t>
      </w:r>
      <w:r w:rsidR="003F1567">
        <w:rPr>
          <w:rFonts w:cstheme="minorHAnsi"/>
          <w:bCs/>
          <w:color w:val="000000"/>
        </w:rPr>
        <w:t>ode</w:t>
      </w:r>
    </w:p>
    <w:p w14:paraId="6522547B" w14:textId="1E039C7A" w:rsidR="003F1567" w:rsidRDefault="00BC0D9F" w:rsidP="004F647D">
      <w:pPr>
        <w:pStyle w:val="ListBullet"/>
        <w:numPr>
          <w:ilvl w:val="0"/>
          <w:numId w:val="6"/>
        </w:numPr>
        <w:ind w:left="360"/>
        <w:rPr>
          <w:rFonts w:cstheme="minorHAnsi"/>
          <w:bCs/>
          <w:color w:val="000000"/>
        </w:rPr>
      </w:pPr>
      <w:r w:rsidRPr="00EE0A20">
        <w:rPr>
          <w:rFonts w:cstheme="minorHAnsi"/>
          <w:bCs/>
          <w:color w:val="000000"/>
        </w:rPr>
        <w:t>d</w:t>
      </w:r>
      <w:r w:rsidR="003F1567">
        <w:rPr>
          <w:rFonts w:cstheme="minorHAnsi"/>
          <w:bCs/>
          <w:color w:val="000000"/>
        </w:rPr>
        <w:t xml:space="preserve">isseminating information about the </w:t>
      </w:r>
      <w:r w:rsidR="007B0A54">
        <w:rPr>
          <w:rFonts w:cstheme="minorHAnsi"/>
          <w:bCs/>
          <w:color w:val="000000"/>
        </w:rPr>
        <w:t>BCIIP </w:t>
      </w:r>
      <w:r w:rsidR="003F1567">
        <w:rPr>
          <w:rFonts w:cstheme="minorHAnsi"/>
          <w:bCs/>
          <w:color w:val="000000"/>
        </w:rPr>
        <w:t xml:space="preserve">Act, </w:t>
      </w:r>
      <w:r w:rsidR="007B0A54">
        <w:rPr>
          <w:rFonts w:cstheme="minorHAnsi"/>
          <w:bCs/>
          <w:color w:val="000000"/>
        </w:rPr>
        <w:t>2016 </w:t>
      </w:r>
      <w:r w:rsidR="003F1567">
        <w:rPr>
          <w:rFonts w:cstheme="minorHAnsi"/>
          <w:bCs/>
          <w:color w:val="000000"/>
        </w:rPr>
        <w:t>Code or designated building laws, or about other matters affecting building industry participants</w:t>
      </w:r>
      <w:r w:rsidR="00E13862">
        <w:rPr>
          <w:rFonts w:cstheme="minorHAnsi"/>
          <w:bCs/>
          <w:color w:val="000000"/>
        </w:rPr>
        <w:t>.</w:t>
      </w:r>
    </w:p>
    <w:p w14:paraId="5CF5B1BA" w14:textId="5FD543B0" w:rsidR="0017077E" w:rsidRDefault="0017077E" w:rsidP="00FC7E39">
      <w:pPr>
        <w:spacing w:after="200" w:line="276" w:lineRule="auto"/>
      </w:pPr>
      <w:r>
        <w:rPr>
          <w:rFonts w:cstheme="minorHAnsi"/>
          <w:bCs/>
          <w:color w:val="000000"/>
        </w:rPr>
        <w:t xml:space="preserve">In addition, </w:t>
      </w:r>
      <w:r w:rsidR="009D2459">
        <w:rPr>
          <w:rFonts w:cstheme="minorHAnsi"/>
          <w:bCs/>
          <w:color w:val="000000"/>
        </w:rPr>
        <w:t>subs</w:t>
      </w:r>
      <w:r>
        <w:rPr>
          <w:rFonts w:cstheme="minorHAnsi"/>
          <w:bCs/>
          <w:color w:val="000000"/>
        </w:rPr>
        <w:t>ection</w:t>
      </w:r>
      <w:r w:rsidR="009D2459">
        <w:rPr>
          <w:rFonts w:cstheme="minorHAnsi"/>
          <w:bCs/>
          <w:color w:val="000000"/>
        </w:rPr>
        <w:t> </w:t>
      </w:r>
      <w:r>
        <w:rPr>
          <w:rFonts w:cstheme="minorHAnsi"/>
          <w:bCs/>
          <w:color w:val="000000"/>
        </w:rPr>
        <w:t>16(2) requires the ABC</w:t>
      </w:r>
      <w:r w:rsidR="007B23BE">
        <w:rPr>
          <w:rFonts w:cstheme="minorHAnsi"/>
          <w:bCs/>
          <w:color w:val="000000"/>
        </w:rPr>
        <w:t> </w:t>
      </w:r>
      <w:r>
        <w:rPr>
          <w:rFonts w:cstheme="minorHAnsi"/>
          <w:bCs/>
          <w:color w:val="000000"/>
        </w:rPr>
        <w:t xml:space="preserve">Commissioner, in carrying out these functions, to </w:t>
      </w:r>
      <w:r>
        <w:t>ensure that the policies and procedures adopted and resources allocated by it are applied in a reasonable and proportionate manner to each of the categories of building industry participants.</w:t>
      </w:r>
    </w:p>
    <w:p w14:paraId="3FDF4583" w14:textId="5ED46821" w:rsidR="0017077E" w:rsidRDefault="0017077E" w:rsidP="00FC7E39">
      <w:pPr>
        <w:spacing w:after="200" w:line="276" w:lineRule="auto"/>
      </w:pPr>
      <w:r>
        <w:t>S</w:t>
      </w:r>
      <w:r w:rsidR="009D2459">
        <w:t>ubs</w:t>
      </w:r>
      <w:r>
        <w:t>ection</w:t>
      </w:r>
      <w:r w:rsidR="009D2459">
        <w:t> </w:t>
      </w:r>
      <w:r>
        <w:t>16(3) also specifically requires the ABC</w:t>
      </w:r>
      <w:r w:rsidR="007B23BE">
        <w:t> </w:t>
      </w:r>
      <w:r>
        <w:t>Commissioner to perform his/her functions in relation to a number of identified provisions of the FW</w:t>
      </w:r>
      <w:r w:rsidR="00C01C9D">
        <w:t> </w:t>
      </w:r>
      <w:r>
        <w:t>Act. These include provisions relating to wages and entitlements, sham contracting, freedom of association, coercion, right of entry and industrial action.</w:t>
      </w:r>
    </w:p>
    <w:p w14:paraId="08426A0B" w14:textId="77777777" w:rsidR="00D431ED" w:rsidRPr="00FC7E39" w:rsidRDefault="00D431ED" w:rsidP="00036C11">
      <w:pPr>
        <w:pStyle w:val="Heading3"/>
        <w:keepNext/>
      </w:pPr>
      <w:bookmarkStart w:id="90" w:name="_Toc527633003"/>
      <w:r w:rsidRPr="00FC7E39">
        <w:t>Designated building laws</w:t>
      </w:r>
      <w:bookmarkEnd w:id="90"/>
    </w:p>
    <w:p w14:paraId="29C79015" w14:textId="1588E7F0" w:rsidR="00D431ED" w:rsidRPr="00D431ED" w:rsidRDefault="00D431ED" w:rsidP="00036C11">
      <w:pPr>
        <w:keepNext/>
        <w:spacing w:before="200" w:after="200" w:line="276" w:lineRule="auto"/>
        <w:rPr>
          <w:rFonts w:cstheme="minorHAnsi"/>
          <w:bCs/>
          <w:color w:val="000000"/>
        </w:rPr>
      </w:pPr>
      <w:r>
        <w:rPr>
          <w:rFonts w:cstheme="minorHAnsi"/>
          <w:bCs/>
          <w:color w:val="000000"/>
        </w:rPr>
        <w:t>Section</w:t>
      </w:r>
      <w:r w:rsidR="00E01867">
        <w:rPr>
          <w:rFonts w:cstheme="minorHAnsi"/>
          <w:bCs/>
          <w:color w:val="000000"/>
        </w:rPr>
        <w:t> </w:t>
      </w:r>
      <w:r>
        <w:rPr>
          <w:rFonts w:cstheme="minorHAnsi"/>
          <w:bCs/>
          <w:color w:val="000000"/>
        </w:rPr>
        <w:t>5 of the</w:t>
      </w:r>
      <w:r w:rsidR="00785080">
        <w:rPr>
          <w:rFonts w:cstheme="minorHAnsi"/>
          <w:bCs/>
          <w:color w:val="000000"/>
        </w:rPr>
        <w:t xml:space="preserve"> </w:t>
      </w:r>
      <w:r w:rsidR="007B0A54">
        <w:rPr>
          <w:rFonts w:cstheme="minorHAnsi"/>
          <w:bCs/>
          <w:color w:val="000000"/>
        </w:rPr>
        <w:t>BCIIP </w:t>
      </w:r>
      <w:r>
        <w:rPr>
          <w:rFonts w:cstheme="minorHAnsi"/>
          <w:bCs/>
          <w:color w:val="000000"/>
        </w:rPr>
        <w:t xml:space="preserve">Act </w:t>
      </w:r>
      <w:r w:rsidR="00FA6F6B">
        <w:rPr>
          <w:rFonts w:cstheme="minorHAnsi"/>
          <w:bCs/>
          <w:color w:val="000000"/>
        </w:rPr>
        <w:t>specifies</w:t>
      </w:r>
      <w:r>
        <w:rPr>
          <w:rFonts w:cstheme="minorHAnsi"/>
          <w:bCs/>
          <w:color w:val="000000"/>
        </w:rPr>
        <w:t xml:space="preserve"> the </w:t>
      </w:r>
      <w:r w:rsidRPr="00EC5DE3">
        <w:rPr>
          <w:rFonts w:cstheme="minorHAnsi"/>
          <w:bCs/>
          <w:i/>
          <w:color w:val="000000"/>
        </w:rPr>
        <w:t>Fair Work Act</w:t>
      </w:r>
      <w:r w:rsidR="00383F12">
        <w:rPr>
          <w:rFonts w:cstheme="minorHAnsi"/>
          <w:bCs/>
          <w:i/>
          <w:color w:val="000000"/>
        </w:rPr>
        <w:t> </w:t>
      </w:r>
      <w:r w:rsidRPr="00EC5DE3">
        <w:rPr>
          <w:rFonts w:cstheme="minorHAnsi"/>
          <w:bCs/>
          <w:i/>
          <w:color w:val="000000"/>
        </w:rPr>
        <w:t>2009</w:t>
      </w:r>
      <w:r>
        <w:rPr>
          <w:rFonts w:cstheme="minorHAnsi"/>
          <w:bCs/>
          <w:color w:val="000000"/>
        </w:rPr>
        <w:t xml:space="preserve"> (FW</w:t>
      </w:r>
      <w:r w:rsidR="00E01867">
        <w:rPr>
          <w:rFonts w:cstheme="minorHAnsi"/>
          <w:bCs/>
          <w:color w:val="000000"/>
        </w:rPr>
        <w:t> </w:t>
      </w:r>
      <w:r>
        <w:rPr>
          <w:rFonts w:cstheme="minorHAnsi"/>
          <w:bCs/>
          <w:color w:val="000000"/>
        </w:rPr>
        <w:t xml:space="preserve">Act) as a </w:t>
      </w:r>
      <w:r w:rsidR="00BC0D9F" w:rsidRPr="00EE0A20">
        <w:rPr>
          <w:rFonts w:cstheme="minorHAnsi"/>
          <w:bCs/>
          <w:color w:val="000000"/>
        </w:rPr>
        <w:t>‘</w:t>
      </w:r>
      <w:r>
        <w:rPr>
          <w:rFonts w:cstheme="minorHAnsi"/>
          <w:bCs/>
          <w:color w:val="000000"/>
        </w:rPr>
        <w:t>designated building law</w:t>
      </w:r>
      <w:r w:rsidR="00113E16" w:rsidRPr="00EE0A20">
        <w:rPr>
          <w:rFonts w:cstheme="minorHAnsi"/>
          <w:bCs/>
          <w:color w:val="000000"/>
        </w:rPr>
        <w:t>’</w:t>
      </w:r>
      <w:r>
        <w:rPr>
          <w:rStyle w:val="FootnoteReference"/>
          <w:rFonts w:cstheme="minorHAnsi"/>
          <w:bCs/>
          <w:color w:val="000000"/>
        </w:rPr>
        <w:footnoteReference w:id="5"/>
      </w:r>
      <w:r w:rsidR="004D34A3">
        <w:rPr>
          <w:rFonts w:cstheme="minorHAnsi"/>
          <w:bCs/>
          <w:color w:val="000000"/>
        </w:rPr>
        <w:t xml:space="preserve"> and has the effect of</w:t>
      </w:r>
      <w:r>
        <w:rPr>
          <w:rFonts w:cstheme="minorHAnsi"/>
          <w:bCs/>
          <w:color w:val="000000"/>
        </w:rPr>
        <w:t xml:space="preserve"> requiring the </w:t>
      </w:r>
      <w:r w:rsidR="007B23BE">
        <w:rPr>
          <w:rFonts w:cstheme="minorHAnsi"/>
          <w:bCs/>
          <w:color w:val="000000"/>
        </w:rPr>
        <w:t>ABC </w:t>
      </w:r>
      <w:r>
        <w:rPr>
          <w:rFonts w:cstheme="minorHAnsi"/>
          <w:bCs/>
          <w:color w:val="000000"/>
        </w:rPr>
        <w:t xml:space="preserve">Commissioner to exercise his functions, as listed in </w:t>
      </w:r>
      <w:r w:rsidR="00E01867">
        <w:rPr>
          <w:rFonts w:cstheme="minorHAnsi"/>
          <w:bCs/>
          <w:color w:val="000000"/>
        </w:rPr>
        <w:lastRenderedPageBreak/>
        <w:t>section </w:t>
      </w:r>
      <w:r>
        <w:rPr>
          <w:rFonts w:cstheme="minorHAnsi"/>
          <w:bCs/>
          <w:color w:val="000000"/>
        </w:rPr>
        <w:t xml:space="preserve">16, in respect of </w:t>
      </w:r>
      <w:r w:rsidR="00785080">
        <w:rPr>
          <w:rFonts w:cstheme="minorHAnsi"/>
          <w:bCs/>
          <w:color w:val="000000"/>
        </w:rPr>
        <w:t>the FW</w:t>
      </w:r>
      <w:r w:rsidR="00E01867">
        <w:rPr>
          <w:rFonts w:cstheme="minorHAnsi"/>
          <w:bCs/>
          <w:color w:val="000000"/>
        </w:rPr>
        <w:t> </w:t>
      </w:r>
      <w:r>
        <w:rPr>
          <w:rFonts w:cstheme="minorHAnsi"/>
          <w:bCs/>
          <w:color w:val="000000"/>
        </w:rPr>
        <w:t>Act as well as the BCIIP</w:t>
      </w:r>
      <w:r w:rsidR="00383F12">
        <w:rPr>
          <w:rFonts w:cstheme="minorHAnsi"/>
          <w:bCs/>
          <w:color w:val="000000"/>
        </w:rPr>
        <w:t> </w:t>
      </w:r>
      <w:r>
        <w:rPr>
          <w:rFonts w:cstheme="minorHAnsi"/>
          <w:bCs/>
          <w:color w:val="000000"/>
        </w:rPr>
        <w:t xml:space="preserve">Act and the </w:t>
      </w:r>
      <w:r w:rsidR="00E01867">
        <w:rPr>
          <w:rFonts w:cstheme="minorHAnsi"/>
          <w:bCs/>
          <w:color w:val="000000"/>
        </w:rPr>
        <w:t>2016 </w:t>
      </w:r>
      <w:r>
        <w:rPr>
          <w:rFonts w:cstheme="minorHAnsi"/>
          <w:bCs/>
          <w:color w:val="000000"/>
        </w:rPr>
        <w:t>Code</w:t>
      </w:r>
      <w:r w:rsidR="00F91CAA">
        <w:rPr>
          <w:rFonts w:cstheme="minorHAnsi"/>
          <w:bCs/>
          <w:color w:val="000000"/>
        </w:rPr>
        <w:t xml:space="preserve">. </w:t>
      </w:r>
      <w:r>
        <w:rPr>
          <w:rFonts w:cstheme="minorHAnsi"/>
          <w:bCs/>
          <w:color w:val="000000"/>
        </w:rPr>
        <w:t>The FW</w:t>
      </w:r>
      <w:r w:rsidR="00E01867">
        <w:rPr>
          <w:rFonts w:cstheme="minorHAnsi"/>
          <w:bCs/>
          <w:color w:val="000000"/>
        </w:rPr>
        <w:t> </w:t>
      </w:r>
      <w:r>
        <w:rPr>
          <w:rFonts w:cstheme="minorHAnsi"/>
          <w:bCs/>
          <w:color w:val="000000"/>
        </w:rPr>
        <w:t xml:space="preserve">Act was, similarly, listed as a designated building law under the former </w:t>
      </w:r>
      <w:r w:rsidRPr="00D942AD">
        <w:rPr>
          <w:rFonts w:cstheme="minorHAnsi"/>
          <w:bCs/>
          <w:i/>
          <w:color w:val="000000"/>
        </w:rPr>
        <w:t>Fair Work Building Industry Act</w:t>
      </w:r>
      <w:r w:rsidR="00383F12">
        <w:rPr>
          <w:rFonts w:cstheme="minorHAnsi"/>
          <w:bCs/>
          <w:i/>
          <w:color w:val="000000"/>
        </w:rPr>
        <w:t> </w:t>
      </w:r>
      <w:r w:rsidRPr="00D942AD">
        <w:rPr>
          <w:rFonts w:cstheme="minorHAnsi"/>
          <w:bCs/>
          <w:i/>
          <w:color w:val="000000"/>
        </w:rPr>
        <w:t>2012</w:t>
      </w:r>
      <w:r>
        <w:rPr>
          <w:rFonts w:cstheme="minorHAnsi"/>
          <w:bCs/>
          <w:i/>
          <w:color w:val="000000"/>
        </w:rPr>
        <w:t xml:space="preserve"> </w:t>
      </w:r>
      <w:r w:rsidRPr="00D942AD">
        <w:rPr>
          <w:rFonts w:cstheme="minorHAnsi"/>
          <w:bCs/>
          <w:color w:val="000000"/>
        </w:rPr>
        <w:t>(FWBI</w:t>
      </w:r>
      <w:r w:rsidR="00383F12">
        <w:rPr>
          <w:rFonts w:cstheme="minorHAnsi"/>
          <w:bCs/>
          <w:color w:val="000000"/>
        </w:rPr>
        <w:t> </w:t>
      </w:r>
      <w:r w:rsidRPr="00D942AD">
        <w:rPr>
          <w:rFonts w:cstheme="minorHAnsi"/>
          <w:bCs/>
          <w:color w:val="000000"/>
        </w:rPr>
        <w:t>Act)</w:t>
      </w:r>
      <w:r>
        <w:rPr>
          <w:rFonts w:cstheme="minorHAnsi"/>
          <w:bCs/>
          <w:color w:val="000000"/>
        </w:rPr>
        <w:t xml:space="preserve"> and the former </w:t>
      </w:r>
      <w:r w:rsidRPr="00D9141E">
        <w:rPr>
          <w:rFonts w:cstheme="minorHAnsi"/>
          <w:bCs/>
          <w:i/>
          <w:color w:val="000000"/>
        </w:rPr>
        <w:t>Building and Construction Industry Improvement Act</w:t>
      </w:r>
      <w:r w:rsidR="00383F12">
        <w:rPr>
          <w:rFonts w:cstheme="minorHAnsi"/>
          <w:bCs/>
          <w:i/>
          <w:color w:val="000000"/>
        </w:rPr>
        <w:t> </w:t>
      </w:r>
      <w:r w:rsidRPr="00D9141E">
        <w:rPr>
          <w:rFonts w:cstheme="minorHAnsi"/>
          <w:bCs/>
          <w:i/>
          <w:color w:val="000000"/>
        </w:rPr>
        <w:t>2005</w:t>
      </w:r>
      <w:r>
        <w:rPr>
          <w:rFonts w:cstheme="minorHAnsi"/>
          <w:bCs/>
          <w:i/>
          <w:color w:val="000000"/>
        </w:rPr>
        <w:t xml:space="preserve"> </w:t>
      </w:r>
      <w:r>
        <w:rPr>
          <w:rFonts w:cstheme="minorHAnsi"/>
          <w:bCs/>
          <w:color w:val="000000"/>
        </w:rPr>
        <w:t>(BCII</w:t>
      </w:r>
      <w:r w:rsidR="00383F12">
        <w:rPr>
          <w:rFonts w:cstheme="minorHAnsi"/>
          <w:bCs/>
          <w:color w:val="000000"/>
        </w:rPr>
        <w:t> </w:t>
      </w:r>
      <w:r>
        <w:rPr>
          <w:rFonts w:cstheme="minorHAnsi"/>
          <w:bCs/>
          <w:color w:val="000000"/>
        </w:rPr>
        <w:t>Act)</w:t>
      </w:r>
      <w:r w:rsidR="00F91CAA">
        <w:rPr>
          <w:rFonts w:cstheme="minorHAnsi"/>
          <w:bCs/>
          <w:color w:val="000000"/>
        </w:rPr>
        <w:t xml:space="preserve">. </w:t>
      </w:r>
      <w:r>
        <w:rPr>
          <w:rFonts w:cstheme="minorHAnsi"/>
          <w:bCs/>
          <w:color w:val="000000"/>
        </w:rPr>
        <w:t>Thus, the</w:t>
      </w:r>
      <w:r w:rsidRPr="00EE0A20">
        <w:rPr>
          <w:rFonts w:cstheme="minorHAnsi"/>
          <w:bCs/>
          <w:color w:val="000000"/>
        </w:rPr>
        <w:t xml:space="preserve"> </w:t>
      </w:r>
      <w:r w:rsidR="00BC0D9F" w:rsidRPr="00EE0A20">
        <w:rPr>
          <w:rFonts w:cstheme="minorHAnsi"/>
          <w:bCs/>
          <w:color w:val="000000"/>
        </w:rPr>
        <w:t>ABC</w:t>
      </w:r>
      <w:r w:rsidR="007B23BE">
        <w:rPr>
          <w:rFonts w:cstheme="minorHAnsi"/>
          <w:bCs/>
          <w:color w:val="000000"/>
        </w:rPr>
        <w:t> </w:t>
      </w:r>
      <w:r>
        <w:rPr>
          <w:rFonts w:cstheme="minorHAnsi"/>
          <w:bCs/>
          <w:color w:val="000000"/>
        </w:rPr>
        <w:t>Commissioner’s role in enforcing compliance with the FW</w:t>
      </w:r>
      <w:r w:rsidR="00383F12">
        <w:rPr>
          <w:rFonts w:cstheme="minorHAnsi"/>
          <w:bCs/>
          <w:color w:val="000000"/>
        </w:rPr>
        <w:t> </w:t>
      </w:r>
      <w:r>
        <w:rPr>
          <w:rFonts w:cstheme="minorHAnsi"/>
          <w:bCs/>
          <w:color w:val="000000"/>
        </w:rPr>
        <w:t xml:space="preserve">Act on the part of building industry participants was also shared by the former </w:t>
      </w:r>
      <w:r w:rsidR="00BC0D9F" w:rsidRPr="00EE0A20">
        <w:rPr>
          <w:rFonts w:cstheme="minorHAnsi"/>
          <w:bCs/>
          <w:color w:val="000000"/>
        </w:rPr>
        <w:t>Fair Work Building</w:t>
      </w:r>
      <w:r>
        <w:rPr>
          <w:rFonts w:cstheme="minorHAnsi"/>
          <w:bCs/>
          <w:color w:val="000000"/>
        </w:rPr>
        <w:t xml:space="preserve"> and </w:t>
      </w:r>
      <w:r w:rsidR="00BC0D9F" w:rsidRPr="00EE0A20">
        <w:rPr>
          <w:rFonts w:cstheme="minorHAnsi"/>
          <w:bCs/>
          <w:color w:val="000000"/>
        </w:rPr>
        <w:t xml:space="preserve">Construction (FWBC) </w:t>
      </w:r>
      <w:r w:rsidRPr="00EE0A20">
        <w:rPr>
          <w:rFonts w:cstheme="minorHAnsi"/>
          <w:bCs/>
          <w:color w:val="000000"/>
        </w:rPr>
        <w:t xml:space="preserve">and </w:t>
      </w:r>
      <w:r w:rsidR="00BC0D9F" w:rsidRPr="00EE0A20">
        <w:rPr>
          <w:rFonts w:cstheme="minorHAnsi"/>
          <w:bCs/>
          <w:color w:val="000000"/>
        </w:rPr>
        <w:t xml:space="preserve">the </w:t>
      </w:r>
      <w:r>
        <w:rPr>
          <w:rFonts w:cstheme="minorHAnsi"/>
          <w:bCs/>
          <w:color w:val="000000"/>
        </w:rPr>
        <w:t>ABCC.</w:t>
      </w:r>
    </w:p>
    <w:p w14:paraId="5DFA379E" w14:textId="55EC9322" w:rsidR="00AF6650" w:rsidRDefault="002B0465" w:rsidP="00FC7E39">
      <w:pPr>
        <w:spacing w:after="200" w:line="276" w:lineRule="auto"/>
        <w:rPr>
          <w:rFonts w:cstheme="minorHAnsi"/>
          <w:bCs/>
          <w:color w:val="000000"/>
        </w:rPr>
      </w:pPr>
      <w:r>
        <w:rPr>
          <w:rFonts w:cstheme="minorHAnsi"/>
          <w:bCs/>
          <w:color w:val="000000"/>
        </w:rPr>
        <w:t>In carrying out its responsibility to</w:t>
      </w:r>
      <w:r w:rsidR="00C01C9D">
        <w:rPr>
          <w:rFonts w:cstheme="minorHAnsi"/>
          <w:bCs/>
          <w:color w:val="000000"/>
        </w:rPr>
        <w:t xml:space="preserve"> enforce compliance with the FW </w:t>
      </w:r>
      <w:r>
        <w:rPr>
          <w:rFonts w:cstheme="minorHAnsi"/>
          <w:bCs/>
          <w:color w:val="000000"/>
        </w:rPr>
        <w:t xml:space="preserve">Act, </w:t>
      </w:r>
      <w:r w:rsidR="00AF6650">
        <w:rPr>
          <w:rFonts w:cstheme="minorHAnsi"/>
          <w:bCs/>
          <w:color w:val="000000"/>
        </w:rPr>
        <w:t xml:space="preserve">the FWBC </w:t>
      </w:r>
      <w:r w:rsidR="00CB2240">
        <w:rPr>
          <w:rFonts w:cstheme="minorHAnsi"/>
          <w:bCs/>
          <w:color w:val="000000"/>
        </w:rPr>
        <w:t xml:space="preserve">initially </w:t>
      </w:r>
      <w:r w:rsidR="00AF6650">
        <w:rPr>
          <w:rFonts w:cstheme="minorHAnsi"/>
          <w:bCs/>
          <w:color w:val="000000"/>
        </w:rPr>
        <w:t>undertook significant activity in</w:t>
      </w:r>
      <w:r>
        <w:rPr>
          <w:rFonts w:cstheme="minorHAnsi"/>
          <w:bCs/>
          <w:color w:val="000000"/>
        </w:rPr>
        <w:t xml:space="preserve"> relation to complaints of underpayment of wages and entitlements</w:t>
      </w:r>
      <w:r w:rsidR="00A00A65">
        <w:rPr>
          <w:rFonts w:cstheme="minorHAnsi"/>
          <w:bCs/>
          <w:color w:val="000000"/>
        </w:rPr>
        <w:t xml:space="preserve"> and sham contracting</w:t>
      </w:r>
      <w:r w:rsidR="00F91CAA">
        <w:rPr>
          <w:rFonts w:cstheme="minorHAnsi"/>
          <w:bCs/>
          <w:color w:val="000000"/>
        </w:rPr>
        <w:t xml:space="preserve">. </w:t>
      </w:r>
      <w:r w:rsidR="00E80477">
        <w:rPr>
          <w:rFonts w:cstheme="minorHAnsi"/>
          <w:bCs/>
          <w:color w:val="000000"/>
        </w:rPr>
        <w:t>For example, i</w:t>
      </w:r>
      <w:r w:rsidR="00AF6650">
        <w:rPr>
          <w:rFonts w:cstheme="minorHAnsi"/>
          <w:bCs/>
          <w:color w:val="000000"/>
        </w:rPr>
        <w:t xml:space="preserve">n a 2012 speech, the then </w:t>
      </w:r>
      <w:r w:rsidR="00113E16" w:rsidRPr="00EE0A20">
        <w:rPr>
          <w:rFonts w:cstheme="minorHAnsi"/>
          <w:bCs/>
          <w:color w:val="000000"/>
        </w:rPr>
        <w:t xml:space="preserve">FWBC </w:t>
      </w:r>
      <w:r w:rsidR="00AF6650">
        <w:rPr>
          <w:rFonts w:cstheme="minorHAnsi"/>
          <w:bCs/>
          <w:color w:val="000000"/>
        </w:rPr>
        <w:t>Director highlighted FWBC’s activities in these areas and noted that it had retrieved over $1.2 million in unpaid wages for building industry employees</w:t>
      </w:r>
      <w:r w:rsidR="00113E16" w:rsidRPr="00EE0A20">
        <w:rPr>
          <w:rFonts w:cstheme="minorHAnsi"/>
          <w:bCs/>
          <w:color w:val="000000"/>
        </w:rPr>
        <w:t>,</w:t>
      </w:r>
      <w:r w:rsidR="00AF6650">
        <w:rPr>
          <w:rStyle w:val="FootnoteReference"/>
          <w:rFonts w:cstheme="minorHAnsi"/>
          <w:bCs/>
          <w:color w:val="000000"/>
        </w:rPr>
        <w:footnoteReference w:id="6"/>
      </w:r>
      <w:r w:rsidR="00A00A65">
        <w:rPr>
          <w:rFonts w:cstheme="minorHAnsi"/>
          <w:bCs/>
          <w:color w:val="000000"/>
        </w:rPr>
        <w:t xml:space="preserve"> while over $200,000 in sanctions were imposed in 2013-14 in respect of sham contracting</w:t>
      </w:r>
      <w:r w:rsidR="00113E16" w:rsidRPr="00EE0A20">
        <w:rPr>
          <w:rFonts w:cstheme="minorHAnsi"/>
          <w:bCs/>
          <w:color w:val="000000"/>
        </w:rPr>
        <w:t>.</w:t>
      </w:r>
      <w:r w:rsidR="00A00A65">
        <w:rPr>
          <w:rStyle w:val="FootnoteReference"/>
          <w:rFonts w:cstheme="minorHAnsi"/>
          <w:bCs/>
          <w:color w:val="000000"/>
        </w:rPr>
        <w:footnoteReference w:id="7"/>
      </w:r>
    </w:p>
    <w:p w14:paraId="70417228" w14:textId="55EB1D99" w:rsidR="00D431ED" w:rsidRDefault="004E148D" w:rsidP="00FC7E39">
      <w:pPr>
        <w:spacing w:after="200" w:line="276" w:lineRule="auto"/>
        <w:rPr>
          <w:rFonts w:cstheme="minorHAnsi"/>
          <w:bCs/>
          <w:color w:val="000000"/>
        </w:rPr>
      </w:pPr>
      <w:r>
        <w:rPr>
          <w:rFonts w:cstheme="minorHAnsi"/>
          <w:bCs/>
          <w:color w:val="000000"/>
        </w:rPr>
        <w:t>I</w:t>
      </w:r>
      <w:r w:rsidR="00FA6F6B">
        <w:rPr>
          <w:rFonts w:cstheme="minorHAnsi"/>
          <w:bCs/>
          <w:color w:val="000000"/>
        </w:rPr>
        <w:t xml:space="preserve">n late </w:t>
      </w:r>
      <w:r w:rsidR="00D431ED">
        <w:rPr>
          <w:rFonts w:cstheme="minorHAnsi"/>
          <w:bCs/>
          <w:color w:val="000000"/>
        </w:rPr>
        <w:t>2013</w:t>
      </w:r>
      <w:r w:rsidR="00FA6F6B">
        <w:rPr>
          <w:rFonts w:cstheme="minorHAnsi"/>
          <w:bCs/>
          <w:color w:val="000000"/>
        </w:rPr>
        <w:t>,</w:t>
      </w:r>
      <w:r w:rsidR="00D431ED">
        <w:rPr>
          <w:rFonts w:cstheme="minorHAnsi"/>
          <w:bCs/>
          <w:color w:val="000000"/>
        </w:rPr>
        <w:t xml:space="preserve"> </w:t>
      </w:r>
      <w:r w:rsidR="00AF6650">
        <w:rPr>
          <w:rFonts w:cstheme="minorHAnsi"/>
          <w:bCs/>
          <w:color w:val="000000"/>
        </w:rPr>
        <w:t>a new</w:t>
      </w:r>
      <w:r w:rsidR="00D431ED">
        <w:rPr>
          <w:rFonts w:cstheme="minorHAnsi"/>
          <w:bCs/>
          <w:color w:val="000000"/>
        </w:rPr>
        <w:t xml:space="preserve"> FWBC Director </w:t>
      </w:r>
      <w:r w:rsidR="00FA6F6B">
        <w:rPr>
          <w:rFonts w:cstheme="minorHAnsi"/>
          <w:bCs/>
          <w:color w:val="000000"/>
        </w:rPr>
        <w:t>adopted</w:t>
      </w:r>
      <w:r w:rsidR="00D431ED">
        <w:rPr>
          <w:rFonts w:cstheme="minorHAnsi"/>
          <w:bCs/>
          <w:color w:val="000000"/>
        </w:rPr>
        <w:t xml:space="preserve"> a Memorandum of Understanding </w:t>
      </w:r>
      <w:r w:rsidR="0076305A">
        <w:rPr>
          <w:rFonts w:cstheme="minorHAnsi"/>
          <w:bCs/>
          <w:color w:val="000000"/>
        </w:rPr>
        <w:t xml:space="preserve">(MoU) </w:t>
      </w:r>
      <w:r w:rsidR="00D431ED">
        <w:rPr>
          <w:rFonts w:cstheme="minorHAnsi"/>
          <w:bCs/>
          <w:color w:val="000000"/>
        </w:rPr>
        <w:t>with the Fair Work Ombudsman (FWO)</w:t>
      </w:r>
      <w:r w:rsidR="00F91CAA">
        <w:rPr>
          <w:rFonts w:cstheme="minorHAnsi"/>
          <w:bCs/>
          <w:color w:val="000000"/>
        </w:rPr>
        <w:t xml:space="preserve">. </w:t>
      </w:r>
      <w:r w:rsidR="00FA6F6B">
        <w:rPr>
          <w:rFonts w:cstheme="minorHAnsi"/>
          <w:bCs/>
          <w:color w:val="000000"/>
        </w:rPr>
        <w:t>This MoU provided</w:t>
      </w:r>
      <w:r w:rsidR="00D431ED">
        <w:rPr>
          <w:rFonts w:cstheme="minorHAnsi"/>
          <w:bCs/>
          <w:color w:val="000000"/>
        </w:rPr>
        <w:t xml:space="preserve"> that the </w:t>
      </w:r>
      <w:r w:rsidR="002B0465">
        <w:rPr>
          <w:rFonts w:cstheme="minorHAnsi"/>
          <w:bCs/>
          <w:color w:val="000000"/>
        </w:rPr>
        <w:t>FWBC would refer</w:t>
      </w:r>
      <w:r w:rsidR="00DA7EA0">
        <w:rPr>
          <w:rFonts w:cstheme="minorHAnsi"/>
          <w:bCs/>
          <w:color w:val="000000"/>
        </w:rPr>
        <w:t xml:space="preserve"> </w:t>
      </w:r>
      <w:r w:rsidR="002B0465">
        <w:rPr>
          <w:rFonts w:cstheme="minorHAnsi"/>
          <w:bCs/>
          <w:color w:val="000000"/>
        </w:rPr>
        <w:t xml:space="preserve">complaints </w:t>
      </w:r>
      <w:r w:rsidR="00FA6F6B">
        <w:rPr>
          <w:rFonts w:cstheme="minorHAnsi"/>
          <w:bCs/>
          <w:color w:val="000000"/>
        </w:rPr>
        <w:t xml:space="preserve">relating to </w:t>
      </w:r>
      <w:r w:rsidR="00D431ED">
        <w:rPr>
          <w:rFonts w:cstheme="minorHAnsi"/>
          <w:bCs/>
          <w:color w:val="000000"/>
        </w:rPr>
        <w:t xml:space="preserve">the payment of wages and entitlements and sham contracting </w:t>
      </w:r>
      <w:r w:rsidR="00FA6F6B">
        <w:rPr>
          <w:rFonts w:cstheme="minorHAnsi"/>
          <w:bCs/>
          <w:color w:val="000000"/>
        </w:rPr>
        <w:t xml:space="preserve">in </w:t>
      </w:r>
      <w:r w:rsidR="002B0465">
        <w:rPr>
          <w:rFonts w:cstheme="minorHAnsi"/>
          <w:bCs/>
          <w:color w:val="000000"/>
        </w:rPr>
        <w:t>the</w:t>
      </w:r>
      <w:r w:rsidR="00FA6F6B">
        <w:rPr>
          <w:rFonts w:cstheme="minorHAnsi"/>
          <w:bCs/>
          <w:color w:val="000000"/>
        </w:rPr>
        <w:t xml:space="preserve"> </w:t>
      </w:r>
      <w:r w:rsidR="00D431ED">
        <w:rPr>
          <w:rFonts w:cstheme="minorHAnsi"/>
          <w:bCs/>
          <w:color w:val="000000"/>
        </w:rPr>
        <w:t>building industry</w:t>
      </w:r>
      <w:r w:rsidR="00FA6F6B">
        <w:rPr>
          <w:rFonts w:cstheme="minorHAnsi"/>
          <w:bCs/>
          <w:color w:val="000000"/>
        </w:rPr>
        <w:t xml:space="preserve"> </w:t>
      </w:r>
      <w:r w:rsidR="002B0465">
        <w:rPr>
          <w:rFonts w:cstheme="minorHAnsi"/>
          <w:bCs/>
          <w:color w:val="000000"/>
        </w:rPr>
        <w:t>to</w:t>
      </w:r>
      <w:r w:rsidR="00B6500F">
        <w:rPr>
          <w:rFonts w:cstheme="minorHAnsi"/>
          <w:bCs/>
          <w:color w:val="000000"/>
        </w:rPr>
        <w:t xml:space="preserve"> the</w:t>
      </w:r>
      <w:r w:rsidR="002B0465">
        <w:rPr>
          <w:rFonts w:cstheme="minorHAnsi"/>
          <w:bCs/>
          <w:color w:val="000000"/>
        </w:rPr>
        <w:t xml:space="preserve"> FWO for investigation and </w:t>
      </w:r>
      <w:r w:rsidR="00DA7EA0">
        <w:rPr>
          <w:rFonts w:cstheme="minorHAnsi"/>
          <w:bCs/>
          <w:color w:val="000000"/>
        </w:rPr>
        <w:t>response</w:t>
      </w:r>
      <w:r w:rsidR="00F91CAA">
        <w:rPr>
          <w:rFonts w:cstheme="minorHAnsi"/>
          <w:bCs/>
          <w:color w:val="000000"/>
        </w:rPr>
        <w:t xml:space="preserve">. </w:t>
      </w:r>
      <w:r w:rsidR="00AF6650">
        <w:rPr>
          <w:rFonts w:cstheme="minorHAnsi"/>
          <w:bCs/>
          <w:color w:val="000000"/>
        </w:rPr>
        <w:t xml:space="preserve">This change </w:t>
      </w:r>
      <w:r w:rsidR="00474EEF">
        <w:rPr>
          <w:rFonts w:cstheme="minorHAnsi"/>
          <w:bCs/>
          <w:color w:val="000000"/>
        </w:rPr>
        <w:t xml:space="preserve">in approach </w:t>
      </w:r>
      <w:r w:rsidR="00AF6650">
        <w:rPr>
          <w:rFonts w:cstheme="minorHAnsi"/>
          <w:bCs/>
          <w:color w:val="000000"/>
        </w:rPr>
        <w:t>appears to have been, in part</w:t>
      </w:r>
      <w:r w:rsidR="00FA6F6B">
        <w:rPr>
          <w:rFonts w:cstheme="minorHAnsi"/>
          <w:bCs/>
          <w:color w:val="000000"/>
        </w:rPr>
        <w:t xml:space="preserve">, </w:t>
      </w:r>
      <w:r w:rsidR="00AF6650">
        <w:rPr>
          <w:rFonts w:cstheme="minorHAnsi"/>
          <w:bCs/>
          <w:color w:val="000000"/>
        </w:rPr>
        <w:t xml:space="preserve">made </w:t>
      </w:r>
      <w:r w:rsidR="00FA6F6B">
        <w:rPr>
          <w:rFonts w:cstheme="minorHAnsi"/>
          <w:bCs/>
          <w:color w:val="000000"/>
        </w:rPr>
        <w:t xml:space="preserve">in recognition of </w:t>
      </w:r>
      <w:r w:rsidR="00113E16" w:rsidRPr="00EE0A20">
        <w:rPr>
          <w:rFonts w:cstheme="minorHAnsi"/>
          <w:bCs/>
          <w:color w:val="000000"/>
        </w:rPr>
        <w:t xml:space="preserve">the FWO’s </w:t>
      </w:r>
      <w:r w:rsidR="00FA6F6B">
        <w:rPr>
          <w:rFonts w:cstheme="minorHAnsi"/>
          <w:bCs/>
          <w:color w:val="000000"/>
        </w:rPr>
        <w:t xml:space="preserve">greater </w:t>
      </w:r>
      <w:r w:rsidR="00D431ED">
        <w:rPr>
          <w:rFonts w:cstheme="minorHAnsi"/>
          <w:bCs/>
          <w:color w:val="000000"/>
        </w:rPr>
        <w:t xml:space="preserve">expertise in regulating these matters </w:t>
      </w:r>
      <w:r w:rsidR="00FA6F6B">
        <w:rPr>
          <w:rFonts w:cstheme="minorHAnsi"/>
          <w:bCs/>
          <w:color w:val="000000"/>
        </w:rPr>
        <w:t>across the whole economy</w:t>
      </w:r>
      <w:r w:rsidR="00F91CAA">
        <w:rPr>
          <w:rFonts w:cstheme="minorHAnsi"/>
          <w:bCs/>
          <w:color w:val="000000"/>
        </w:rPr>
        <w:t xml:space="preserve">. </w:t>
      </w:r>
      <w:r w:rsidR="00AF6650">
        <w:rPr>
          <w:rFonts w:cstheme="minorHAnsi"/>
          <w:bCs/>
          <w:color w:val="000000"/>
        </w:rPr>
        <w:t xml:space="preserve">However, </w:t>
      </w:r>
      <w:r w:rsidR="00107135">
        <w:rPr>
          <w:rFonts w:cstheme="minorHAnsi"/>
          <w:bCs/>
          <w:color w:val="000000"/>
        </w:rPr>
        <w:t>Mr Nigel </w:t>
      </w:r>
      <w:proofErr w:type="spellStart"/>
      <w:r w:rsidR="00D431ED">
        <w:rPr>
          <w:rFonts w:cstheme="minorHAnsi"/>
          <w:bCs/>
          <w:color w:val="000000"/>
        </w:rPr>
        <w:t>Hadgkiss</w:t>
      </w:r>
      <w:proofErr w:type="spellEnd"/>
      <w:r w:rsidR="00D431ED">
        <w:rPr>
          <w:rFonts w:cstheme="minorHAnsi"/>
          <w:bCs/>
          <w:color w:val="000000"/>
        </w:rPr>
        <w:t xml:space="preserve">, the then new Director of the FWBC </w:t>
      </w:r>
      <w:r>
        <w:rPr>
          <w:rFonts w:cstheme="minorHAnsi"/>
          <w:bCs/>
          <w:color w:val="000000"/>
        </w:rPr>
        <w:t xml:space="preserve">indicated a view that these matters constituted a lower priority for the organisation, stating </w:t>
      </w:r>
      <w:r w:rsidR="00D431ED">
        <w:rPr>
          <w:rFonts w:cstheme="minorHAnsi"/>
          <w:bCs/>
          <w:color w:val="000000"/>
        </w:rPr>
        <w:t>in the FWBC Annual Report 2013-14</w:t>
      </w:r>
      <w:r>
        <w:rPr>
          <w:rFonts w:cstheme="minorHAnsi"/>
          <w:bCs/>
          <w:color w:val="000000"/>
        </w:rPr>
        <w:t xml:space="preserve"> that</w:t>
      </w:r>
      <w:r w:rsidR="00D431ED">
        <w:rPr>
          <w:rFonts w:cstheme="minorHAnsi"/>
          <w:bCs/>
          <w:color w:val="000000"/>
        </w:rPr>
        <w:t>:</w:t>
      </w:r>
    </w:p>
    <w:p w14:paraId="44DCCB37" w14:textId="2F15AB27" w:rsidR="00D431ED" w:rsidRPr="00866058" w:rsidRDefault="00D431ED" w:rsidP="00FC7E39">
      <w:pPr>
        <w:spacing w:after="200" w:line="276" w:lineRule="auto"/>
        <w:ind w:left="426"/>
        <w:rPr>
          <w:color w:val="000000"/>
          <w:sz w:val="20"/>
        </w:rPr>
      </w:pPr>
      <w:r w:rsidRPr="00C25EBC">
        <w:rPr>
          <w:sz w:val="20"/>
        </w:rPr>
        <w:t xml:space="preserve">Part of this agency’s new emphasis is what I refer to as a return to ‘core </w:t>
      </w:r>
      <w:proofErr w:type="gramStart"/>
      <w:r w:rsidRPr="00C25EBC">
        <w:rPr>
          <w:sz w:val="20"/>
        </w:rPr>
        <w:t>business’</w:t>
      </w:r>
      <w:proofErr w:type="gramEnd"/>
      <w:r w:rsidRPr="00C25EBC">
        <w:rPr>
          <w:sz w:val="20"/>
        </w:rPr>
        <w:t xml:space="preserve">. This has seen wages and entitlements work returned to the Fair Work Ombudsman. These investigations previously made up a large component of our work. In fact, more than 40% of investigations related to wages and entitlements when I took </w:t>
      </w:r>
      <w:r w:rsidRPr="00866058">
        <w:rPr>
          <w:sz w:val="20"/>
        </w:rPr>
        <w:t>over.</w:t>
      </w:r>
    </w:p>
    <w:p w14:paraId="1E29090E" w14:textId="37DB507F" w:rsidR="00474EEF" w:rsidRPr="00B57DE4" w:rsidRDefault="00E30297" w:rsidP="00FC7E39">
      <w:pPr>
        <w:spacing w:after="200" w:line="276" w:lineRule="auto"/>
        <w:rPr>
          <w:rFonts w:cstheme="minorHAnsi"/>
          <w:bCs/>
          <w:color w:val="000000"/>
        </w:rPr>
      </w:pPr>
      <w:r>
        <w:rPr>
          <w:rFonts w:cstheme="minorHAnsi"/>
          <w:bCs/>
          <w:color w:val="000000"/>
        </w:rPr>
        <w:t xml:space="preserve">The MoU between </w:t>
      </w:r>
      <w:r w:rsidR="00113E16" w:rsidRPr="00E732BC">
        <w:rPr>
          <w:rFonts w:cstheme="minorHAnsi"/>
          <w:bCs/>
          <w:color w:val="000000"/>
        </w:rPr>
        <w:t xml:space="preserve">the </w:t>
      </w:r>
      <w:r>
        <w:rPr>
          <w:rFonts w:cstheme="minorHAnsi"/>
          <w:bCs/>
          <w:color w:val="000000"/>
        </w:rPr>
        <w:t xml:space="preserve">FWBC and </w:t>
      </w:r>
      <w:r w:rsidR="00113E16" w:rsidRPr="00E45E66">
        <w:rPr>
          <w:rFonts w:cstheme="minorHAnsi"/>
          <w:bCs/>
          <w:color w:val="000000"/>
        </w:rPr>
        <w:t>the</w:t>
      </w:r>
      <w:r w:rsidR="00113E16" w:rsidRPr="00EE0A20">
        <w:rPr>
          <w:rFonts w:cstheme="minorHAnsi"/>
          <w:bCs/>
          <w:color w:val="000000"/>
        </w:rPr>
        <w:t xml:space="preserve"> </w:t>
      </w:r>
      <w:r>
        <w:rPr>
          <w:rFonts w:cstheme="minorHAnsi"/>
          <w:bCs/>
          <w:color w:val="000000"/>
        </w:rPr>
        <w:t xml:space="preserve">FWO effectively re-established a similar arrangement adopted by the former ABCC </w:t>
      </w:r>
      <w:r w:rsidR="00EE0A20">
        <w:rPr>
          <w:rFonts w:cstheme="minorHAnsi"/>
          <w:bCs/>
          <w:color w:val="000000"/>
        </w:rPr>
        <w:t xml:space="preserve">when </w:t>
      </w:r>
      <w:r>
        <w:rPr>
          <w:rFonts w:cstheme="minorHAnsi"/>
          <w:bCs/>
          <w:color w:val="000000"/>
        </w:rPr>
        <w:t>the BCII</w:t>
      </w:r>
      <w:r w:rsidR="005C2643">
        <w:rPr>
          <w:rFonts w:cstheme="minorHAnsi"/>
          <w:bCs/>
          <w:color w:val="000000"/>
        </w:rPr>
        <w:t> </w:t>
      </w:r>
      <w:r>
        <w:rPr>
          <w:rFonts w:cstheme="minorHAnsi"/>
          <w:bCs/>
          <w:color w:val="000000"/>
        </w:rPr>
        <w:t>Act</w:t>
      </w:r>
      <w:r w:rsidR="00EE0A20">
        <w:rPr>
          <w:rFonts w:cstheme="minorHAnsi"/>
          <w:bCs/>
          <w:color w:val="000000"/>
        </w:rPr>
        <w:t xml:space="preserve"> was in operation</w:t>
      </w:r>
      <w:r w:rsidR="00F91CAA" w:rsidRPr="00EE0A20">
        <w:rPr>
          <w:rFonts w:cstheme="minorHAnsi"/>
          <w:bCs/>
          <w:color w:val="000000"/>
        </w:rPr>
        <w:t>.</w:t>
      </w:r>
      <w:r w:rsidR="00F91CAA">
        <w:rPr>
          <w:rFonts w:cstheme="minorHAnsi"/>
          <w:bCs/>
          <w:color w:val="000000"/>
        </w:rPr>
        <w:t xml:space="preserve"> </w:t>
      </w:r>
      <w:r>
        <w:rPr>
          <w:rFonts w:cstheme="minorHAnsi"/>
          <w:bCs/>
          <w:color w:val="000000"/>
        </w:rPr>
        <w:t xml:space="preserve">Of note is the fact that this previous MoU had been commented on by </w:t>
      </w:r>
      <w:r w:rsidR="00107135">
        <w:rPr>
          <w:rFonts w:cstheme="minorHAnsi"/>
          <w:bCs/>
          <w:color w:val="000000"/>
        </w:rPr>
        <w:t>Justice Murray </w:t>
      </w:r>
      <w:r w:rsidR="00474EEF" w:rsidRPr="00B57DE4">
        <w:rPr>
          <w:rFonts w:cstheme="minorHAnsi"/>
          <w:bCs/>
          <w:color w:val="000000"/>
        </w:rPr>
        <w:t>Wilcox in hi</w:t>
      </w:r>
      <w:r w:rsidR="00107135">
        <w:rPr>
          <w:rFonts w:cstheme="minorHAnsi"/>
          <w:bCs/>
          <w:color w:val="000000"/>
        </w:rPr>
        <w:t>s 2009 </w:t>
      </w:r>
      <w:r w:rsidR="00474EEF" w:rsidRPr="00B57DE4">
        <w:rPr>
          <w:rFonts w:cstheme="minorHAnsi"/>
          <w:bCs/>
          <w:color w:val="000000"/>
        </w:rPr>
        <w:t xml:space="preserve">Report </w:t>
      </w:r>
      <w:r>
        <w:rPr>
          <w:rFonts w:cstheme="minorHAnsi"/>
          <w:bCs/>
          <w:color w:val="000000"/>
        </w:rPr>
        <w:t>‘</w:t>
      </w:r>
      <w:r w:rsidR="00474EEF" w:rsidRPr="005C3954">
        <w:rPr>
          <w:rFonts w:cstheme="minorHAnsi"/>
          <w:bCs/>
          <w:color w:val="000000"/>
        </w:rPr>
        <w:t>Transition to Fair Work Australia for the Building and Construction Industry</w:t>
      </w:r>
      <w:r>
        <w:rPr>
          <w:rFonts w:cstheme="minorHAnsi"/>
          <w:bCs/>
          <w:color w:val="000000"/>
        </w:rPr>
        <w:t>’</w:t>
      </w:r>
      <w:r w:rsidR="00F91CAA">
        <w:rPr>
          <w:rFonts w:cstheme="minorHAnsi"/>
          <w:bCs/>
          <w:color w:val="000000"/>
        </w:rPr>
        <w:t xml:space="preserve">. </w:t>
      </w:r>
      <w:r>
        <w:rPr>
          <w:rFonts w:cstheme="minorHAnsi"/>
          <w:bCs/>
          <w:color w:val="000000"/>
        </w:rPr>
        <w:t>The Wilcox</w:t>
      </w:r>
      <w:r w:rsidR="00107135">
        <w:rPr>
          <w:rFonts w:cstheme="minorHAnsi"/>
          <w:bCs/>
          <w:color w:val="000000"/>
        </w:rPr>
        <w:t> </w:t>
      </w:r>
      <w:r>
        <w:rPr>
          <w:rFonts w:cstheme="minorHAnsi"/>
          <w:bCs/>
          <w:color w:val="000000"/>
        </w:rPr>
        <w:t>report stated</w:t>
      </w:r>
      <w:r w:rsidR="00474EEF">
        <w:rPr>
          <w:rFonts w:cstheme="minorHAnsi"/>
          <w:bCs/>
          <w:color w:val="000000"/>
        </w:rPr>
        <w:t xml:space="preserve"> that:</w:t>
      </w:r>
    </w:p>
    <w:p w14:paraId="274D1DA1" w14:textId="5CB9E1C1" w:rsidR="00474EEF" w:rsidRPr="00C25EBC" w:rsidRDefault="00474EEF" w:rsidP="00FC7E39">
      <w:pPr>
        <w:spacing w:after="200" w:line="276" w:lineRule="auto"/>
        <w:ind w:left="426"/>
        <w:rPr>
          <w:color w:val="000000"/>
          <w:sz w:val="20"/>
        </w:rPr>
      </w:pPr>
      <w:r w:rsidRPr="00E13862">
        <w:rPr>
          <w:color w:val="000000"/>
          <w:sz w:val="20"/>
        </w:rPr>
        <w:t xml:space="preserve">I understand the reasoning, but the ABCC’s practice has had the unfortunate effect of compounding the belief, of many on the employee side, that the ABCC is a politically inspired worker-bashing agency. Although it may be preferable to use different individuals for the task, I think it will be critically important for the BCD </w:t>
      </w:r>
      <w:r w:rsidR="00F10221">
        <w:rPr>
          <w:color w:val="000000"/>
          <w:sz w:val="20"/>
        </w:rPr>
        <w:t>[</w:t>
      </w:r>
      <w:r w:rsidRPr="00E13862">
        <w:rPr>
          <w:color w:val="000000"/>
          <w:sz w:val="20"/>
        </w:rPr>
        <w:t>Building and Construction Division</w:t>
      </w:r>
      <w:r w:rsidR="00F10221">
        <w:rPr>
          <w:color w:val="000000"/>
          <w:sz w:val="20"/>
        </w:rPr>
        <w:t>]</w:t>
      </w:r>
      <w:r w:rsidRPr="00E13862">
        <w:rPr>
          <w:color w:val="000000"/>
          <w:sz w:val="20"/>
        </w:rPr>
        <w:t xml:space="preserve"> to actively investigate and prosecute employees’ claims and be seen to do so.</w:t>
      </w:r>
      <w:r w:rsidRPr="00C25EBC">
        <w:rPr>
          <w:rStyle w:val="FootnoteReference"/>
          <w:color w:val="000000"/>
          <w:sz w:val="20"/>
        </w:rPr>
        <w:footnoteReference w:id="8"/>
      </w:r>
      <w:r w:rsidRPr="00C25EBC">
        <w:rPr>
          <w:sz w:val="20"/>
        </w:rPr>
        <w:t xml:space="preserve"> </w:t>
      </w:r>
    </w:p>
    <w:p w14:paraId="6675D653" w14:textId="7CBE22BA" w:rsidR="009F3956" w:rsidRDefault="00DC2208" w:rsidP="00FC7E39">
      <w:pPr>
        <w:spacing w:after="200" w:line="276" w:lineRule="auto"/>
        <w:rPr>
          <w:rFonts w:eastAsia="Times New Roman" w:cstheme="minorHAnsi"/>
          <w:lang w:eastAsia="en-AU"/>
        </w:rPr>
      </w:pPr>
      <w:r>
        <w:rPr>
          <w:rFonts w:cstheme="minorHAnsi"/>
          <w:bCs/>
          <w:color w:val="000000"/>
        </w:rPr>
        <w:t xml:space="preserve">However, as noted above, </w:t>
      </w:r>
      <w:r w:rsidR="00E01867">
        <w:rPr>
          <w:rFonts w:cstheme="minorHAnsi"/>
          <w:bCs/>
          <w:color w:val="000000"/>
        </w:rPr>
        <w:t>subs</w:t>
      </w:r>
      <w:r w:rsidR="00957890">
        <w:rPr>
          <w:rFonts w:cstheme="minorHAnsi"/>
          <w:bCs/>
          <w:color w:val="000000"/>
        </w:rPr>
        <w:t>ection</w:t>
      </w:r>
      <w:r w:rsidR="0099154A">
        <w:rPr>
          <w:rFonts w:cstheme="minorHAnsi"/>
          <w:bCs/>
          <w:color w:val="000000"/>
        </w:rPr>
        <w:t> </w:t>
      </w:r>
      <w:r w:rsidR="00957890">
        <w:rPr>
          <w:rFonts w:cstheme="minorHAnsi"/>
          <w:bCs/>
          <w:color w:val="000000"/>
        </w:rPr>
        <w:t xml:space="preserve">16(2) </w:t>
      </w:r>
      <w:r w:rsidR="00632D33">
        <w:rPr>
          <w:rFonts w:cstheme="minorHAnsi"/>
          <w:bCs/>
          <w:color w:val="000000"/>
        </w:rPr>
        <w:t>of the</w:t>
      </w:r>
      <w:r w:rsidR="00785080">
        <w:rPr>
          <w:rFonts w:cstheme="minorHAnsi"/>
          <w:bCs/>
          <w:color w:val="000000"/>
        </w:rPr>
        <w:t xml:space="preserve"> BCIIP</w:t>
      </w:r>
      <w:r w:rsidR="005C2643">
        <w:rPr>
          <w:rFonts w:cstheme="minorHAnsi"/>
          <w:bCs/>
          <w:color w:val="000000"/>
        </w:rPr>
        <w:t> </w:t>
      </w:r>
      <w:r w:rsidR="00632D33">
        <w:rPr>
          <w:rFonts w:cstheme="minorHAnsi"/>
          <w:bCs/>
          <w:color w:val="000000"/>
        </w:rPr>
        <w:t>Act establishes specific requirements in relation to the disposition of the ABCC’s resources</w:t>
      </w:r>
      <w:r>
        <w:rPr>
          <w:rFonts w:cstheme="minorHAnsi"/>
          <w:bCs/>
          <w:color w:val="000000"/>
        </w:rPr>
        <w:t xml:space="preserve"> which explicitly require </w:t>
      </w:r>
      <w:r w:rsidR="007B23BE">
        <w:rPr>
          <w:rFonts w:eastAsia="Times New Roman" w:cstheme="minorHAnsi"/>
          <w:lang w:eastAsia="en-AU"/>
        </w:rPr>
        <w:t>the ABC </w:t>
      </w:r>
      <w:r>
        <w:rPr>
          <w:rFonts w:eastAsia="Times New Roman" w:cstheme="minorHAnsi"/>
          <w:lang w:eastAsia="en-AU"/>
        </w:rPr>
        <w:t xml:space="preserve">Commissioner in carrying out his/her functions to ensure that (s)he </w:t>
      </w:r>
      <w:r w:rsidR="00F869E6">
        <w:rPr>
          <w:rFonts w:eastAsia="Times New Roman" w:cstheme="minorHAnsi"/>
          <w:lang w:eastAsia="en-AU"/>
        </w:rPr>
        <w:t xml:space="preserve">applies them in a reasonable and proportionate </w:t>
      </w:r>
      <w:r w:rsidR="00F869E6">
        <w:rPr>
          <w:rFonts w:eastAsia="Times New Roman" w:cstheme="minorHAnsi"/>
          <w:lang w:eastAsia="en-AU"/>
        </w:rPr>
        <w:lastRenderedPageBreak/>
        <w:t xml:space="preserve">manner to each of the </w:t>
      </w:r>
      <w:r>
        <w:rPr>
          <w:rFonts w:eastAsia="Times New Roman" w:cstheme="minorHAnsi"/>
          <w:lang w:eastAsia="en-AU"/>
        </w:rPr>
        <w:t>categories of b</w:t>
      </w:r>
      <w:r w:rsidR="00470579">
        <w:rPr>
          <w:rFonts w:eastAsia="Times New Roman" w:cstheme="minorHAnsi"/>
          <w:lang w:eastAsia="en-AU"/>
        </w:rPr>
        <w:t xml:space="preserve">uilding industry participants. </w:t>
      </w:r>
      <w:r>
        <w:rPr>
          <w:rFonts w:eastAsia="Times New Roman" w:cstheme="minorHAnsi"/>
          <w:lang w:eastAsia="en-AU"/>
        </w:rPr>
        <w:t>This is to be reflected in the policies and procedures adopted and the disposition of the ABCC’s resources.</w:t>
      </w:r>
    </w:p>
    <w:p w14:paraId="2B990088" w14:textId="2640D790" w:rsidR="002F725C" w:rsidRPr="002F725C" w:rsidRDefault="00DC2208" w:rsidP="00FC7E39">
      <w:pPr>
        <w:spacing w:after="200" w:line="276" w:lineRule="auto"/>
      </w:pPr>
      <w:r>
        <w:t>Accordingly, s</w:t>
      </w:r>
      <w:r w:rsidR="00F42BCE">
        <w:t>ince January 2017</w:t>
      </w:r>
      <w:r>
        <w:rPr>
          <w:rStyle w:val="FootnoteReference"/>
        </w:rPr>
        <w:footnoteReference w:id="9"/>
      </w:r>
      <w:r w:rsidR="00F42BCE">
        <w:t xml:space="preserve"> t</w:t>
      </w:r>
      <w:r w:rsidR="002F725C">
        <w:t xml:space="preserve">he ABCC </w:t>
      </w:r>
      <w:r w:rsidR="00F42BCE">
        <w:t xml:space="preserve">has </w:t>
      </w:r>
      <w:r w:rsidR="002F725C">
        <w:t>direct</w:t>
      </w:r>
      <w:r w:rsidR="00F42BCE">
        <w:t>ed</w:t>
      </w:r>
      <w:r w:rsidR="002F725C">
        <w:t xml:space="preserve"> workers with general queries regarding awards, wages and entitlements for the building industry to </w:t>
      </w:r>
      <w:r w:rsidR="002F725C" w:rsidRPr="002F725C">
        <w:t xml:space="preserve">the </w:t>
      </w:r>
      <w:r w:rsidR="002F725C">
        <w:t>FWO’s website or helpline, given that the FWO holds detailed and up to date information and ‘ready reckoners’ on wages and entitlements and protections for all industries. However, where queries concern underpayment of wages, breaches of conditions or suspected sham contracting,</w:t>
      </w:r>
      <w:r w:rsidR="002F725C" w:rsidRPr="002F725C">
        <w:t xml:space="preserve"> the </w:t>
      </w:r>
      <w:r w:rsidR="002F725C">
        <w:t>ABCC deals with</w:t>
      </w:r>
      <w:r w:rsidR="002F725C" w:rsidRPr="002F725C">
        <w:t xml:space="preserve"> the </w:t>
      </w:r>
      <w:r w:rsidR="002F725C">
        <w:t xml:space="preserve">matter. Where </w:t>
      </w:r>
      <w:r w:rsidR="002F725C" w:rsidRPr="002F725C">
        <w:t xml:space="preserve">the </w:t>
      </w:r>
      <w:r w:rsidR="002F725C">
        <w:t>FWO receives complaints about underpayment of wages or entitlements</w:t>
      </w:r>
      <w:r w:rsidR="00480A7F">
        <w:t xml:space="preserve"> within the building industry</w:t>
      </w:r>
      <w:r w:rsidR="002F725C">
        <w:t>,</w:t>
      </w:r>
      <w:r w:rsidR="002F725C" w:rsidRPr="002F725C">
        <w:t xml:space="preserve"> the </w:t>
      </w:r>
      <w:r w:rsidR="002F725C">
        <w:t xml:space="preserve">complainant is referred to </w:t>
      </w:r>
      <w:r w:rsidR="002F725C" w:rsidRPr="002F725C">
        <w:t xml:space="preserve">the </w:t>
      </w:r>
      <w:r w:rsidR="002F725C">
        <w:t xml:space="preserve">ABCC. </w:t>
      </w:r>
    </w:p>
    <w:p w14:paraId="124B713F" w14:textId="77777777" w:rsidR="008B186B" w:rsidRDefault="0094421A" w:rsidP="004F647D">
      <w:pPr>
        <w:pStyle w:val="Heading2"/>
        <w:numPr>
          <w:ilvl w:val="1"/>
          <w:numId w:val="5"/>
        </w:numPr>
      </w:pPr>
      <w:bookmarkStart w:id="91" w:name="_Toc523154921"/>
      <w:bookmarkStart w:id="92" w:name="_Toc525908065"/>
      <w:bookmarkStart w:id="93" w:name="_Toc527633004"/>
      <w:r>
        <w:t>Stakeholder views</w:t>
      </w:r>
      <w:bookmarkEnd w:id="91"/>
      <w:bookmarkEnd w:id="92"/>
      <w:bookmarkEnd w:id="93"/>
    </w:p>
    <w:p w14:paraId="1BE9DA28" w14:textId="77777777" w:rsidR="00832E31" w:rsidRPr="00B97E9E" w:rsidRDefault="00832E31" w:rsidP="00B97E9E">
      <w:pPr>
        <w:pStyle w:val="Heading3"/>
      </w:pPr>
      <w:bookmarkStart w:id="94" w:name="_Toc527633005"/>
      <w:r w:rsidRPr="00B97E9E">
        <w:t>Industry submissions</w:t>
      </w:r>
      <w:bookmarkEnd w:id="94"/>
    </w:p>
    <w:p w14:paraId="6E89EA1E" w14:textId="1C6AB396" w:rsidR="00A66E92" w:rsidRDefault="00C53A24" w:rsidP="00B97E9E">
      <w:pPr>
        <w:spacing w:before="200" w:after="200" w:line="276" w:lineRule="auto"/>
        <w:rPr>
          <w:rFonts w:cstheme="minorHAnsi"/>
          <w:color w:val="000000"/>
          <w:szCs w:val="20"/>
        </w:rPr>
      </w:pPr>
      <w:r>
        <w:rPr>
          <w:rFonts w:cstheme="minorHAnsi"/>
        </w:rPr>
        <w:t xml:space="preserve">While this term of reference requires the review to report on the performance of the ABCC in carrying out its </w:t>
      </w:r>
      <w:r w:rsidR="00480A7F">
        <w:rPr>
          <w:rFonts w:cstheme="minorHAnsi"/>
        </w:rPr>
        <w:t>full-service</w:t>
      </w:r>
      <w:r>
        <w:rPr>
          <w:rFonts w:cstheme="minorHAnsi"/>
        </w:rPr>
        <w:t xml:space="preserve"> regulator function, several submissions received from </w:t>
      </w:r>
      <w:r w:rsidR="00F63D52">
        <w:rPr>
          <w:rFonts w:cstheme="minorHAnsi"/>
        </w:rPr>
        <w:t>i</w:t>
      </w:r>
      <w:r w:rsidR="0094421A">
        <w:rPr>
          <w:rFonts w:cstheme="minorHAnsi"/>
        </w:rPr>
        <w:t>ndustry associations</w:t>
      </w:r>
      <w:r w:rsidR="004C6881">
        <w:rPr>
          <w:rFonts w:cstheme="minorHAnsi"/>
        </w:rPr>
        <w:t xml:space="preserve"> </w:t>
      </w:r>
      <w:r w:rsidR="00FD266C">
        <w:rPr>
          <w:rFonts w:cstheme="minorHAnsi"/>
        </w:rPr>
        <w:t>questioned</w:t>
      </w:r>
      <w:r>
        <w:rPr>
          <w:rFonts w:cstheme="minorHAnsi"/>
        </w:rPr>
        <w:t xml:space="preserve"> the appropriateness of this obligation</w:t>
      </w:r>
      <w:r w:rsidR="00F91CAA">
        <w:rPr>
          <w:rFonts w:cstheme="minorHAnsi"/>
        </w:rPr>
        <w:t xml:space="preserve">. </w:t>
      </w:r>
      <w:r>
        <w:rPr>
          <w:rFonts w:cstheme="minorHAnsi"/>
        </w:rPr>
        <w:t xml:space="preserve">The </w:t>
      </w:r>
      <w:r w:rsidR="00FD266C">
        <w:rPr>
          <w:rFonts w:cstheme="minorHAnsi"/>
        </w:rPr>
        <w:t xml:space="preserve">key concern expressed was that </w:t>
      </w:r>
      <w:r w:rsidR="00F63D52">
        <w:rPr>
          <w:rFonts w:cstheme="minorHAnsi"/>
        </w:rPr>
        <w:t xml:space="preserve">the </w:t>
      </w:r>
      <w:r>
        <w:rPr>
          <w:rFonts w:cstheme="minorHAnsi"/>
        </w:rPr>
        <w:t>insertion in</w:t>
      </w:r>
      <w:r w:rsidR="00FD266C">
        <w:rPr>
          <w:rFonts w:cstheme="minorHAnsi"/>
        </w:rPr>
        <w:t>to</w:t>
      </w:r>
      <w:r w:rsidR="00E01867">
        <w:rPr>
          <w:rFonts w:cstheme="minorHAnsi"/>
        </w:rPr>
        <w:t xml:space="preserve"> </w:t>
      </w:r>
      <w:r w:rsidR="00113E16" w:rsidRPr="00EE0A20">
        <w:rPr>
          <w:rFonts w:cstheme="minorHAnsi"/>
        </w:rPr>
        <w:t>s</w:t>
      </w:r>
      <w:r w:rsidR="00E01867" w:rsidRPr="00EE0A20">
        <w:rPr>
          <w:rFonts w:cstheme="minorHAnsi"/>
        </w:rPr>
        <w:t>ection</w:t>
      </w:r>
      <w:r w:rsidR="00E01867">
        <w:rPr>
          <w:rFonts w:cstheme="minorHAnsi"/>
        </w:rPr>
        <w:t> </w:t>
      </w:r>
      <w:r>
        <w:rPr>
          <w:rFonts w:cstheme="minorHAnsi"/>
        </w:rPr>
        <w:t>16 of specific obligations in relation to the enforcement of the FW</w:t>
      </w:r>
      <w:r w:rsidR="005C2643">
        <w:rPr>
          <w:rFonts w:cstheme="minorHAnsi"/>
        </w:rPr>
        <w:t> </w:t>
      </w:r>
      <w:r>
        <w:rPr>
          <w:rFonts w:cstheme="minorHAnsi"/>
        </w:rPr>
        <w:t xml:space="preserve">Act’s provisions in relation to wages and entitlements, and in relation to the </w:t>
      </w:r>
      <w:r w:rsidR="00113E16" w:rsidRPr="00EE0A20">
        <w:rPr>
          <w:rFonts w:cstheme="minorHAnsi"/>
        </w:rPr>
        <w:t>‘</w:t>
      </w:r>
      <w:r>
        <w:rPr>
          <w:rFonts w:cstheme="minorHAnsi"/>
        </w:rPr>
        <w:t>proportionate</w:t>
      </w:r>
      <w:r w:rsidR="00113E16" w:rsidRPr="00EE0A20">
        <w:rPr>
          <w:rFonts w:cstheme="minorHAnsi"/>
        </w:rPr>
        <w:t>’</w:t>
      </w:r>
      <w:r>
        <w:rPr>
          <w:rFonts w:cstheme="minorHAnsi"/>
        </w:rPr>
        <w:t xml:space="preserve"> distribution of </w:t>
      </w:r>
      <w:r w:rsidR="00113E16" w:rsidRPr="00EE0A20">
        <w:rPr>
          <w:rFonts w:cstheme="minorHAnsi"/>
        </w:rPr>
        <w:t>the</w:t>
      </w:r>
      <w:r w:rsidRPr="00EE0A20">
        <w:rPr>
          <w:rFonts w:cstheme="minorHAnsi"/>
        </w:rPr>
        <w:t xml:space="preserve"> </w:t>
      </w:r>
      <w:r>
        <w:rPr>
          <w:rFonts w:cstheme="minorHAnsi"/>
        </w:rPr>
        <w:t xml:space="preserve">ABCC’s resources, </w:t>
      </w:r>
      <w:r w:rsidR="00F63D52">
        <w:rPr>
          <w:rFonts w:cstheme="minorHAnsi"/>
        </w:rPr>
        <w:t xml:space="preserve">could lead to a reduced focus on what </w:t>
      </w:r>
      <w:r w:rsidR="00480A7F">
        <w:rPr>
          <w:rFonts w:cstheme="minorHAnsi"/>
        </w:rPr>
        <w:t>were</w:t>
      </w:r>
      <w:r w:rsidR="00FD266C">
        <w:rPr>
          <w:rFonts w:cstheme="minorHAnsi"/>
        </w:rPr>
        <w:t xml:space="preserve"> seen</w:t>
      </w:r>
      <w:r w:rsidR="00F63D52">
        <w:rPr>
          <w:rFonts w:cstheme="minorHAnsi"/>
        </w:rPr>
        <w:t xml:space="preserve"> as </w:t>
      </w:r>
      <w:r w:rsidR="00113E16" w:rsidRPr="00EE0A20">
        <w:rPr>
          <w:rFonts w:cstheme="minorHAnsi"/>
        </w:rPr>
        <w:t>the</w:t>
      </w:r>
      <w:r w:rsidR="00F63D52" w:rsidRPr="00EE0A20">
        <w:rPr>
          <w:rFonts w:cstheme="minorHAnsi"/>
        </w:rPr>
        <w:t xml:space="preserve"> </w:t>
      </w:r>
      <w:r w:rsidR="00F876AB">
        <w:rPr>
          <w:rFonts w:cstheme="minorHAnsi"/>
        </w:rPr>
        <w:t>ABCC’s</w:t>
      </w:r>
      <w:r w:rsidR="00F63D52">
        <w:rPr>
          <w:rFonts w:cstheme="minorHAnsi"/>
        </w:rPr>
        <w:t xml:space="preserve"> core functions</w:t>
      </w:r>
      <w:r w:rsidR="00F91CAA">
        <w:rPr>
          <w:rFonts w:cstheme="minorHAnsi"/>
        </w:rPr>
        <w:t xml:space="preserve">. </w:t>
      </w:r>
      <w:r w:rsidR="00F876AB">
        <w:rPr>
          <w:rFonts w:cstheme="minorHAnsi"/>
        </w:rPr>
        <w:t xml:space="preserve">It </w:t>
      </w:r>
      <w:r w:rsidR="00832E31">
        <w:rPr>
          <w:rFonts w:cstheme="minorHAnsi"/>
        </w:rPr>
        <w:t>was also</w:t>
      </w:r>
      <w:r w:rsidR="00F63D52">
        <w:rPr>
          <w:rFonts w:cstheme="minorHAnsi"/>
        </w:rPr>
        <w:t xml:space="preserve"> suggested that the ABCC was likely to be less effective in carrying out some of these additional functions, notably in relation to wages and entitlements, than other entities</w:t>
      </w:r>
      <w:r w:rsidR="00480A7F">
        <w:rPr>
          <w:rFonts w:cstheme="minorHAnsi"/>
        </w:rPr>
        <w:t xml:space="preserve"> such as </w:t>
      </w:r>
      <w:r w:rsidR="00113E16" w:rsidRPr="00EE0A20">
        <w:rPr>
          <w:rFonts w:cstheme="minorHAnsi"/>
        </w:rPr>
        <w:t xml:space="preserve">the </w:t>
      </w:r>
      <w:r w:rsidR="00480A7F">
        <w:rPr>
          <w:rFonts w:cstheme="minorHAnsi"/>
        </w:rPr>
        <w:t>FWO</w:t>
      </w:r>
      <w:r w:rsidR="00F91CAA">
        <w:rPr>
          <w:rFonts w:cstheme="minorHAnsi"/>
        </w:rPr>
        <w:t xml:space="preserve">. </w:t>
      </w:r>
      <w:r w:rsidR="00FD266C">
        <w:rPr>
          <w:rFonts w:cstheme="minorHAnsi"/>
        </w:rPr>
        <w:t xml:space="preserve">Thus, it was argued that these functions should, instead, be allocated </w:t>
      </w:r>
      <w:r w:rsidR="004F003D">
        <w:rPr>
          <w:rFonts w:cstheme="minorHAnsi"/>
          <w:color w:val="000000"/>
          <w:szCs w:val="20"/>
        </w:rPr>
        <w:t xml:space="preserve">to other, </w:t>
      </w:r>
      <w:r w:rsidR="00113E16" w:rsidRPr="00EE0A20">
        <w:rPr>
          <w:rFonts w:cstheme="minorHAnsi"/>
          <w:color w:val="000000"/>
          <w:szCs w:val="20"/>
        </w:rPr>
        <w:t>‘</w:t>
      </w:r>
      <w:r w:rsidR="004C6881" w:rsidRPr="00F876AB">
        <w:rPr>
          <w:rFonts w:cstheme="minorHAnsi"/>
          <w:color w:val="000000"/>
          <w:szCs w:val="20"/>
        </w:rPr>
        <w:t>more appropriate</w:t>
      </w:r>
      <w:r w:rsidR="00113E16" w:rsidRPr="00EE0A20">
        <w:rPr>
          <w:rFonts w:cstheme="minorHAnsi"/>
          <w:color w:val="000000"/>
          <w:szCs w:val="20"/>
        </w:rPr>
        <w:t>’</w:t>
      </w:r>
      <w:r w:rsidR="004F003D">
        <w:rPr>
          <w:rFonts w:cstheme="minorHAnsi"/>
          <w:color w:val="000000"/>
          <w:szCs w:val="20"/>
        </w:rPr>
        <w:t xml:space="preserve"> regulators</w:t>
      </w:r>
      <w:r w:rsidR="00FD266C">
        <w:rPr>
          <w:rFonts w:cstheme="minorHAnsi"/>
          <w:color w:val="000000"/>
          <w:szCs w:val="20"/>
        </w:rPr>
        <w:t>, with</w:t>
      </w:r>
      <w:r w:rsidR="00480A7F">
        <w:rPr>
          <w:rFonts w:cstheme="minorHAnsi"/>
          <w:color w:val="000000"/>
          <w:szCs w:val="20"/>
        </w:rPr>
        <w:t xml:space="preserve"> </w:t>
      </w:r>
      <w:r w:rsidR="004F003D">
        <w:rPr>
          <w:rFonts w:cstheme="minorHAnsi"/>
          <w:color w:val="000000"/>
          <w:szCs w:val="20"/>
        </w:rPr>
        <w:t xml:space="preserve">the role of </w:t>
      </w:r>
      <w:r w:rsidR="00113E16" w:rsidRPr="00EE0A20">
        <w:rPr>
          <w:rFonts w:cstheme="minorHAnsi"/>
          <w:color w:val="000000"/>
          <w:szCs w:val="20"/>
        </w:rPr>
        <w:t>the</w:t>
      </w:r>
      <w:r w:rsidR="004F003D" w:rsidRPr="00EE0A20">
        <w:rPr>
          <w:rFonts w:cstheme="minorHAnsi"/>
          <w:color w:val="000000"/>
          <w:szCs w:val="20"/>
        </w:rPr>
        <w:t xml:space="preserve"> </w:t>
      </w:r>
      <w:r w:rsidR="004F003D">
        <w:rPr>
          <w:rFonts w:cstheme="minorHAnsi"/>
          <w:color w:val="000000"/>
          <w:szCs w:val="20"/>
        </w:rPr>
        <w:t xml:space="preserve">ABCC </w:t>
      </w:r>
      <w:r w:rsidR="00FD266C">
        <w:rPr>
          <w:rFonts w:cstheme="minorHAnsi"/>
          <w:color w:val="000000"/>
          <w:szCs w:val="20"/>
        </w:rPr>
        <w:t xml:space="preserve">being restricted to </w:t>
      </w:r>
      <w:r w:rsidR="004F003D">
        <w:rPr>
          <w:rFonts w:cstheme="minorHAnsi"/>
          <w:color w:val="000000"/>
          <w:szCs w:val="20"/>
        </w:rPr>
        <w:t xml:space="preserve">those </w:t>
      </w:r>
      <w:r w:rsidR="00A66E92">
        <w:rPr>
          <w:rFonts w:cstheme="minorHAnsi"/>
          <w:color w:val="000000"/>
          <w:szCs w:val="20"/>
        </w:rPr>
        <w:t>functions that derive specifically from the BCIIP</w:t>
      </w:r>
      <w:r w:rsidR="007B0A54">
        <w:rPr>
          <w:rFonts w:cstheme="minorHAnsi"/>
          <w:color w:val="000000"/>
          <w:szCs w:val="20"/>
        </w:rPr>
        <w:t> </w:t>
      </w:r>
      <w:r w:rsidR="00A66E92">
        <w:rPr>
          <w:rFonts w:cstheme="minorHAnsi"/>
          <w:color w:val="000000"/>
          <w:szCs w:val="20"/>
        </w:rPr>
        <w:t xml:space="preserve">Act and </w:t>
      </w:r>
      <w:r w:rsidR="007B0A54">
        <w:rPr>
          <w:rFonts w:cstheme="minorHAnsi"/>
          <w:color w:val="000000"/>
          <w:szCs w:val="20"/>
        </w:rPr>
        <w:t>2016 </w:t>
      </w:r>
      <w:r w:rsidR="00A66E92">
        <w:rPr>
          <w:rFonts w:cstheme="minorHAnsi"/>
          <w:color w:val="000000"/>
          <w:szCs w:val="20"/>
        </w:rPr>
        <w:t>Code</w:t>
      </w:r>
      <w:r w:rsidR="004F003D">
        <w:rPr>
          <w:rFonts w:cstheme="minorHAnsi"/>
          <w:color w:val="000000"/>
          <w:szCs w:val="20"/>
        </w:rPr>
        <w:t xml:space="preserve">, including those </w:t>
      </w:r>
      <w:r w:rsidR="00A66E92">
        <w:rPr>
          <w:rFonts w:cstheme="minorHAnsi"/>
          <w:color w:val="000000"/>
          <w:szCs w:val="20"/>
        </w:rPr>
        <w:t xml:space="preserve">relating to </w:t>
      </w:r>
      <w:bookmarkStart w:id="95" w:name="_Hlk522709097"/>
      <w:r w:rsidR="00A66E92">
        <w:rPr>
          <w:rFonts w:cstheme="minorHAnsi"/>
          <w:color w:val="000000"/>
          <w:szCs w:val="20"/>
        </w:rPr>
        <w:t>freedom of association, enterprise bargaining, right of entry, industrial action and coercion</w:t>
      </w:r>
      <w:bookmarkEnd w:id="95"/>
      <w:r w:rsidR="00A66E92">
        <w:rPr>
          <w:rFonts w:cstheme="minorHAnsi"/>
          <w:color w:val="000000"/>
          <w:szCs w:val="20"/>
        </w:rPr>
        <w:t>.</w:t>
      </w:r>
    </w:p>
    <w:p w14:paraId="3BFD0C6F" w14:textId="1E8908BA" w:rsidR="00FD266C" w:rsidRPr="009D5529" w:rsidRDefault="00480A7F" w:rsidP="00B97E9E">
      <w:pPr>
        <w:spacing w:before="200" w:after="200" w:line="276" w:lineRule="auto"/>
        <w:rPr>
          <w:color w:val="000000"/>
        </w:rPr>
      </w:pPr>
      <w:r>
        <w:rPr>
          <w:rFonts w:cstheme="minorHAnsi"/>
        </w:rPr>
        <w:t>As noted above,</w:t>
      </w:r>
      <w:r w:rsidR="00FD266C">
        <w:rPr>
          <w:rFonts w:cstheme="minorHAnsi"/>
        </w:rPr>
        <w:t xml:space="preserve"> the terms of reference for the review require an assessment of the performance of the ABCC as a </w:t>
      </w:r>
      <w:r>
        <w:rPr>
          <w:rFonts w:cstheme="minorHAnsi"/>
        </w:rPr>
        <w:t>full-service</w:t>
      </w:r>
      <w:r w:rsidR="00FD266C">
        <w:rPr>
          <w:rFonts w:cstheme="minorHAnsi"/>
        </w:rPr>
        <w:t xml:space="preserve"> regulator, </w:t>
      </w:r>
      <w:r w:rsidR="00831196">
        <w:rPr>
          <w:rFonts w:cstheme="minorHAnsi"/>
        </w:rPr>
        <w:t>rather than of the policy merits of this function</w:t>
      </w:r>
      <w:r w:rsidR="00F91CAA">
        <w:rPr>
          <w:rFonts w:cstheme="minorHAnsi"/>
        </w:rPr>
        <w:t xml:space="preserve">. </w:t>
      </w:r>
      <w:r w:rsidR="00831196">
        <w:rPr>
          <w:rFonts w:cstheme="minorHAnsi"/>
        </w:rPr>
        <w:t xml:space="preserve">This latter issue is therefore </w:t>
      </w:r>
      <w:r w:rsidR="00FD266C">
        <w:rPr>
          <w:rFonts w:cstheme="minorHAnsi"/>
        </w:rPr>
        <w:t xml:space="preserve">beyond the scope of the review </w:t>
      </w:r>
      <w:r w:rsidR="00831196">
        <w:rPr>
          <w:rFonts w:cstheme="minorHAnsi"/>
        </w:rPr>
        <w:t xml:space="preserve">and, consequently, </w:t>
      </w:r>
      <w:r w:rsidR="00FD266C">
        <w:rPr>
          <w:rFonts w:cstheme="minorHAnsi"/>
        </w:rPr>
        <w:t xml:space="preserve">will not be discussed further. </w:t>
      </w:r>
    </w:p>
    <w:p w14:paraId="75D2CD98" w14:textId="77777777" w:rsidR="00832E31" w:rsidRPr="00B97E9E" w:rsidRDefault="00832E31" w:rsidP="00B97E9E">
      <w:pPr>
        <w:pStyle w:val="Heading3"/>
      </w:pPr>
      <w:bookmarkStart w:id="96" w:name="_Toc527633006"/>
      <w:r w:rsidRPr="00B97E9E">
        <w:t>ACTU submission</w:t>
      </w:r>
      <w:bookmarkEnd w:id="96"/>
    </w:p>
    <w:p w14:paraId="5E84F557" w14:textId="2FB44844" w:rsidR="0094421A" w:rsidRDefault="0037632A" w:rsidP="00B97E9E">
      <w:pPr>
        <w:spacing w:before="200" w:after="200" w:line="276" w:lineRule="auto"/>
        <w:rPr>
          <w:rFonts w:cstheme="minorHAnsi"/>
          <w:color w:val="000000"/>
        </w:rPr>
      </w:pPr>
      <w:r>
        <w:rPr>
          <w:rFonts w:cstheme="minorHAnsi"/>
          <w:color w:val="000000"/>
        </w:rPr>
        <w:t>T</w:t>
      </w:r>
      <w:r w:rsidR="00CA460B" w:rsidRPr="00CA460B">
        <w:rPr>
          <w:rFonts w:cstheme="minorHAnsi"/>
          <w:color w:val="000000"/>
        </w:rPr>
        <w:t xml:space="preserve">he ACTU submission argued strongly that the ABCC has not properly carried out its </w:t>
      </w:r>
      <w:r w:rsidR="00480A7F" w:rsidRPr="00CA460B">
        <w:rPr>
          <w:rFonts w:cstheme="minorHAnsi"/>
          <w:color w:val="000000"/>
        </w:rPr>
        <w:t>full-service</w:t>
      </w:r>
      <w:r w:rsidR="00CA460B" w:rsidRPr="00CA460B">
        <w:rPr>
          <w:rFonts w:cstheme="minorHAnsi"/>
          <w:color w:val="000000"/>
        </w:rPr>
        <w:t xml:space="preserve"> regulator functions</w:t>
      </w:r>
      <w:r>
        <w:rPr>
          <w:rFonts w:cstheme="minorHAnsi"/>
          <w:color w:val="000000"/>
        </w:rPr>
        <w:t>, instead showing a strong bias toward investigating and prosecuting unions and workers, while giving little attention to wages and entitlements issues</w:t>
      </w:r>
      <w:r w:rsidR="00F91CAA">
        <w:rPr>
          <w:rFonts w:cstheme="minorHAnsi"/>
          <w:color w:val="000000"/>
        </w:rPr>
        <w:t xml:space="preserve">. </w:t>
      </w:r>
      <w:r w:rsidR="00A66AA5">
        <w:rPr>
          <w:rFonts w:cstheme="minorHAnsi"/>
          <w:color w:val="000000"/>
        </w:rPr>
        <w:t>The ACTU argues that legislative changes made at the time of the re</w:t>
      </w:r>
      <w:r>
        <w:rPr>
          <w:rFonts w:cstheme="minorHAnsi"/>
          <w:color w:val="000000"/>
        </w:rPr>
        <w:t>-</w:t>
      </w:r>
      <w:r w:rsidR="00827873">
        <w:rPr>
          <w:rFonts w:cstheme="minorHAnsi"/>
          <w:color w:val="000000"/>
        </w:rPr>
        <w:t xml:space="preserve">establishment </w:t>
      </w:r>
      <w:r w:rsidR="00A66AA5">
        <w:rPr>
          <w:rFonts w:cstheme="minorHAnsi"/>
          <w:color w:val="000000"/>
        </w:rPr>
        <w:t xml:space="preserve">of the ABCC in 2016 were intended to </w:t>
      </w:r>
      <w:r w:rsidR="00113E16" w:rsidRPr="00EE0A20">
        <w:rPr>
          <w:rFonts w:cstheme="minorHAnsi"/>
          <w:color w:val="000000"/>
        </w:rPr>
        <w:t>‘</w:t>
      </w:r>
      <w:r w:rsidR="00A66AA5">
        <w:rPr>
          <w:rFonts w:cstheme="minorHAnsi"/>
          <w:color w:val="000000"/>
        </w:rPr>
        <w:t>address its partisan and politicised operation</w:t>
      </w:r>
      <w:r w:rsidR="00113E16" w:rsidRPr="00EE0A20">
        <w:rPr>
          <w:rFonts w:cstheme="minorHAnsi"/>
          <w:color w:val="000000"/>
        </w:rPr>
        <w:t>.’</w:t>
      </w:r>
      <w:r w:rsidR="00A66AA5">
        <w:rPr>
          <w:rFonts w:cstheme="minorHAnsi"/>
          <w:color w:val="000000"/>
        </w:rPr>
        <w:t xml:space="preserve"> Three </w:t>
      </w:r>
      <w:r w:rsidR="00827873">
        <w:rPr>
          <w:rFonts w:cstheme="minorHAnsi"/>
          <w:color w:val="000000"/>
        </w:rPr>
        <w:t xml:space="preserve">non-Government </w:t>
      </w:r>
      <w:r w:rsidR="00A66AA5">
        <w:rPr>
          <w:rFonts w:cstheme="minorHAnsi"/>
          <w:color w:val="000000"/>
        </w:rPr>
        <w:t xml:space="preserve">amendments </w:t>
      </w:r>
      <w:r w:rsidR="00827873">
        <w:rPr>
          <w:rFonts w:cstheme="minorHAnsi"/>
          <w:color w:val="000000"/>
        </w:rPr>
        <w:t xml:space="preserve">agreed to </w:t>
      </w:r>
      <w:r w:rsidR="00A66AA5">
        <w:rPr>
          <w:rFonts w:cstheme="minorHAnsi"/>
          <w:color w:val="000000"/>
        </w:rPr>
        <w:t>during the passage of the BCIIP</w:t>
      </w:r>
      <w:r w:rsidR="005C2643">
        <w:rPr>
          <w:rFonts w:cstheme="minorHAnsi"/>
          <w:color w:val="000000"/>
        </w:rPr>
        <w:t> </w:t>
      </w:r>
      <w:r w:rsidR="00A66AA5">
        <w:rPr>
          <w:rFonts w:cstheme="minorHAnsi"/>
          <w:color w:val="000000"/>
        </w:rPr>
        <w:t>Act were nominated in this regard, as follows:</w:t>
      </w:r>
    </w:p>
    <w:p w14:paraId="785F79D9" w14:textId="3DAD7DF2" w:rsidR="00A66AA5" w:rsidRDefault="00A66AA5" w:rsidP="004F647D">
      <w:pPr>
        <w:pStyle w:val="ListBullet"/>
        <w:numPr>
          <w:ilvl w:val="0"/>
          <w:numId w:val="6"/>
        </w:numPr>
        <w:ind w:left="360"/>
        <w:rPr>
          <w:rFonts w:cstheme="minorHAnsi"/>
          <w:color w:val="000000"/>
        </w:rPr>
      </w:pPr>
      <w:r>
        <w:rPr>
          <w:rFonts w:cstheme="minorHAnsi"/>
          <w:color w:val="000000"/>
        </w:rPr>
        <w:t xml:space="preserve">the requirement that the policies and procedures adopted and resources allocated by the ABCC </w:t>
      </w:r>
      <w:r w:rsidR="00827873">
        <w:rPr>
          <w:rFonts w:cstheme="minorHAnsi"/>
          <w:color w:val="000000"/>
        </w:rPr>
        <w:t xml:space="preserve">for protecting and enforcing relevant rights and obligations </w:t>
      </w:r>
      <w:r>
        <w:rPr>
          <w:rFonts w:cstheme="minorHAnsi"/>
          <w:color w:val="000000"/>
        </w:rPr>
        <w:t xml:space="preserve">should be </w:t>
      </w:r>
      <w:r w:rsidR="00113E16" w:rsidRPr="00EE0A20">
        <w:rPr>
          <w:rFonts w:cstheme="minorHAnsi"/>
          <w:color w:val="000000"/>
        </w:rPr>
        <w:t>‘</w:t>
      </w:r>
      <w:r>
        <w:rPr>
          <w:rFonts w:cstheme="minorHAnsi"/>
          <w:color w:val="000000"/>
        </w:rPr>
        <w:t>reasonable and proportionate</w:t>
      </w:r>
      <w:r w:rsidR="00113E16" w:rsidRPr="00EE0A20">
        <w:rPr>
          <w:rFonts w:cstheme="minorHAnsi"/>
          <w:color w:val="000000"/>
        </w:rPr>
        <w:t>’</w:t>
      </w:r>
      <w:r>
        <w:rPr>
          <w:rFonts w:cstheme="minorHAnsi"/>
          <w:color w:val="000000"/>
        </w:rPr>
        <w:t xml:space="preserve"> in relation to the complaints received (</w:t>
      </w:r>
      <w:r w:rsidR="00E01867">
        <w:rPr>
          <w:rFonts w:cstheme="minorHAnsi"/>
          <w:color w:val="000000"/>
        </w:rPr>
        <w:t>subs</w:t>
      </w:r>
      <w:r>
        <w:rPr>
          <w:rFonts w:cstheme="minorHAnsi"/>
          <w:color w:val="000000"/>
        </w:rPr>
        <w:t>ection</w:t>
      </w:r>
      <w:r w:rsidR="00E01867">
        <w:rPr>
          <w:rFonts w:cstheme="minorHAnsi"/>
          <w:color w:val="000000"/>
        </w:rPr>
        <w:t> </w:t>
      </w:r>
      <w:r>
        <w:rPr>
          <w:rFonts w:cstheme="minorHAnsi"/>
          <w:color w:val="000000"/>
        </w:rPr>
        <w:t>16(2))</w:t>
      </w:r>
    </w:p>
    <w:p w14:paraId="01D26249" w14:textId="7BDD54B5" w:rsidR="005D3BA0" w:rsidRDefault="00A66AA5" w:rsidP="004F647D">
      <w:pPr>
        <w:pStyle w:val="ListBullet"/>
        <w:numPr>
          <w:ilvl w:val="0"/>
          <w:numId w:val="6"/>
        </w:numPr>
        <w:ind w:left="360"/>
        <w:rPr>
          <w:rFonts w:cstheme="minorHAnsi"/>
          <w:color w:val="000000"/>
        </w:rPr>
      </w:pPr>
      <w:r>
        <w:rPr>
          <w:rFonts w:cstheme="minorHAnsi"/>
          <w:color w:val="000000"/>
        </w:rPr>
        <w:lastRenderedPageBreak/>
        <w:t xml:space="preserve">the requirement </w:t>
      </w:r>
      <w:r w:rsidR="00827873">
        <w:rPr>
          <w:rFonts w:cstheme="minorHAnsi"/>
          <w:color w:val="000000"/>
        </w:rPr>
        <w:t xml:space="preserve">for the Minister to be satisfied </w:t>
      </w:r>
      <w:r>
        <w:rPr>
          <w:rFonts w:cstheme="minorHAnsi"/>
          <w:color w:val="000000"/>
        </w:rPr>
        <w:t xml:space="preserve">that </w:t>
      </w:r>
      <w:r w:rsidR="00827873">
        <w:rPr>
          <w:rFonts w:cstheme="minorHAnsi"/>
          <w:color w:val="000000"/>
        </w:rPr>
        <w:t xml:space="preserve">a person he or she proposes to appoint as </w:t>
      </w:r>
      <w:r w:rsidR="007B23BE">
        <w:rPr>
          <w:rFonts w:cstheme="minorHAnsi"/>
          <w:color w:val="000000"/>
        </w:rPr>
        <w:t>ABC </w:t>
      </w:r>
      <w:r>
        <w:rPr>
          <w:rFonts w:cstheme="minorHAnsi"/>
          <w:color w:val="000000"/>
        </w:rPr>
        <w:t xml:space="preserve">Commissioner </w:t>
      </w:r>
      <w:r w:rsidR="00827873">
        <w:rPr>
          <w:rFonts w:cstheme="minorHAnsi"/>
          <w:color w:val="000000"/>
        </w:rPr>
        <w:t xml:space="preserve">will </w:t>
      </w:r>
      <w:r>
        <w:rPr>
          <w:rFonts w:cstheme="minorHAnsi"/>
          <w:color w:val="000000"/>
        </w:rPr>
        <w:t xml:space="preserve">perform </w:t>
      </w:r>
      <w:r w:rsidR="00827873">
        <w:rPr>
          <w:rFonts w:cstheme="minorHAnsi"/>
          <w:color w:val="000000"/>
        </w:rPr>
        <w:t xml:space="preserve">his or her </w:t>
      </w:r>
      <w:r>
        <w:rPr>
          <w:rFonts w:cstheme="minorHAnsi"/>
          <w:color w:val="000000"/>
        </w:rPr>
        <w:t xml:space="preserve">functions in an apolitical manner </w:t>
      </w:r>
      <w:r w:rsidR="00827873">
        <w:rPr>
          <w:rFonts w:cstheme="minorHAnsi"/>
          <w:color w:val="000000"/>
        </w:rPr>
        <w:t xml:space="preserve">and act impartially and professionally </w:t>
      </w:r>
      <w:r>
        <w:rPr>
          <w:rFonts w:cstheme="minorHAnsi"/>
          <w:color w:val="000000"/>
        </w:rPr>
        <w:t>(</w:t>
      </w:r>
      <w:r w:rsidR="00E01867">
        <w:rPr>
          <w:rFonts w:cstheme="minorHAnsi"/>
          <w:color w:val="000000"/>
        </w:rPr>
        <w:t>subs</w:t>
      </w:r>
      <w:r>
        <w:rPr>
          <w:rFonts w:cstheme="minorHAnsi"/>
          <w:color w:val="000000"/>
        </w:rPr>
        <w:t>ection</w:t>
      </w:r>
      <w:r w:rsidR="00E01867">
        <w:rPr>
          <w:rFonts w:cstheme="minorHAnsi"/>
          <w:color w:val="000000"/>
        </w:rPr>
        <w:t> </w:t>
      </w:r>
      <w:r>
        <w:rPr>
          <w:rFonts w:cstheme="minorHAnsi"/>
          <w:color w:val="000000"/>
        </w:rPr>
        <w:t>21(3)(c)</w:t>
      </w:r>
      <w:r>
        <w:rPr>
          <w:rStyle w:val="FootnoteReference"/>
          <w:rFonts w:cstheme="minorHAnsi"/>
          <w:color w:val="000000"/>
        </w:rPr>
        <w:footnoteReference w:id="10"/>
      </w:r>
      <w:r>
        <w:rPr>
          <w:rFonts w:cstheme="minorHAnsi"/>
          <w:color w:val="000000"/>
        </w:rPr>
        <w:t>)</w:t>
      </w:r>
    </w:p>
    <w:p w14:paraId="7F114616" w14:textId="4F3176E5" w:rsidR="00A66AA5" w:rsidRDefault="00A66AA5" w:rsidP="004F647D">
      <w:pPr>
        <w:pStyle w:val="ListBullet"/>
        <w:numPr>
          <w:ilvl w:val="0"/>
          <w:numId w:val="6"/>
        </w:numPr>
        <w:ind w:left="360"/>
        <w:rPr>
          <w:rFonts w:cstheme="minorHAnsi"/>
          <w:color w:val="000000"/>
        </w:rPr>
      </w:pPr>
      <w:r>
        <w:rPr>
          <w:rFonts w:cstheme="minorHAnsi"/>
          <w:color w:val="000000"/>
        </w:rPr>
        <w:t xml:space="preserve">additional reporting requirements to enable assessments to be made of the ABCC and the </w:t>
      </w:r>
      <w:r w:rsidR="007B23BE">
        <w:rPr>
          <w:rFonts w:cstheme="minorHAnsi"/>
          <w:color w:val="000000"/>
        </w:rPr>
        <w:t>ABC </w:t>
      </w:r>
      <w:r>
        <w:rPr>
          <w:rFonts w:cstheme="minorHAnsi"/>
          <w:color w:val="000000"/>
        </w:rPr>
        <w:t>Commissioner’s performance against these requirements</w:t>
      </w:r>
    </w:p>
    <w:p w14:paraId="1719405C" w14:textId="43346CE7" w:rsidR="00A66AA5" w:rsidRPr="00A66AA5" w:rsidRDefault="00A66AA5" w:rsidP="00B97E9E">
      <w:pPr>
        <w:spacing w:before="200" w:after="200" w:line="276" w:lineRule="auto"/>
        <w:rPr>
          <w:rFonts w:cstheme="minorHAnsi"/>
          <w:color w:val="000000"/>
        </w:rPr>
      </w:pPr>
      <w:r w:rsidRPr="00A66AA5">
        <w:rPr>
          <w:rFonts w:cstheme="minorHAnsi"/>
          <w:color w:val="000000"/>
        </w:rPr>
        <w:t>The</w:t>
      </w:r>
      <w:r>
        <w:rPr>
          <w:rFonts w:cstheme="minorHAnsi"/>
          <w:color w:val="000000"/>
        </w:rPr>
        <w:t xml:space="preserve"> ACTU </w:t>
      </w:r>
      <w:r w:rsidRPr="00A66AA5">
        <w:rPr>
          <w:rFonts w:cstheme="minorHAnsi"/>
          <w:color w:val="000000"/>
        </w:rPr>
        <w:t>argues that</w:t>
      </w:r>
      <w:r>
        <w:rPr>
          <w:rFonts w:cstheme="minorHAnsi"/>
          <w:color w:val="000000"/>
        </w:rPr>
        <w:t xml:space="preserve">, despite these amendments, the </w:t>
      </w:r>
      <w:r w:rsidR="004F0F3B">
        <w:rPr>
          <w:rFonts w:cstheme="minorHAnsi"/>
          <w:color w:val="000000"/>
        </w:rPr>
        <w:t xml:space="preserve">ABCC </w:t>
      </w:r>
      <w:r>
        <w:rPr>
          <w:rFonts w:cstheme="minorHAnsi"/>
          <w:color w:val="000000"/>
        </w:rPr>
        <w:t xml:space="preserve">continues to prioritise the interests of building employers ahead of unions and workers and is, therefore, manifestly failing to perform its </w:t>
      </w:r>
      <w:r w:rsidR="00480A7F">
        <w:rPr>
          <w:rFonts w:cstheme="minorHAnsi"/>
          <w:color w:val="000000"/>
        </w:rPr>
        <w:t>full-service</w:t>
      </w:r>
      <w:r>
        <w:rPr>
          <w:rFonts w:cstheme="minorHAnsi"/>
          <w:color w:val="000000"/>
        </w:rPr>
        <w:t xml:space="preserve"> regulator function.</w:t>
      </w:r>
    </w:p>
    <w:p w14:paraId="6D4BC70E" w14:textId="06521D0E" w:rsidR="00B467D9" w:rsidRDefault="00C0621C" w:rsidP="00B97E9E">
      <w:pPr>
        <w:spacing w:before="200" w:after="200" w:line="276" w:lineRule="auto"/>
        <w:rPr>
          <w:rFonts w:cstheme="minorHAnsi"/>
          <w:color w:val="000000"/>
          <w:szCs w:val="20"/>
        </w:rPr>
      </w:pPr>
      <w:r>
        <w:rPr>
          <w:rFonts w:cstheme="minorHAnsi"/>
          <w:color w:val="000000"/>
          <w:szCs w:val="20"/>
        </w:rPr>
        <w:t xml:space="preserve">In relation to the </w:t>
      </w:r>
      <w:r w:rsidR="00113E16" w:rsidRPr="00EE0A20">
        <w:rPr>
          <w:rFonts w:cstheme="minorHAnsi"/>
          <w:color w:val="000000"/>
          <w:szCs w:val="20"/>
        </w:rPr>
        <w:t>‘</w:t>
      </w:r>
      <w:r>
        <w:rPr>
          <w:rFonts w:cstheme="minorHAnsi"/>
          <w:color w:val="000000"/>
          <w:szCs w:val="20"/>
        </w:rPr>
        <w:t>reasonable and proportionate balance</w:t>
      </w:r>
      <w:r w:rsidR="00113E16" w:rsidRPr="00EE0A20">
        <w:rPr>
          <w:rFonts w:cstheme="minorHAnsi"/>
          <w:color w:val="000000"/>
          <w:szCs w:val="20"/>
        </w:rPr>
        <w:t>’</w:t>
      </w:r>
      <w:r>
        <w:rPr>
          <w:rFonts w:cstheme="minorHAnsi"/>
          <w:color w:val="000000"/>
          <w:szCs w:val="20"/>
        </w:rPr>
        <w:t xml:space="preserve"> requirement, the ACTU argue</w:t>
      </w:r>
      <w:r w:rsidR="00FE4B95">
        <w:rPr>
          <w:rFonts w:cstheme="minorHAnsi"/>
          <w:color w:val="000000"/>
          <w:szCs w:val="20"/>
        </w:rPr>
        <w:t>d</w:t>
      </w:r>
      <w:r>
        <w:rPr>
          <w:rFonts w:cstheme="minorHAnsi"/>
          <w:color w:val="000000"/>
          <w:szCs w:val="20"/>
        </w:rPr>
        <w:t xml:space="preserve"> that wages and entitlements and misclassification/sham contracting investigations</w:t>
      </w:r>
      <w:r w:rsidR="003D0E2B">
        <w:rPr>
          <w:rFonts w:cstheme="minorHAnsi"/>
          <w:color w:val="000000"/>
          <w:szCs w:val="20"/>
        </w:rPr>
        <w:t xml:space="preserve"> together</w:t>
      </w:r>
      <w:r>
        <w:rPr>
          <w:rFonts w:cstheme="minorHAnsi"/>
          <w:color w:val="000000"/>
          <w:szCs w:val="20"/>
        </w:rPr>
        <w:t xml:space="preserve"> constitute only a minority</w:t>
      </w:r>
      <w:r w:rsidR="0011411A">
        <w:rPr>
          <w:rFonts w:cstheme="minorHAnsi"/>
          <w:color w:val="000000"/>
          <w:szCs w:val="20"/>
        </w:rPr>
        <w:t xml:space="preserve"> of open investigations identified in the most recent ABCC</w:t>
      </w:r>
      <w:r w:rsidR="003D0E2B">
        <w:rPr>
          <w:rFonts w:cstheme="minorHAnsi"/>
          <w:color w:val="000000"/>
          <w:szCs w:val="20"/>
        </w:rPr>
        <w:t xml:space="preserve"> quarterly report (covering </w:t>
      </w:r>
      <w:r w:rsidR="00DB1432">
        <w:rPr>
          <w:rFonts w:cstheme="minorHAnsi"/>
          <w:color w:val="000000"/>
          <w:szCs w:val="20"/>
        </w:rPr>
        <w:t>1</w:t>
      </w:r>
      <w:r w:rsidR="00113E16" w:rsidRPr="00EE0A20">
        <w:rPr>
          <w:rFonts w:cstheme="minorHAnsi"/>
          <w:color w:val="000000"/>
          <w:szCs w:val="20"/>
        </w:rPr>
        <w:t> </w:t>
      </w:r>
      <w:r w:rsidR="003D0E2B">
        <w:rPr>
          <w:rFonts w:cstheme="minorHAnsi"/>
          <w:color w:val="000000"/>
          <w:szCs w:val="20"/>
        </w:rPr>
        <w:t>July</w:t>
      </w:r>
      <w:r w:rsidR="00113E16" w:rsidRPr="00EE0A20">
        <w:rPr>
          <w:rFonts w:cstheme="minorHAnsi"/>
          <w:color w:val="000000"/>
          <w:szCs w:val="20"/>
        </w:rPr>
        <w:t> – </w:t>
      </w:r>
      <w:r w:rsidR="003D0E2B">
        <w:rPr>
          <w:rFonts w:cstheme="minorHAnsi"/>
          <w:color w:val="000000"/>
          <w:szCs w:val="20"/>
        </w:rPr>
        <w:t>30</w:t>
      </w:r>
      <w:r w:rsidR="00113E16" w:rsidRPr="00EE0A20">
        <w:rPr>
          <w:rFonts w:cstheme="minorHAnsi"/>
          <w:color w:val="000000"/>
          <w:szCs w:val="20"/>
        </w:rPr>
        <w:t> </w:t>
      </w:r>
      <w:r w:rsidR="003D0E2B">
        <w:rPr>
          <w:rFonts w:cstheme="minorHAnsi"/>
          <w:color w:val="000000"/>
          <w:szCs w:val="20"/>
        </w:rPr>
        <w:t>September</w:t>
      </w:r>
      <w:r w:rsidR="00113E16" w:rsidRPr="00EE0A20">
        <w:rPr>
          <w:rFonts w:cstheme="minorHAnsi"/>
          <w:color w:val="000000"/>
          <w:szCs w:val="20"/>
        </w:rPr>
        <w:t> </w:t>
      </w:r>
      <w:r w:rsidR="003D0E2B">
        <w:rPr>
          <w:rFonts w:cstheme="minorHAnsi"/>
          <w:color w:val="000000"/>
          <w:szCs w:val="20"/>
        </w:rPr>
        <w:t xml:space="preserve">2017), accounting for 24.39 </w:t>
      </w:r>
      <w:r w:rsidR="00113E16" w:rsidRPr="00EE0A20">
        <w:rPr>
          <w:rFonts w:cstheme="minorHAnsi"/>
          <w:color w:val="000000"/>
          <w:szCs w:val="20"/>
        </w:rPr>
        <w:t>per cent</w:t>
      </w:r>
      <w:r w:rsidR="003D0E2B" w:rsidRPr="00EE0A20">
        <w:rPr>
          <w:rFonts w:cstheme="minorHAnsi"/>
          <w:color w:val="000000"/>
          <w:szCs w:val="20"/>
        </w:rPr>
        <w:t xml:space="preserve"> </w:t>
      </w:r>
      <w:r w:rsidR="003D0E2B">
        <w:rPr>
          <w:rFonts w:cstheme="minorHAnsi"/>
          <w:color w:val="000000"/>
          <w:szCs w:val="20"/>
        </w:rPr>
        <w:t xml:space="preserve">and 7.32 </w:t>
      </w:r>
      <w:r w:rsidR="00113E16" w:rsidRPr="00EE0A20">
        <w:rPr>
          <w:rFonts w:cstheme="minorHAnsi"/>
          <w:color w:val="000000"/>
          <w:szCs w:val="20"/>
        </w:rPr>
        <w:t>per cent</w:t>
      </w:r>
      <w:r w:rsidR="003D0E2B" w:rsidRPr="00EE0A20">
        <w:rPr>
          <w:rFonts w:cstheme="minorHAnsi"/>
          <w:color w:val="000000"/>
          <w:szCs w:val="20"/>
        </w:rPr>
        <w:t xml:space="preserve"> </w:t>
      </w:r>
      <w:r w:rsidR="003D0E2B">
        <w:rPr>
          <w:rFonts w:cstheme="minorHAnsi"/>
          <w:color w:val="000000"/>
          <w:szCs w:val="20"/>
        </w:rPr>
        <w:t xml:space="preserve">respectively of the total number of examinations underway. Moreover, none of the five examination notices issued during the period related to these issues, while </w:t>
      </w:r>
      <w:r w:rsidR="00793779">
        <w:rPr>
          <w:rFonts w:cstheme="minorHAnsi"/>
          <w:color w:val="000000"/>
          <w:szCs w:val="20"/>
        </w:rPr>
        <w:t>both proceedings</w:t>
      </w:r>
      <w:r w:rsidR="003D0E2B">
        <w:rPr>
          <w:rFonts w:cstheme="minorHAnsi"/>
          <w:color w:val="000000"/>
          <w:szCs w:val="20"/>
        </w:rPr>
        <w:t xml:space="preserve"> commenced during the period were issued against </w:t>
      </w:r>
      <w:r w:rsidR="00A44E36">
        <w:rPr>
          <w:rFonts w:cstheme="minorHAnsi"/>
          <w:bCs/>
        </w:rPr>
        <w:t>Construction, Forestry, Mining and Energy Union (</w:t>
      </w:r>
      <w:r w:rsidR="003D0E2B">
        <w:rPr>
          <w:rFonts w:cstheme="minorHAnsi"/>
          <w:color w:val="000000"/>
          <w:szCs w:val="20"/>
        </w:rPr>
        <w:t>CFMEU</w:t>
      </w:r>
      <w:r w:rsidR="00A44E36">
        <w:rPr>
          <w:rFonts w:cstheme="minorHAnsi"/>
          <w:color w:val="000000"/>
          <w:szCs w:val="20"/>
        </w:rPr>
        <w:t>)</w:t>
      </w:r>
      <w:r w:rsidR="003D0E2B">
        <w:rPr>
          <w:rFonts w:cstheme="minorHAnsi"/>
          <w:color w:val="000000"/>
          <w:szCs w:val="20"/>
        </w:rPr>
        <w:t xml:space="preserve"> officials. This was said to constitute a consistent trend and equivalent figures for the previous quarter were also cited</w:t>
      </w:r>
      <w:r w:rsidR="00B467D9">
        <w:rPr>
          <w:rFonts w:cstheme="minorHAnsi"/>
          <w:color w:val="000000"/>
          <w:szCs w:val="20"/>
        </w:rPr>
        <w:t xml:space="preserve">, as was a statement by the then </w:t>
      </w:r>
      <w:r w:rsidR="00113E16" w:rsidRPr="00E732BC">
        <w:rPr>
          <w:rFonts w:cstheme="minorHAnsi"/>
          <w:color w:val="000000"/>
          <w:szCs w:val="20"/>
        </w:rPr>
        <w:t>ABC </w:t>
      </w:r>
      <w:r w:rsidR="00B467D9">
        <w:rPr>
          <w:rFonts w:cstheme="minorHAnsi"/>
          <w:color w:val="000000"/>
          <w:szCs w:val="20"/>
        </w:rPr>
        <w:t>Commissioner (Mr</w:t>
      </w:r>
      <w:r w:rsidR="00113E16" w:rsidRPr="00E732BC">
        <w:rPr>
          <w:rFonts w:cstheme="minorHAnsi"/>
          <w:color w:val="000000"/>
          <w:szCs w:val="20"/>
        </w:rPr>
        <w:t> </w:t>
      </w:r>
      <w:proofErr w:type="spellStart"/>
      <w:r w:rsidR="00B467D9">
        <w:rPr>
          <w:rFonts w:cstheme="minorHAnsi"/>
          <w:color w:val="000000"/>
          <w:szCs w:val="20"/>
        </w:rPr>
        <w:t>Hadgkiss</w:t>
      </w:r>
      <w:proofErr w:type="spellEnd"/>
      <w:r w:rsidR="00B467D9">
        <w:rPr>
          <w:rFonts w:cstheme="minorHAnsi"/>
          <w:color w:val="000000"/>
          <w:szCs w:val="20"/>
        </w:rPr>
        <w:t>) at</w:t>
      </w:r>
      <w:r w:rsidR="003D0E2B" w:rsidRPr="00832E31">
        <w:rPr>
          <w:rFonts w:cstheme="minorHAnsi"/>
          <w:color w:val="000000"/>
          <w:szCs w:val="20"/>
        </w:rPr>
        <w:t xml:space="preserve"> a Senate Estimates hearing on 2</w:t>
      </w:r>
      <w:r w:rsidR="00113E16" w:rsidRPr="00EE0A20">
        <w:rPr>
          <w:rFonts w:cstheme="minorHAnsi"/>
          <w:color w:val="000000"/>
          <w:szCs w:val="20"/>
        </w:rPr>
        <w:t> </w:t>
      </w:r>
      <w:r w:rsidR="003D0E2B" w:rsidRPr="00832E31">
        <w:rPr>
          <w:rFonts w:cstheme="minorHAnsi"/>
          <w:color w:val="000000"/>
          <w:szCs w:val="20"/>
        </w:rPr>
        <w:t>March</w:t>
      </w:r>
      <w:r w:rsidR="00113E16" w:rsidRPr="00EE0A20">
        <w:rPr>
          <w:rFonts w:cstheme="minorHAnsi"/>
          <w:color w:val="000000"/>
          <w:szCs w:val="20"/>
        </w:rPr>
        <w:t> </w:t>
      </w:r>
      <w:r w:rsidR="003D0E2B" w:rsidRPr="00832E31">
        <w:rPr>
          <w:rFonts w:cstheme="minorHAnsi"/>
          <w:color w:val="000000"/>
          <w:szCs w:val="20"/>
        </w:rPr>
        <w:t xml:space="preserve">2017, </w:t>
      </w:r>
      <w:r w:rsidR="00B467D9">
        <w:rPr>
          <w:rFonts w:cstheme="minorHAnsi"/>
          <w:color w:val="000000"/>
          <w:szCs w:val="20"/>
        </w:rPr>
        <w:t xml:space="preserve">which indicated </w:t>
      </w:r>
      <w:r w:rsidR="00832E31">
        <w:rPr>
          <w:rFonts w:cstheme="minorHAnsi"/>
          <w:color w:val="000000"/>
          <w:szCs w:val="20"/>
        </w:rPr>
        <w:t>t</w:t>
      </w:r>
      <w:r w:rsidR="003D0E2B" w:rsidRPr="00832E31">
        <w:rPr>
          <w:rFonts w:cstheme="minorHAnsi"/>
          <w:color w:val="000000"/>
          <w:szCs w:val="20"/>
        </w:rPr>
        <w:t>hat the CFMEU was the respondent in 57</w:t>
      </w:r>
      <w:r w:rsidR="00113E16" w:rsidRPr="00EE0A20">
        <w:rPr>
          <w:rFonts w:cstheme="minorHAnsi"/>
          <w:color w:val="000000"/>
          <w:szCs w:val="20"/>
        </w:rPr>
        <w:t> </w:t>
      </w:r>
      <w:r w:rsidR="003D0E2B" w:rsidRPr="00832E31">
        <w:rPr>
          <w:rFonts w:cstheme="minorHAnsi"/>
          <w:color w:val="000000"/>
          <w:szCs w:val="20"/>
        </w:rPr>
        <w:t>of</w:t>
      </w:r>
      <w:r w:rsidR="00113E16" w:rsidRPr="00EE0A20">
        <w:rPr>
          <w:rFonts w:cstheme="minorHAnsi"/>
          <w:color w:val="000000"/>
          <w:szCs w:val="20"/>
        </w:rPr>
        <w:t> </w:t>
      </w:r>
      <w:r w:rsidR="003D0E2B" w:rsidRPr="00832E31">
        <w:rPr>
          <w:rFonts w:cstheme="minorHAnsi"/>
          <w:color w:val="000000"/>
          <w:szCs w:val="20"/>
        </w:rPr>
        <w:t>62 proceedings brought by the ABCC that were currently before the courts</w:t>
      </w:r>
      <w:r w:rsidR="00F91CAA">
        <w:rPr>
          <w:rFonts w:cstheme="minorHAnsi"/>
          <w:color w:val="000000"/>
          <w:szCs w:val="20"/>
        </w:rPr>
        <w:t xml:space="preserve">. </w:t>
      </w:r>
    </w:p>
    <w:p w14:paraId="66A074A1" w14:textId="036B4696" w:rsidR="00E93DF4" w:rsidRDefault="00793779" w:rsidP="00B97E9E">
      <w:pPr>
        <w:spacing w:before="200" w:after="200" w:line="276" w:lineRule="auto"/>
        <w:rPr>
          <w:rFonts w:cstheme="minorHAnsi"/>
          <w:color w:val="000000"/>
        </w:rPr>
      </w:pPr>
      <w:r>
        <w:rPr>
          <w:rFonts w:cstheme="minorHAnsi"/>
          <w:color w:val="000000"/>
          <w:szCs w:val="24"/>
        </w:rPr>
        <w:t>The ACTU</w:t>
      </w:r>
      <w:r w:rsidR="00480A7F">
        <w:rPr>
          <w:rFonts w:cstheme="minorHAnsi"/>
          <w:color w:val="000000"/>
          <w:szCs w:val="24"/>
        </w:rPr>
        <w:t xml:space="preserve"> also noted that</w:t>
      </w:r>
      <w:r w:rsidR="00E93DF4">
        <w:rPr>
          <w:rFonts w:cstheme="minorHAnsi"/>
          <w:color w:val="000000"/>
          <w:szCs w:val="24"/>
        </w:rPr>
        <w:t>, in response to a question on notice in the Parliament, the ABCC stated t</w:t>
      </w:r>
      <w:r w:rsidR="00E93DF4" w:rsidRPr="008A6FD3">
        <w:rPr>
          <w:rFonts w:cstheme="minorHAnsi"/>
          <w:color w:val="000000"/>
          <w:szCs w:val="24"/>
        </w:rPr>
        <w:t>hat</w:t>
      </w:r>
      <w:r w:rsidR="00E93DF4">
        <w:rPr>
          <w:rFonts w:cstheme="minorHAnsi"/>
          <w:color w:val="000000"/>
          <w:szCs w:val="24"/>
        </w:rPr>
        <w:t>,</w:t>
      </w:r>
      <w:r w:rsidR="00E93DF4" w:rsidRPr="008A6FD3">
        <w:rPr>
          <w:rFonts w:cstheme="minorHAnsi"/>
          <w:color w:val="000000"/>
        </w:rPr>
        <w:t xml:space="preserve"> of the 20 investigations</w:t>
      </w:r>
      <w:r w:rsidR="00E93DF4">
        <w:rPr>
          <w:rFonts w:cstheme="minorHAnsi"/>
          <w:color w:val="000000"/>
        </w:rPr>
        <w:t xml:space="preserve"> into wages and entitlements issues listed in its most recent </w:t>
      </w:r>
      <w:r w:rsidR="00113E16" w:rsidRPr="00EE0A20">
        <w:rPr>
          <w:rFonts w:cstheme="minorHAnsi"/>
          <w:color w:val="000000"/>
        </w:rPr>
        <w:t>q</w:t>
      </w:r>
      <w:r w:rsidR="00E93DF4" w:rsidRPr="00EE0A20">
        <w:rPr>
          <w:rFonts w:cstheme="minorHAnsi"/>
          <w:color w:val="000000"/>
        </w:rPr>
        <w:t xml:space="preserve">uarterly </w:t>
      </w:r>
      <w:r w:rsidR="00113E16" w:rsidRPr="00EE0A20">
        <w:rPr>
          <w:rFonts w:cstheme="minorHAnsi"/>
          <w:color w:val="000000"/>
        </w:rPr>
        <w:t>r</w:t>
      </w:r>
      <w:r w:rsidR="00E93DF4" w:rsidRPr="00EE0A20">
        <w:rPr>
          <w:rFonts w:cstheme="minorHAnsi"/>
          <w:color w:val="000000"/>
        </w:rPr>
        <w:t>eport</w:t>
      </w:r>
      <w:r w:rsidR="00E93DF4">
        <w:rPr>
          <w:rFonts w:cstheme="minorHAnsi"/>
          <w:color w:val="000000"/>
        </w:rPr>
        <w:t xml:space="preserve"> as being open as at 30</w:t>
      </w:r>
      <w:r w:rsidR="00113E16" w:rsidRPr="00EE0A20">
        <w:rPr>
          <w:rFonts w:cstheme="minorHAnsi"/>
          <w:color w:val="000000"/>
        </w:rPr>
        <w:t> </w:t>
      </w:r>
      <w:r w:rsidR="00E93DF4">
        <w:rPr>
          <w:rFonts w:cstheme="minorHAnsi"/>
          <w:color w:val="000000"/>
        </w:rPr>
        <w:t>September</w:t>
      </w:r>
      <w:r w:rsidR="00113E16" w:rsidRPr="00EE0A20">
        <w:rPr>
          <w:rFonts w:cstheme="minorHAnsi"/>
          <w:color w:val="000000"/>
        </w:rPr>
        <w:t> </w:t>
      </w:r>
      <w:r w:rsidR="00E93DF4">
        <w:rPr>
          <w:rFonts w:cstheme="minorHAnsi"/>
          <w:color w:val="000000"/>
        </w:rPr>
        <w:t>2017, five remain open,</w:t>
      </w:r>
      <w:r w:rsidR="00E93DF4" w:rsidRPr="008A6FD3">
        <w:rPr>
          <w:rFonts w:cstheme="minorHAnsi"/>
          <w:color w:val="000000"/>
        </w:rPr>
        <w:t xml:space="preserve"> four resulted in wage recoveries totalling $26,406 for nine employees from four employers and 11 resulted in no wage recoveries</w:t>
      </w:r>
      <w:r w:rsidR="00F91CAA">
        <w:rPr>
          <w:rFonts w:cstheme="minorHAnsi"/>
          <w:color w:val="000000"/>
        </w:rPr>
        <w:t xml:space="preserve">. </w:t>
      </w:r>
      <w:r w:rsidR="00E93DF4">
        <w:rPr>
          <w:rFonts w:cstheme="minorHAnsi"/>
          <w:color w:val="000000"/>
        </w:rPr>
        <w:t>The ACTU argued that this represents an unacceptably low level of investigation and compliance activity in this area</w:t>
      </w:r>
      <w:r w:rsidR="00113E16" w:rsidRPr="00EE0A20">
        <w:rPr>
          <w:rFonts w:cstheme="minorHAnsi"/>
          <w:color w:val="000000"/>
        </w:rPr>
        <w:t>.</w:t>
      </w:r>
      <w:r w:rsidR="00E93DF4" w:rsidRPr="0066059A">
        <w:rPr>
          <w:rStyle w:val="FootnoteReference"/>
          <w:color w:val="000000"/>
        </w:rPr>
        <w:footnoteReference w:id="11"/>
      </w:r>
    </w:p>
    <w:p w14:paraId="0B8DDF52" w14:textId="5B2E0ECE" w:rsidR="009468F3" w:rsidRPr="009468F3" w:rsidRDefault="000E7F1A" w:rsidP="00B97E9E">
      <w:pPr>
        <w:spacing w:before="200" w:after="200" w:line="276" w:lineRule="auto"/>
        <w:rPr>
          <w:rFonts w:cstheme="minorHAnsi"/>
        </w:rPr>
      </w:pPr>
      <w:r w:rsidRPr="009468F3">
        <w:rPr>
          <w:rFonts w:cstheme="minorHAnsi"/>
        </w:rPr>
        <w:t xml:space="preserve">In relation to the </w:t>
      </w:r>
      <w:r w:rsidR="00785080">
        <w:rPr>
          <w:rFonts w:cstheme="minorHAnsi"/>
        </w:rPr>
        <w:t>BCIIP</w:t>
      </w:r>
      <w:r w:rsidR="005C2643">
        <w:rPr>
          <w:rFonts w:cstheme="minorHAnsi"/>
        </w:rPr>
        <w:t> </w:t>
      </w:r>
      <w:r w:rsidR="00E93DF4">
        <w:rPr>
          <w:rFonts w:cstheme="minorHAnsi"/>
        </w:rPr>
        <w:t xml:space="preserve">Act’s </w:t>
      </w:r>
      <w:r w:rsidRPr="009468F3">
        <w:rPr>
          <w:rFonts w:cstheme="minorHAnsi"/>
        </w:rPr>
        <w:t xml:space="preserve">requirement for the </w:t>
      </w:r>
      <w:r w:rsidR="00113E16" w:rsidRPr="00E45E66">
        <w:rPr>
          <w:rFonts w:cstheme="minorHAnsi"/>
        </w:rPr>
        <w:t>ABC </w:t>
      </w:r>
      <w:r w:rsidRPr="009468F3">
        <w:rPr>
          <w:rFonts w:cstheme="minorHAnsi"/>
        </w:rPr>
        <w:t>Commissioner to perform their functions in an impartial and apolitical manner, the</w:t>
      </w:r>
      <w:r w:rsidR="00793779">
        <w:rPr>
          <w:rFonts w:cstheme="minorHAnsi"/>
        </w:rPr>
        <w:t xml:space="preserve"> ACTU</w:t>
      </w:r>
      <w:r w:rsidRPr="009468F3">
        <w:rPr>
          <w:rFonts w:cstheme="minorHAnsi"/>
        </w:rPr>
        <w:t xml:space="preserve"> submission highlighted judicial criticisms of the then </w:t>
      </w:r>
      <w:r w:rsidR="007B23BE">
        <w:rPr>
          <w:rFonts w:cstheme="minorHAnsi"/>
        </w:rPr>
        <w:t>ABC </w:t>
      </w:r>
      <w:r w:rsidRPr="009468F3">
        <w:rPr>
          <w:rFonts w:cstheme="minorHAnsi"/>
        </w:rPr>
        <w:t xml:space="preserve">Commissioner made in the context of the </w:t>
      </w:r>
      <w:r w:rsidR="00113E16" w:rsidRPr="00EE0A20">
        <w:rPr>
          <w:rFonts w:cstheme="minorHAnsi"/>
        </w:rPr>
        <w:t>‘</w:t>
      </w:r>
      <w:r w:rsidRPr="009468F3">
        <w:rPr>
          <w:rFonts w:cstheme="minorHAnsi"/>
        </w:rPr>
        <w:t>cup of tea case</w:t>
      </w:r>
      <w:r w:rsidR="00113E16" w:rsidRPr="00EE0A20">
        <w:rPr>
          <w:rFonts w:cstheme="minorHAnsi"/>
        </w:rPr>
        <w:t>.’</w:t>
      </w:r>
      <w:r w:rsidRPr="009468F3">
        <w:rPr>
          <w:rStyle w:val="FootnoteReference"/>
          <w:rFonts w:cstheme="minorHAnsi"/>
        </w:rPr>
        <w:footnoteReference w:id="12"/>
      </w:r>
      <w:r w:rsidR="00F91CAA">
        <w:rPr>
          <w:rFonts w:cstheme="minorHAnsi"/>
        </w:rPr>
        <w:t xml:space="preserve"> </w:t>
      </w:r>
      <w:r w:rsidRPr="009468F3">
        <w:rPr>
          <w:rFonts w:cstheme="minorHAnsi"/>
        </w:rPr>
        <w:t>These concerned the presiding judge’s view that the proceedings had been brought</w:t>
      </w:r>
      <w:r w:rsidR="00E93DF4">
        <w:rPr>
          <w:rFonts w:cstheme="minorHAnsi"/>
        </w:rPr>
        <w:t xml:space="preserve"> against a union official</w:t>
      </w:r>
      <w:r w:rsidRPr="009468F3">
        <w:rPr>
          <w:rFonts w:cstheme="minorHAnsi"/>
        </w:rPr>
        <w:t xml:space="preserve"> over a trivial matter and should not have been </w:t>
      </w:r>
      <w:r w:rsidR="009468F3" w:rsidRPr="009468F3">
        <w:rPr>
          <w:rFonts w:cstheme="minorHAnsi"/>
        </w:rPr>
        <w:t>pursued</w:t>
      </w:r>
      <w:r w:rsidR="00F91CAA">
        <w:rPr>
          <w:rFonts w:cstheme="minorHAnsi"/>
        </w:rPr>
        <w:t xml:space="preserve">. </w:t>
      </w:r>
      <w:r w:rsidRPr="009468F3">
        <w:rPr>
          <w:rFonts w:cstheme="minorHAnsi"/>
        </w:rPr>
        <w:t xml:space="preserve">In addition, the circumstances of </w:t>
      </w:r>
      <w:r w:rsidR="00C67D1D">
        <w:rPr>
          <w:rFonts w:cstheme="minorHAnsi"/>
        </w:rPr>
        <w:t>ano</w:t>
      </w:r>
      <w:r w:rsidRPr="00C67D1D">
        <w:rPr>
          <w:rFonts w:cstheme="minorHAnsi"/>
        </w:rPr>
        <w:t>the</w:t>
      </w:r>
      <w:r w:rsidR="00C67D1D">
        <w:rPr>
          <w:rFonts w:cstheme="minorHAnsi"/>
        </w:rPr>
        <w:t>r</w:t>
      </w:r>
      <w:r w:rsidRPr="009468F3">
        <w:rPr>
          <w:rFonts w:cstheme="minorHAnsi"/>
        </w:rPr>
        <w:t xml:space="preserve"> case successfully brought by the CFMEU against</w:t>
      </w:r>
      <w:r w:rsidR="007B23BE">
        <w:rPr>
          <w:rFonts w:cstheme="minorHAnsi"/>
        </w:rPr>
        <w:t xml:space="preserve"> the former ABC </w:t>
      </w:r>
      <w:r w:rsidRPr="009468F3">
        <w:rPr>
          <w:rFonts w:cstheme="minorHAnsi"/>
        </w:rPr>
        <w:t>Commissioner, which was followed by his resignation, were highlighted</w:t>
      </w:r>
      <w:r w:rsidR="0017349F" w:rsidRPr="00C67D1D">
        <w:rPr>
          <w:rFonts w:cstheme="minorHAnsi"/>
        </w:rPr>
        <w:t>.</w:t>
      </w:r>
      <w:r w:rsidRPr="009468F3">
        <w:rPr>
          <w:rStyle w:val="FootnoteReference"/>
          <w:rFonts w:cstheme="minorHAnsi"/>
        </w:rPr>
        <w:footnoteReference w:id="13"/>
      </w:r>
      <w:r w:rsidR="008A6FD3" w:rsidRPr="009468F3">
        <w:rPr>
          <w:rFonts w:cstheme="minorHAnsi"/>
        </w:rPr>
        <w:t xml:space="preserve"> The ACTU </w:t>
      </w:r>
      <w:r w:rsidR="009468F3">
        <w:rPr>
          <w:rFonts w:cstheme="minorHAnsi"/>
        </w:rPr>
        <w:t xml:space="preserve">submission </w:t>
      </w:r>
      <w:r w:rsidR="008A6FD3" w:rsidRPr="009468F3">
        <w:rPr>
          <w:rFonts w:cstheme="minorHAnsi"/>
        </w:rPr>
        <w:t>questions whether any change</w:t>
      </w:r>
      <w:r w:rsidR="000B4E14">
        <w:rPr>
          <w:rFonts w:cstheme="minorHAnsi"/>
        </w:rPr>
        <w:t xml:space="preserve"> in approach is </w:t>
      </w:r>
      <w:r w:rsidR="008A6FD3" w:rsidRPr="009468F3">
        <w:rPr>
          <w:rFonts w:cstheme="minorHAnsi"/>
        </w:rPr>
        <w:t xml:space="preserve">likely to occur </w:t>
      </w:r>
      <w:r w:rsidR="008A6FD3" w:rsidRPr="009468F3">
        <w:rPr>
          <w:rFonts w:cstheme="minorHAnsi"/>
        </w:rPr>
        <w:lastRenderedPageBreak/>
        <w:t xml:space="preserve">under the current Commissioner, </w:t>
      </w:r>
      <w:r w:rsidR="009468F3">
        <w:rPr>
          <w:rFonts w:cstheme="minorHAnsi"/>
        </w:rPr>
        <w:t xml:space="preserve">citing recent comments regarding his priorities and noting, incorrectly, that </w:t>
      </w:r>
      <w:r w:rsidR="0017349F" w:rsidRPr="00C67D1D">
        <w:rPr>
          <w:rFonts w:cstheme="minorHAnsi"/>
        </w:rPr>
        <w:t>‘</w:t>
      </w:r>
      <w:r w:rsidR="009468F3" w:rsidRPr="0066059A">
        <w:t xml:space="preserve">Mr McBurney was previously Deputy Commissioner to Mr </w:t>
      </w:r>
      <w:proofErr w:type="spellStart"/>
      <w:r w:rsidR="009468F3" w:rsidRPr="0066059A">
        <w:t>Hadgkiss</w:t>
      </w:r>
      <w:proofErr w:type="spellEnd"/>
      <w:r w:rsidR="009468F3" w:rsidRPr="009468F3">
        <w:rPr>
          <w:rFonts w:cstheme="minorHAnsi"/>
        </w:rPr>
        <w:t>.</w:t>
      </w:r>
      <w:r w:rsidR="0017349F" w:rsidRPr="00C67D1D">
        <w:rPr>
          <w:rFonts w:cstheme="minorHAnsi"/>
        </w:rPr>
        <w:t>’</w:t>
      </w:r>
      <w:r w:rsidR="009468F3">
        <w:rPr>
          <w:rStyle w:val="FootnoteReference"/>
          <w:rFonts w:cstheme="minorHAnsi"/>
        </w:rPr>
        <w:footnoteReference w:id="14"/>
      </w:r>
      <w:r w:rsidR="009468F3" w:rsidRPr="009468F3">
        <w:rPr>
          <w:rFonts w:cstheme="minorHAnsi"/>
        </w:rPr>
        <w:t xml:space="preserve"> </w:t>
      </w:r>
    </w:p>
    <w:p w14:paraId="57A67A8F" w14:textId="200D51AB" w:rsidR="004F54EE" w:rsidRPr="007D1C6C" w:rsidRDefault="00E93DF4" w:rsidP="00B97E9E">
      <w:pPr>
        <w:spacing w:before="200" w:after="200" w:line="276" w:lineRule="auto"/>
        <w:rPr>
          <w:rFonts w:cstheme="minorHAnsi"/>
          <w:color w:val="000000"/>
          <w:szCs w:val="20"/>
        </w:rPr>
      </w:pPr>
      <w:r>
        <w:rPr>
          <w:rFonts w:cstheme="minorHAnsi"/>
          <w:color w:val="000000"/>
          <w:szCs w:val="24"/>
        </w:rPr>
        <w:t>T</w:t>
      </w:r>
      <w:r w:rsidR="008A6FD3">
        <w:rPr>
          <w:rFonts w:cstheme="minorHAnsi"/>
          <w:color w:val="000000"/>
          <w:szCs w:val="24"/>
        </w:rPr>
        <w:t xml:space="preserve">he ACTU </w:t>
      </w:r>
      <w:r>
        <w:rPr>
          <w:rFonts w:cstheme="minorHAnsi"/>
          <w:color w:val="000000"/>
          <w:szCs w:val="24"/>
        </w:rPr>
        <w:t xml:space="preserve">also </w:t>
      </w:r>
      <w:r w:rsidR="008A6FD3">
        <w:rPr>
          <w:rFonts w:cstheme="minorHAnsi"/>
          <w:color w:val="000000"/>
          <w:szCs w:val="24"/>
        </w:rPr>
        <w:t xml:space="preserve">argues that the reports produced by the ABCC do not incorporate the requisite level of detail to enable proper scrutiny of its conduct to be exercised. </w:t>
      </w:r>
      <w:r>
        <w:rPr>
          <w:rFonts w:cstheme="minorHAnsi"/>
          <w:color w:val="000000"/>
          <w:szCs w:val="24"/>
        </w:rPr>
        <w:t>In particular</w:t>
      </w:r>
      <w:r w:rsidR="008A6FD3">
        <w:rPr>
          <w:rFonts w:cstheme="minorHAnsi"/>
          <w:color w:val="000000"/>
          <w:szCs w:val="24"/>
        </w:rPr>
        <w:t xml:space="preserve">, </w:t>
      </w:r>
      <w:r w:rsidR="007D1C6C">
        <w:rPr>
          <w:rFonts w:cstheme="minorHAnsi"/>
          <w:color w:val="000000"/>
          <w:szCs w:val="24"/>
        </w:rPr>
        <w:t>reports on wages and entitlements contraventions do not provide detail on the total amount of alleged underpayments or the number of affected employers and workers</w:t>
      </w:r>
      <w:r w:rsidR="00F91CAA">
        <w:rPr>
          <w:rFonts w:cstheme="minorHAnsi"/>
          <w:color w:val="000000"/>
          <w:szCs w:val="24"/>
        </w:rPr>
        <w:t xml:space="preserve">. </w:t>
      </w:r>
      <w:r w:rsidR="004F54EE" w:rsidRPr="007D1C6C">
        <w:rPr>
          <w:rFonts w:cstheme="minorHAnsi"/>
          <w:color w:val="000000"/>
          <w:szCs w:val="24"/>
        </w:rPr>
        <w:t xml:space="preserve">Similarly, the ACTU argues that the ABCC’s quarterly reports fail to </w:t>
      </w:r>
      <w:r w:rsidR="004F54EE" w:rsidRPr="007D1C6C">
        <w:rPr>
          <w:rFonts w:cstheme="minorHAnsi"/>
          <w:color w:val="000000"/>
          <w:szCs w:val="20"/>
        </w:rPr>
        <w:t xml:space="preserve">provide sufficient detail to enable assessments to be made as to whether the ABCC is enforcing compliance with the </w:t>
      </w:r>
      <w:r w:rsidR="007B0A54">
        <w:rPr>
          <w:rFonts w:cstheme="minorHAnsi"/>
          <w:color w:val="000000"/>
          <w:szCs w:val="20"/>
        </w:rPr>
        <w:t>2016 </w:t>
      </w:r>
      <w:r w:rsidR="004F54EE" w:rsidRPr="007D1C6C">
        <w:rPr>
          <w:rFonts w:cstheme="minorHAnsi"/>
          <w:color w:val="000000"/>
          <w:szCs w:val="20"/>
        </w:rPr>
        <w:t>Code in a fair and unbiased manner</w:t>
      </w:r>
      <w:r w:rsidR="00B97E9E">
        <w:rPr>
          <w:rFonts w:cstheme="minorHAnsi"/>
          <w:color w:val="000000"/>
          <w:szCs w:val="20"/>
        </w:rPr>
        <w:t>.</w:t>
      </w:r>
    </w:p>
    <w:p w14:paraId="0FCB9B9D" w14:textId="77777777" w:rsidR="00A43A9A" w:rsidRPr="00B97E9E" w:rsidRDefault="00A43A9A" w:rsidP="00A43A9A">
      <w:pPr>
        <w:pStyle w:val="Heading3"/>
      </w:pPr>
      <w:bookmarkStart w:id="97" w:name="_Toc527633007"/>
      <w:r>
        <w:t xml:space="preserve">Views expressed by the </w:t>
      </w:r>
      <w:r w:rsidRPr="00B97E9E">
        <w:t>ABC</w:t>
      </w:r>
      <w:r>
        <w:t> </w:t>
      </w:r>
      <w:r w:rsidRPr="00B97E9E">
        <w:t>Commissioner</w:t>
      </w:r>
      <w:bookmarkEnd w:id="97"/>
    </w:p>
    <w:p w14:paraId="7A12DE5C" w14:textId="30A9DD03" w:rsidR="00E209D9" w:rsidRDefault="00480A7F" w:rsidP="00B97E9E">
      <w:pPr>
        <w:spacing w:before="200" w:after="200" w:line="276" w:lineRule="auto"/>
        <w:rPr>
          <w:rFonts w:cstheme="minorHAnsi"/>
        </w:rPr>
      </w:pPr>
      <w:r>
        <w:rPr>
          <w:rFonts w:cstheme="minorHAnsi"/>
        </w:rPr>
        <w:t xml:space="preserve">As </w:t>
      </w:r>
      <w:r w:rsidR="00E209D9">
        <w:rPr>
          <w:rFonts w:cstheme="minorHAnsi"/>
        </w:rPr>
        <w:t xml:space="preserve">the review is occurring within a very short period </w:t>
      </w:r>
      <w:r w:rsidR="00793779">
        <w:rPr>
          <w:rFonts w:cstheme="minorHAnsi"/>
        </w:rPr>
        <w:t xml:space="preserve">of </w:t>
      </w:r>
      <w:r w:rsidR="00E209D9">
        <w:rPr>
          <w:rFonts w:cstheme="minorHAnsi"/>
        </w:rPr>
        <w:t>the commencement of the BCIIP</w:t>
      </w:r>
      <w:r w:rsidR="005C2643">
        <w:rPr>
          <w:rFonts w:cstheme="minorHAnsi"/>
        </w:rPr>
        <w:t> </w:t>
      </w:r>
      <w:r w:rsidR="00E209D9">
        <w:rPr>
          <w:rFonts w:cstheme="minorHAnsi"/>
        </w:rPr>
        <w:t>Act, limited practical experience of the ABCC’s operations under the legislation has accumulated and limited data are available</w:t>
      </w:r>
      <w:r w:rsidR="00F91CAA">
        <w:rPr>
          <w:rFonts w:cstheme="minorHAnsi"/>
        </w:rPr>
        <w:t xml:space="preserve">. </w:t>
      </w:r>
      <w:r w:rsidR="007B23BE">
        <w:rPr>
          <w:rFonts w:cstheme="minorHAnsi"/>
        </w:rPr>
        <w:t>Moreover, a new ABC </w:t>
      </w:r>
      <w:r w:rsidR="008471F9">
        <w:rPr>
          <w:rFonts w:cstheme="minorHAnsi"/>
        </w:rPr>
        <w:t>Commissioner took up his duties on 6</w:t>
      </w:r>
      <w:r w:rsidR="005C2643">
        <w:rPr>
          <w:rFonts w:cstheme="minorHAnsi"/>
        </w:rPr>
        <w:t> </w:t>
      </w:r>
      <w:r w:rsidR="008471F9">
        <w:rPr>
          <w:rFonts w:cstheme="minorHAnsi"/>
        </w:rPr>
        <w:t>February</w:t>
      </w:r>
      <w:r w:rsidR="005C2643">
        <w:rPr>
          <w:rFonts w:cstheme="minorHAnsi"/>
        </w:rPr>
        <w:t> </w:t>
      </w:r>
      <w:r w:rsidR="008471F9">
        <w:rPr>
          <w:rFonts w:cstheme="minorHAnsi"/>
        </w:rPr>
        <w:t>2018</w:t>
      </w:r>
      <w:r w:rsidR="00F91CAA">
        <w:rPr>
          <w:rFonts w:cstheme="minorHAnsi"/>
        </w:rPr>
        <w:t xml:space="preserve">. </w:t>
      </w:r>
      <w:r>
        <w:rPr>
          <w:rFonts w:cstheme="minorHAnsi"/>
        </w:rPr>
        <w:t>Given</w:t>
      </w:r>
      <w:r w:rsidR="008471F9">
        <w:rPr>
          <w:rFonts w:cstheme="minorHAnsi"/>
        </w:rPr>
        <w:t xml:space="preserve"> these factors</w:t>
      </w:r>
      <w:r w:rsidR="00E209D9">
        <w:rPr>
          <w:rFonts w:cstheme="minorHAnsi"/>
        </w:rPr>
        <w:t xml:space="preserve">, </w:t>
      </w:r>
      <w:r w:rsidR="00793779">
        <w:rPr>
          <w:rFonts w:cstheme="minorHAnsi"/>
        </w:rPr>
        <w:t>unpublished data was sought to enable a more up</w:t>
      </w:r>
      <w:r w:rsidR="0017349F" w:rsidRPr="00EE0A20">
        <w:rPr>
          <w:rFonts w:cstheme="minorHAnsi"/>
        </w:rPr>
        <w:t>-</w:t>
      </w:r>
      <w:r w:rsidR="00793779" w:rsidRPr="00EE0A20">
        <w:rPr>
          <w:rFonts w:cstheme="minorHAnsi"/>
        </w:rPr>
        <w:t>to</w:t>
      </w:r>
      <w:r w:rsidR="00E13862">
        <w:rPr>
          <w:rFonts w:cstheme="minorHAnsi"/>
        </w:rPr>
        <w:t>-</w:t>
      </w:r>
      <w:r w:rsidR="0017349F" w:rsidRPr="00EE0A20">
        <w:rPr>
          <w:rFonts w:cstheme="minorHAnsi"/>
        </w:rPr>
        <w:softHyphen/>
      </w:r>
      <w:r w:rsidR="00793779">
        <w:rPr>
          <w:rFonts w:cstheme="minorHAnsi"/>
        </w:rPr>
        <w:t>date analysis of quantitative indicators to be undertaken</w:t>
      </w:r>
      <w:r w:rsidR="00F91CAA">
        <w:rPr>
          <w:rFonts w:cstheme="minorHAnsi"/>
        </w:rPr>
        <w:t xml:space="preserve">. </w:t>
      </w:r>
      <w:r w:rsidR="00793779">
        <w:rPr>
          <w:rFonts w:cstheme="minorHAnsi"/>
        </w:rPr>
        <w:t xml:space="preserve">This data is discussed </w:t>
      </w:r>
      <w:r w:rsidR="00AE706D">
        <w:rPr>
          <w:rFonts w:cstheme="minorHAnsi"/>
        </w:rPr>
        <w:t xml:space="preserve">in the next </w:t>
      </w:r>
      <w:r w:rsidR="0099154A">
        <w:rPr>
          <w:rFonts w:cstheme="minorHAnsi"/>
        </w:rPr>
        <w:t>chapter</w:t>
      </w:r>
      <w:r w:rsidR="00F91CAA">
        <w:rPr>
          <w:rFonts w:cstheme="minorHAnsi"/>
        </w:rPr>
        <w:t xml:space="preserve">. </w:t>
      </w:r>
      <w:r w:rsidR="00793779">
        <w:rPr>
          <w:rFonts w:cstheme="minorHAnsi"/>
        </w:rPr>
        <w:t xml:space="preserve">In addition, </w:t>
      </w:r>
      <w:r w:rsidR="00E209D9">
        <w:rPr>
          <w:rFonts w:cstheme="minorHAnsi"/>
        </w:rPr>
        <w:t xml:space="preserve">consultation was undertaken with the </w:t>
      </w:r>
      <w:r w:rsidR="0017349F" w:rsidRPr="00EE0A20">
        <w:rPr>
          <w:rFonts w:cstheme="minorHAnsi"/>
        </w:rPr>
        <w:t>ABC </w:t>
      </w:r>
      <w:r w:rsidR="00E209D9">
        <w:rPr>
          <w:rFonts w:cstheme="minorHAnsi"/>
        </w:rPr>
        <w:t xml:space="preserve">Commissioner to seek information on the </w:t>
      </w:r>
      <w:r w:rsidR="0017349F" w:rsidRPr="00EE0A20">
        <w:rPr>
          <w:rFonts w:cstheme="minorHAnsi"/>
        </w:rPr>
        <w:t xml:space="preserve">ABCC’s </w:t>
      </w:r>
      <w:r w:rsidR="00E209D9">
        <w:rPr>
          <w:rFonts w:cstheme="minorHAnsi"/>
        </w:rPr>
        <w:t>current strategic orientations and intentions</w:t>
      </w:r>
      <w:r w:rsidR="00F91CAA">
        <w:rPr>
          <w:rFonts w:cstheme="minorHAnsi"/>
        </w:rPr>
        <w:t xml:space="preserve">. </w:t>
      </w:r>
    </w:p>
    <w:p w14:paraId="56ED78FA" w14:textId="77777777" w:rsidR="008471F9" w:rsidRPr="000218CE" w:rsidRDefault="008471F9" w:rsidP="000218CE">
      <w:pPr>
        <w:pStyle w:val="Heading4"/>
      </w:pPr>
      <w:r w:rsidRPr="000218CE">
        <w:t>Wages and entitlements</w:t>
      </w:r>
    </w:p>
    <w:p w14:paraId="0F3B82DA" w14:textId="6112E443" w:rsidR="00415838" w:rsidRDefault="008471F9" w:rsidP="00B97E9E">
      <w:pPr>
        <w:spacing w:before="200" w:after="200" w:line="276" w:lineRule="auto"/>
        <w:rPr>
          <w:rFonts w:cstheme="minorHAnsi"/>
        </w:rPr>
      </w:pPr>
      <w:r>
        <w:rPr>
          <w:rFonts w:cstheme="minorHAnsi"/>
        </w:rPr>
        <w:t>The data</w:t>
      </w:r>
      <w:r w:rsidR="000E0031">
        <w:rPr>
          <w:rFonts w:cstheme="minorHAnsi"/>
        </w:rPr>
        <w:t xml:space="preserve"> </w:t>
      </w:r>
      <w:r w:rsidR="00793779">
        <w:rPr>
          <w:rFonts w:cstheme="minorHAnsi"/>
        </w:rPr>
        <w:t xml:space="preserve">received </w:t>
      </w:r>
      <w:r>
        <w:rPr>
          <w:rFonts w:cstheme="minorHAnsi"/>
        </w:rPr>
        <w:t>indicates that 27.6</w:t>
      </w:r>
      <w:r w:rsidR="004D3AB2">
        <w:rPr>
          <w:rFonts w:cstheme="minorHAnsi"/>
        </w:rPr>
        <w:t> per cent</w:t>
      </w:r>
      <w:r>
        <w:rPr>
          <w:rFonts w:cstheme="minorHAnsi"/>
        </w:rPr>
        <w:t xml:space="preserve"> of enquiries in relation to workplace laws received by the ABCC in the first half of </w:t>
      </w:r>
      <w:r w:rsidR="0099154A">
        <w:rPr>
          <w:rFonts w:cstheme="minorHAnsi"/>
        </w:rPr>
        <w:t>2017</w:t>
      </w:r>
      <w:r w:rsidR="0099154A">
        <w:rPr>
          <w:rFonts w:cstheme="minorHAnsi"/>
        </w:rPr>
        <w:noBreakHyphen/>
      </w:r>
      <w:r w:rsidR="00D10AD3">
        <w:rPr>
          <w:rFonts w:cstheme="minorHAnsi"/>
        </w:rPr>
        <w:t>18</w:t>
      </w:r>
      <w:r>
        <w:rPr>
          <w:rFonts w:cstheme="minorHAnsi"/>
        </w:rPr>
        <w:t xml:space="preserve"> related to wages and entitlements, while 40</w:t>
      </w:r>
      <w:r w:rsidR="004D3AB2">
        <w:rPr>
          <w:rFonts w:cstheme="minorHAnsi"/>
        </w:rPr>
        <w:t> per cent</w:t>
      </w:r>
      <w:r>
        <w:rPr>
          <w:rFonts w:cstheme="minorHAnsi"/>
        </w:rPr>
        <w:t xml:space="preserve"> of investigations commenced during the same period also related to wages and entitlements. </w:t>
      </w:r>
      <w:r w:rsidR="00415838">
        <w:rPr>
          <w:rFonts w:cstheme="minorHAnsi"/>
        </w:rPr>
        <w:t xml:space="preserve">The </w:t>
      </w:r>
      <w:r w:rsidR="0017349F" w:rsidRPr="00EE0A20">
        <w:rPr>
          <w:rFonts w:cstheme="minorHAnsi"/>
        </w:rPr>
        <w:t>ABC </w:t>
      </w:r>
      <w:r w:rsidR="00415838">
        <w:rPr>
          <w:rFonts w:cstheme="minorHAnsi"/>
        </w:rPr>
        <w:t xml:space="preserve">Commissioner noted that the volume of </w:t>
      </w:r>
      <w:r w:rsidR="00AA00CF">
        <w:rPr>
          <w:rFonts w:cstheme="minorHAnsi"/>
        </w:rPr>
        <w:t>e</w:t>
      </w:r>
      <w:r w:rsidR="00415838">
        <w:rPr>
          <w:rFonts w:cstheme="minorHAnsi"/>
        </w:rPr>
        <w:t xml:space="preserve">nquiries received in relation to wages </w:t>
      </w:r>
      <w:r w:rsidR="001703D1">
        <w:rPr>
          <w:rFonts w:cstheme="minorHAnsi"/>
        </w:rPr>
        <w:t xml:space="preserve">and entitlements has risen progressively </w:t>
      </w:r>
      <w:r w:rsidR="007F3E7C">
        <w:rPr>
          <w:rFonts w:cstheme="minorHAnsi"/>
        </w:rPr>
        <w:t>since</w:t>
      </w:r>
      <w:r w:rsidR="001703D1">
        <w:rPr>
          <w:rFonts w:cstheme="minorHAnsi"/>
        </w:rPr>
        <w:t xml:space="preserve"> </w:t>
      </w:r>
      <w:r w:rsidR="00AA00CF">
        <w:rPr>
          <w:rFonts w:cstheme="minorHAnsi"/>
        </w:rPr>
        <w:t xml:space="preserve">the </w:t>
      </w:r>
      <w:r w:rsidR="001703D1">
        <w:rPr>
          <w:rFonts w:cstheme="minorHAnsi"/>
        </w:rPr>
        <w:t>ABCC commenced operations and took over responsibility for this issue</w:t>
      </w:r>
      <w:r w:rsidR="00793779">
        <w:rPr>
          <w:rFonts w:cstheme="minorHAnsi"/>
        </w:rPr>
        <w:t>,</w:t>
      </w:r>
      <w:r w:rsidR="001703D1">
        <w:rPr>
          <w:rFonts w:cstheme="minorHAnsi"/>
        </w:rPr>
        <w:t xml:space="preserve"> as it relates to the building sector</w:t>
      </w:r>
      <w:r w:rsidR="00480A7F">
        <w:rPr>
          <w:rFonts w:cstheme="minorHAnsi"/>
        </w:rPr>
        <w:t>,</w:t>
      </w:r>
      <w:r w:rsidR="001703D1">
        <w:rPr>
          <w:rFonts w:cstheme="minorHAnsi"/>
        </w:rPr>
        <w:t xml:space="preserve"> from the FWO</w:t>
      </w:r>
      <w:r w:rsidR="00F91CAA">
        <w:rPr>
          <w:rFonts w:cstheme="minorHAnsi"/>
        </w:rPr>
        <w:t xml:space="preserve">. </w:t>
      </w:r>
      <w:r w:rsidR="001703D1">
        <w:rPr>
          <w:rFonts w:cstheme="minorHAnsi"/>
        </w:rPr>
        <w:t xml:space="preserve">He expressed the view that this increase was likely largely to reflect increasing awareness among industry participants of the fact that </w:t>
      </w:r>
      <w:r w:rsidR="0017349F" w:rsidRPr="00EE0A20">
        <w:rPr>
          <w:rFonts w:cstheme="minorHAnsi"/>
        </w:rPr>
        <w:t xml:space="preserve">the </w:t>
      </w:r>
      <w:r w:rsidR="001703D1">
        <w:rPr>
          <w:rFonts w:cstheme="minorHAnsi"/>
        </w:rPr>
        <w:t>ABCC was now exercising this responsibility</w:t>
      </w:r>
      <w:r w:rsidR="00480A7F">
        <w:rPr>
          <w:rFonts w:cstheme="minorHAnsi"/>
        </w:rPr>
        <w:t>.</w:t>
      </w:r>
      <w:r w:rsidR="001703D1">
        <w:rPr>
          <w:rFonts w:cstheme="minorHAnsi"/>
        </w:rPr>
        <w:t xml:space="preserve"> However, </w:t>
      </w:r>
      <w:r w:rsidR="00480A7F">
        <w:rPr>
          <w:rFonts w:cstheme="minorHAnsi"/>
        </w:rPr>
        <w:t xml:space="preserve">he also stated that </w:t>
      </w:r>
      <w:r w:rsidR="001703D1">
        <w:rPr>
          <w:rFonts w:cstheme="minorHAnsi"/>
        </w:rPr>
        <w:t xml:space="preserve">enquiry activity </w:t>
      </w:r>
      <w:r w:rsidR="00415838">
        <w:rPr>
          <w:rFonts w:cstheme="minorHAnsi"/>
        </w:rPr>
        <w:t>rose noticeably after the ABCC commenced undertaking wage audits, apparently because</w:t>
      </w:r>
      <w:r w:rsidR="001703D1">
        <w:rPr>
          <w:rFonts w:cstheme="minorHAnsi"/>
        </w:rPr>
        <w:t xml:space="preserve"> this contributed to a view </w:t>
      </w:r>
      <w:r w:rsidR="007F3E7C">
        <w:rPr>
          <w:rFonts w:cstheme="minorHAnsi"/>
        </w:rPr>
        <w:t>on the part of industry participants that</w:t>
      </w:r>
      <w:r w:rsidR="001703D1">
        <w:rPr>
          <w:rFonts w:cstheme="minorHAnsi"/>
        </w:rPr>
        <w:t xml:space="preserve"> the </w:t>
      </w:r>
      <w:r w:rsidR="0017349F" w:rsidRPr="00EE0A20">
        <w:rPr>
          <w:rFonts w:cstheme="minorHAnsi"/>
        </w:rPr>
        <w:t xml:space="preserve">ABCC </w:t>
      </w:r>
      <w:r w:rsidR="007F3E7C">
        <w:rPr>
          <w:rFonts w:cstheme="minorHAnsi"/>
        </w:rPr>
        <w:t>w</w:t>
      </w:r>
      <w:r w:rsidR="00415838">
        <w:rPr>
          <w:rFonts w:cstheme="minorHAnsi"/>
        </w:rPr>
        <w:t>as more engaged with this issue.</w:t>
      </w:r>
      <w:r w:rsidR="001703D1">
        <w:rPr>
          <w:rFonts w:cstheme="minorHAnsi"/>
        </w:rPr>
        <w:t xml:space="preserve"> Given this</w:t>
      </w:r>
      <w:r w:rsidR="00415838">
        <w:rPr>
          <w:rFonts w:cstheme="minorHAnsi"/>
        </w:rPr>
        <w:t>,</w:t>
      </w:r>
      <w:r w:rsidR="001703D1">
        <w:rPr>
          <w:rFonts w:cstheme="minorHAnsi"/>
        </w:rPr>
        <w:t xml:space="preserve"> the </w:t>
      </w:r>
      <w:r w:rsidR="007B23BE">
        <w:rPr>
          <w:rFonts w:cstheme="minorHAnsi"/>
        </w:rPr>
        <w:t>ABC </w:t>
      </w:r>
      <w:r w:rsidR="001703D1">
        <w:rPr>
          <w:rFonts w:cstheme="minorHAnsi"/>
        </w:rPr>
        <w:t xml:space="preserve">Commissioner </w:t>
      </w:r>
      <w:r w:rsidR="00793779">
        <w:rPr>
          <w:rFonts w:cstheme="minorHAnsi"/>
        </w:rPr>
        <w:t xml:space="preserve">expects </w:t>
      </w:r>
      <w:r w:rsidR="00415838">
        <w:rPr>
          <w:rFonts w:cstheme="minorHAnsi"/>
        </w:rPr>
        <w:t xml:space="preserve">that </w:t>
      </w:r>
      <w:r w:rsidR="0017349F" w:rsidRPr="00EE0A20">
        <w:rPr>
          <w:rFonts w:cstheme="minorHAnsi"/>
        </w:rPr>
        <w:t xml:space="preserve">the </w:t>
      </w:r>
      <w:r w:rsidR="00793779">
        <w:rPr>
          <w:rFonts w:cstheme="minorHAnsi"/>
        </w:rPr>
        <w:t xml:space="preserve">ABCC’s </w:t>
      </w:r>
      <w:r w:rsidR="00415838">
        <w:rPr>
          <w:rFonts w:cstheme="minorHAnsi"/>
        </w:rPr>
        <w:t>planned further increase in wages and entitlements-related activities would, in turn, increase the volume of enquiries received in this area.</w:t>
      </w:r>
    </w:p>
    <w:p w14:paraId="1C2E6ECB" w14:textId="0DECDBD3" w:rsidR="00D27374" w:rsidRDefault="00D27374" w:rsidP="00B97E9E">
      <w:pPr>
        <w:spacing w:before="200" w:after="200" w:line="276" w:lineRule="auto"/>
        <w:rPr>
          <w:rFonts w:cstheme="minorHAnsi"/>
        </w:rPr>
      </w:pPr>
      <w:r>
        <w:rPr>
          <w:rFonts w:cstheme="minorHAnsi"/>
        </w:rPr>
        <w:t>The</w:t>
      </w:r>
      <w:r w:rsidRPr="00EE0A20">
        <w:rPr>
          <w:rFonts w:cstheme="minorHAnsi"/>
        </w:rPr>
        <w:t xml:space="preserve"> </w:t>
      </w:r>
      <w:r w:rsidR="0017349F" w:rsidRPr="00EE0A20">
        <w:rPr>
          <w:rFonts w:cstheme="minorHAnsi"/>
        </w:rPr>
        <w:t>ABC</w:t>
      </w:r>
      <w:r w:rsidR="007B23BE">
        <w:rPr>
          <w:rFonts w:cstheme="minorHAnsi"/>
        </w:rPr>
        <w:t> </w:t>
      </w:r>
      <w:r>
        <w:rPr>
          <w:rFonts w:cstheme="minorHAnsi"/>
        </w:rPr>
        <w:t xml:space="preserve">Commissioner believes that, given the high and increasing level of </w:t>
      </w:r>
      <w:r w:rsidR="00AA00CF">
        <w:rPr>
          <w:rFonts w:cstheme="minorHAnsi"/>
        </w:rPr>
        <w:t>e</w:t>
      </w:r>
      <w:r>
        <w:rPr>
          <w:rFonts w:cstheme="minorHAnsi"/>
        </w:rPr>
        <w:t>nquiries and complaints about wages and entitlements being received and the ABCC’s statutory obligation to allocate its resources in a proportionate fashion, the ABCC must increase its activities in the wages and entitlements field</w:t>
      </w:r>
      <w:r w:rsidR="00F91CAA">
        <w:rPr>
          <w:rFonts w:cstheme="minorHAnsi"/>
        </w:rPr>
        <w:t xml:space="preserve">. </w:t>
      </w:r>
      <w:r>
        <w:rPr>
          <w:rFonts w:cstheme="minorHAnsi"/>
        </w:rPr>
        <w:t>To enable it to do so, the ABCC has</w:t>
      </w:r>
      <w:r w:rsidR="00793779">
        <w:rPr>
          <w:rFonts w:cstheme="minorHAnsi"/>
        </w:rPr>
        <w:t xml:space="preserve"> recently</w:t>
      </w:r>
      <w:r>
        <w:rPr>
          <w:rFonts w:cstheme="minorHAnsi"/>
        </w:rPr>
        <w:t xml:space="preserve"> engaged five additional staff to undertake wages and entitlements related functions and is seeking to fill two further positions</w:t>
      </w:r>
      <w:r w:rsidR="00F91CAA">
        <w:rPr>
          <w:rFonts w:cstheme="minorHAnsi"/>
        </w:rPr>
        <w:t xml:space="preserve">. </w:t>
      </w:r>
    </w:p>
    <w:p w14:paraId="5B966B46" w14:textId="4C5C4160" w:rsidR="008471F9" w:rsidRDefault="008471F9" w:rsidP="00B97E9E">
      <w:pPr>
        <w:spacing w:before="200" w:after="200" w:line="276" w:lineRule="auto"/>
        <w:rPr>
          <w:rFonts w:cstheme="minorHAnsi"/>
        </w:rPr>
      </w:pPr>
      <w:r>
        <w:rPr>
          <w:rFonts w:cstheme="minorHAnsi"/>
        </w:rPr>
        <w:t xml:space="preserve">The </w:t>
      </w:r>
      <w:r w:rsidR="007B23BE">
        <w:rPr>
          <w:rFonts w:cstheme="minorHAnsi"/>
        </w:rPr>
        <w:t>ABC </w:t>
      </w:r>
      <w:r>
        <w:rPr>
          <w:rFonts w:cstheme="minorHAnsi"/>
        </w:rPr>
        <w:t>Commissioner</w:t>
      </w:r>
      <w:r w:rsidR="001703D1">
        <w:rPr>
          <w:rFonts w:cstheme="minorHAnsi"/>
        </w:rPr>
        <w:t xml:space="preserve"> </w:t>
      </w:r>
      <w:r w:rsidR="000D2A9E">
        <w:rPr>
          <w:rFonts w:cstheme="minorHAnsi"/>
        </w:rPr>
        <w:t xml:space="preserve">noted </w:t>
      </w:r>
      <w:r>
        <w:rPr>
          <w:rFonts w:cstheme="minorHAnsi"/>
        </w:rPr>
        <w:t xml:space="preserve">criticism from the ACTU, and the union movement more broadly, that the ABCC has been insufficiently active in </w:t>
      </w:r>
      <w:r w:rsidR="00793779">
        <w:rPr>
          <w:rFonts w:cstheme="minorHAnsi"/>
        </w:rPr>
        <w:t>c</w:t>
      </w:r>
      <w:r>
        <w:rPr>
          <w:rFonts w:cstheme="minorHAnsi"/>
        </w:rPr>
        <w:t>ommenc</w:t>
      </w:r>
      <w:r w:rsidR="00793779">
        <w:rPr>
          <w:rFonts w:cstheme="minorHAnsi"/>
        </w:rPr>
        <w:t>ing</w:t>
      </w:r>
      <w:r>
        <w:rPr>
          <w:rFonts w:cstheme="minorHAnsi"/>
        </w:rPr>
        <w:t xml:space="preserve"> proceedings in cases of non-compliance with wages and entitlements</w:t>
      </w:r>
      <w:r w:rsidR="00793779">
        <w:rPr>
          <w:rFonts w:cstheme="minorHAnsi"/>
        </w:rPr>
        <w:t xml:space="preserve"> laws</w:t>
      </w:r>
      <w:r>
        <w:rPr>
          <w:rFonts w:cstheme="minorHAnsi"/>
        </w:rPr>
        <w:t xml:space="preserve">. He </w:t>
      </w:r>
      <w:r w:rsidR="007F3E7C">
        <w:rPr>
          <w:rFonts w:cstheme="minorHAnsi"/>
        </w:rPr>
        <w:t>argued</w:t>
      </w:r>
      <w:r>
        <w:rPr>
          <w:rFonts w:cstheme="minorHAnsi"/>
        </w:rPr>
        <w:t xml:space="preserve"> that a key </w:t>
      </w:r>
      <w:r w:rsidR="00793779">
        <w:rPr>
          <w:rFonts w:cstheme="minorHAnsi"/>
        </w:rPr>
        <w:t xml:space="preserve">future </w:t>
      </w:r>
      <w:r>
        <w:rPr>
          <w:rFonts w:cstheme="minorHAnsi"/>
        </w:rPr>
        <w:t xml:space="preserve">focus for the ABCC </w:t>
      </w:r>
      <w:r w:rsidR="00D27374">
        <w:rPr>
          <w:rFonts w:cstheme="minorHAnsi"/>
        </w:rPr>
        <w:t xml:space="preserve">will </w:t>
      </w:r>
      <w:r>
        <w:rPr>
          <w:rFonts w:cstheme="minorHAnsi"/>
        </w:rPr>
        <w:t xml:space="preserve">be on obtaining </w:t>
      </w:r>
      <w:r>
        <w:rPr>
          <w:rFonts w:cstheme="minorHAnsi"/>
        </w:rPr>
        <w:lastRenderedPageBreak/>
        <w:t>restitution for the affected workers</w:t>
      </w:r>
      <w:r w:rsidR="00F91CAA">
        <w:rPr>
          <w:rFonts w:cstheme="minorHAnsi"/>
        </w:rPr>
        <w:t xml:space="preserve">. </w:t>
      </w:r>
      <w:r w:rsidR="00793779">
        <w:rPr>
          <w:rFonts w:cstheme="minorHAnsi"/>
        </w:rPr>
        <w:t>However</w:t>
      </w:r>
      <w:r>
        <w:rPr>
          <w:rFonts w:cstheme="minorHAnsi"/>
        </w:rPr>
        <w:t xml:space="preserve">, where he </w:t>
      </w:r>
      <w:r w:rsidR="00D27374">
        <w:rPr>
          <w:rFonts w:cstheme="minorHAnsi"/>
        </w:rPr>
        <w:t xml:space="preserve">is </w:t>
      </w:r>
      <w:r>
        <w:rPr>
          <w:rFonts w:cstheme="minorHAnsi"/>
        </w:rPr>
        <w:t xml:space="preserve">convinced that the non-compliance </w:t>
      </w:r>
      <w:r w:rsidR="00D27374">
        <w:rPr>
          <w:rFonts w:cstheme="minorHAnsi"/>
        </w:rPr>
        <w:t xml:space="preserve">is </w:t>
      </w:r>
      <w:r>
        <w:rPr>
          <w:rFonts w:cstheme="minorHAnsi"/>
        </w:rPr>
        <w:t>not systematic or egregious and the company accept</w:t>
      </w:r>
      <w:r w:rsidR="00793779">
        <w:rPr>
          <w:rFonts w:cstheme="minorHAnsi"/>
        </w:rPr>
        <w:t>s</w:t>
      </w:r>
      <w:r>
        <w:rPr>
          <w:rFonts w:cstheme="minorHAnsi"/>
        </w:rPr>
        <w:t xml:space="preserve"> that there ha</w:t>
      </w:r>
      <w:r w:rsidR="00D27374">
        <w:rPr>
          <w:rFonts w:cstheme="minorHAnsi"/>
        </w:rPr>
        <w:t>s</w:t>
      </w:r>
      <w:r>
        <w:rPr>
          <w:rFonts w:cstheme="minorHAnsi"/>
        </w:rPr>
        <w:t xml:space="preserve"> been non-compliance and provide</w:t>
      </w:r>
      <w:r w:rsidR="00793779">
        <w:rPr>
          <w:rFonts w:cstheme="minorHAnsi"/>
        </w:rPr>
        <w:t>s</w:t>
      </w:r>
      <w:r>
        <w:rPr>
          <w:rFonts w:cstheme="minorHAnsi"/>
        </w:rPr>
        <w:t xml:space="preserve"> restitution, he </w:t>
      </w:r>
      <w:r w:rsidR="00D27374">
        <w:rPr>
          <w:rFonts w:cstheme="minorHAnsi"/>
        </w:rPr>
        <w:t xml:space="preserve">will </w:t>
      </w:r>
      <w:r>
        <w:rPr>
          <w:rFonts w:cstheme="minorHAnsi"/>
        </w:rPr>
        <w:t xml:space="preserve">not typically pursue proceedings. Conversely, the ABCC </w:t>
      </w:r>
      <w:r w:rsidR="00D27374">
        <w:rPr>
          <w:rFonts w:cstheme="minorHAnsi"/>
        </w:rPr>
        <w:t xml:space="preserve">will </w:t>
      </w:r>
      <w:r>
        <w:rPr>
          <w:rFonts w:cstheme="minorHAnsi"/>
        </w:rPr>
        <w:t>commence proceedings in cases of sustained and serious non-compliance.</w:t>
      </w:r>
    </w:p>
    <w:p w14:paraId="344A0A1A" w14:textId="276BCEF7" w:rsidR="008471F9" w:rsidRDefault="008471F9" w:rsidP="00B97E9E">
      <w:pPr>
        <w:spacing w:before="200" w:after="200" w:line="276" w:lineRule="auto"/>
        <w:rPr>
          <w:rFonts w:cstheme="minorHAnsi"/>
        </w:rPr>
      </w:pPr>
      <w:r>
        <w:rPr>
          <w:rFonts w:cstheme="minorHAnsi"/>
        </w:rPr>
        <w:t xml:space="preserve">In this context, </w:t>
      </w:r>
      <w:r w:rsidR="00BB4F46">
        <w:rPr>
          <w:rFonts w:cstheme="minorHAnsi"/>
        </w:rPr>
        <w:t>t</w:t>
      </w:r>
      <w:r>
        <w:rPr>
          <w:rFonts w:cstheme="minorHAnsi"/>
        </w:rPr>
        <w:t>he</w:t>
      </w:r>
      <w:r w:rsidR="00D02DE6" w:rsidRPr="00EE0A20">
        <w:rPr>
          <w:rFonts w:cstheme="minorHAnsi"/>
        </w:rPr>
        <w:t xml:space="preserve"> </w:t>
      </w:r>
      <w:r w:rsidR="0017349F" w:rsidRPr="00EE0A20">
        <w:rPr>
          <w:rFonts w:cstheme="minorHAnsi"/>
        </w:rPr>
        <w:t>ABC</w:t>
      </w:r>
      <w:r w:rsidR="007B23BE">
        <w:rPr>
          <w:rFonts w:cstheme="minorHAnsi"/>
        </w:rPr>
        <w:t> </w:t>
      </w:r>
      <w:r w:rsidR="00D02DE6">
        <w:rPr>
          <w:rFonts w:cstheme="minorHAnsi"/>
        </w:rPr>
        <w:t>Commissioner</w:t>
      </w:r>
      <w:r>
        <w:rPr>
          <w:rFonts w:cstheme="minorHAnsi"/>
        </w:rPr>
        <w:t xml:space="preserve"> </w:t>
      </w:r>
      <w:r w:rsidR="00BB4F46">
        <w:rPr>
          <w:rFonts w:cstheme="minorHAnsi"/>
        </w:rPr>
        <w:t>highlighted the fact</w:t>
      </w:r>
      <w:r>
        <w:rPr>
          <w:rFonts w:cstheme="minorHAnsi"/>
        </w:rPr>
        <w:t xml:space="preserve"> that the ABCC is bound by the Attorney</w:t>
      </w:r>
      <w:r w:rsidR="007B23BE">
        <w:rPr>
          <w:rFonts w:cstheme="minorHAnsi"/>
        </w:rPr>
        <w:noBreakHyphen/>
      </w:r>
      <w:r>
        <w:rPr>
          <w:rFonts w:cstheme="minorHAnsi"/>
        </w:rPr>
        <w:t xml:space="preserve">General’s </w:t>
      </w:r>
      <w:r w:rsidR="001703D1">
        <w:rPr>
          <w:rFonts w:cstheme="minorHAnsi"/>
        </w:rPr>
        <w:t xml:space="preserve">legal service </w:t>
      </w:r>
      <w:r>
        <w:rPr>
          <w:rFonts w:cstheme="minorHAnsi"/>
        </w:rPr>
        <w:t>guidelines</w:t>
      </w:r>
      <w:r w:rsidR="00C608C7">
        <w:rPr>
          <w:rFonts w:cstheme="minorHAnsi"/>
        </w:rPr>
        <w:t xml:space="preserve"> </w:t>
      </w:r>
      <w:r w:rsidR="001703D1">
        <w:rPr>
          <w:rFonts w:cstheme="minorHAnsi"/>
        </w:rPr>
        <w:t>when determining whether to launch proceedings</w:t>
      </w:r>
      <w:r w:rsidR="00D10AD3">
        <w:rPr>
          <w:rFonts w:cstheme="minorHAnsi"/>
        </w:rPr>
        <w:t xml:space="preserve">, arguing that they address the importance of ensuring that there is adequate evidence to </w:t>
      </w:r>
      <w:r w:rsidR="00C608C7">
        <w:rPr>
          <w:rFonts w:cstheme="minorHAnsi"/>
        </w:rPr>
        <w:t xml:space="preserve">support the taking of legal action </w:t>
      </w:r>
      <w:r w:rsidR="00D10AD3">
        <w:rPr>
          <w:rFonts w:cstheme="minorHAnsi"/>
        </w:rPr>
        <w:t>and that the public interest would be served by doing so.</w:t>
      </w:r>
      <w:r w:rsidR="00C608C7">
        <w:rPr>
          <w:rStyle w:val="FootnoteReference"/>
          <w:rFonts w:cstheme="minorHAnsi"/>
        </w:rPr>
        <w:footnoteReference w:id="15"/>
      </w:r>
      <w:r w:rsidR="00C608C7">
        <w:rPr>
          <w:rFonts w:cstheme="minorHAnsi"/>
        </w:rPr>
        <w:t xml:space="preserve"> </w:t>
      </w:r>
    </w:p>
    <w:p w14:paraId="18C90DAE" w14:textId="05D0B84C" w:rsidR="00E209D9" w:rsidRDefault="001703D1" w:rsidP="00B97E9E">
      <w:pPr>
        <w:spacing w:before="200" w:after="200" w:line="276" w:lineRule="auto"/>
      </w:pPr>
      <w:r>
        <w:t>The</w:t>
      </w:r>
      <w:r w:rsidRPr="00E732BC">
        <w:t xml:space="preserve"> </w:t>
      </w:r>
      <w:r w:rsidR="0017349F" w:rsidRPr="00E732BC">
        <w:t>ABC</w:t>
      </w:r>
      <w:r w:rsidR="007B23BE">
        <w:t> </w:t>
      </w:r>
      <w:r>
        <w:t>Commissioner</w:t>
      </w:r>
      <w:r w:rsidR="0059098F">
        <w:t xml:space="preserve"> also </w:t>
      </w:r>
      <w:r w:rsidR="00D02DE6">
        <w:t xml:space="preserve">indicated an intent to focus a significant proportion of the ABCC’s efforts in this area on proactive initiatives, with a </w:t>
      </w:r>
      <w:r w:rsidR="00480A7F">
        <w:t>focus</w:t>
      </w:r>
      <w:r w:rsidR="00D02DE6">
        <w:t xml:space="preserve"> on vulnerable workers, which </w:t>
      </w:r>
      <w:r w:rsidR="0059098F">
        <w:t xml:space="preserve">research indicates </w:t>
      </w:r>
      <w:r w:rsidR="00D02DE6">
        <w:t>are</w:t>
      </w:r>
      <w:r>
        <w:t xml:space="preserve"> </w:t>
      </w:r>
      <w:r w:rsidR="00BB4F46">
        <w:t xml:space="preserve">most </w:t>
      </w:r>
      <w:r>
        <w:t>likely to be affected</w:t>
      </w:r>
      <w:r w:rsidR="0059098F">
        <w:t xml:space="preserve"> by wages and entitlements issues</w:t>
      </w:r>
      <w:r w:rsidR="00F91CAA">
        <w:t xml:space="preserve">. </w:t>
      </w:r>
    </w:p>
    <w:p w14:paraId="51321351" w14:textId="77777777" w:rsidR="008471F9" w:rsidRPr="000218CE" w:rsidRDefault="0059098F" w:rsidP="000218CE">
      <w:pPr>
        <w:pStyle w:val="Heading4"/>
      </w:pPr>
      <w:r w:rsidRPr="000218CE">
        <w:t>S</w:t>
      </w:r>
      <w:r w:rsidR="008471F9" w:rsidRPr="000218CE">
        <w:t>ham contracting</w:t>
      </w:r>
      <w:r w:rsidRPr="000218CE">
        <w:t xml:space="preserve"> </w:t>
      </w:r>
      <w:r w:rsidR="00D27374" w:rsidRPr="000218CE">
        <w:t>and</w:t>
      </w:r>
      <w:r w:rsidRPr="000218CE">
        <w:t xml:space="preserve"> </w:t>
      </w:r>
      <w:r w:rsidR="00D27374" w:rsidRPr="000218CE">
        <w:t>s</w:t>
      </w:r>
      <w:r w:rsidRPr="000218CE">
        <w:t xml:space="preserve">ecurity of </w:t>
      </w:r>
      <w:r w:rsidR="00D27374" w:rsidRPr="000218CE">
        <w:t>p</w:t>
      </w:r>
      <w:r w:rsidRPr="000218CE">
        <w:t>ayments</w:t>
      </w:r>
    </w:p>
    <w:p w14:paraId="0D925C12" w14:textId="536E7D71" w:rsidR="0059098F" w:rsidRDefault="00BB4F46" w:rsidP="00B97E9E">
      <w:pPr>
        <w:spacing w:before="200" w:after="200" w:line="276" w:lineRule="auto"/>
        <w:rPr>
          <w:rFonts w:cstheme="minorHAnsi"/>
        </w:rPr>
      </w:pPr>
      <w:r>
        <w:rPr>
          <w:rFonts w:cstheme="minorHAnsi"/>
        </w:rPr>
        <w:t>S</w:t>
      </w:r>
      <w:r w:rsidR="0059098F">
        <w:rPr>
          <w:rFonts w:cstheme="minorHAnsi"/>
        </w:rPr>
        <w:t xml:space="preserve">ham contracting and security of payments were also identified </w:t>
      </w:r>
      <w:r>
        <w:rPr>
          <w:rFonts w:cstheme="minorHAnsi"/>
        </w:rPr>
        <w:t xml:space="preserve">by the </w:t>
      </w:r>
      <w:r w:rsidR="007B23BE">
        <w:rPr>
          <w:rFonts w:cstheme="minorHAnsi"/>
        </w:rPr>
        <w:t>ABC </w:t>
      </w:r>
      <w:r>
        <w:rPr>
          <w:rFonts w:cstheme="minorHAnsi"/>
        </w:rPr>
        <w:t xml:space="preserve">Commissioner </w:t>
      </w:r>
      <w:r w:rsidR="0059098F">
        <w:rPr>
          <w:rFonts w:cstheme="minorHAnsi"/>
        </w:rPr>
        <w:t xml:space="preserve">as issues to which the ABCC would need to devote more resources in order to adequately </w:t>
      </w:r>
      <w:r w:rsidR="00D27374">
        <w:rPr>
          <w:rFonts w:cstheme="minorHAnsi"/>
        </w:rPr>
        <w:t>ac</w:t>
      </w:r>
      <w:r w:rsidR="0059098F">
        <w:rPr>
          <w:rFonts w:cstheme="minorHAnsi"/>
        </w:rPr>
        <w:t xml:space="preserve">quit its obligation to act as a </w:t>
      </w:r>
      <w:r w:rsidR="0017349F" w:rsidRPr="00EE0A20">
        <w:rPr>
          <w:rFonts w:cstheme="minorHAnsi"/>
        </w:rPr>
        <w:t>‘</w:t>
      </w:r>
      <w:r w:rsidR="0059098F">
        <w:rPr>
          <w:rFonts w:cstheme="minorHAnsi"/>
        </w:rPr>
        <w:t>full service regulator</w:t>
      </w:r>
      <w:r w:rsidR="0017349F" w:rsidRPr="00EE0A20">
        <w:rPr>
          <w:rFonts w:cstheme="minorHAnsi"/>
        </w:rPr>
        <w:t>.’</w:t>
      </w:r>
      <w:r w:rsidR="0059098F">
        <w:rPr>
          <w:rFonts w:cstheme="minorHAnsi"/>
        </w:rPr>
        <w:t xml:space="preserve"> </w:t>
      </w:r>
      <w:r>
        <w:rPr>
          <w:rFonts w:cstheme="minorHAnsi"/>
        </w:rPr>
        <w:t>He</w:t>
      </w:r>
      <w:r w:rsidR="0059098F">
        <w:rPr>
          <w:rFonts w:cstheme="minorHAnsi"/>
        </w:rPr>
        <w:t xml:space="preserve"> indicated a belief that sham contracting is a substantial issue in certain segments of the industry and that it would be necessary for the ABCC to develop a strategic and proactive approach to address this issue in future.</w:t>
      </w:r>
    </w:p>
    <w:p w14:paraId="10FC0802" w14:textId="6EF636B2" w:rsidR="0059098F" w:rsidRDefault="0059098F" w:rsidP="00B97E9E">
      <w:pPr>
        <w:spacing w:before="200" w:after="200" w:line="276" w:lineRule="auto"/>
        <w:rPr>
          <w:rFonts w:cstheme="minorHAnsi"/>
        </w:rPr>
      </w:pPr>
      <w:r w:rsidRPr="00B97E9E">
        <w:t>In</w:t>
      </w:r>
      <w:r>
        <w:rPr>
          <w:rFonts w:cstheme="minorHAnsi"/>
        </w:rPr>
        <w:t xml:space="preserve"> relation to security of payments, </w:t>
      </w:r>
      <w:r w:rsidR="00793779">
        <w:rPr>
          <w:rFonts w:cstheme="minorHAnsi"/>
        </w:rPr>
        <w:t>he</w:t>
      </w:r>
      <w:r>
        <w:rPr>
          <w:rFonts w:cstheme="minorHAnsi"/>
        </w:rPr>
        <w:t xml:space="preserve"> noted that the release of the Murray </w:t>
      </w:r>
      <w:r w:rsidR="00770B93">
        <w:rPr>
          <w:rFonts w:cstheme="minorHAnsi"/>
        </w:rPr>
        <w:t>R</w:t>
      </w:r>
      <w:r>
        <w:rPr>
          <w:rFonts w:cstheme="minorHAnsi"/>
        </w:rPr>
        <w:t>eview</w:t>
      </w:r>
      <w:r w:rsidR="00AE706D">
        <w:rPr>
          <w:rFonts w:cstheme="minorHAnsi"/>
        </w:rPr>
        <w:t>,</w:t>
      </w:r>
      <w:r>
        <w:rPr>
          <w:rFonts w:cstheme="minorHAnsi"/>
        </w:rPr>
        <w:t xml:space="preserve"> and </w:t>
      </w:r>
      <w:r w:rsidR="00B441C2">
        <w:rPr>
          <w:rFonts w:cstheme="minorHAnsi"/>
        </w:rPr>
        <w:t xml:space="preserve">any future government response, may </w:t>
      </w:r>
      <w:r>
        <w:rPr>
          <w:rFonts w:cstheme="minorHAnsi"/>
        </w:rPr>
        <w:t>have a substantial impact on the appropriate approach for the ABCC to take in this area.</w:t>
      </w:r>
    </w:p>
    <w:p w14:paraId="4074B813" w14:textId="581AA2E6" w:rsidR="008471F9" w:rsidRPr="000218CE" w:rsidRDefault="008471F9" w:rsidP="000218CE">
      <w:pPr>
        <w:pStyle w:val="Heading4"/>
      </w:pPr>
      <w:r w:rsidRPr="000218CE">
        <w:t>The Code</w:t>
      </w:r>
      <w:r w:rsidR="007B0A54" w:rsidRPr="000218CE">
        <w:t xml:space="preserve"> for the Tendering and Performance of Building Work 2016</w:t>
      </w:r>
    </w:p>
    <w:p w14:paraId="53F92A5E" w14:textId="5369E5DC" w:rsidR="00007C07" w:rsidRDefault="00D27374" w:rsidP="00B97E9E">
      <w:pPr>
        <w:spacing w:before="200" w:after="200" w:line="276" w:lineRule="auto"/>
        <w:rPr>
          <w:rFonts w:cstheme="minorHAnsi"/>
        </w:rPr>
      </w:pPr>
      <w:r>
        <w:rPr>
          <w:rFonts w:cstheme="minorHAnsi"/>
        </w:rPr>
        <w:t>T</w:t>
      </w:r>
      <w:r w:rsidR="0059098F">
        <w:rPr>
          <w:rFonts w:cstheme="minorHAnsi"/>
        </w:rPr>
        <w:t>he</w:t>
      </w:r>
      <w:r w:rsidR="0059098F" w:rsidRPr="00EE0A20">
        <w:rPr>
          <w:rFonts w:cstheme="minorHAnsi"/>
        </w:rPr>
        <w:t xml:space="preserve"> </w:t>
      </w:r>
      <w:r w:rsidR="0017349F" w:rsidRPr="00EE0A20">
        <w:rPr>
          <w:rFonts w:cstheme="minorHAnsi"/>
        </w:rPr>
        <w:t>ABC</w:t>
      </w:r>
      <w:r w:rsidR="007B23BE">
        <w:rPr>
          <w:rFonts w:cstheme="minorHAnsi"/>
        </w:rPr>
        <w:t> </w:t>
      </w:r>
      <w:r w:rsidR="0059098F">
        <w:rPr>
          <w:rFonts w:cstheme="minorHAnsi"/>
        </w:rPr>
        <w:t xml:space="preserve">Commissioner noted that </w:t>
      </w:r>
      <w:r w:rsidR="007B0A54">
        <w:rPr>
          <w:rFonts w:cstheme="minorHAnsi"/>
        </w:rPr>
        <w:t>c</w:t>
      </w:r>
      <w:r w:rsidR="001B50F1">
        <w:rPr>
          <w:rFonts w:cstheme="minorHAnsi"/>
        </w:rPr>
        <w:t xml:space="preserve">ode-related issues have become increasingly prominent, with </w:t>
      </w:r>
      <w:r w:rsidR="0059098F">
        <w:rPr>
          <w:rFonts w:cstheme="minorHAnsi"/>
        </w:rPr>
        <w:t>around 75</w:t>
      </w:r>
      <w:r w:rsidR="004D3AB2">
        <w:rPr>
          <w:rFonts w:cstheme="minorHAnsi"/>
        </w:rPr>
        <w:t> per</w:t>
      </w:r>
      <w:r w:rsidR="0017349F" w:rsidRPr="00EE0A20">
        <w:rPr>
          <w:rFonts w:cstheme="minorHAnsi"/>
        </w:rPr>
        <w:t> </w:t>
      </w:r>
      <w:r w:rsidR="004D3AB2">
        <w:rPr>
          <w:rFonts w:cstheme="minorHAnsi"/>
        </w:rPr>
        <w:t>cent</w:t>
      </w:r>
      <w:r w:rsidR="0059098F">
        <w:rPr>
          <w:rFonts w:cstheme="minorHAnsi"/>
        </w:rPr>
        <w:t xml:space="preserve"> of enquiries made in the first half of 2017</w:t>
      </w:r>
      <w:r w:rsidR="007B0A54">
        <w:rPr>
          <w:rFonts w:cstheme="minorHAnsi"/>
        </w:rPr>
        <w:noBreakHyphen/>
      </w:r>
      <w:r w:rsidR="0059098F">
        <w:rPr>
          <w:rFonts w:cstheme="minorHAnsi"/>
        </w:rPr>
        <w:t xml:space="preserve">18 related to the </w:t>
      </w:r>
      <w:r w:rsidR="007B0A54">
        <w:rPr>
          <w:rFonts w:cstheme="minorHAnsi"/>
        </w:rPr>
        <w:t>2016 </w:t>
      </w:r>
      <w:r w:rsidR="0059098F">
        <w:rPr>
          <w:rFonts w:cstheme="minorHAnsi"/>
        </w:rPr>
        <w:t>Code</w:t>
      </w:r>
      <w:r w:rsidR="001B50F1">
        <w:rPr>
          <w:rFonts w:cstheme="minorHAnsi"/>
        </w:rPr>
        <w:t xml:space="preserve"> and </w:t>
      </w:r>
      <w:r w:rsidR="0059098F">
        <w:rPr>
          <w:rFonts w:cstheme="minorHAnsi"/>
        </w:rPr>
        <w:t>40</w:t>
      </w:r>
      <w:r w:rsidR="004D3AB2">
        <w:rPr>
          <w:rFonts w:cstheme="minorHAnsi"/>
        </w:rPr>
        <w:t> per</w:t>
      </w:r>
      <w:r w:rsidR="0017349F" w:rsidRPr="00EE0A20">
        <w:rPr>
          <w:rFonts w:cstheme="minorHAnsi"/>
        </w:rPr>
        <w:t> </w:t>
      </w:r>
      <w:r w:rsidR="004D3AB2">
        <w:rPr>
          <w:rFonts w:cstheme="minorHAnsi"/>
        </w:rPr>
        <w:t>cent</w:t>
      </w:r>
      <w:r w:rsidR="0059098F">
        <w:rPr>
          <w:rFonts w:cstheme="minorHAnsi"/>
        </w:rPr>
        <w:t xml:space="preserve"> of the ABCC’s staff resources curre</w:t>
      </w:r>
      <w:r w:rsidR="00EA7C53">
        <w:rPr>
          <w:rFonts w:cstheme="minorHAnsi"/>
        </w:rPr>
        <w:t>ntly devoted to addressing code-</w:t>
      </w:r>
      <w:r w:rsidR="0059098F">
        <w:rPr>
          <w:rFonts w:cstheme="minorHAnsi"/>
        </w:rPr>
        <w:t>related issues</w:t>
      </w:r>
      <w:r w:rsidR="00F91CAA">
        <w:rPr>
          <w:rFonts w:cstheme="minorHAnsi"/>
        </w:rPr>
        <w:t xml:space="preserve">. </w:t>
      </w:r>
      <w:r w:rsidR="00785944">
        <w:rPr>
          <w:rFonts w:cstheme="minorHAnsi"/>
        </w:rPr>
        <w:t xml:space="preserve">He </w:t>
      </w:r>
      <w:r w:rsidR="00AE706D">
        <w:rPr>
          <w:rFonts w:cstheme="minorHAnsi"/>
        </w:rPr>
        <w:t>believes</w:t>
      </w:r>
      <w:r w:rsidR="00785944">
        <w:rPr>
          <w:rFonts w:cstheme="minorHAnsi"/>
        </w:rPr>
        <w:t xml:space="preserve"> that b</w:t>
      </w:r>
      <w:r w:rsidR="0059098F">
        <w:rPr>
          <w:rFonts w:cstheme="minorHAnsi"/>
        </w:rPr>
        <w:t>oth the significant increases in the amount of Commonwealth</w:t>
      </w:r>
      <w:r w:rsidR="0012704A">
        <w:rPr>
          <w:rFonts w:cstheme="minorHAnsi"/>
        </w:rPr>
        <w:t>-</w:t>
      </w:r>
      <w:r w:rsidR="0059098F">
        <w:rPr>
          <w:rFonts w:cstheme="minorHAnsi"/>
        </w:rPr>
        <w:t xml:space="preserve">funded building work being undertaken in recent times and a greater </w:t>
      </w:r>
      <w:r w:rsidR="00785944">
        <w:rPr>
          <w:rFonts w:cstheme="minorHAnsi"/>
        </w:rPr>
        <w:t xml:space="preserve">concern on the part of </w:t>
      </w:r>
      <w:r w:rsidR="0059098F">
        <w:rPr>
          <w:rFonts w:cstheme="minorHAnsi"/>
        </w:rPr>
        <w:t>code</w:t>
      </w:r>
      <w:r w:rsidR="00785944">
        <w:rPr>
          <w:rFonts w:cstheme="minorHAnsi"/>
        </w:rPr>
        <w:t>-</w:t>
      </w:r>
      <w:r w:rsidR="0059098F">
        <w:rPr>
          <w:rFonts w:cstheme="minorHAnsi"/>
        </w:rPr>
        <w:t>covered entities</w:t>
      </w:r>
      <w:r w:rsidR="00785944">
        <w:rPr>
          <w:rFonts w:cstheme="minorHAnsi"/>
        </w:rPr>
        <w:t xml:space="preserve"> to ensure that they</w:t>
      </w:r>
      <w:r w:rsidR="0059098F">
        <w:rPr>
          <w:rFonts w:cstheme="minorHAnsi"/>
        </w:rPr>
        <w:t xml:space="preserve"> are </w:t>
      </w:r>
      <w:r w:rsidR="00785944">
        <w:rPr>
          <w:rFonts w:cstheme="minorHAnsi"/>
        </w:rPr>
        <w:t xml:space="preserve">fully </w:t>
      </w:r>
      <w:r w:rsidR="0059098F">
        <w:rPr>
          <w:rFonts w:cstheme="minorHAnsi"/>
        </w:rPr>
        <w:t xml:space="preserve">compliant have </w:t>
      </w:r>
      <w:r w:rsidR="00785944">
        <w:rPr>
          <w:rFonts w:cstheme="minorHAnsi"/>
        </w:rPr>
        <w:t xml:space="preserve">contributed to </w:t>
      </w:r>
      <w:r w:rsidR="0059098F">
        <w:rPr>
          <w:rFonts w:cstheme="minorHAnsi"/>
        </w:rPr>
        <w:t>this increase in code</w:t>
      </w:r>
      <w:r w:rsidR="00BB4F46">
        <w:rPr>
          <w:rFonts w:cstheme="minorHAnsi"/>
        </w:rPr>
        <w:t>-</w:t>
      </w:r>
      <w:r w:rsidR="0059098F">
        <w:rPr>
          <w:rFonts w:cstheme="minorHAnsi"/>
        </w:rPr>
        <w:t>related work</w:t>
      </w:r>
      <w:r w:rsidR="00F91CAA">
        <w:rPr>
          <w:rFonts w:cstheme="minorHAnsi"/>
        </w:rPr>
        <w:t xml:space="preserve">. </w:t>
      </w:r>
      <w:r w:rsidR="0059098F">
        <w:rPr>
          <w:rFonts w:cstheme="minorHAnsi"/>
        </w:rPr>
        <w:t xml:space="preserve">The implication of this increase in </w:t>
      </w:r>
      <w:r w:rsidR="00590CFD">
        <w:rPr>
          <w:rFonts w:cstheme="minorHAnsi"/>
        </w:rPr>
        <w:t>code-</w:t>
      </w:r>
      <w:r w:rsidR="0059098F">
        <w:rPr>
          <w:rFonts w:cstheme="minorHAnsi"/>
        </w:rPr>
        <w:t xml:space="preserve">related enquiries and associated activity is that this area will necessarily constitute a </w:t>
      </w:r>
      <w:r w:rsidR="001B50F1">
        <w:rPr>
          <w:rFonts w:cstheme="minorHAnsi"/>
        </w:rPr>
        <w:t>significant element</w:t>
      </w:r>
      <w:r w:rsidR="0059098F">
        <w:rPr>
          <w:rFonts w:cstheme="minorHAnsi"/>
        </w:rPr>
        <w:t xml:space="preserve"> of ABCC’s future work</w:t>
      </w:r>
      <w:r w:rsidR="00F91CAA">
        <w:rPr>
          <w:rFonts w:cstheme="minorHAnsi"/>
        </w:rPr>
        <w:t xml:space="preserve">. </w:t>
      </w:r>
    </w:p>
    <w:p w14:paraId="2C6A04F6" w14:textId="77777777" w:rsidR="00396ABE" w:rsidRPr="000218CE" w:rsidRDefault="00396ABE" w:rsidP="000218CE">
      <w:pPr>
        <w:pStyle w:val="Heading4"/>
      </w:pPr>
      <w:r w:rsidRPr="000218CE">
        <w:t>Full service regulator function</w:t>
      </w:r>
    </w:p>
    <w:p w14:paraId="7D62A337" w14:textId="10F85F63" w:rsidR="00396ABE" w:rsidRDefault="007B23BE" w:rsidP="00B97E9E">
      <w:pPr>
        <w:spacing w:before="200" w:after="200" w:line="276" w:lineRule="auto"/>
        <w:rPr>
          <w:rFonts w:cstheme="minorHAnsi"/>
        </w:rPr>
      </w:pPr>
      <w:r>
        <w:rPr>
          <w:rFonts w:cstheme="minorHAnsi"/>
        </w:rPr>
        <w:t>The ABC </w:t>
      </w:r>
      <w:r w:rsidR="00396ABE">
        <w:rPr>
          <w:rFonts w:cstheme="minorHAnsi"/>
        </w:rPr>
        <w:t xml:space="preserve">Commissioner indicated a view that the need for the ABCC to act as a </w:t>
      </w:r>
      <w:r w:rsidR="002C368B" w:rsidRPr="00EE0A20">
        <w:rPr>
          <w:rFonts w:cstheme="minorHAnsi"/>
        </w:rPr>
        <w:t>‘</w:t>
      </w:r>
      <w:r w:rsidR="00396ABE">
        <w:rPr>
          <w:rFonts w:cstheme="minorHAnsi"/>
        </w:rPr>
        <w:t>full service regulator</w:t>
      </w:r>
      <w:r w:rsidR="002C368B" w:rsidRPr="00EE0A20">
        <w:rPr>
          <w:rFonts w:cstheme="minorHAnsi"/>
        </w:rPr>
        <w:t>’</w:t>
      </w:r>
      <w:r w:rsidR="00396ABE">
        <w:rPr>
          <w:rFonts w:cstheme="minorHAnsi"/>
        </w:rPr>
        <w:t xml:space="preserve"> implie</w:t>
      </w:r>
      <w:r w:rsidR="00AE706D">
        <w:rPr>
          <w:rFonts w:cstheme="minorHAnsi"/>
        </w:rPr>
        <w:t>s</w:t>
      </w:r>
      <w:r w:rsidR="00396ABE">
        <w:rPr>
          <w:rFonts w:cstheme="minorHAnsi"/>
        </w:rPr>
        <w:t xml:space="preserve"> </w:t>
      </w:r>
      <w:r w:rsidR="00785944">
        <w:rPr>
          <w:rFonts w:cstheme="minorHAnsi"/>
        </w:rPr>
        <w:t>that it must ensure it is</w:t>
      </w:r>
      <w:r w:rsidR="00396ABE">
        <w:rPr>
          <w:rFonts w:cstheme="minorHAnsi"/>
        </w:rPr>
        <w:t xml:space="preserve"> available to assist all industry participants</w:t>
      </w:r>
      <w:r w:rsidR="00F91CAA">
        <w:rPr>
          <w:rFonts w:cstheme="minorHAnsi"/>
        </w:rPr>
        <w:t xml:space="preserve">. </w:t>
      </w:r>
      <w:r w:rsidR="00396ABE">
        <w:rPr>
          <w:rFonts w:cstheme="minorHAnsi"/>
        </w:rPr>
        <w:t xml:space="preserve">This includes ensuring that the </w:t>
      </w:r>
      <w:r w:rsidR="002C368B" w:rsidRPr="00EE0A20">
        <w:rPr>
          <w:rFonts w:cstheme="minorHAnsi"/>
        </w:rPr>
        <w:t>ABCC</w:t>
      </w:r>
      <w:r w:rsidR="00396ABE">
        <w:rPr>
          <w:rFonts w:cstheme="minorHAnsi"/>
        </w:rPr>
        <w:t xml:space="preserve"> </w:t>
      </w:r>
      <w:r w:rsidR="00785944">
        <w:rPr>
          <w:rFonts w:cstheme="minorHAnsi"/>
        </w:rPr>
        <w:t>can</w:t>
      </w:r>
      <w:r w:rsidR="00396ABE">
        <w:rPr>
          <w:rFonts w:cstheme="minorHAnsi"/>
        </w:rPr>
        <w:t xml:space="preserve"> respond to requests for advice and assistance in a timely manner and ensuring that key information is made available in a readily understandable format, both on the ABCC website and through other platforms</w:t>
      </w:r>
      <w:r w:rsidR="00F91CAA">
        <w:rPr>
          <w:rFonts w:cstheme="minorHAnsi"/>
        </w:rPr>
        <w:t xml:space="preserve">. </w:t>
      </w:r>
      <w:r w:rsidR="00785944">
        <w:rPr>
          <w:rFonts w:cstheme="minorHAnsi"/>
        </w:rPr>
        <w:t>T</w:t>
      </w:r>
      <w:r w:rsidR="00396ABE">
        <w:rPr>
          <w:rFonts w:cstheme="minorHAnsi"/>
        </w:rPr>
        <w:t xml:space="preserve">he </w:t>
      </w:r>
      <w:r w:rsidR="007032B8">
        <w:rPr>
          <w:rFonts w:cstheme="minorHAnsi"/>
        </w:rPr>
        <w:t xml:space="preserve">recent </w:t>
      </w:r>
      <w:r w:rsidR="00396ABE">
        <w:rPr>
          <w:rFonts w:cstheme="minorHAnsi"/>
        </w:rPr>
        <w:t>relaunch of a phone app providing summary information on key issues, such as right of entry, was noted</w:t>
      </w:r>
      <w:r w:rsidR="00785944" w:rsidRPr="00785944">
        <w:rPr>
          <w:rFonts w:cstheme="minorHAnsi"/>
        </w:rPr>
        <w:t xml:space="preserve"> </w:t>
      </w:r>
      <w:r w:rsidR="00785944">
        <w:rPr>
          <w:rFonts w:cstheme="minorHAnsi"/>
        </w:rPr>
        <w:t>as an example of the latter</w:t>
      </w:r>
      <w:r w:rsidR="00396ABE">
        <w:rPr>
          <w:rFonts w:cstheme="minorHAnsi"/>
        </w:rPr>
        <w:t>.</w:t>
      </w:r>
    </w:p>
    <w:p w14:paraId="7B2459AE" w14:textId="7C317ED2" w:rsidR="00E93DF4" w:rsidRDefault="00E93DF4" w:rsidP="00B97E9E">
      <w:pPr>
        <w:spacing w:before="200" w:after="200" w:line="276" w:lineRule="auto"/>
        <w:rPr>
          <w:rFonts w:cstheme="minorHAnsi"/>
        </w:rPr>
      </w:pPr>
      <w:r w:rsidRPr="004F54EE">
        <w:rPr>
          <w:rFonts w:cstheme="minorHAnsi"/>
        </w:rPr>
        <w:lastRenderedPageBreak/>
        <w:t>The ABC</w:t>
      </w:r>
      <w:r w:rsidR="002C368B" w:rsidRPr="00EE0A20">
        <w:rPr>
          <w:rFonts w:cstheme="minorHAnsi"/>
        </w:rPr>
        <w:t> </w:t>
      </w:r>
      <w:r w:rsidRPr="004F54EE">
        <w:rPr>
          <w:rFonts w:cstheme="minorHAnsi"/>
        </w:rPr>
        <w:t>Commissioner</w:t>
      </w:r>
      <w:r>
        <w:rPr>
          <w:rFonts w:cstheme="minorHAnsi"/>
        </w:rPr>
        <w:t xml:space="preserve"> was given the opportunity to respond to the criticisms contained in the ACTU submission</w:t>
      </w:r>
      <w:r w:rsidR="001C50B4">
        <w:rPr>
          <w:rFonts w:cstheme="minorHAnsi"/>
        </w:rPr>
        <w:t xml:space="preserve"> (see above)</w:t>
      </w:r>
      <w:r w:rsidR="00F91CAA">
        <w:rPr>
          <w:rFonts w:cstheme="minorHAnsi"/>
        </w:rPr>
        <w:t xml:space="preserve">. </w:t>
      </w:r>
      <w:r w:rsidR="00785944">
        <w:rPr>
          <w:rFonts w:cstheme="minorHAnsi"/>
        </w:rPr>
        <w:t>He</w:t>
      </w:r>
      <w:r>
        <w:rPr>
          <w:rFonts w:cstheme="minorHAnsi"/>
        </w:rPr>
        <w:t xml:space="preserve"> noted that many of the matters raised are beyond the scope of the review, particularly in that many </w:t>
      </w:r>
      <w:r w:rsidR="00AE706D">
        <w:rPr>
          <w:rFonts w:cstheme="minorHAnsi"/>
        </w:rPr>
        <w:t>address the</w:t>
      </w:r>
      <w:r>
        <w:rPr>
          <w:rFonts w:cstheme="minorHAnsi"/>
        </w:rPr>
        <w:t xml:space="preserve"> activities of the ABCC’s predecessor organisations</w:t>
      </w:r>
      <w:r w:rsidR="00F91CAA">
        <w:rPr>
          <w:rFonts w:cstheme="minorHAnsi"/>
        </w:rPr>
        <w:t xml:space="preserve">. </w:t>
      </w:r>
      <w:r>
        <w:rPr>
          <w:rFonts w:cstheme="minorHAnsi"/>
        </w:rPr>
        <w:t>As such, he declined to offer comment on these matters</w:t>
      </w:r>
      <w:r w:rsidR="00F91CAA">
        <w:rPr>
          <w:rFonts w:cstheme="minorHAnsi"/>
        </w:rPr>
        <w:t xml:space="preserve">. </w:t>
      </w:r>
      <w:r>
        <w:rPr>
          <w:rFonts w:cstheme="minorHAnsi"/>
        </w:rPr>
        <w:t xml:space="preserve">However, responses were provided in respect of </w:t>
      </w:r>
      <w:r w:rsidR="00785944">
        <w:rPr>
          <w:rFonts w:cstheme="minorHAnsi"/>
        </w:rPr>
        <w:t>several</w:t>
      </w:r>
      <w:r>
        <w:rPr>
          <w:rFonts w:cstheme="minorHAnsi"/>
        </w:rPr>
        <w:t xml:space="preserve"> specific issues raised by the ACTU</w:t>
      </w:r>
      <w:r w:rsidR="00F91CAA">
        <w:rPr>
          <w:rFonts w:cstheme="minorHAnsi"/>
        </w:rPr>
        <w:t xml:space="preserve">. </w:t>
      </w:r>
      <w:r>
        <w:rPr>
          <w:rFonts w:cstheme="minorHAnsi"/>
        </w:rPr>
        <w:t xml:space="preserve">These included comments in relation to the exercise of the compulsory examination powers, the market testing requirements of the </w:t>
      </w:r>
      <w:r w:rsidR="00785080">
        <w:rPr>
          <w:rFonts w:cstheme="minorHAnsi"/>
        </w:rPr>
        <w:t>BCIIP</w:t>
      </w:r>
      <w:r w:rsidR="00EA7C53">
        <w:rPr>
          <w:rFonts w:cstheme="minorHAnsi"/>
        </w:rPr>
        <w:t> </w:t>
      </w:r>
      <w:r>
        <w:rPr>
          <w:rFonts w:cstheme="minorHAnsi"/>
        </w:rPr>
        <w:t xml:space="preserve">Act and </w:t>
      </w:r>
      <w:r w:rsidR="00EA7C53">
        <w:rPr>
          <w:rFonts w:cstheme="minorHAnsi"/>
        </w:rPr>
        <w:t>2016 </w:t>
      </w:r>
      <w:r>
        <w:rPr>
          <w:rFonts w:cstheme="minorHAnsi"/>
        </w:rPr>
        <w:t xml:space="preserve">Code and the Security of Payments Working Group, which are addressed in subsequent </w:t>
      </w:r>
      <w:r w:rsidR="0099154A">
        <w:rPr>
          <w:rFonts w:cstheme="minorHAnsi"/>
        </w:rPr>
        <w:t xml:space="preserve">chapters </w:t>
      </w:r>
      <w:r>
        <w:rPr>
          <w:rFonts w:cstheme="minorHAnsi"/>
        </w:rPr>
        <w:t>of this report.</w:t>
      </w:r>
    </w:p>
    <w:p w14:paraId="2FD5AE0C" w14:textId="77777777" w:rsidR="004F54EE" w:rsidRDefault="00ED1E1E" w:rsidP="004F647D">
      <w:pPr>
        <w:pStyle w:val="Heading2"/>
        <w:numPr>
          <w:ilvl w:val="1"/>
          <w:numId w:val="5"/>
        </w:numPr>
      </w:pPr>
      <w:bookmarkStart w:id="98" w:name="_Toc523154922"/>
      <w:bookmarkStart w:id="99" w:name="_Toc527633008"/>
      <w:r>
        <w:t>Data on ABCC activities</w:t>
      </w:r>
      <w:bookmarkEnd w:id="98"/>
      <w:bookmarkEnd w:id="99"/>
    </w:p>
    <w:p w14:paraId="3EAAFDAC" w14:textId="6EF826D9" w:rsidR="00ED1E1E" w:rsidRDefault="00BB4F46" w:rsidP="00B97E9E">
      <w:pPr>
        <w:spacing w:before="200" w:after="200" w:line="276" w:lineRule="auto"/>
        <w:rPr>
          <w:rFonts w:cstheme="minorHAnsi"/>
        </w:rPr>
      </w:pPr>
      <w:r>
        <w:rPr>
          <w:rFonts w:cstheme="minorHAnsi"/>
        </w:rPr>
        <w:t>T</w:t>
      </w:r>
      <w:r w:rsidR="00ED1E1E" w:rsidRPr="00ED1E1E">
        <w:rPr>
          <w:rFonts w:cstheme="minorHAnsi"/>
        </w:rPr>
        <w:t>o obtain the most</w:t>
      </w:r>
      <w:r w:rsidR="00ED1E1E">
        <w:rPr>
          <w:rFonts w:cstheme="minorHAnsi"/>
        </w:rPr>
        <w:t xml:space="preserve"> up-to-date data available regarding the ABCC’s activities, the review sought </w:t>
      </w:r>
      <w:r w:rsidR="001D420F">
        <w:rPr>
          <w:rFonts w:cstheme="minorHAnsi"/>
        </w:rPr>
        <w:t xml:space="preserve">unpublished </w:t>
      </w:r>
      <w:r w:rsidR="00ED1E1E">
        <w:rPr>
          <w:rFonts w:cstheme="minorHAnsi"/>
        </w:rPr>
        <w:t>data</w:t>
      </w:r>
      <w:r w:rsidR="0086669F">
        <w:rPr>
          <w:rFonts w:cstheme="minorHAnsi"/>
        </w:rPr>
        <w:t xml:space="preserve"> from the </w:t>
      </w:r>
      <w:r w:rsidR="002C368B" w:rsidRPr="00EE0A20">
        <w:rPr>
          <w:rFonts w:cstheme="minorHAnsi"/>
        </w:rPr>
        <w:t xml:space="preserve">ABCC </w:t>
      </w:r>
      <w:r w:rsidR="00ED1E1E">
        <w:rPr>
          <w:rFonts w:cstheme="minorHAnsi"/>
        </w:rPr>
        <w:t>on enquiries received and investigations commenced during the first half of 2017</w:t>
      </w:r>
      <w:r w:rsidR="002C368B" w:rsidRPr="00EE0A20">
        <w:rPr>
          <w:rFonts w:cstheme="minorHAnsi"/>
        </w:rPr>
        <w:t>-</w:t>
      </w:r>
      <w:r w:rsidR="00ED1E1E">
        <w:rPr>
          <w:rFonts w:cstheme="minorHAnsi"/>
        </w:rPr>
        <w:t>18</w:t>
      </w:r>
      <w:r w:rsidR="002C368B" w:rsidRPr="00EE0A20">
        <w:rPr>
          <w:rFonts w:cstheme="minorHAnsi"/>
        </w:rPr>
        <w:t>.</w:t>
      </w:r>
      <w:r w:rsidR="00F23015">
        <w:rPr>
          <w:rStyle w:val="FootnoteReference"/>
          <w:rFonts w:cstheme="minorHAnsi"/>
        </w:rPr>
        <w:footnoteReference w:id="16"/>
      </w:r>
      <w:r w:rsidR="00F91CAA">
        <w:rPr>
          <w:rFonts w:cstheme="minorHAnsi"/>
        </w:rPr>
        <w:t xml:space="preserve"> </w:t>
      </w:r>
      <w:r w:rsidR="00246126">
        <w:rPr>
          <w:rFonts w:cstheme="minorHAnsi"/>
        </w:rPr>
        <w:t>The key data provided are</w:t>
      </w:r>
      <w:r w:rsidR="00ED1E1E">
        <w:rPr>
          <w:rFonts w:cstheme="minorHAnsi"/>
        </w:rPr>
        <w:t xml:space="preserve"> </w:t>
      </w:r>
      <w:r w:rsidR="001D420F">
        <w:rPr>
          <w:rFonts w:cstheme="minorHAnsi"/>
        </w:rPr>
        <w:t xml:space="preserve">summarised </w:t>
      </w:r>
      <w:r w:rsidR="00ED1E1E">
        <w:rPr>
          <w:rFonts w:cstheme="minorHAnsi"/>
        </w:rPr>
        <w:t>below</w:t>
      </w:r>
      <w:r w:rsidR="001D420F">
        <w:rPr>
          <w:rFonts w:cstheme="minorHAnsi"/>
        </w:rPr>
        <w:t>, while further detail is provided in additional tables in Appendix 1</w:t>
      </w:r>
      <w:r w:rsidR="00ED1E1E">
        <w:rPr>
          <w:rFonts w:cstheme="minorHAnsi"/>
        </w:rPr>
        <w:t>.</w:t>
      </w:r>
    </w:p>
    <w:p w14:paraId="693B57B1" w14:textId="6C116BD7" w:rsidR="001D420F" w:rsidRPr="000218CE" w:rsidRDefault="004D3AB2" w:rsidP="00E91971">
      <w:pPr>
        <w:pStyle w:val="Heading3"/>
      </w:pPr>
      <w:r w:rsidRPr="000218CE">
        <w:t>E</w:t>
      </w:r>
      <w:r w:rsidR="001D420F" w:rsidRPr="000218CE">
        <w:t>nquiries received</w:t>
      </w:r>
      <w:r w:rsidR="00D568C0" w:rsidRPr="000218CE">
        <w:rPr>
          <w:vertAlign w:val="superscript"/>
        </w:rPr>
        <w:footnoteReference w:id="17"/>
      </w:r>
    </w:p>
    <w:p w14:paraId="2ADC69F2" w14:textId="1FD1100C" w:rsidR="00ED1E1E" w:rsidRDefault="001D420F" w:rsidP="00B97E9E">
      <w:pPr>
        <w:spacing w:before="200" w:after="200" w:line="276" w:lineRule="auto"/>
        <w:rPr>
          <w:rFonts w:cstheme="minorHAnsi"/>
        </w:rPr>
      </w:pPr>
      <w:r>
        <w:rPr>
          <w:rFonts w:cstheme="minorHAnsi"/>
        </w:rPr>
        <w:t>A</w:t>
      </w:r>
      <w:r w:rsidR="00ED1E1E">
        <w:rPr>
          <w:rFonts w:cstheme="minorHAnsi"/>
        </w:rPr>
        <w:t xml:space="preserve">lmost 4,000 enquiries were received </w:t>
      </w:r>
      <w:r>
        <w:rPr>
          <w:rFonts w:cstheme="minorHAnsi"/>
        </w:rPr>
        <w:t xml:space="preserve">by the ABCC </w:t>
      </w:r>
      <w:r w:rsidR="00ED1E1E">
        <w:rPr>
          <w:rFonts w:cstheme="minorHAnsi"/>
        </w:rPr>
        <w:t xml:space="preserve">over </w:t>
      </w:r>
      <w:r>
        <w:rPr>
          <w:rFonts w:cstheme="minorHAnsi"/>
        </w:rPr>
        <w:t>the</w:t>
      </w:r>
      <w:r w:rsidR="00ED1E1E">
        <w:rPr>
          <w:rFonts w:cstheme="minorHAnsi"/>
        </w:rPr>
        <w:t xml:space="preserve"> six-month</w:t>
      </w:r>
      <w:r w:rsidR="00EA7C53">
        <w:rPr>
          <w:rFonts w:cstheme="minorHAnsi"/>
        </w:rPr>
        <w:t>s to 31 December </w:t>
      </w:r>
      <w:r>
        <w:rPr>
          <w:rFonts w:cstheme="minorHAnsi"/>
        </w:rPr>
        <w:t>2017, of which</w:t>
      </w:r>
      <w:r w:rsidR="00ED1E1E">
        <w:rPr>
          <w:rFonts w:cstheme="minorHAnsi"/>
        </w:rPr>
        <w:t xml:space="preserve"> approximately three quarters relat</w:t>
      </w:r>
      <w:r w:rsidR="00A943E6">
        <w:rPr>
          <w:rFonts w:cstheme="minorHAnsi"/>
        </w:rPr>
        <w:t>ed</w:t>
      </w:r>
      <w:r w:rsidR="00ED1E1E">
        <w:rPr>
          <w:rFonts w:cstheme="minorHAnsi"/>
        </w:rPr>
        <w:t xml:space="preserve"> to the </w:t>
      </w:r>
      <w:r w:rsidR="00EA7C53">
        <w:rPr>
          <w:rFonts w:cstheme="minorHAnsi"/>
        </w:rPr>
        <w:t>2016 </w:t>
      </w:r>
      <w:r w:rsidR="00ED1E1E">
        <w:rPr>
          <w:rFonts w:cstheme="minorHAnsi"/>
        </w:rPr>
        <w:t>Code</w:t>
      </w:r>
      <w:r w:rsidR="00F91CAA">
        <w:rPr>
          <w:rFonts w:cstheme="minorHAnsi"/>
        </w:rPr>
        <w:t xml:space="preserve">. </w:t>
      </w:r>
      <w:r w:rsidR="0002331C">
        <w:rPr>
          <w:rFonts w:cstheme="minorHAnsi"/>
        </w:rPr>
        <w:t xml:space="preserve">Almost half of the </w:t>
      </w:r>
      <w:r w:rsidR="00D568C0">
        <w:rPr>
          <w:rFonts w:cstheme="minorHAnsi"/>
        </w:rPr>
        <w:t xml:space="preserve">code-related </w:t>
      </w:r>
      <w:r w:rsidR="0002331C">
        <w:rPr>
          <w:rFonts w:cstheme="minorHAnsi"/>
        </w:rPr>
        <w:t>enquiries related to code assessment</w:t>
      </w:r>
      <w:r w:rsidR="00EA7C53">
        <w:rPr>
          <w:rFonts w:cstheme="minorHAnsi"/>
        </w:rPr>
        <w:t>s</w:t>
      </w:r>
      <w:r w:rsidR="0002331C">
        <w:rPr>
          <w:rFonts w:cstheme="minorHAnsi"/>
        </w:rPr>
        <w:t xml:space="preserve">, with requests </w:t>
      </w:r>
      <w:r w:rsidR="00D568C0">
        <w:rPr>
          <w:rFonts w:cstheme="minorHAnsi"/>
        </w:rPr>
        <w:t xml:space="preserve">for </w:t>
      </w:r>
      <w:r w:rsidR="0002331C">
        <w:rPr>
          <w:rFonts w:cstheme="minorHAnsi"/>
        </w:rPr>
        <w:t xml:space="preserve">general information on the </w:t>
      </w:r>
      <w:r w:rsidR="00EA7C53">
        <w:rPr>
          <w:rFonts w:cstheme="minorHAnsi"/>
        </w:rPr>
        <w:t>2016 </w:t>
      </w:r>
      <w:r w:rsidR="0002331C">
        <w:rPr>
          <w:rFonts w:cstheme="minorHAnsi"/>
        </w:rPr>
        <w:t>Code and for code advice accounting for most of the remaining enquiries.</w:t>
      </w:r>
    </w:p>
    <w:p w14:paraId="7D449EE5" w14:textId="2B4556E9" w:rsidR="001D420F" w:rsidRDefault="0002331C" w:rsidP="00B97E9E">
      <w:pPr>
        <w:spacing w:before="200" w:after="200" w:line="276" w:lineRule="auto"/>
        <w:rPr>
          <w:rFonts w:cstheme="minorHAnsi"/>
        </w:rPr>
      </w:pPr>
      <w:r>
        <w:rPr>
          <w:rFonts w:cstheme="minorHAnsi"/>
        </w:rPr>
        <w:t>A total of 431 enquiries were made in relation to workplace laws</w:t>
      </w:r>
      <w:r w:rsidR="002C368B" w:rsidRPr="00EE0A20">
        <w:rPr>
          <w:rFonts w:cstheme="minorHAnsi"/>
        </w:rPr>
        <w:t>,</w:t>
      </w:r>
      <w:r w:rsidR="00D568C0">
        <w:rPr>
          <w:rStyle w:val="FootnoteReference"/>
          <w:rFonts w:cstheme="minorHAnsi"/>
        </w:rPr>
        <w:footnoteReference w:id="18"/>
      </w:r>
      <w:r w:rsidR="001D420F">
        <w:rPr>
          <w:rFonts w:cstheme="minorHAnsi"/>
        </w:rPr>
        <w:t xml:space="preserve"> equivalent to around 10.9% of all </w:t>
      </w:r>
      <w:r w:rsidR="00AA00CF">
        <w:rPr>
          <w:rFonts w:cstheme="minorHAnsi"/>
        </w:rPr>
        <w:t>e</w:t>
      </w:r>
      <w:r w:rsidR="001D420F">
        <w:rPr>
          <w:rFonts w:cstheme="minorHAnsi"/>
        </w:rPr>
        <w:t>nquiries received</w:t>
      </w:r>
      <w:r w:rsidR="00F91CAA">
        <w:rPr>
          <w:rFonts w:cstheme="minorHAnsi"/>
        </w:rPr>
        <w:t xml:space="preserve">. </w:t>
      </w:r>
      <w:r w:rsidR="00D11B41">
        <w:rPr>
          <w:rFonts w:cstheme="minorHAnsi"/>
        </w:rPr>
        <w:t>Right of entry enquiries accounted for almost one third of these (33.2%), while wages and entitlements enquiries accounted for more than one quarter (27.6%). These were easily the two main sources of enquiries, followed by unlawful industrial action (15.1%) and coercion (11.8%). Freedom of association enquiries accounted for 5.8% of the total, while sham contractin</w:t>
      </w:r>
      <w:r w:rsidR="00B97E9E">
        <w:rPr>
          <w:rFonts w:cstheme="minorHAnsi"/>
        </w:rPr>
        <w:t>g enquiries accounted for 5.6%.</w:t>
      </w:r>
    </w:p>
    <w:p w14:paraId="6640165E" w14:textId="77777777" w:rsidR="0002331C" w:rsidRDefault="00D11B41" w:rsidP="00B97E9E">
      <w:pPr>
        <w:spacing w:before="200" w:after="200" w:line="276" w:lineRule="auto"/>
        <w:rPr>
          <w:rFonts w:cstheme="minorHAnsi"/>
        </w:rPr>
      </w:pPr>
      <w:r>
        <w:rPr>
          <w:rFonts w:cstheme="minorHAnsi"/>
        </w:rPr>
        <w:t>Employers were by far the most likely group to make enquiries, accounting for 60.8% total, while employees made 23.2% of enquiries in relation to workplace laws.</w:t>
      </w:r>
    </w:p>
    <w:p w14:paraId="7646F19B" w14:textId="77777777" w:rsidR="001D420F" w:rsidRPr="000218CE" w:rsidRDefault="001D420F" w:rsidP="00E91971">
      <w:pPr>
        <w:pStyle w:val="Heading3"/>
      </w:pPr>
      <w:r w:rsidRPr="000218CE">
        <w:t>Investigations</w:t>
      </w:r>
      <w:r w:rsidR="00D568C0" w:rsidRPr="000218CE">
        <w:rPr>
          <w:vertAlign w:val="superscript"/>
        </w:rPr>
        <w:footnoteReference w:id="19"/>
      </w:r>
    </w:p>
    <w:p w14:paraId="61BFBE34" w14:textId="77777777" w:rsidR="00D11B41" w:rsidRDefault="001D420F" w:rsidP="00B97E9E">
      <w:pPr>
        <w:spacing w:before="200" w:after="200" w:line="276" w:lineRule="auto"/>
        <w:rPr>
          <w:rFonts w:cstheme="minorHAnsi"/>
        </w:rPr>
      </w:pPr>
      <w:r>
        <w:rPr>
          <w:rFonts w:cstheme="minorHAnsi"/>
        </w:rPr>
        <w:t>I</w:t>
      </w:r>
      <w:r w:rsidR="00D11B41">
        <w:rPr>
          <w:rFonts w:cstheme="minorHAnsi"/>
        </w:rPr>
        <w:t>ssues related to wages and entitlements were by far the most common matters to be investigated during the period, accounting for 40% of all investigations commenced, twice as many as the next category of investigation. Complaints of coercion</w:t>
      </w:r>
      <w:r w:rsidR="003F4CBC">
        <w:rPr>
          <w:rFonts w:cstheme="minorHAnsi"/>
        </w:rPr>
        <w:t xml:space="preserve"> accounted for </w:t>
      </w:r>
      <w:r w:rsidR="00D11B41">
        <w:rPr>
          <w:rFonts w:cstheme="minorHAnsi"/>
        </w:rPr>
        <w:t>20% of investigations commenced</w:t>
      </w:r>
      <w:r w:rsidR="00E54752">
        <w:rPr>
          <w:rFonts w:cstheme="minorHAnsi"/>
        </w:rPr>
        <w:t xml:space="preserve">, while unlawful industrial action </w:t>
      </w:r>
      <w:r w:rsidR="003F4CBC">
        <w:rPr>
          <w:rFonts w:cstheme="minorHAnsi"/>
        </w:rPr>
        <w:t>and</w:t>
      </w:r>
      <w:r w:rsidR="00E54752">
        <w:rPr>
          <w:rFonts w:cstheme="minorHAnsi"/>
        </w:rPr>
        <w:t xml:space="preserve"> right of entry account</w:t>
      </w:r>
      <w:r w:rsidR="003F4CBC">
        <w:rPr>
          <w:rFonts w:cstheme="minorHAnsi"/>
        </w:rPr>
        <w:t>ed for</w:t>
      </w:r>
      <w:r w:rsidR="00E54752">
        <w:rPr>
          <w:rFonts w:cstheme="minorHAnsi"/>
        </w:rPr>
        <w:t xml:space="preserve"> 13.3% each. Sham contracting accounted for 6.7% of investigations commenced during the period.</w:t>
      </w:r>
    </w:p>
    <w:p w14:paraId="15D21714" w14:textId="3A27FC89" w:rsidR="004E1EC1" w:rsidRDefault="001D420F" w:rsidP="00B97E9E">
      <w:pPr>
        <w:spacing w:before="200" w:after="200" w:line="276" w:lineRule="auto"/>
        <w:rPr>
          <w:rFonts w:cstheme="minorHAnsi"/>
        </w:rPr>
      </w:pPr>
      <w:r>
        <w:rPr>
          <w:rFonts w:cstheme="minorHAnsi"/>
        </w:rPr>
        <w:t>T</w:t>
      </w:r>
      <w:r w:rsidR="004E1EC1">
        <w:rPr>
          <w:rFonts w:cstheme="minorHAnsi"/>
        </w:rPr>
        <w:t xml:space="preserve">he </w:t>
      </w:r>
      <w:r w:rsidR="00FF6F82">
        <w:rPr>
          <w:rFonts w:cstheme="minorHAnsi"/>
        </w:rPr>
        <w:t>proportions</w:t>
      </w:r>
      <w:r w:rsidR="004E1EC1">
        <w:rPr>
          <w:rFonts w:cstheme="minorHAnsi"/>
        </w:rPr>
        <w:t xml:space="preserve"> of su</w:t>
      </w:r>
      <w:r w:rsidR="009F3956">
        <w:rPr>
          <w:rFonts w:cstheme="minorHAnsi"/>
        </w:rPr>
        <w:t>bjects of</w:t>
      </w:r>
      <w:r w:rsidR="00FF6F82">
        <w:rPr>
          <w:rFonts w:cstheme="minorHAnsi"/>
        </w:rPr>
        <w:t xml:space="preserve"> investigations </w:t>
      </w:r>
      <w:r w:rsidR="004E1EC1">
        <w:rPr>
          <w:rFonts w:cstheme="minorHAnsi"/>
        </w:rPr>
        <w:t xml:space="preserve">who are employers (48.0%) </w:t>
      </w:r>
      <w:r w:rsidR="00FF6F82">
        <w:rPr>
          <w:rFonts w:cstheme="minorHAnsi"/>
        </w:rPr>
        <w:t xml:space="preserve">was </w:t>
      </w:r>
      <w:r w:rsidR="004E1EC1">
        <w:rPr>
          <w:rFonts w:cstheme="minorHAnsi"/>
        </w:rPr>
        <w:t>very similar to the proportion that are unions or employees (36.0%</w:t>
      </w:r>
      <w:r w:rsidR="002C368B" w:rsidRPr="00EE0A20">
        <w:rPr>
          <w:rFonts w:cstheme="minorHAnsi"/>
        </w:rPr>
        <w:t> </w:t>
      </w:r>
      <w:r w:rsidR="004E1EC1" w:rsidRPr="00EE0A20">
        <w:rPr>
          <w:rFonts w:cstheme="minorHAnsi"/>
        </w:rPr>
        <w:t>+</w:t>
      </w:r>
      <w:r w:rsidR="002C368B" w:rsidRPr="00EE0A20">
        <w:rPr>
          <w:rFonts w:cstheme="minorHAnsi"/>
        </w:rPr>
        <w:t> </w:t>
      </w:r>
      <w:r w:rsidR="004E1EC1">
        <w:rPr>
          <w:rFonts w:cstheme="minorHAnsi"/>
        </w:rPr>
        <w:t>14.7%</w:t>
      </w:r>
      <w:r w:rsidR="002C368B" w:rsidRPr="00EE0A20">
        <w:rPr>
          <w:rFonts w:cstheme="minorHAnsi"/>
        </w:rPr>
        <w:t> </w:t>
      </w:r>
      <w:r w:rsidR="004E1EC1" w:rsidRPr="00EE0A20">
        <w:rPr>
          <w:rFonts w:cstheme="minorHAnsi"/>
        </w:rPr>
        <w:t>=</w:t>
      </w:r>
      <w:r w:rsidR="002C368B" w:rsidRPr="00EE0A20">
        <w:rPr>
          <w:rFonts w:cstheme="minorHAnsi"/>
        </w:rPr>
        <w:t> </w:t>
      </w:r>
      <w:r w:rsidR="004E1EC1">
        <w:rPr>
          <w:rFonts w:cstheme="minorHAnsi"/>
        </w:rPr>
        <w:t>50.7%).</w:t>
      </w:r>
    </w:p>
    <w:p w14:paraId="2BFB4F65" w14:textId="121A6A83" w:rsidR="004754A6" w:rsidRDefault="008A7041" w:rsidP="00B97E9E">
      <w:pPr>
        <w:spacing w:before="200" w:after="200" w:line="276" w:lineRule="auto"/>
        <w:rPr>
          <w:rFonts w:cstheme="minorHAnsi"/>
        </w:rPr>
      </w:pPr>
      <w:r>
        <w:rPr>
          <w:rFonts w:cstheme="minorHAnsi"/>
        </w:rPr>
        <w:lastRenderedPageBreak/>
        <w:t xml:space="preserve">It is not possible to directly compare this data on the different types of investigations commenced by the ABCC during the latter half of 2017 with equivalent data for earlier periods, since the ABCC Quarterly and Annual Reports do not provide data on the number of investigations commenced during the reporting period. However, data on the number of investigations </w:t>
      </w:r>
      <w:r w:rsidR="00A943E6">
        <w:rPr>
          <w:rFonts w:cstheme="minorHAnsi"/>
        </w:rPr>
        <w:t xml:space="preserve">that were </w:t>
      </w:r>
      <w:r>
        <w:rPr>
          <w:rFonts w:cstheme="minorHAnsi"/>
        </w:rPr>
        <w:t xml:space="preserve">current </w:t>
      </w:r>
      <w:r w:rsidR="00A943E6">
        <w:rPr>
          <w:rFonts w:cstheme="minorHAnsi"/>
        </w:rPr>
        <w:t xml:space="preserve">during the reporting period </w:t>
      </w:r>
      <w:r>
        <w:rPr>
          <w:rFonts w:cstheme="minorHAnsi"/>
        </w:rPr>
        <w:t>are provided in these reports</w:t>
      </w:r>
      <w:r w:rsidR="005834B1">
        <w:rPr>
          <w:rFonts w:cstheme="minorHAnsi"/>
        </w:rPr>
        <w:t>, which cover the first three quarters of 2017</w:t>
      </w:r>
      <w:r w:rsidR="00B83E66">
        <w:rPr>
          <w:rFonts w:cstheme="minorHAnsi"/>
        </w:rPr>
        <w:t>.</w:t>
      </w:r>
    </w:p>
    <w:p w14:paraId="194D2026" w14:textId="3B124F2F" w:rsidR="008A7041" w:rsidRDefault="005834B1" w:rsidP="00B97E9E">
      <w:pPr>
        <w:spacing w:before="200" w:after="200" w:line="276" w:lineRule="auto"/>
        <w:rPr>
          <w:rFonts w:cstheme="minorHAnsi"/>
        </w:rPr>
      </w:pPr>
      <w:r>
        <w:rPr>
          <w:rFonts w:cstheme="minorHAnsi"/>
        </w:rPr>
        <w:t>T</w:t>
      </w:r>
      <w:r w:rsidR="004754A6">
        <w:rPr>
          <w:rFonts w:cstheme="minorHAnsi"/>
        </w:rPr>
        <w:t xml:space="preserve">he </w:t>
      </w:r>
      <w:r w:rsidR="0021163A">
        <w:rPr>
          <w:rFonts w:cstheme="minorHAnsi"/>
        </w:rPr>
        <w:t>proportions</w:t>
      </w:r>
      <w:r w:rsidR="004754A6">
        <w:rPr>
          <w:rFonts w:cstheme="minorHAnsi"/>
        </w:rPr>
        <w:t xml:space="preserve"> of curr</w:t>
      </w:r>
      <w:r w:rsidR="006327D9">
        <w:rPr>
          <w:rFonts w:cstheme="minorHAnsi"/>
        </w:rPr>
        <w:t>ent investigations relating to r</w:t>
      </w:r>
      <w:r w:rsidR="004754A6">
        <w:rPr>
          <w:rFonts w:cstheme="minorHAnsi"/>
        </w:rPr>
        <w:t xml:space="preserve">ight of entry, freedom of association and unlawful industrial action </w:t>
      </w:r>
      <w:r w:rsidR="0021163A">
        <w:rPr>
          <w:rFonts w:cstheme="minorHAnsi"/>
        </w:rPr>
        <w:t xml:space="preserve">were </w:t>
      </w:r>
      <w:r w:rsidR="004754A6">
        <w:rPr>
          <w:rFonts w:cstheme="minorHAnsi"/>
        </w:rPr>
        <w:t xml:space="preserve">relatively stable across the three quarters for which data are </w:t>
      </w:r>
      <w:r>
        <w:rPr>
          <w:rFonts w:cstheme="minorHAnsi"/>
        </w:rPr>
        <w:t>published</w:t>
      </w:r>
      <w:r w:rsidR="00B97E9E">
        <w:rPr>
          <w:rFonts w:cstheme="minorHAnsi"/>
        </w:rPr>
        <w:t>.</w:t>
      </w:r>
      <w:r w:rsidR="0021163A">
        <w:rPr>
          <w:rStyle w:val="FootnoteReference"/>
          <w:rFonts w:cstheme="minorHAnsi"/>
        </w:rPr>
        <w:footnoteReference w:id="20"/>
      </w:r>
      <w:r w:rsidR="004754A6">
        <w:rPr>
          <w:rFonts w:cstheme="minorHAnsi"/>
        </w:rPr>
        <w:t xml:space="preserve"> By contrast, there was a progressive increase in the proportion of investigations relating to wages and entitlements</w:t>
      </w:r>
      <w:r w:rsidR="00F91CAA">
        <w:rPr>
          <w:rFonts w:cstheme="minorHAnsi"/>
        </w:rPr>
        <w:t xml:space="preserve">. </w:t>
      </w:r>
      <w:r>
        <w:rPr>
          <w:rFonts w:cstheme="minorHAnsi"/>
        </w:rPr>
        <w:t>T</w:t>
      </w:r>
      <w:r w:rsidR="004754A6">
        <w:rPr>
          <w:rFonts w:cstheme="minorHAnsi"/>
        </w:rPr>
        <w:t>he percentage of current investigations relating to this issue in the third quarter of 2017 was almost double that of the first quarter (</w:t>
      </w:r>
      <w:r w:rsidR="002C368B" w:rsidRPr="00E732BC">
        <w:rPr>
          <w:rFonts w:cstheme="minorHAnsi"/>
        </w:rPr>
        <w:t>that is</w:t>
      </w:r>
      <w:r w:rsidR="004754A6" w:rsidRPr="00E732BC">
        <w:rPr>
          <w:rFonts w:cstheme="minorHAnsi"/>
        </w:rPr>
        <w:t>,</w:t>
      </w:r>
      <w:r w:rsidR="004754A6">
        <w:rPr>
          <w:rFonts w:cstheme="minorHAnsi"/>
        </w:rPr>
        <w:t xml:space="preserve"> 24.4%</w:t>
      </w:r>
      <w:r w:rsidR="002C368B" w:rsidRPr="00E732BC">
        <w:rPr>
          <w:rFonts w:cstheme="minorHAnsi"/>
        </w:rPr>
        <w:t> </w:t>
      </w:r>
      <w:r w:rsidR="004754A6">
        <w:rPr>
          <w:rFonts w:cstheme="minorHAnsi"/>
        </w:rPr>
        <w:t>vs</w:t>
      </w:r>
      <w:r w:rsidR="002C368B" w:rsidRPr="00E732BC">
        <w:rPr>
          <w:rFonts w:cstheme="minorHAnsi"/>
        </w:rPr>
        <w:t> </w:t>
      </w:r>
      <w:r w:rsidR="004754A6">
        <w:rPr>
          <w:rFonts w:cstheme="minorHAnsi"/>
        </w:rPr>
        <w:t>12.3%). A similar, though less marked, trend appears evident in relation to misclassification/</w:t>
      </w:r>
      <w:r w:rsidR="006327D9">
        <w:rPr>
          <w:rFonts w:cstheme="minorHAnsi"/>
        </w:rPr>
        <w:t>s</w:t>
      </w:r>
      <w:r w:rsidR="004754A6">
        <w:rPr>
          <w:rFonts w:cstheme="minorHAnsi"/>
        </w:rPr>
        <w:t>ham contracting, with the proportion of investigations related to this topic rising from 4.9%</w:t>
      </w:r>
      <w:r w:rsidR="002C368B" w:rsidRPr="00EE0A20">
        <w:rPr>
          <w:rFonts w:cstheme="minorHAnsi"/>
        </w:rPr>
        <w:t> </w:t>
      </w:r>
      <w:r w:rsidR="004754A6">
        <w:rPr>
          <w:rFonts w:cstheme="minorHAnsi"/>
        </w:rPr>
        <w:t>to</w:t>
      </w:r>
      <w:r w:rsidR="002C368B" w:rsidRPr="00EE0A20">
        <w:rPr>
          <w:rFonts w:cstheme="minorHAnsi"/>
        </w:rPr>
        <w:t> </w:t>
      </w:r>
      <w:r w:rsidR="004754A6">
        <w:rPr>
          <w:rFonts w:cstheme="minorHAnsi"/>
        </w:rPr>
        <w:t>7.3% over the period.</w:t>
      </w:r>
    </w:p>
    <w:p w14:paraId="3B87FCEB" w14:textId="4EA6EC4F" w:rsidR="004754A6" w:rsidRDefault="004754A6" w:rsidP="00B83E66">
      <w:pPr>
        <w:spacing w:before="200" w:after="200" w:line="276" w:lineRule="auto"/>
        <w:rPr>
          <w:rFonts w:cstheme="minorHAnsi"/>
        </w:rPr>
      </w:pPr>
      <w:r>
        <w:rPr>
          <w:rFonts w:cstheme="minorHAnsi"/>
        </w:rPr>
        <w:t xml:space="preserve">Comparison of </w:t>
      </w:r>
      <w:r w:rsidR="005834B1">
        <w:rPr>
          <w:rFonts w:cstheme="minorHAnsi"/>
        </w:rPr>
        <w:t xml:space="preserve">this data with the unpublished data cited above </w:t>
      </w:r>
      <w:r w:rsidR="00C27FC9">
        <w:rPr>
          <w:rFonts w:cstheme="minorHAnsi"/>
        </w:rPr>
        <w:t xml:space="preserve">suggests </w:t>
      </w:r>
      <w:r>
        <w:rPr>
          <w:rFonts w:cstheme="minorHAnsi"/>
        </w:rPr>
        <w:t xml:space="preserve">that </w:t>
      </w:r>
      <w:r w:rsidR="005834B1">
        <w:rPr>
          <w:rFonts w:cstheme="minorHAnsi"/>
        </w:rPr>
        <w:t>the</w:t>
      </w:r>
      <w:r>
        <w:rPr>
          <w:rFonts w:cstheme="minorHAnsi"/>
        </w:rPr>
        <w:t xml:space="preserve"> progressive increase in focus on wages and entitlements investigations has continued: while</w:t>
      </w:r>
      <w:r w:rsidR="00C27FC9">
        <w:rPr>
          <w:rFonts w:cstheme="minorHAnsi"/>
        </w:rPr>
        <w:t xml:space="preserve"> the proportion of </w:t>
      </w:r>
      <w:r w:rsidR="00C27FC9" w:rsidRPr="0066059A">
        <w:t>current</w:t>
      </w:r>
      <w:r w:rsidR="00C27FC9">
        <w:rPr>
          <w:rFonts w:cstheme="minorHAnsi"/>
        </w:rPr>
        <w:t xml:space="preserve"> investigations relating to this issue in the third quarter of 2017 was 24.4%, a total of 40% of investigations </w:t>
      </w:r>
      <w:r w:rsidR="00C27FC9" w:rsidRPr="0066059A">
        <w:t>opened</w:t>
      </w:r>
      <w:r w:rsidR="00C27FC9">
        <w:rPr>
          <w:rFonts w:cstheme="minorHAnsi"/>
        </w:rPr>
        <w:t xml:space="preserve"> during the second half of 2017 related to this topic. </w:t>
      </w:r>
      <w:r w:rsidR="009B253E">
        <w:rPr>
          <w:rFonts w:cstheme="minorHAnsi"/>
        </w:rPr>
        <w:t>In numerical terms, the number of current wages and entitlements investigations increased from</w:t>
      </w:r>
      <w:r w:rsidR="002C368B" w:rsidRPr="00E732BC">
        <w:rPr>
          <w:rFonts w:cstheme="minorHAnsi"/>
        </w:rPr>
        <w:t> </w:t>
      </w:r>
      <w:r w:rsidR="009B253E">
        <w:rPr>
          <w:rFonts w:cstheme="minorHAnsi"/>
        </w:rPr>
        <w:t>20, in the first quarter of 2017</w:t>
      </w:r>
      <w:r w:rsidR="00741002">
        <w:rPr>
          <w:rFonts w:cstheme="minorHAnsi"/>
        </w:rPr>
        <w:t>-</w:t>
      </w:r>
      <w:r w:rsidR="009B253E">
        <w:rPr>
          <w:rFonts w:cstheme="minorHAnsi"/>
        </w:rPr>
        <w:t>18, to 34</w:t>
      </w:r>
      <w:r w:rsidR="002C368B" w:rsidRPr="00E732BC">
        <w:rPr>
          <w:rFonts w:cstheme="minorHAnsi"/>
        </w:rPr>
        <w:t> </w:t>
      </w:r>
      <w:r w:rsidR="009B253E">
        <w:rPr>
          <w:rFonts w:cstheme="minorHAnsi"/>
        </w:rPr>
        <w:t>in the second quarter</w:t>
      </w:r>
      <w:r w:rsidR="002C368B" w:rsidRPr="00EE0A20">
        <w:rPr>
          <w:rFonts w:cstheme="minorHAnsi"/>
        </w:rPr>
        <w:t>.</w:t>
      </w:r>
      <w:r w:rsidR="009B253E">
        <w:rPr>
          <w:rStyle w:val="FootnoteReference"/>
          <w:rFonts w:cstheme="minorHAnsi"/>
        </w:rPr>
        <w:footnoteReference w:id="21"/>
      </w:r>
      <w:r w:rsidR="00F91CAA">
        <w:rPr>
          <w:rFonts w:cstheme="minorHAnsi"/>
        </w:rPr>
        <w:t xml:space="preserve"> </w:t>
      </w:r>
      <w:r w:rsidR="009B253E">
        <w:rPr>
          <w:rFonts w:cstheme="minorHAnsi"/>
        </w:rPr>
        <w:t>In contrast to the observed trend in relation to wages and entitlements</w:t>
      </w:r>
      <w:r w:rsidR="00C27FC9">
        <w:rPr>
          <w:rFonts w:cstheme="minorHAnsi"/>
        </w:rPr>
        <w:t>, there was little change in the proportion of investigations relating to misclassification/sham contracting.</w:t>
      </w:r>
    </w:p>
    <w:p w14:paraId="466320F6" w14:textId="6A708713" w:rsidR="00A95550" w:rsidRDefault="005834B1" w:rsidP="00B83E66">
      <w:pPr>
        <w:spacing w:before="200" w:after="200" w:line="276" w:lineRule="auto"/>
        <w:rPr>
          <w:rFonts w:cstheme="minorHAnsi"/>
        </w:rPr>
      </w:pPr>
      <w:r>
        <w:rPr>
          <w:rFonts w:cstheme="minorHAnsi"/>
        </w:rPr>
        <w:t>A total of</w:t>
      </w:r>
      <w:r w:rsidR="00A95550">
        <w:rPr>
          <w:rFonts w:cstheme="minorHAnsi"/>
        </w:rPr>
        <w:t xml:space="preserve"> 17</w:t>
      </w:r>
      <w:r w:rsidR="002C368B" w:rsidRPr="00E732BC">
        <w:rPr>
          <w:rFonts w:cstheme="minorHAnsi"/>
        </w:rPr>
        <w:t> </w:t>
      </w:r>
      <w:r w:rsidR="00A95550">
        <w:rPr>
          <w:rFonts w:cstheme="minorHAnsi"/>
        </w:rPr>
        <w:t>wages and entitlements investigations were finalised</w:t>
      </w:r>
      <w:r w:rsidR="0021163A">
        <w:rPr>
          <w:rStyle w:val="FootnoteReference"/>
          <w:rFonts w:cstheme="minorHAnsi"/>
        </w:rPr>
        <w:footnoteReference w:id="22"/>
      </w:r>
      <w:r w:rsidR="00A95550">
        <w:rPr>
          <w:rFonts w:cstheme="minorHAnsi"/>
        </w:rPr>
        <w:t xml:space="preserve"> during </w:t>
      </w:r>
      <w:r>
        <w:rPr>
          <w:rFonts w:cstheme="minorHAnsi"/>
        </w:rPr>
        <w:t>the first 13</w:t>
      </w:r>
      <w:r w:rsidR="002C368B" w:rsidRPr="00C67D1D">
        <w:rPr>
          <w:rFonts w:cstheme="minorHAnsi"/>
        </w:rPr>
        <w:t> </w:t>
      </w:r>
      <w:r>
        <w:rPr>
          <w:rFonts w:cstheme="minorHAnsi"/>
        </w:rPr>
        <w:t>months of ABCC’s operations</w:t>
      </w:r>
      <w:r w:rsidR="00A95550">
        <w:rPr>
          <w:rFonts w:cstheme="minorHAnsi"/>
        </w:rPr>
        <w:t xml:space="preserve">. None of these resulted in the application of a </w:t>
      </w:r>
      <w:r w:rsidR="0047729C">
        <w:rPr>
          <w:rFonts w:cstheme="minorHAnsi"/>
        </w:rPr>
        <w:t>penalty</w:t>
      </w:r>
      <w:r w:rsidR="00A95550">
        <w:rPr>
          <w:rFonts w:cstheme="minorHAnsi"/>
        </w:rPr>
        <w:t>. The ABCC issued a letter of caution in one case while, in five further cases (29.4% of the total) a voluntary settlement was reached between the parties. In one case, the matter was finalised because the employer became insolvent. In seven of the 17 cases (41.2%) the investigation did not result in the identification of a breach of the relevant workplace laws.</w:t>
      </w:r>
    </w:p>
    <w:p w14:paraId="5CC22D75" w14:textId="54160E8E" w:rsidR="00E22B78" w:rsidRDefault="00E22B78" w:rsidP="00B83E66">
      <w:pPr>
        <w:spacing w:before="200" w:after="200" w:line="276" w:lineRule="auto"/>
        <w:rPr>
          <w:rFonts w:cstheme="minorHAnsi"/>
        </w:rPr>
      </w:pPr>
      <w:r>
        <w:rPr>
          <w:rFonts w:cstheme="minorHAnsi"/>
        </w:rPr>
        <w:t xml:space="preserve">Finally, Table 1 summarises the </w:t>
      </w:r>
      <w:r w:rsidR="000C4C40">
        <w:rPr>
          <w:rFonts w:cstheme="minorHAnsi"/>
        </w:rPr>
        <w:t xml:space="preserve">penalties </w:t>
      </w:r>
      <w:r w:rsidR="00981632">
        <w:rPr>
          <w:rFonts w:cstheme="minorHAnsi"/>
        </w:rPr>
        <w:t>imposed</w:t>
      </w:r>
      <w:r>
        <w:rPr>
          <w:rFonts w:cstheme="minorHAnsi"/>
        </w:rPr>
        <w:t xml:space="preserve"> as a result of </w:t>
      </w:r>
      <w:r w:rsidR="002C368B" w:rsidRPr="00EE0A20">
        <w:rPr>
          <w:rFonts w:cstheme="minorHAnsi"/>
        </w:rPr>
        <w:t xml:space="preserve">the </w:t>
      </w:r>
      <w:r>
        <w:rPr>
          <w:rFonts w:cstheme="minorHAnsi"/>
        </w:rPr>
        <w:t>ABCC and FWBC-initiated proceedings since 2011-12, disaggregated according to the nature of the legislative breach identified</w:t>
      </w:r>
      <w:r w:rsidR="00F91CAA">
        <w:rPr>
          <w:rFonts w:cstheme="minorHAnsi"/>
        </w:rPr>
        <w:t xml:space="preserve">. </w:t>
      </w:r>
      <w:r>
        <w:rPr>
          <w:rFonts w:cstheme="minorHAnsi"/>
        </w:rPr>
        <w:t xml:space="preserve">Table 1 suggests that the </w:t>
      </w:r>
      <w:r w:rsidR="00981632">
        <w:rPr>
          <w:rFonts w:cstheme="minorHAnsi"/>
        </w:rPr>
        <w:t xml:space="preserve">total </w:t>
      </w:r>
      <w:r w:rsidR="000C4C40">
        <w:rPr>
          <w:rFonts w:cstheme="minorHAnsi"/>
        </w:rPr>
        <w:t xml:space="preserve">penalties </w:t>
      </w:r>
      <w:r w:rsidR="00981632">
        <w:rPr>
          <w:rFonts w:cstheme="minorHAnsi"/>
        </w:rPr>
        <w:t xml:space="preserve">imposed as a result of such actions have increased somewhat since 2013-14, while the total amount of </w:t>
      </w:r>
      <w:r w:rsidR="000C4C40">
        <w:rPr>
          <w:rFonts w:cstheme="minorHAnsi"/>
        </w:rPr>
        <w:t xml:space="preserve">penalties </w:t>
      </w:r>
      <w:r w:rsidR="00981632">
        <w:rPr>
          <w:rFonts w:cstheme="minorHAnsi"/>
        </w:rPr>
        <w:t>imposed in respect of specific types of legislative breaches have varied substantially from year to year</w:t>
      </w:r>
      <w:r w:rsidR="00F91CAA">
        <w:rPr>
          <w:rFonts w:cstheme="minorHAnsi"/>
        </w:rPr>
        <w:t xml:space="preserve">. </w:t>
      </w:r>
      <w:r w:rsidR="00981632">
        <w:rPr>
          <w:rFonts w:cstheme="minorHAnsi"/>
        </w:rPr>
        <w:t xml:space="preserve">For example, </w:t>
      </w:r>
      <w:r w:rsidR="000C4C40">
        <w:rPr>
          <w:rFonts w:cstheme="minorHAnsi"/>
        </w:rPr>
        <w:t xml:space="preserve">penalties </w:t>
      </w:r>
      <w:r w:rsidR="00981632">
        <w:rPr>
          <w:rFonts w:cstheme="minorHAnsi"/>
        </w:rPr>
        <w:t>imposed in respect of right of entry breaches varied from zero to</w:t>
      </w:r>
      <w:r w:rsidR="002C368B" w:rsidRPr="00EE0A20">
        <w:rPr>
          <w:rFonts w:cstheme="minorHAnsi"/>
        </w:rPr>
        <w:t> </w:t>
      </w:r>
      <w:r w:rsidR="00981632">
        <w:rPr>
          <w:rFonts w:cstheme="minorHAnsi"/>
        </w:rPr>
        <w:t>$915,050, while those imposed in respect of coercion varied from $</w:t>
      </w:r>
      <w:r w:rsidR="00026E1D">
        <w:rPr>
          <w:rFonts w:cstheme="minorHAnsi"/>
        </w:rPr>
        <w:t>3</w:t>
      </w:r>
      <w:r w:rsidR="00981632">
        <w:rPr>
          <w:rFonts w:cstheme="minorHAnsi"/>
        </w:rPr>
        <w:t>2,000 to</w:t>
      </w:r>
      <w:r w:rsidR="002C368B" w:rsidRPr="00EE0A20">
        <w:rPr>
          <w:rFonts w:cstheme="minorHAnsi"/>
        </w:rPr>
        <w:t> </w:t>
      </w:r>
      <w:r w:rsidR="00981632">
        <w:rPr>
          <w:rFonts w:cstheme="minorHAnsi"/>
        </w:rPr>
        <w:t>$710,000</w:t>
      </w:r>
      <w:r w:rsidR="00F91CAA">
        <w:rPr>
          <w:rFonts w:cstheme="minorHAnsi"/>
        </w:rPr>
        <w:t xml:space="preserve">. </w:t>
      </w:r>
      <w:r w:rsidR="00981632">
        <w:rPr>
          <w:rFonts w:cstheme="minorHAnsi"/>
        </w:rPr>
        <w:t xml:space="preserve">Even in the case of unlawful industrial action, while </w:t>
      </w:r>
      <w:r w:rsidR="000C4C40">
        <w:rPr>
          <w:rFonts w:cstheme="minorHAnsi"/>
        </w:rPr>
        <w:t xml:space="preserve">penalties </w:t>
      </w:r>
      <w:r w:rsidR="00981632">
        <w:rPr>
          <w:rFonts w:cstheme="minorHAnsi"/>
        </w:rPr>
        <w:t>imposed totalled more than</w:t>
      </w:r>
      <w:r w:rsidR="002C368B" w:rsidRPr="00EE0A20">
        <w:rPr>
          <w:rFonts w:cstheme="minorHAnsi"/>
        </w:rPr>
        <w:t> </w:t>
      </w:r>
      <w:r w:rsidR="00981632">
        <w:rPr>
          <w:rFonts w:cstheme="minorHAnsi"/>
        </w:rPr>
        <w:t>$1 million in three of the six years reported, they totalled less than</w:t>
      </w:r>
      <w:r w:rsidR="002C368B" w:rsidRPr="00EE0A20">
        <w:rPr>
          <w:rFonts w:cstheme="minorHAnsi"/>
        </w:rPr>
        <w:t> </w:t>
      </w:r>
      <w:r w:rsidR="00981632">
        <w:rPr>
          <w:rFonts w:cstheme="minorHAnsi"/>
        </w:rPr>
        <w:t>$150,000 in the remaining three years.</w:t>
      </w:r>
    </w:p>
    <w:p w14:paraId="62D8B141" w14:textId="0744C736" w:rsidR="00B929AA" w:rsidRDefault="00B929AA" w:rsidP="00B929AA">
      <w:pPr>
        <w:pStyle w:val="Caption"/>
        <w:keepNext/>
      </w:pPr>
      <w:r>
        <w:lastRenderedPageBreak/>
        <w:t xml:space="preserve">Table </w:t>
      </w:r>
      <w:r>
        <w:rPr>
          <w:noProof/>
        </w:rPr>
        <w:t xml:space="preserve">1: </w:t>
      </w:r>
      <w:r w:rsidRPr="004A357D">
        <w:rPr>
          <w:noProof/>
        </w:rPr>
        <w:t>Penalties imposed as a result of ABCC/FWBC proceedings</w:t>
      </w:r>
    </w:p>
    <w:tbl>
      <w:tblPr>
        <w:tblStyle w:val="DEEWRTable"/>
        <w:tblW w:w="9754" w:type="dxa"/>
        <w:tblLayout w:type="fixed"/>
        <w:tblLook w:val="0420" w:firstRow="1" w:lastRow="0" w:firstColumn="0" w:lastColumn="0" w:noHBand="0" w:noVBand="1"/>
        <w:tblCaption w:val="Table 1.1: Penalties imposed as a result of ABCC/FWBC proceedings"/>
        <w:tblDescription w:val="This table provides the penalties imposed as a result of ABCC/FWBC proceedings by subject and financial years 2011/12 to 2016/17."/>
      </w:tblPr>
      <w:tblGrid>
        <w:gridCol w:w="2552"/>
        <w:gridCol w:w="1191"/>
        <w:gridCol w:w="1191"/>
        <w:gridCol w:w="1191"/>
        <w:gridCol w:w="1191"/>
        <w:gridCol w:w="1191"/>
        <w:gridCol w:w="1247"/>
      </w:tblGrid>
      <w:tr w:rsidR="00B929AA" w14:paraId="634A3213" w14:textId="77777777" w:rsidTr="00B929AA">
        <w:trPr>
          <w:cnfStyle w:val="100000000000" w:firstRow="1" w:lastRow="0" w:firstColumn="0" w:lastColumn="0" w:oddVBand="0" w:evenVBand="0" w:oddHBand="0" w:evenHBand="0" w:firstRowFirstColumn="0" w:firstRowLastColumn="0" w:lastRowFirstColumn="0" w:lastRowLastColumn="0"/>
        </w:trPr>
        <w:tc>
          <w:tcPr>
            <w:tcW w:w="2552" w:type="dxa"/>
            <w:tcBorders>
              <w:bottom w:val="single" w:sz="4" w:space="0" w:color="auto"/>
            </w:tcBorders>
            <w:shd w:val="clear" w:color="auto" w:fill="1E3D6B"/>
          </w:tcPr>
          <w:p w14:paraId="2E14EE32" w14:textId="39AD655F" w:rsidR="00B929AA" w:rsidRDefault="00A47811" w:rsidP="00B929AA">
            <w:r>
              <w:t>Type of Penalty</w:t>
            </w:r>
          </w:p>
        </w:tc>
        <w:tc>
          <w:tcPr>
            <w:tcW w:w="1191" w:type="dxa"/>
            <w:tcBorders>
              <w:bottom w:val="single" w:sz="4" w:space="0" w:color="auto"/>
            </w:tcBorders>
            <w:shd w:val="clear" w:color="auto" w:fill="1E3D6B"/>
          </w:tcPr>
          <w:p w14:paraId="7402B6FF" w14:textId="23416506" w:rsidR="00B929AA" w:rsidRDefault="00B929AA" w:rsidP="00B929AA">
            <w:pPr>
              <w:jc w:val="right"/>
            </w:pPr>
            <w:r>
              <w:t>2011</w:t>
            </w:r>
            <w:r>
              <w:noBreakHyphen/>
              <w:t>12</w:t>
            </w:r>
            <w:r w:rsidR="00026E1D">
              <w:rPr>
                <w:rStyle w:val="FootnoteReference"/>
              </w:rPr>
              <w:footnoteReference w:id="23"/>
            </w:r>
          </w:p>
        </w:tc>
        <w:tc>
          <w:tcPr>
            <w:tcW w:w="1191" w:type="dxa"/>
            <w:tcBorders>
              <w:bottom w:val="single" w:sz="4" w:space="0" w:color="auto"/>
            </w:tcBorders>
            <w:shd w:val="clear" w:color="auto" w:fill="1E3D6B"/>
          </w:tcPr>
          <w:p w14:paraId="273355BD" w14:textId="77777777" w:rsidR="00B929AA" w:rsidRDefault="00B929AA" w:rsidP="00B929AA">
            <w:pPr>
              <w:jc w:val="right"/>
            </w:pPr>
            <w:r>
              <w:t>2012</w:t>
            </w:r>
            <w:r>
              <w:noBreakHyphen/>
              <w:t>13</w:t>
            </w:r>
          </w:p>
        </w:tc>
        <w:tc>
          <w:tcPr>
            <w:tcW w:w="1191" w:type="dxa"/>
            <w:tcBorders>
              <w:bottom w:val="single" w:sz="4" w:space="0" w:color="auto"/>
            </w:tcBorders>
            <w:shd w:val="clear" w:color="auto" w:fill="1E3D6B"/>
          </w:tcPr>
          <w:p w14:paraId="776D0C4C" w14:textId="77777777" w:rsidR="00B929AA" w:rsidRPr="004A357D" w:rsidRDefault="00B929AA" w:rsidP="00B929AA">
            <w:pPr>
              <w:jc w:val="right"/>
              <w:rPr>
                <w:vertAlign w:val="superscript"/>
              </w:rPr>
            </w:pPr>
            <w:r>
              <w:t>2013</w:t>
            </w:r>
            <w:r>
              <w:noBreakHyphen/>
              <w:t>14</w:t>
            </w:r>
          </w:p>
        </w:tc>
        <w:tc>
          <w:tcPr>
            <w:tcW w:w="1191" w:type="dxa"/>
            <w:tcBorders>
              <w:bottom w:val="single" w:sz="4" w:space="0" w:color="auto"/>
            </w:tcBorders>
            <w:shd w:val="clear" w:color="auto" w:fill="1E3D6B"/>
          </w:tcPr>
          <w:p w14:paraId="2D7DBB3E" w14:textId="77777777" w:rsidR="00B929AA" w:rsidRDefault="00B929AA" w:rsidP="00B929AA">
            <w:pPr>
              <w:jc w:val="right"/>
            </w:pPr>
            <w:r>
              <w:t>2014</w:t>
            </w:r>
            <w:r>
              <w:noBreakHyphen/>
              <w:t>15</w:t>
            </w:r>
          </w:p>
        </w:tc>
        <w:tc>
          <w:tcPr>
            <w:tcW w:w="1191" w:type="dxa"/>
            <w:tcBorders>
              <w:bottom w:val="single" w:sz="4" w:space="0" w:color="auto"/>
            </w:tcBorders>
            <w:shd w:val="clear" w:color="auto" w:fill="1E3D6B"/>
          </w:tcPr>
          <w:p w14:paraId="4B850846" w14:textId="77777777" w:rsidR="00B929AA" w:rsidRDefault="00B929AA" w:rsidP="00B929AA">
            <w:pPr>
              <w:jc w:val="right"/>
            </w:pPr>
            <w:r>
              <w:t>2015</w:t>
            </w:r>
            <w:r>
              <w:noBreakHyphen/>
              <w:t>16</w:t>
            </w:r>
          </w:p>
        </w:tc>
        <w:tc>
          <w:tcPr>
            <w:tcW w:w="1247" w:type="dxa"/>
            <w:tcBorders>
              <w:bottom w:val="single" w:sz="4" w:space="0" w:color="auto"/>
            </w:tcBorders>
            <w:shd w:val="clear" w:color="auto" w:fill="1E3D6B"/>
          </w:tcPr>
          <w:p w14:paraId="499B3B99" w14:textId="77777777" w:rsidR="00B929AA" w:rsidRDefault="00B929AA" w:rsidP="00B929AA">
            <w:pPr>
              <w:jc w:val="right"/>
            </w:pPr>
            <w:r>
              <w:t>2016</w:t>
            </w:r>
            <w:r>
              <w:noBreakHyphen/>
              <w:t>17</w:t>
            </w:r>
          </w:p>
        </w:tc>
      </w:tr>
      <w:tr w:rsidR="00B929AA" w14:paraId="7B6E5E46" w14:textId="77777777" w:rsidTr="00B929AA">
        <w:tc>
          <w:tcPr>
            <w:tcW w:w="2552" w:type="dxa"/>
            <w:tcBorders>
              <w:top w:val="single" w:sz="4" w:space="0" w:color="auto"/>
              <w:left w:val="single" w:sz="4" w:space="0" w:color="auto"/>
              <w:bottom w:val="single" w:sz="4" w:space="0" w:color="auto"/>
              <w:right w:val="single" w:sz="4" w:space="0" w:color="auto"/>
            </w:tcBorders>
          </w:tcPr>
          <w:p w14:paraId="306FE669" w14:textId="77777777" w:rsidR="00B929AA" w:rsidRDefault="00B929AA" w:rsidP="00B929AA">
            <w:r w:rsidRPr="004A357D">
              <w:t>Right of entry</w:t>
            </w:r>
          </w:p>
        </w:tc>
        <w:tc>
          <w:tcPr>
            <w:tcW w:w="1191" w:type="dxa"/>
            <w:tcBorders>
              <w:top w:val="single" w:sz="4" w:space="0" w:color="auto"/>
              <w:left w:val="single" w:sz="4" w:space="0" w:color="auto"/>
              <w:bottom w:val="single" w:sz="4" w:space="0" w:color="auto"/>
              <w:right w:val="single" w:sz="4" w:space="0" w:color="auto"/>
            </w:tcBorders>
            <w:vAlign w:val="bottom"/>
          </w:tcPr>
          <w:p w14:paraId="4FE70603"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60,500</w:t>
            </w:r>
          </w:p>
        </w:tc>
        <w:tc>
          <w:tcPr>
            <w:tcW w:w="1191" w:type="dxa"/>
            <w:tcBorders>
              <w:top w:val="single" w:sz="4" w:space="0" w:color="auto"/>
              <w:left w:val="single" w:sz="4" w:space="0" w:color="auto"/>
              <w:bottom w:val="single" w:sz="4" w:space="0" w:color="auto"/>
              <w:right w:val="single" w:sz="4" w:space="0" w:color="auto"/>
            </w:tcBorders>
            <w:vAlign w:val="bottom"/>
          </w:tcPr>
          <w:p w14:paraId="6CDE7FF2" w14:textId="40F679D5" w:rsidR="00B929AA" w:rsidRDefault="00B929AA" w:rsidP="00B929AA">
            <w:pPr>
              <w:jc w:val="right"/>
            </w:pPr>
            <w:r w:rsidRPr="005252E8">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2EDF6578" w14:textId="77777777" w:rsidR="00B929AA" w:rsidRDefault="00B929AA" w:rsidP="00B929AA">
            <w:pPr>
              <w:jc w:val="right"/>
            </w:pPr>
            <w:r w:rsidRPr="005252E8">
              <w:rPr>
                <w:rFonts w:ascii="Calibri" w:eastAsia="Times New Roman" w:hAnsi="Calibri" w:cs="Calibri"/>
                <w:lang w:eastAsia="en-AU"/>
              </w:rPr>
              <w:t>$38,500</w:t>
            </w:r>
          </w:p>
        </w:tc>
        <w:tc>
          <w:tcPr>
            <w:tcW w:w="1191" w:type="dxa"/>
            <w:tcBorders>
              <w:top w:val="single" w:sz="4" w:space="0" w:color="auto"/>
              <w:left w:val="single" w:sz="4" w:space="0" w:color="auto"/>
              <w:bottom w:val="single" w:sz="4" w:space="0" w:color="auto"/>
              <w:right w:val="single" w:sz="4" w:space="0" w:color="auto"/>
            </w:tcBorders>
            <w:vAlign w:val="bottom"/>
          </w:tcPr>
          <w:p w14:paraId="4B447E7D"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359,700</w:t>
            </w:r>
          </w:p>
        </w:tc>
        <w:tc>
          <w:tcPr>
            <w:tcW w:w="1191" w:type="dxa"/>
            <w:tcBorders>
              <w:top w:val="single" w:sz="4" w:space="0" w:color="auto"/>
              <w:left w:val="single" w:sz="4" w:space="0" w:color="auto"/>
              <w:bottom w:val="single" w:sz="4" w:space="0" w:color="auto"/>
              <w:right w:val="single" w:sz="4" w:space="0" w:color="auto"/>
            </w:tcBorders>
            <w:vAlign w:val="bottom"/>
          </w:tcPr>
          <w:p w14:paraId="1DB56FB5" w14:textId="77777777" w:rsidR="00B929AA" w:rsidRDefault="00B929AA" w:rsidP="00B929AA">
            <w:pPr>
              <w:jc w:val="right"/>
            </w:pPr>
            <w:r>
              <w:t>$</w:t>
            </w:r>
            <w:hyperlink r:id="rId21" w:anchor="table-16-1" w:history="1">
              <w:r w:rsidRPr="005252E8">
                <w:rPr>
                  <w:rFonts w:ascii="Calibri" w:eastAsia="Times New Roman" w:hAnsi="Calibri" w:cs="Calibri"/>
                  <w:lang w:eastAsia="en-AU"/>
                </w:rPr>
                <w:t>915,050</w:t>
              </w:r>
            </w:hyperlink>
          </w:p>
        </w:tc>
        <w:tc>
          <w:tcPr>
            <w:tcW w:w="1247" w:type="dxa"/>
            <w:tcBorders>
              <w:top w:val="single" w:sz="4" w:space="0" w:color="auto"/>
              <w:left w:val="single" w:sz="4" w:space="0" w:color="auto"/>
              <w:bottom w:val="single" w:sz="4" w:space="0" w:color="auto"/>
              <w:right w:val="single" w:sz="4" w:space="0" w:color="auto"/>
            </w:tcBorders>
            <w:vAlign w:val="bottom"/>
          </w:tcPr>
          <w:p w14:paraId="548B349D"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144,200</w:t>
            </w:r>
          </w:p>
        </w:tc>
      </w:tr>
      <w:tr w:rsidR="00B929AA" w14:paraId="687A22EA" w14:textId="77777777" w:rsidTr="00B929AA">
        <w:tc>
          <w:tcPr>
            <w:tcW w:w="2552" w:type="dxa"/>
            <w:tcBorders>
              <w:top w:val="single" w:sz="4" w:space="0" w:color="auto"/>
              <w:left w:val="single" w:sz="4" w:space="0" w:color="auto"/>
              <w:bottom w:val="single" w:sz="4" w:space="0" w:color="auto"/>
              <w:right w:val="single" w:sz="4" w:space="0" w:color="auto"/>
            </w:tcBorders>
          </w:tcPr>
          <w:p w14:paraId="54238B34" w14:textId="77777777" w:rsidR="00B929AA" w:rsidRDefault="00B929AA" w:rsidP="00B929AA">
            <w:r w:rsidRPr="004A357D">
              <w:t>Coercion</w:t>
            </w:r>
          </w:p>
        </w:tc>
        <w:tc>
          <w:tcPr>
            <w:tcW w:w="1191" w:type="dxa"/>
            <w:tcBorders>
              <w:top w:val="single" w:sz="4" w:space="0" w:color="auto"/>
              <w:left w:val="single" w:sz="4" w:space="0" w:color="auto"/>
              <w:bottom w:val="single" w:sz="4" w:space="0" w:color="auto"/>
              <w:right w:val="single" w:sz="4" w:space="0" w:color="auto"/>
            </w:tcBorders>
            <w:vAlign w:val="bottom"/>
          </w:tcPr>
          <w:p w14:paraId="72A039C1" w14:textId="2B93BCF0" w:rsidR="00B929AA" w:rsidRDefault="00B929AA" w:rsidP="003962EE">
            <w:pPr>
              <w:jc w:val="right"/>
            </w:pPr>
            <w:r w:rsidRPr="005252E8">
              <w:rPr>
                <w:rFonts w:ascii="Calibri" w:eastAsia="Times New Roman" w:hAnsi="Calibri" w:cs="Calibri"/>
                <w:lang w:eastAsia="en-AU"/>
              </w:rPr>
              <w:t>$</w:t>
            </w:r>
            <w:r w:rsidR="003962EE">
              <w:rPr>
                <w:rFonts w:ascii="Calibri" w:eastAsia="Times New Roman" w:hAnsi="Calibri" w:cs="Calibri"/>
                <w:lang w:eastAsia="en-AU"/>
              </w:rPr>
              <w:t>32,000</w:t>
            </w:r>
          </w:p>
        </w:tc>
        <w:tc>
          <w:tcPr>
            <w:tcW w:w="1191" w:type="dxa"/>
            <w:tcBorders>
              <w:top w:val="single" w:sz="4" w:space="0" w:color="auto"/>
              <w:left w:val="single" w:sz="4" w:space="0" w:color="auto"/>
              <w:bottom w:val="single" w:sz="4" w:space="0" w:color="auto"/>
              <w:right w:val="single" w:sz="4" w:space="0" w:color="auto"/>
            </w:tcBorders>
            <w:vAlign w:val="bottom"/>
          </w:tcPr>
          <w:p w14:paraId="07D4A896" w14:textId="77777777" w:rsidR="00B929AA" w:rsidRDefault="00B929AA" w:rsidP="00B929AA">
            <w:pPr>
              <w:jc w:val="right"/>
            </w:pPr>
            <w:r w:rsidRPr="005252E8">
              <w:rPr>
                <w:rFonts w:ascii="Calibri" w:eastAsia="Times New Roman" w:hAnsi="Calibri" w:cs="Calibri"/>
                <w:lang w:eastAsia="en-AU"/>
              </w:rPr>
              <w:t>$175,000</w:t>
            </w:r>
          </w:p>
        </w:tc>
        <w:tc>
          <w:tcPr>
            <w:tcW w:w="1191" w:type="dxa"/>
            <w:tcBorders>
              <w:top w:val="single" w:sz="4" w:space="0" w:color="auto"/>
              <w:left w:val="single" w:sz="4" w:space="0" w:color="auto"/>
              <w:bottom w:val="single" w:sz="4" w:space="0" w:color="auto"/>
              <w:right w:val="single" w:sz="4" w:space="0" w:color="auto"/>
            </w:tcBorders>
            <w:vAlign w:val="bottom"/>
          </w:tcPr>
          <w:p w14:paraId="0454458F" w14:textId="77777777" w:rsidR="00B929AA" w:rsidRDefault="00B929AA" w:rsidP="00B929AA">
            <w:pPr>
              <w:jc w:val="right"/>
            </w:pPr>
            <w:r w:rsidRPr="005252E8">
              <w:rPr>
                <w:rFonts w:ascii="Calibri" w:eastAsia="Times New Roman" w:hAnsi="Calibri" w:cs="Calibri"/>
                <w:lang w:eastAsia="en-AU"/>
              </w:rPr>
              <w:t>$405,960</w:t>
            </w:r>
          </w:p>
        </w:tc>
        <w:tc>
          <w:tcPr>
            <w:tcW w:w="1191" w:type="dxa"/>
            <w:tcBorders>
              <w:top w:val="single" w:sz="4" w:space="0" w:color="auto"/>
              <w:left w:val="single" w:sz="4" w:space="0" w:color="auto"/>
              <w:bottom w:val="single" w:sz="4" w:space="0" w:color="auto"/>
              <w:right w:val="single" w:sz="4" w:space="0" w:color="auto"/>
            </w:tcBorders>
            <w:vAlign w:val="bottom"/>
          </w:tcPr>
          <w:p w14:paraId="2FFD21DE"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665,500</w:t>
            </w:r>
          </w:p>
        </w:tc>
        <w:tc>
          <w:tcPr>
            <w:tcW w:w="1191" w:type="dxa"/>
            <w:tcBorders>
              <w:top w:val="single" w:sz="4" w:space="0" w:color="auto"/>
              <w:left w:val="single" w:sz="4" w:space="0" w:color="auto"/>
              <w:bottom w:val="single" w:sz="4" w:space="0" w:color="auto"/>
              <w:right w:val="single" w:sz="4" w:space="0" w:color="auto"/>
            </w:tcBorders>
            <w:vAlign w:val="bottom"/>
          </w:tcPr>
          <w:p w14:paraId="1D090DDA" w14:textId="77777777" w:rsidR="00B929AA" w:rsidRDefault="00B929AA" w:rsidP="00B929AA">
            <w:pPr>
              <w:jc w:val="right"/>
            </w:pPr>
            <w:r>
              <w:t>$</w:t>
            </w:r>
            <w:hyperlink r:id="rId22" w:anchor="table-16-2" w:history="1">
              <w:r w:rsidRPr="005252E8">
                <w:rPr>
                  <w:rFonts w:ascii="Calibri" w:eastAsia="Times New Roman" w:hAnsi="Calibri" w:cs="Calibri"/>
                  <w:lang w:eastAsia="en-AU"/>
                </w:rPr>
                <w:t>599,775</w:t>
              </w:r>
            </w:hyperlink>
          </w:p>
        </w:tc>
        <w:tc>
          <w:tcPr>
            <w:tcW w:w="1247" w:type="dxa"/>
            <w:tcBorders>
              <w:top w:val="single" w:sz="4" w:space="0" w:color="auto"/>
              <w:left w:val="single" w:sz="4" w:space="0" w:color="auto"/>
              <w:bottom w:val="single" w:sz="4" w:space="0" w:color="auto"/>
              <w:right w:val="single" w:sz="4" w:space="0" w:color="auto"/>
            </w:tcBorders>
            <w:vAlign w:val="bottom"/>
          </w:tcPr>
          <w:p w14:paraId="7F65339E"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710,000</w:t>
            </w:r>
          </w:p>
        </w:tc>
      </w:tr>
      <w:tr w:rsidR="00B929AA" w14:paraId="04435DA8" w14:textId="77777777" w:rsidTr="00B929AA">
        <w:tc>
          <w:tcPr>
            <w:tcW w:w="2552" w:type="dxa"/>
            <w:tcBorders>
              <w:top w:val="single" w:sz="4" w:space="0" w:color="auto"/>
              <w:left w:val="single" w:sz="4" w:space="0" w:color="auto"/>
              <w:bottom w:val="single" w:sz="4" w:space="0" w:color="auto"/>
              <w:right w:val="single" w:sz="4" w:space="0" w:color="auto"/>
            </w:tcBorders>
          </w:tcPr>
          <w:p w14:paraId="309A6837" w14:textId="77777777" w:rsidR="00B929AA" w:rsidRDefault="00B929AA" w:rsidP="00B929AA">
            <w:r w:rsidRPr="004A357D">
              <w:t>Unlawful industrial action</w:t>
            </w:r>
          </w:p>
        </w:tc>
        <w:tc>
          <w:tcPr>
            <w:tcW w:w="1191" w:type="dxa"/>
            <w:tcBorders>
              <w:top w:val="single" w:sz="4" w:space="0" w:color="auto"/>
              <w:left w:val="single" w:sz="4" w:space="0" w:color="auto"/>
              <w:bottom w:val="single" w:sz="4" w:space="0" w:color="auto"/>
              <w:right w:val="single" w:sz="4" w:space="0" w:color="auto"/>
            </w:tcBorders>
            <w:vAlign w:val="bottom"/>
          </w:tcPr>
          <w:p w14:paraId="2E9CCD77"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1,061,660</w:t>
            </w:r>
          </w:p>
        </w:tc>
        <w:tc>
          <w:tcPr>
            <w:tcW w:w="1191" w:type="dxa"/>
            <w:tcBorders>
              <w:top w:val="single" w:sz="4" w:space="0" w:color="auto"/>
              <w:left w:val="single" w:sz="4" w:space="0" w:color="auto"/>
              <w:bottom w:val="single" w:sz="4" w:space="0" w:color="auto"/>
              <w:right w:val="single" w:sz="4" w:space="0" w:color="auto"/>
            </w:tcBorders>
            <w:vAlign w:val="bottom"/>
          </w:tcPr>
          <w:p w14:paraId="50830CA5" w14:textId="77777777" w:rsidR="00B929AA" w:rsidRDefault="00B929AA" w:rsidP="00B929AA">
            <w:pPr>
              <w:jc w:val="right"/>
            </w:pPr>
            <w:r w:rsidRPr="005252E8">
              <w:rPr>
                <w:rFonts w:ascii="Calibri" w:eastAsia="Times New Roman" w:hAnsi="Calibri" w:cs="Calibri"/>
                <w:lang w:eastAsia="en-AU"/>
              </w:rPr>
              <w:t>$91,400</w:t>
            </w:r>
          </w:p>
        </w:tc>
        <w:tc>
          <w:tcPr>
            <w:tcW w:w="1191" w:type="dxa"/>
            <w:tcBorders>
              <w:top w:val="single" w:sz="4" w:space="0" w:color="auto"/>
              <w:left w:val="single" w:sz="4" w:space="0" w:color="auto"/>
              <w:bottom w:val="single" w:sz="4" w:space="0" w:color="auto"/>
              <w:right w:val="single" w:sz="4" w:space="0" w:color="auto"/>
            </w:tcBorders>
            <w:vAlign w:val="bottom"/>
          </w:tcPr>
          <w:p w14:paraId="4E88FB8B" w14:textId="77777777" w:rsidR="00B929AA" w:rsidRDefault="00B929AA" w:rsidP="00B929AA">
            <w:pPr>
              <w:jc w:val="right"/>
            </w:pPr>
            <w:r w:rsidRPr="005252E8">
              <w:rPr>
                <w:rFonts w:ascii="Calibri" w:eastAsia="Times New Roman" w:hAnsi="Calibri" w:cs="Calibri"/>
                <w:lang w:eastAsia="en-AU"/>
              </w:rPr>
              <w:t>$1,419,610</w:t>
            </w:r>
          </w:p>
        </w:tc>
        <w:tc>
          <w:tcPr>
            <w:tcW w:w="1191" w:type="dxa"/>
            <w:tcBorders>
              <w:top w:val="single" w:sz="4" w:space="0" w:color="auto"/>
              <w:left w:val="single" w:sz="4" w:space="0" w:color="auto"/>
              <w:bottom w:val="single" w:sz="4" w:space="0" w:color="auto"/>
              <w:right w:val="single" w:sz="4" w:space="0" w:color="auto"/>
            </w:tcBorders>
            <w:vAlign w:val="bottom"/>
          </w:tcPr>
          <w:p w14:paraId="7826E905"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22,000</w:t>
            </w:r>
          </w:p>
        </w:tc>
        <w:tc>
          <w:tcPr>
            <w:tcW w:w="1191" w:type="dxa"/>
            <w:tcBorders>
              <w:top w:val="single" w:sz="4" w:space="0" w:color="auto"/>
              <w:left w:val="single" w:sz="4" w:space="0" w:color="auto"/>
              <w:bottom w:val="single" w:sz="4" w:space="0" w:color="auto"/>
              <w:right w:val="single" w:sz="4" w:space="0" w:color="auto"/>
            </w:tcBorders>
            <w:vAlign w:val="bottom"/>
          </w:tcPr>
          <w:p w14:paraId="07C669BE"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146,600</w:t>
            </w:r>
          </w:p>
        </w:tc>
        <w:tc>
          <w:tcPr>
            <w:tcW w:w="1247" w:type="dxa"/>
            <w:tcBorders>
              <w:top w:val="single" w:sz="4" w:space="0" w:color="auto"/>
              <w:left w:val="single" w:sz="4" w:space="0" w:color="auto"/>
              <w:bottom w:val="single" w:sz="4" w:space="0" w:color="auto"/>
              <w:right w:val="single" w:sz="4" w:space="0" w:color="auto"/>
            </w:tcBorders>
            <w:vAlign w:val="bottom"/>
          </w:tcPr>
          <w:p w14:paraId="61D35A7D"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1,157,150</w:t>
            </w:r>
          </w:p>
        </w:tc>
      </w:tr>
      <w:tr w:rsidR="00B929AA" w14:paraId="488242FC" w14:textId="77777777" w:rsidTr="00B929AA">
        <w:tc>
          <w:tcPr>
            <w:tcW w:w="2552" w:type="dxa"/>
            <w:tcBorders>
              <w:top w:val="single" w:sz="4" w:space="0" w:color="auto"/>
              <w:left w:val="single" w:sz="4" w:space="0" w:color="auto"/>
              <w:bottom w:val="single" w:sz="4" w:space="0" w:color="auto"/>
              <w:right w:val="single" w:sz="4" w:space="0" w:color="auto"/>
            </w:tcBorders>
          </w:tcPr>
          <w:p w14:paraId="276CAD41" w14:textId="77777777" w:rsidR="00B929AA" w:rsidRDefault="00B929AA" w:rsidP="00B929AA">
            <w:r w:rsidRPr="004A357D">
              <w:t>Freedom of association</w:t>
            </w:r>
          </w:p>
        </w:tc>
        <w:tc>
          <w:tcPr>
            <w:tcW w:w="1191" w:type="dxa"/>
            <w:tcBorders>
              <w:top w:val="single" w:sz="4" w:space="0" w:color="auto"/>
              <w:left w:val="single" w:sz="4" w:space="0" w:color="auto"/>
              <w:bottom w:val="single" w:sz="4" w:space="0" w:color="auto"/>
              <w:right w:val="single" w:sz="4" w:space="0" w:color="auto"/>
            </w:tcBorders>
            <w:vAlign w:val="bottom"/>
          </w:tcPr>
          <w:p w14:paraId="0F3F6B6F" w14:textId="3EA7AF4B" w:rsidR="00B929AA" w:rsidRDefault="00B929AA" w:rsidP="00C0313F">
            <w:pPr>
              <w:jc w:val="right"/>
            </w:pPr>
            <w:r>
              <w:rPr>
                <w:rFonts w:ascii="Calibri" w:eastAsia="Times New Roman" w:hAnsi="Calibri" w:cs="Calibri"/>
                <w:lang w:eastAsia="en-AU"/>
              </w:rPr>
              <w:t>$</w:t>
            </w:r>
            <w:r w:rsidR="00C0313F" w:rsidRPr="00C0313F">
              <w:rPr>
                <w:rFonts w:ascii="Calibri" w:eastAsia="Times New Roman" w:hAnsi="Calibri" w:cs="Calibri"/>
                <w:lang w:eastAsia="en-AU"/>
              </w:rPr>
              <w:t>22</w:t>
            </w:r>
            <w:r w:rsidR="00C0313F">
              <w:rPr>
                <w:rFonts w:ascii="Calibri" w:eastAsia="Times New Roman" w:hAnsi="Calibri" w:cs="Calibri"/>
                <w:lang w:eastAsia="en-AU"/>
              </w:rPr>
              <w:t>,</w:t>
            </w:r>
            <w:r w:rsidR="00C0313F" w:rsidRPr="00C0313F">
              <w:rPr>
                <w:rFonts w:ascii="Calibri" w:eastAsia="Times New Roman" w:hAnsi="Calibri" w:cs="Calibri"/>
                <w:lang w:eastAsia="en-AU"/>
              </w:rPr>
              <w:t>740</w:t>
            </w:r>
          </w:p>
        </w:tc>
        <w:tc>
          <w:tcPr>
            <w:tcW w:w="1191" w:type="dxa"/>
            <w:tcBorders>
              <w:top w:val="single" w:sz="4" w:space="0" w:color="auto"/>
              <w:left w:val="single" w:sz="4" w:space="0" w:color="auto"/>
              <w:bottom w:val="single" w:sz="4" w:space="0" w:color="auto"/>
              <w:right w:val="single" w:sz="4" w:space="0" w:color="auto"/>
            </w:tcBorders>
            <w:vAlign w:val="bottom"/>
          </w:tcPr>
          <w:p w14:paraId="0F094C7B" w14:textId="77777777" w:rsidR="00B929AA" w:rsidRDefault="00B929AA" w:rsidP="00B929AA">
            <w:pPr>
              <w:jc w:val="right"/>
            </w:pPr>
            <w:r w:rsidRPr="005252E8">
              <w:rPr>
                <w:rFonts w:ascii="Calibri" w:eastAsia="Times New Roman" w:hAnsi="Calibri" w:cs="Calibri"/>
                <w:lang w:eastAsia="en-AU"/>
              </w:rPr>
              <w:t>$8,580</w:t>
            </w:r>
          </w:p>
        </w:tc>
        <w:tc>
          <w:tcPr>
            <w:tcW w:w="1191" w:type="dxa"/>
            <w:tcBorders>
              <w:top w:val="single" w:sz="4" w:space="0" w:color="auto"/>
              <w:left w:val="single" w:sz="4" w:space="0" w:color="auto"/>
              <w:bottom w:val="single" w:sz="4" w:space="0" w:color="auto"/>
              <w:right w:val="single" w:sz="4" w:space="0" w:color="auto"/>
            </w:tcBorders>
            <w:vAlign w:val="bottom"/>
          </w:tcPr>
          <w:p w14:paraId="72C7C546" w14:textId="77777777" w:rsidR="00B929AA" w:rsidRDefault="00B929AA" w:rsidP="00B929AA">
            <w:pPr>
              <w:jc w:val="right"/>
            </w:pPr>
            <w:r>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74E81047"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7,500</w:t>
            </w:r>
          </w:p>
        </w:tc>
        <w:tc>
          <w:tcPr>
            <w:tcW w:w="1191" w:type="dxa"/>
            <w:tcBorders>
              <w:top w:val="single" w:sz="4" w:space="0" w:color="auto"/>
              <w:left w:val="single" w:sz="4" w:space="0" w:color="auto"/>
              <w:bottom w:val="single" w:sz="4" w:space="0" w:color="auto"/>
              <w:right w:val="single" w:sz="4" w:space="0" w:color="auto"/>
            </w:tcBorders>
            <w:vAlign w:val="bottom"/>
          </w:tcPr>
          <w:p w14:paraId="05C56BC2"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133,500</w:t>
            </w:r>
          </w:p>
        </w:tc>
        <w:tc>
          <w:tcPr>
            <w:tcW w:w="1247" w:type="dxa"/>
            <w:tcBorders>
              <w:top w:val="single" w:sz="4" w:space="0" w:color="auto"/>
              <w:left w:val="single" w:sz="4" w:space="0" w:color="auto"/>
              <w:bottom w:val="single" w:sz="4" w:space="0" w:color="auto"/>
              <w:right w:val="single" w:sz="4" w:space="0" w:color="auto"/>
            </w:tcBorders>
            <w:vAlign w:val="bottom"/>
          </w:tcPr>
          <w:p w14:paraId="01C39D9D"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135,175</w:t>
            </w:r>
          </w:p>
        </w:tc>
      </w:tr>
      <w:tr w:rsidR="00B929AA" w14:paraId="35D0E8A5" w14:textId="77777777" w:rsidTr="00B929AA">
        <w:tc>
          <w:tcPr>
            <w:tcW w:w="2552" w:type="dxa"/>
            <w:tcBorders>
              <w:top w:val="single" w:sz="4" w:space="0" w:color="auto"/>
              <w:left w:val="single" w:sz="4" w:space="0" w:color="auto"/>
              <w:bottom w:val="single" w:sz="4" w:space="0" w:color="auto"/>
              <w:right w:val="single" w:sz="4" w:space="0" w:color="auto"/>
            </w:tcBorders>
          </w:tcPr>
          <w:p w14:paraId="4850AB2B" w14:textId="5BF837B5" w:rsidR="00B929AA" w:rsidRPr="00350DA1" w:rsidRDefault="00B929AA" w:rsidP="00B929AA">
            <w:r w:rsidRPr="00350DA1">
              <w:t>Wages and entitlements</w:t>
            </w:r>
            <w:r>
              <w:rPr>
                <w:rStyle w:val="FootnoteReference"/>
              </w:rPr>
              <w:footnoteReference w:id="24"/>
            </w:r>
          </w:p>
        </w:tc>
        <w:tc>
          <w:tcPr>
            <w:tcW w:w="1191" w:type="dxa"/>
            <w:tcBorders>
              <w:top w:val="single" w:sz="4" w:space="0" w:color="auto"/>
              <w:left w:val="single" w:sz="4" w:space="0" w:color="auto"/>
              <w:bottom w:val="single" w:sz="4" w:space="0" w:color="auto"/>
              <w:right w:val="single" w:sz="4" w:space="0" w:color="auto"/>
            </w:tcBorders>
            <w:vAlign w:val="bottom"/>
          </w:tcPr>
          <w:p w14:paraId="59C3777F" w14:textId="77777777" w:rsidR="00B929AA" w:rsidRPr="00350DA1" w:rsidRDefault="00B929AA" w:rsidP="00B929AA">
            <w:pPr>
              <w:jc w:val="right"/>
            </w:pPr>
            <w:r w:rsidRPr="00350DA1">
              <w:rPr>
                <w:rFonts w:eastAsia="Times New Roman" w:cstheme="minorHAns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3ACC2C09" w14:textId="77777777" w:rsidR="00B929AA" w:rsidRPr="00350DA1" w:rsidRDefault="00B929AA" w:rsidP="00B929AA">
            <w:pPr>
              <w:jc w:val="right"/>
            </w:pPr>
            <w:r w:rsidRPr="00350DA1">
              <w:rPr>
                <w:rFonts w:ascii="Calibri" w:eastAsia="Times New Roman" w:hAnsi="Calibri" w:cs="Calibri"/>
                <w:lang w:eastAsia="en-AU"/>
              </w:rPr>
              <w:t>$1,800</w:t>
            </w:r>
          </w:p>
        </w:tc>
        <w:tc>
          <w:tcPr>
            <w:tcW w:w="1191" w:type="dxa"/>
            <w:tcBorders>
              <w:top w:val="single" w:sz="4" w:space="0" w:color="auto"/>
              <w:left w:val="single" w:sz="4" w:space="0" w:color="auto"/>
              <w:bottom w:val="single" w:sz="4" w:space="0" w:color="auto"/>
              <w:right w:val="single" w:sz="4" w:space="0" w:color="auto"/>
            </w:tcBorders>
            <w:vAlign w:val="bottom"/>
          </w:tcPr>
          <w:p w14:paraId="45C23A7F" w14:textId="77777777" w:rsidR="00B929AA" w:rsidRPr="00350DA1" w:rsidRDefault="00B929AA" w:rsidP="00B929AA">
            <w:pPr>
              <w:jc w:val="right"/>
            </w:pPr>
            <w:r w:rsidRPr="00350DA1">
              <w:rPr>
                <w:rFonts w:ascii="Calibri" w:eastAsia="Times New Roman" w:hAnsi="Calibri" w:cs="Calibri"/>
                <w:lang w:eastAsia="en-AU"/>
              </w:rPr>
              <w:t>$189,720</w:t>
            </w:r>
          </w:p>
        </w:tc>
        <w:tc>
          <w:tcPr>
            <w:tcW w:w="1191" w:type="dxa"/>
            <w:tcBorders>
              <w:top w:val="single" w:sz="4" w:space="0" w:color="auto"/>
              <w:left w:val="single" w:sz="4" w:space="0" w:color="auto"/>
              <w:bottom w:val="single" w:sz="4" w:space="0" w:color="auto"/>
              <w:right w:val="single" w:sz="4" w:space="0" w:color="auto"/>
            </w:tcBorders>
            <w:vAlign w:val="bottom"/>
          </w:tcPr>
          <w:p w14:paraId="474B0330" w14:textId="77777777" w:rsidR="00B929AA" w:rsidRPr="00350DA1" w:rsidRDefault="00B929AA" w:rsidP="00B929AA">
            <w:pPr>
              <w:jc w:val="right"/>
            </w:pPr>
            <w:r w:rsidRPr="00350DA1">
              <w:rPr>
                <w:rFonts w:ascii="Calibri" w:eastAsia="Times New Roman" w:hAnsi="Calibri" w:cs="Calibri"/>
                <w:lang w:eastAsia="en-AU"/>
              </w:rPr>
              <w:t>$147,500</w:t>
            </w:r>
          </w:p>
        </w:tc>
        <w:tc>
          <w:tcPr>
            <w:tcW w:w="1191" w:type="dxa"/>
            <w:tcBorders>
              <w:top w:val="single" w:sz="4" w:space="0" w:color="auto"/>
              <w:left w:val="single" w:sz="4" w:space="0" w:color="auto"/>
              <w:bottom w:val="single" w:sz="4" w:space="0" w:color="auto"/>
              <w:right w:val="single" w:sz="4" w:space="0" w:color="auto"/>
            </w:tcBorders>
            <w:vAlign w:val="bottom"/>
          </w:tcPr>
          <w:p w14:paraId="23C6153E" w14:textId="77777777" w:rsidR="00B929AA" w:rsidRPr="00350DA1" w:rsidRDefault="00B929AA" w:rsidP="00B929AA">
            <w:pPr>
              <w:jc w:val="right"/>
            </w:pPr>
            <w:r w:rsidRPr="00350DA1">
              <w:rPr>
                <w:rFonts w:ascii="Calibri" w:eastAsia="Times New Roman" w:hAnsi="Calibri" w:cs="Calibri"/>
                <w:lang w:eastAsia="en-AU"/>
              </w:rPr>
              <w:t>$19,250</w:t>
            </w:r>
          </w:p>
        </w:tc>
        <w:tc>
          <w:tcPr>
            <w:tcW w:w="1247" w:type="dxa"/>
            <w:tcBorders>
              <w:top w:val="single" w:sz="4" w:space="0" w:color="auto"/>
              <w:left w:val="single" w:sz="4" w:space="0" w:color="auto"/>
              <w:bottom w:val="single" w:sz="4" w:space="0" w:color="auto"/>
              <w:right w:val="single" w:sz="4" w:space="0" w:color="auto"/>
            </w:tcBorders>
            <w:vAlign w:val="bottom"/>
          </w:tcPr>
          <w:p w14:paraId="0129A5F9" w14:textId="77777777" w:rsidR="00B929AA" w:rsidRDefault="00B929AA" w:rsidP="00B929AA">
            <w:pPr>
              <w:jc w:val="right"/>
            </w:pPr>
            <w:r w:rsidRPr="00350DA1">
              <w:rPr>
                <w:rFonts w:ascii="Calibri" w:eastAsia="Times New Roman" w:hAnsi="Calibri" w:cs="Calibri"/>
                <w:lang w:eastAsia="en-AU"/>
              </w:rPr>
              <w:t>0</w:t>
            </w:r>
          </w:p>
        </w:tc>
      </w:tr>
      <w:tr w:rsidR="00B929AA" w14:paraId="21191786" w14:textId="77777777" w:rsidTr="00B929AA">
        <w:tc>
          <w:tcPr>
            <w:tcW w:w="2552" w:type="dxa"/>
            <w:tcBorders>
              <w:top w:val="single" w:sz="4" w:space="0" w:color="auto"/>
              <w:left w:val="single" w:sz="4" w:space="0" w:color="auto"/>
              <w:bottom w:val="single" w:sz="4" w:space="0" w:color="auto"/>
              <w:right w:val="single" w:sz="4" w:space="0" w:color="auto"/>
            </w:tcBorders>
          </w:tcPr>
          <w:p w14:paraId="2A79DBB5" w14:textId="77777777" w:rsidR="00B929AA" w:rsidRDefault="00B929AA" w:rsidP="00B929AA">
            <w:r w:rsidRPr="004A357D">
              <w:t>Sham contracting</w:t>
            </w:r>
          </w:p>
        </w:tc>
        <w:tc>
          <w:tcPr>
            <w:tcW w:w="1191" w:type="dxa"/>
            <w:tcBorders>
              <w:top w:val="single" w:sz="4" w:space="0" w:color="auto"/>
              <w:left w:val="single" w:sz="4" w:space="0" w:color="auto"/>
              <w:bottom w:val="single" w:sz="4" w:space="0" w:color="auto"/>
              <w:right w:val="single" w:sz="4" w:space="0" w:color="auto"/>
            </w:tcBorders>
            <w:vAlign w:val="bottom"/>
          </w:tcPr>
          <w:p w14:paraId="1FEE84EC" w14:textId="77777777" w:rsidR="00B929AA" w:rsidRDefault="00B929AA" w:rsidP="00B929AA">
            <w:pPr>
              <w:jc w:val="right"/>
            </w:pPr>
            <w:r w:rsidRPr="005252E8">
              <w:rPr>
                <w:rFonts w:ascii="Calibri" w:eastAsia="Times New Roman" w:hAnsi="Calibri" w:cs="Calibri"/>
                <w:lang w:eastAsia="en-AU"/>
              </w:rPr>
              <w:t>$73,500</w:t>
            </w:r>
          </w:p>
        </w:tc>
        <w:tc>
          <w:tcPr>
            <w:tcW w:w="1191" w:type="dxa"/>
            <w:tcBorders>
              <w:top w:val="single" w:sz="4" w:space="0" w:color="auto"/>
              <w:left w:val="single" w:sz="4" w:space="0" w:color="auto"/>
              <w:bottom w:val="single" w:sz="4" w:space="0" w:color="auto"/>
              <w:right w:val="single" w:sz="4" w:space="0" w:color="auto"/>
            </w:tcBorders>
            <w:vAlign w:val="bottom"/>
          </w:tcPr>
          <w:p w14:paraId="1C6E273B" w14:textId="77777777" w:rsidR="00B929AA" w:rsidRDefault="00B929AA" w:rsidP="00B929AA">
            <w:pPr>
              <w:jc w:val="right"/>
            </w:pPr>
            <w:r w:rsidRPr="005252E8">
              <w:rPr>
                <w:rFonts w:ascii="Calibri" w:eastAsia="Times New Roman" w:hAnsi="Calibri" w:cs="Calibri"/>
                <w:lang w:eastAsia="en-AU"/>
              </w:rPr>
              <w:t>$21,880</w:t>
            </w:r>
          </w:p>
        </w:tc>
        <w:tc>
          <w:tcPr>
            <w:tcW w:w="1191" w:type="dxa"/>
            <w:tcBorders>
              <w:top w:val="single" w:sz="4" w:space="0" w:color="auto"/>
              <w:left w:val="single" w:sz="4" w:space="0" w:color="auto"/>
              <w:bottom w:val="single" w:sz="4" w:space="0" w:color="auto"/>
              <w:right w:val="single" w:sz="4" w:space="0" w:color="auto"/>
            </w:tcBorders>
            <w:vAlign w:val="bottom"/>
          </w:tcPr>
          <w:p w14:paraId="48E3BF93" w14:textId="77777777" w:rsidR="00B929AA" w:rsidRDefault="00B929AA" w:rsidP="00B929AA">
            <w:pPr>
              <w:jc w:val="right"/>
            </w:pPr>
            <w:r w:rsidRPr="005252E8">
              <w:rPr>
                <w:rFonts w:ascii="Calibri" w:eastAsia="Times New Roman" w:hAnsi="Calibri" w:cs="Calibri"/>
                <w:lang w:eastAsia="en-AU"/>
              </w:rPr>
              <w:t>$200,640</w:t>
            </w:r>
          </w:p>
        </w:tc>
        <w:tc>
          <w:tcPr>
            <w:tcW w:w="1191" w:type="dxa"/>
            <w:tcBorders>
              <w:top w:val="single" w:sz="4" w:space="0" w:color="auto"/>
              <w:left w:val="single" w:sz="4" w:space="0" w:color="auto"/>
              <w:bottom w:val="single" w:sz="4" w:space="0" w:color="auto"/>
              <w:right w:val="single" w:sz="4" w:space="0" w:color="auto"/>
            </w:tcBorders>
            <w:vAlign w:val="bottom"/>
          </w:tcPr>
          <w:p w14:paraId="64394CA2"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39,600</w:t>
            </w:r>
          </w:p>
        </w:tc>
        <w:tc>
          <w:tcPr>
            <w:tcW w:w="1191" w:type="dxa"/>
            <w:tcBorders>
              <w:top w:val="single" w:sz="4" w:space="0" w:color="auto"/>
              <w:left w:val="single" w:sz="4" w:space="0" w:color="auto"/>
              <w:bottom w:val="single" w:sz="4" w:space="0" w:color="auto"/>
              <w:right w:val="single" w:sz="4" w:space="0" w:color="auto"/>
            </w:tcBorders>
            <w:vAlign w:val="bottom"/>
          </w:tcPr>
          <w:p w14:paraId="053DC1B7" w14:textId="77777777" w:rsidR="00B929AA" w:rsidRDefault="00B929AA" w:rsidP="00B929AA">
            <w:pPr>
              <w:jc w:val="right"/>
            </w:pPr>
            <w:r>
              <w:rPr>
                <w:rFonts w:ascii="Calibri" w:eastAsia="Times New Roman" w:hAnsi="Calibri" w:cs="Calibri"/>
                <w:lang w:eastAsia="en-AU"/>
              </w:rPr>
              <w:t>0</w:t>
            </w:r>
          </w:p>
        </w:tc>
        <w:tc>
          <w:tcPr>
            <w:tcW w:w="1247" w:type="dxa"/>
            <w:tcBorders>
              <w:top w:val="single" w:sz="4" w:space="0" w:color="auto"/>
              <w:left w:val="single" w:sz="4" w:space="0" w:color="auto"/>
              <w:bottom w:val="single" w:sz="4" w:space="0" w:color="auto"/>
              <w:right w:val="single" w:sz="4" w:space="0" w:color="auto"/>
            </w:tcBorders>
            <w:vAlign w:val="bottom"/>
          </w:tcPr>
          <w:p w14:paraId="2D3D3B4F" w14:textId="77777777" w:rsidR="00B929AA" w:rsidRDefault="00B929AA" w:rsidP="00B929AA">
            <w:pPr>
              <w:jc w:val="right"/>
            </w:pPr>
            <w:r>
              <w:rPr>
                <w:rFonts w:ascii="Calibri" w:eastAsia="Times New Roman" w:hAnsi="Calibri" w:cs="Calibri"/>
                <w:lang w:eastAsia="en-AU"/>
              </w:rPr>
              <w:t>0</w:t>
            </w:r>
          </w:p>
        </w:tc>
      </w:tr>
      <w:tr w:rsidR="00B929AA" w14:paraId="29DC1502" w14:textId="77777777" w:rsidTr="00B929AA">
        <w:tc>
          <w:tcPr>
            <w:tcW w:w="2552" w:type="dxa"/>
            <w:tcBorders>
              <w:top w:val="single" w:sz="4" w:space="0" w:color="auto"/>
              <w:left w:val="single" w:sz="4" w:space="0" w:color="auto"/>
              <w:bottom w:val="single" w:sz="4" w:space="0" w:color="auto"/>
              <w:right w:val="single" w:sz="4" w:space="0" w:color="auto"/>
            </w:tcBorders>
          </w:tcPr>
          <w:p w14:paraId="5AA830A4" w14:textId="77777777" w:rsidR="00B929AA" w:rsidRDefault="00B929AA" w:rsidP="00B929AA">
            <w:r w:rsidRPr="004A357D">
              <w:t>Non-compliance with notices</w:t>
            </w:r>
          </w:p>
        </w:tc>
        <w:tc>
          <w:tcPr>
            <w:tcW w:w="1191" w:type="dxa"/>
            <w:tcBorders>
              <w:top w:val="single" w:sz="4" w:space="0" w:color="auto"/>
              <w:left w:val="single" w:sz="4" w:space="0" w:color="auto"/>
              <w:bottom w:val="single" w:sz="4" w:space="0" w:color="auto"/>
              <w:right w:val="single" w:sz="4" w:space="0" w:color="auto"/>
            </w:tcBorders>
            <w:vAlign w:val="bottom"/>
          </w:tcPr>
          <w:p w14:paraId="015EEFEE"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19,000</w:t>
            </w:r>
          </w:p>
        </w:tc>
        <w:tc>
          <w:tcPr>
            <w:tcW w:w="1191" w:type="dxa"/>
            <w:tcBorders>
              <w:top w:val="single" w:sz="4" w:space="0" w:color="auto"/>
              <w:left w:val="single" w:sz="4" w:space="0" w:color="auto"/>
              <w:bottom w:val="single" w:sz="4" w:space="0" w:color="auto"/>
              <w:right w:val="single" w:sz="4" w:space="0" w:color="auto"/>
            </w:tcBorders>
            <w:vAlign w:val="bottom"/>
          </w:tcPr>
          <w:p w14:paraId="3227239A" w14:textId="77777777" w:rsidR="00B929AA" w:rsidRDefault="00B929AA" w:rsidP="00B929AA">
            <w:pPr>
              <w:jc w:val="right"/>
            </w:pPr>
            <w:r>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228D8FE2" w14:textId="77777777" w:rsidR="00B929AA" w:rsidRDefault="00B929AA" w:rsidP="00B929AA">
            <w:pPr>
              <w:jc w:val="right"/>
            </w:pPr>
            <w:r w:rsidRPr="00EE0A20">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2BD59447" w14:textId="77777777" w:rsidR="00B929AA" w:rsidRDefault="00B929AA" w:rsidP="00B929AA">
            <w:pPr>
              <w:jc w:val="right"/>
            </w:pPr>
            <w:r w:rsidRPr="00EE0A20">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3BA62858" w14:textId="77777777" w:rsidR="00B929AA" w:rsidRDefault="00B929AA" w:rsidP="00B929AA">
            <w:pPr>
              <w:jc w:val="right"/>
            </w:pPr>
            <w:r w:rsidRPr="00EE0A20">
              <w:rPr>
                <w:rFonts w:ascii="Calibri" w:eastAsia="Times New Roman" w:hAnsi="Calibri" w:cs="Calibri"/>
                <w:lang w:eastAsia="en-AU"/>
              </w:rPr>
              <w:t>0</w:t>
            </w:r>
          </w:p>
        </w:tc>
        <w:tc>
          <w:tcPr>
            <w:tcW w:w="1247" w:type="dxa"/>
            <w:tcBorders>
              <w:top w:val="single" w:sz="4" w:space="0" w:color="auto"/>
              <w:left w:val="single" w:sz="4" w:space="0" w:color="auto"/>
              <w:bottom w:val="single" w:sz="4" w:space="0" w:color="auto"/>
              <w:right w:val="single" w:sz="4" w:space="0" w:color="auto"/>
            </w:tcBorders>
            <w:vAlign w:val="bottom"/>
          </w:tcPr>
          <w:p w14:paraId="7066912B" w14:textId="77777777" w:rsidR="00B929AA" w:rsidRDefault="00B929AA" w:rsidP="00B929AA">
            <w:pPr>
              <w:jc w:val="right"/>
            </w:pPr>
            <w:r w:rsidRPr="00EE0A20">
              <w:rPr>
                <w:rFonts w:ascii="Calibri" w:eastAsia="Times New Roman" w:hAnsi="Calibri" w:cs="Calibri"/>
                <w:lang w:eastAsia="en-AU"/>
              </w:rPr>
              <w:t>0</w:t>
            </w:r>
          </w:p>
        </w:tc>
      </w:tr>
      <w:tr w:rsidR="00B929AA" w14:paraId="591A1D6B" w14:textId="77777777" w:rsidTr="00B929AA">
        <w:tc>
          <w:tcPr>
            <w:tcW w:w="2552" w:type="dxa"/>
            <w:tcBorders>
              <w:top w:val="single" w:sz="4" w:space="0" w:color="auto"/>
              <w:left w:val="single" w:sz="4" w:space="0" w:color="auto"/>
              <w:bottom w:val="single" w:sz="4" w:space="0" w:color="auto"/>
              <w:right w:val="single" w:sz="4" w:space="0" w:color="auto"/>
            </w:tcBorders>
          </w:tcPr>
          <w:p w14:paraId="7B1EC743" w14:textId="77777777" w:rsidR="00B929AA" w:rsidRDefault="00B929AA" w:rsidP="00B929AA">
            <w:r w:rsidRPr="004A357D">
              <w:t>Other</w:t>
            </w:r>
          </w:p>
        </w:tc>
        <w:tc>
          <w:tcPr>
            <w:tcW w:w="1191" w:type="dxa"/>
            <w:tcBorders>
              <w:top w:val="single" w:sz="4" w:space="0" w:color="auto"/>
              <w:left w:val="single" w:sz="4" w:space="0" w:color="auto"/>
              <w:bottom w:val="single" w:sz="4" w:space="0" w:color="auto"/>
              <w:right w:val="single" w:sz="4" w:space="0" w:color="auto"/>
            </w:tcBorders>
            <w:vAlign w:val="bottom"/>
          </w:tcPr>
          <w:p w14:paraId="66CF57DD" w14:textId="71816B54" w:rsidR="00B929AA" w:rsidRDefault="00995E33" w:rsidP="00B929AA">
            <w:pPr>
              <w:jc w:val="right"/>
            </w:pPr>
            <w:r>
              <w:t>0</w:t>
            </w:r>
          </w:p>
        </w:tc>
        <w:tc>
          <w:tcPr>
            <w:tcW w:w="1191" w:type="dxa"/>
            <w:tcBorders>
              <w:top w:val="single" w:sz="4" w:space="0" w:color="auto"/>
              <w:left w:val="single" w:sz="4" w:space="0" w:color="auto"/>
              <w:bottom w:val="single" w:sz="4" w:space="0" w:color="auto"/>
              <w:right w:val="single" w:sz="4" w:space="0" w:color="auto"/>
            </w:tcBorders>
            <w:vAlign w:val="bottom"/>
          </w:tcPr>
          <w:p w14:paraId="3B6AA34F" w14:textId="77777777" w:rsidR="00B929AA" w:rsidRDefault="00B929AA" w:rsidP="00B929AA">
            <w:pPr>
              <w:jc w:val="right"/>
            </w:pPr>
            <w:r w:rsidRPr="005252E8">
              <w:rPr>
                <w:rFonts w:ascii="Calibri" w:eastAsia="Times New Roman" w:hAnsi="Calibri" w:cs="Calibri"/>
                <w:lang w:eastAsia="en-AU"/>
              </w:rPr>
              <w:t>$150,000</w:t>
            </w:r>
          </w:p>
        </w:tc>
        <w:tc>
          <w:tcPr>
            <w:tcW w:w="1191" w:type="dxa"/>
            <w:tcBorders>
              <w:top w:val="single" w:sz="4" w:space="0" w:color="auto"/>
              <w:left w:val="single" w:sz="4" w:space="0" w:color="auto"/>
              <w:bottom w:val="single" w:sz="4" w:space="0" w:color="auto"/>
              <w:right w:val="single" w:sz="4" w:space="0" w:color="auto"/>
            </w:tcBorders>
            <w:vAlign w:val="bottom"/>
          </w:tcPr>
          <w:p w14:paraId="0507E85E" w14:textId="77777777" w:rsidR="00B929AA" w:rsidRDefault="00B929AA" w:rsidP="00B929AA">
            <w:pPr>
              <w:jc w:val="right"/>
            </w:pPr>
            <w:r w:rsidRPr="005252E8">
              <w:rPr>
                <w:rFonts w:ascii="Calibri" w:eastAsia="Times New Roman" w:hAnsi="Calibri" w:cs="Calibri"/>
                <w:lang w:eastAsia="en-AU"/>
              </w:rPr>
              <w:t>$7,920</w:t>
            </w:r>
          </w:p>
        </w:tc>
        <w:tc>
          <w:tcPr>
            <w:tcW w:w="1191" w:type="dxa"/>
            <w:tcBorders>
              <w:top w:val="single" w:sz="4" w:space="0" w:color="auto"/>
              <w:left w:val="single" w:sz="4" w:space="0" w:color="auto"/>
              <w:bottom w:val="single" w:sz="4" w:space="0" w:color="auto"/>
              <w:right w:val="single" w:sz="4" w:space="0" w:color="auto"/>
            </w:tcBorders>
            <w:vAlign w:val="bottom"/>
          </w:tcPr>
          <w:p w14:paraId="1B6A0962"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155,000</w:t>
            </w:r>
          </w:p>
        </w:tc>
        <w:tc>
          <w:tcPr>
            <w:tcW w:w="1191" w:type="dxa"/>
            <w:tcBorders>
              <w:top w:val="single" w:sz="4" w:space="0" w:color="auto"/>
              <w:left w:val="single" w:sz="4" w:space="0" w:color="auto"/>
              <w:bottom w:val="single" w:sz="4" w:space="0" w:color="auto"/>
              <w:right w:val="single" w:sz="4" w:space="0" w:color="auto"/>
            </w:tcBorders>
            <w:vAlign w:val="bottom"/>
          </w:tcPr>
          <w:p w14:paraId="4DF6C706"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12,000</w:t>
            </w:r>
          </w:p>
        </w:tc>
        <w:tc>
          <w:tcPr>
            <w:tcW w:w="1247" w:type="dxa"/>
            <w:tcBorders>
              <w:top w:val="single" w:sz="4" w:space="0" w:color="auto"/>
              <w:left w:val="single" w:sz="4" w:space="0" w:color="auto"/>
              <w:bottom w:val="single" w:sz="4" w:space="0" w:color="auto"/>
              <w:right w:val="single" w:sz="4" w:space="0" w:color="auto"/>
            </w:tcBorders>
            <w:vAlign w:val="bottom"/>
          </w:tcPr>
          <w:p w14:paraId="0F3E0387" w14:textId="77777777" w:rsidR="00B929AA" w:rsidRDefault="00B929AA" w:rsidP="00B929AA">
            <w:pPr>
              <w:jc w:val="right"/>
            </w:pPr>
            <w:r>
              <w:rPr>
                <w:rFonts w:ascii="Calibri" w:eastAsia="Times New Roman" w:hAnsi="Calibri" w:cs="Calibri"/>
                <w:lang w:eastAsia="en-AU"/>
              </w:rPr>
              <w:t>0</w:t>
            </w:r>
          </w:p>
        </w:tc>
      </w:tr>
      <w:tr w:rsidR="00B929AA" w14:paraId="4E0FCE93" w14:textId="77777777" w:rsidTr="00B929AA">
        <w:tc>
          <w:tcPr>
            <w:tcW w:w="2552" w:type="dxa"/>
            <w:tcBorders>
              <w:top w:val="single" w:sz="4" w:space="0" w:color="auto"/>
              <w:left w:val="single" w:sz="4" w:space="0" w:color="auto"/>
              <w:bottom w:val="single" w:sz="4" w:space="0" w:color="auto"/>
              <w:right w:val="single" w:sz="4" w:space="0" w:color="auto"/>
            </w:tcBorders>
          </w:tcPr>
          <w:p w14:paraId="59E787BB" w14:textId="77777777" w:rsidR="00B929AA" w:rsidRDefault="00B929AA" w:rsidP="00B929AA">
            <w:r w:rsidRPr="004A357D">
              <w:t>Total</w:t>
            </w:r>
          </w:p>
        </w:tc>
        <w:tc>
          <w:tcPr>
            <w:tcW w:w="1191" w:type="dxa"/>
            <w:tcBorders>
              <w:top w:val="single" w:sz="4" w:space="0" w:color="auto"/>
              <w:left w:val="single" w:sz="4" w:space="0" w:color="auto"/>
              <w:bottom w:val="single" w:sz="4" w:space="0" w:color="auto"/>
              <w:right w:val="single" w:sz="4" w:space="0" w:color="auto"/>
            </w:tcBorders>
            <w:vAlign w:val="bottom"/>
          </w:tcPr>
          <w:p w14:paraId="224F066C" w14:textId="255E5A4C" w:rsidR="00B929AA" w:rsidRDefault="00B929AA" w:rsidP="003962EE">
            <w:pPr>
              <w:jc w:val="right"/>
            </w:pPr>
            <w:r>
              <w:rPr>
                <w:rFonts w:ascii="Calibri" w:eastAsia="Times New Roman" w:hAnsi="Calibri" w:cs="Calibri"/>
                <w:b/>
                <w:bCs/>
                <w:lang w:eastAsia="en-AU"/>
              </w:rPr>
              <w:t>$</w:t>
            </w:r>
            <w:r w:rsidR="003962EE" w:rsidRPr="003962EE">
              <w:rPr>
                <w:rFonts w:ascii="Calibri" w:eastAsia="Times New Roman" w:hAnsi="Calibri" w:cs="Calibri"/>
                <w:b/>
                <w:bCs/>
                <w:lang w:eastAsia="en-AU"/>
              </w:rPr>
              <w:t>1</w:t>
            </w:r>
            <w:r w:rsidR="003962EE">
              <w:rPr>
                <w:rFonts w:ascii="Calibri" w:eastAsia="Times New Roman" w:hAnsi="Calibri" w:cs="Calibri"/>
                <w:b/>
                <w:bCs/>
                <w:lang w:eastAsia="en-AU"/>
              </w:rPr>
              <w:t>,</w:t>
            </w:r>
            <w:r w:rsidR="003962EE" w:rsidRPr="003962EE">
              <w:rPr>
                <w:rFonts w:ascii="Calibri" w:eastAsia="Times New Roman" w:hAnsi="Calibri" w:cs="Calibri"/>
                <w:b/>
                <w:bCs/>
                <w:lang w:eastAsia="en-AU"/>
              </w:rPr>
              <w:t>269</w:t>
            </w:r>
            <w:r w:rsidR="003962EE">
              <w:rPr>
                <w:rFonts w:ascii="Calibri" w:eastAsia="Times New Roman" w:hAnsi="Calibri" w:cs="Calibri"/>
                <w:b/>
                <w:bCs/>
                <w:lang w:eastAsia="en-AU"/>
              </w:rPr>
              <w:t>,</w:t>
            </w:r>
            <w:r w:rsidR="003962EE" w:rsidRPr="003962EE">
              <w:rPr>
                <w:rFonts w:ascii="Calibri" w:eastAsia="Times New Roman" w:hAnsi="Calibri" w:cs="Calibri"/>
                <w:b/>
                <w:bCs/>
                <w:lang w:eastAsia="en-AU"/>
              </w:rPr>
              <w:t>400</w:t>
            </w:r>
          </w:p>
        </w:tc>
        <w:tc>
          <w:tcPr>
            <w:tcW w:w="1191" w:type="dxa"/>
            <w:tcBorders>
              <w:top w:val="single" w:sz="4" w:space="0" w:color="auto"/>
              <w:left w:val="single" w:sz="4" w:space="0" w:color="auto"/>
              <w:bottom w:val="single" w:sz="4" w:space="0" w:color="auto"/>
              <w:right w:val="single" w:sz="4" w:space="0" w:color="auto"/>
            </w:tcBorders>
            <w:vAlign w:val="bottom"/>
          </w:tcPr>
          <w:p w14:paraId="4CB62FE1" w14:textId="77777777" w:rsidR="00B929AA" w:rsidRDefault="00B929AA" w:rsidP="00B929AA">
            <w:pPr>
              <w:jc w:val="right"/>
            </w:pPr>
            <w:r w:rsidRPr="005252E8">
              <w:rPr>
                <w:rFonts w:ascii="Calibri" w:eastAsia="Times New Roman" w:hAnsi="Calibri" w:cs="Calibri"/>
                <w:b/>
                <w:bCs/>
                <w:lang w:eastAsia="en-AU"/>
              </w:rPr>
              <w:t>$448,660</w:t>
            </w:r>
          </w:p>
        </w:tc>
        <w:tc>
          <w:tcPr>
            <w:tcW w:w="1191" w:type="dxa"/>
            <w:tcBorders>
              <w:top w:val="single" w:sz="4" w:space="0" w:color="auto"/>
              <w:left w:val="single" w:sz="4" w:space="0" w:color="auto"/>
              <w:bottom w:val="single" w:sz="4" w:space="0" w:color="auto"/>
              <w:right w:val="single" w:sz="4" w:space="0" w:color="auto"/>
            </w:tcBorders>
            <w:vAlign w:val="bottom"/>
          </w:tcPr>
          <w:p w14:paraId="0457B1FE" w14:textId="77777777" w:rsidR="00B929AA" w:rsidRDefault="00B929AA" w:rsidP="00B929AA">
            <w:pPr>
              <w:jc w:val="right"/>
            </w:pPr>
            <w:r w:rsidRPr="005252E8">
              <w:rPr>
                <w:rFonts w:ascii="Calibri" w:eastAsia="Times New Roman" w:hAnsi="Calibri" w:cs="Calibri"/>
                <w:b/>
                <w:bCs/>
                <w:lang w:eastAsia="en-AU"/>
              </w:rPr>
              <w:t>$2,262,350</w:t>
            </w:r>
          </w:p>
        </w:tc>
        <w:tc>
          <w:tcPr>
            <w:tcW w:w="1191" w:type="dxa"/>
            <w:tcBorders>
              <w:top w:val="single" w:sz="4" w:space="0" w:color="auto"/>
              <w:left w:val="single" w:sz="4" w:space="0" w:color="auto"/>
              <w:bottom w:val="single" w:sz="4" w:space="0" w:color="auto"/>
              <w:right w:val="single" w:sz="4" w:space="0" w:color="auto"/>
            </w:tcBorders>
            <w:vAlign w:val="bottom"/>
          </w:tcPr>
          <w:p w14:paraId="33541C4A" w14:textId="77777777" w:rsidR="00B929AA" w:rsidRDefault="00B929AA" w:rsidP="00B929AA">
            <w:pPr>
              <w:jc w:val="right"/>
            </w:pPr>
            <w:r>
              <w:rPr>
                <w:rFonts w:ascii="Calibri" w:eastAsia="Times New Roman" w:hAnsi="Calibri" w:cs="Calibri"/>
                <w:b/>
                <w:bCs/>
                <w:lang w:eastAsia="en-AU"/>
              </w:rPr>
              <w:t>$</w:t>
            </w:r>
            <w:r w:rsidRPr="005252E8">
              <w:rPr>
                <w:rFonts w:ascii="Calibri" w:eastAsia="Times New Roman" w:hAnsi="Calibri" w:cs="Calibri"/>
                <w:b/>
                <w:bCs/>
                <w:lang w:eastAsia="en-AU"/>
              </w:rPr>
              <w:t>1,396,800</w:t>
            </w:r>
          </w:p>
        </w:tc>
        <w:tc>
          <w:tcPr>
            <w:tcW w:w="1191" w:type="dxa"/>
            <w:tcBorders>
              <w:top w:val="single" w:sz="4" w:space="0" w:color="auto"/>
              <w:left w:val="single" w:sz="4" w:space="0" w:color="auto"/>
              <w:bottom w:val="single" w:sz="4" w:space="0" w:color="auto"/>
              <w:right w:val="single" w:sz="4" w:space="0" w:color="auto"/>
            </w:tcBorders>
            <w:vAlign w:val="bottom"/>
          </w:tcPr>
          <w:p w14:paraId="3CCE1382" w14:textId="77777777" w:rsidR="00B929AA" w:rsidRDefault="00B929AA" w:rsidP="00B929AA">
            <w:pPr>
              <w:jc w:val="right"/>
            </w:pPr>
            <w:r>
              <w:rPr>
                <w:rFonts w:ascii="Calibri" w:eastAsia="Times New Roman" w:hAnsi="Calibri" w:cs="Calibri"/>
                <w:b/>
                <w:bCs/>
                <w:lang w:eastAsia="en-AU"/>
              </w:rPr>
              <w:t>$</w:t>
            </w:r>
            <w:r w:rsidRPr="005252E8">
              <w:rPr>
                <w:rFonts w:ascii="Calibri" w:eastAsia="Times New Roman" w:hAnsi="Calibri" w:cs="Calibri"/>
                <w:b/>
                <w:bCs/>
                <w:lang w:eastAsia="en-AU"/>
              </w:rPr>
              <w:t>1,826,175</w:t>
            </w:r>
          </w:p>
        </w:tc>
        <w:tc>
          <w:tcPr>
            <w:tcW w:w="1247" w:type="dxa"/>
            <w:tcBorders>
              <w:top w:val="single" w:sz="4" w:space="0" w:color="auto"/>
              <w:left w:val="single" w:sz="4" w:space="0" w:color="auto"/>
              <w:bottom w:val="single" w:sz="4" w:space="0" w:color="auto"/>
              <w:right w:val="single" w:sz="4" w:space="0" w:color="auto"/>
            </w:tcBorders>
            <w:vAlign w:val="bottom"/>
          </w:tcPr>
          <w:p w14:paraId="48CF26C9" w14:textId="77777777" w:rsidR="00B929AA" w:rsidRDefault="00B929AA" w:rsidP="00B929AA">
            <w:pPr>
              <w:jc w:val="right"/>
            </w:pPr>
            <w:r>
              <w:rPr>
                <w:rFonts w:ascii="Calibri" w:eastAsia="Times New Roman" w:hAnsi="Calibri" w:cs="Calibri"/>
                <w:b/>
                <w:bCs/>
                <w:lang w:eastAsia="en-AU"/>
              </w:rPr>
              <w:t>$</w:t>
            </w:r>
            <w:r w:rsidRPr="005252E8">
              <w:rPr>
                <w:rFonts w:ascii="Calibri" w:eastAsia="Times New Roman" w:hAnsi="Calibri" w:cs="Calibri"/>
                <w:b/>
                <w:bCs/>
                <w:lang w:eastAsia="en-AU"/>
              </w:rPr>
              <w:t>2,146,525</w:t>
            </w:r>
          </w:p>
        </w:tc>
      </w:tr>
      <w:tr w:rsidR="00B929AA" w14:paraId="699CE9F5" w14:textId="77777777" w:rsidTr="00B929AA">
        <w:tc>
          <w:tcPr>
            <w:tcW w:w="2552" w:type="dxa"/>
            <w:tcBorders>
              <w:top w:val="single" w:sz="4" w:space="0" w:color="auto"/>
              <w:left w:val="single" w:sz="4" w:space="0" w:color="auto"/>
              <w:bottom w:val="single" w:sz="4" w:space="0" w:color="auto"/>
              <w:right w:val="single" w:sz="4" w:space="0" w:color="auto"/>
            </w:tcBorders>
          </w:tcPr>
          <w:p w14:paraId="4F74CA46" w14:textId="77777777" w:rsidR="00B929AA" w:rsidRDefault="00B929AA" w:rsidP="00B929AA">
            <w:r w:rsidRPr="004A357D">
              <w:t>Suspended</w:t>
            </w:r>
          </w:p>
        </w:tc>
        <w:tc>
          <w:tcPr>
            <w:tcW w:w="1191" w:type="dxa"/>
            <w:tcBorders>
              <w:top w:val="single" w:sz="4" w:space="0" w:color="auto"/>
              <w:left w:val="single" w:sz="4" w:space="0" w:color="auto"/>
              <w:bottom w:val="single" w:sz="4" w:space="0" w:color="auto"/>
              <w:right w:val="single" w:sz="4" w:space="0" w:color="auto"/>
            </w:tcBorders>
            <w:vAlign w:val="bottom"/>
          </w:tcPr>
          <w:p w14:paraId="4E80B659" w14:textId="77777777" w:rsidR="00B929AA" w:rsidRDefault="00B929AA" w:rsidP="00B929AA">
            <w:pPr>
              <w:jc w:val="right"/>
            </w:pPr>
            <w:r>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3AE042C8" w14:textId="72959B8F" w:rsidR="00B929AA" w:rsidRDefault="00B929AA" w:rsidP="00B929AA">
            <w:pPr>
              <w:jc w:val="right"/>
            </w:pPr>
            <w:r w:rsidRPr="005252E8">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486ED350" w14:textId="77777777" w:rsidR="00B929AA" w:rsidRDefault="00B929AA" w:rsidP="00B929AA">
            <w:pPr>
              <w:jc w:val="right"/>
            </w:pPr>
            <w:r w:rsidRPr="005252E8">
              <w:rPr>
                <w:rFonts w:ascii="Calibri" w:eastAsia="Times New Roman" w:hAnsi="Calibri" w:cs="Calibri"/>
                <w:lang w:eastAsia="en-AU"/>
              </w:rPr>
              <w:t>$387,250</w:t>
            </w:r>
          </w:p>
        </w:tc>
        <w:tc>
          <w:tcPr>
            <w:tcW w:w="1191" w:type="dxa"/>
            <w:tcBorders>
              <w:top w:val="single" w:sz="4" w:space="0" w:color="auto"/>
              <w:left w:val="single" w:sz="4" w:space="0" w:color="auto"/>
              <w:bottom w:val="single" w:sz="4" w:space="0" w:color="auto"/>
              <w:right w:val="single" w:sz="4" w:space="0" w:color="auto"/>
            </w:tcBorders>
            <w:vAlign w:val="bottom"/>
          </w:tcPr>
          <w:p w14:paraId="5EAD8A0A" w14:textId="77777777" w:rsidR="00B929AA" w:rsidRDefault="00B929AA" w:rsidP="00B929AA">
            <w:pPr>
              <w:jc w:val="right"/>
            </w:pPr>
            <w:r>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429583A4" w14:textId="77777777" w:rsidR="00B929AA" w:rsidRDefault="00B929AA" w:rsidP="00B929AA">
            <w:pPr>
              <w:jc w:val="right"/>
            </w:pPr>
            <w:r>
              <w:rPr>
                <w:rFonts w:ascii="Calibri" w:eastAsia="Times New Roman" w:hAnsi="Calibri" w:cs="Calibri"/>
                <w:lang w:eastAsia="en-AU"/>
              </w:rPr>
              <w:t>$</w:t>
            </w:r>
            <w:r w:rsidRPr="005252E8">
              <w:rPr>
                <w:rFonts w:ascii="Calibri" w:eastAsia="Times New Roman" w:hAnsi="Calibri" w:cs="Calibri"/>
                <w:lang w:eastAsia="en-AU"/>
              </w:rPr>
              <w:t>98,000</w:t>
            </w:r>
          </w:p>
        </w:tc>
        <w:tc>
          <w:tcPr>
            <w:tcW w:w="1247" w:type="dxa"/>
            <w:tcBorders>
              <w:top w:val="single" w:sz="4" w:space="0" w:color="auto"/>
              <w:left w:val="single" w:sz="4" w:space="0" w:color="auto"/>
              <w:bottom w:val="single" w:sz="4" w:space="0" w:color="auto"/>
              <w:right w:val="single" w:sz="4" w:space="0" w:color="auto"/>
            </w:tcBorders>
            <w:vAlign w:val="bottom"/>
          </w:tcPr>
          <w:p w14:paraId="7CE7F487" w14:textId="77777777" w:rsidR="00B929AA" w:rsidRDefault="00B929AA" w:rsidP="00B929AA">
            <w:pPr>
              <w:jc w:val="right"/>
            </w:pPr>
            <w:r>
              <w:rPr>
                <w:rFonts w:ascii="Calibri" w:eastAsia="Times New Roman" w:hAnsi="Calibri" w:cs="Calibri"/>
                <w:lang w:eastAsia="en-AU"/>
              </w:rPr>
              <w:t>0</w:t>
            </w:r>
          </w:p>
        </w:tc>
      </w:tr>
      <w:tr w:rsidR="00B929AA" w14:paraId="2C9BE15A" w14:textId="77777777" w:rsidTr="00B929AA">
        <w:tc>
          <w:tcPr>
            <w:tcW w:w="2552" w:type="dxa"/>
            <w:tcBorders>
              <w:top w:val="single" w:sz="4" w:space="0" w:color="auto"/>
              <w:left w:val="single" w:sz="4" w:space="0" w:color="auto"/>
              <w:bottom w:val="single" w:sz="4" w:space="0" w:color="auto"/>
              <w:right w:val="single" w:sz="4" w:space="0" w:color="auto"/>
            </w:tcBorders>
          </w:tcPr>
          <w:p w14:paraId="43C85337" w14:textId="77777777" w:rsidR="00B929AA" w:rsidRDefault="00B929AA" w:rsidP="00B929AA">
            <w:r w:rsidRPr="004A357D">
              <w:t>Subject to appeal</w:t>
            </w:r>
          </w:p>
        </w:tc>
        <w:tc>
          <w:tcPr>
            <w:tcW w:w="1191" w:type="dxa"/>
            <w:tcBorders>
              <w:top w:val="single" w:sz="4" w:space="0" w:color="auto"/>
              <w:left w:val="single" w:sz="4" w:space="0" w:color="auto"/>
              <w:bottom w:val="single" w:sz="4" w:space="0" w:color="auto"/>
              <w:right w:val="single" w:sz="4" w:space="0" w:color="auto"/>
            </w:tcBorders>
            <w:vAlign w:val="bottom"/>
          </w:tcPr>
          <w:p w14:paraId="772D3E71" w14:textId="77777777" w:rsidR="00B929AA" w:rsidRDefault="00B929AA" w:rsidP="00B929AA">
            <w:pPr>
              <w:jc w:val="right"/>
            </w:pPr>
            <w:r>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1DC1709C" w14:textId="77777777" w:rsidR="00B929AA" w:rsidRDefault="00B929AA" w:rsidP="00B929AA">
            <w:pPr>
              <w:jc w:val="right"/>
            </w:pPr>
            <w:r w:rsidRPr="00EE0A20">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2109D861" w14:textId="77777777" w:rsidR="00B929AA" w:rsidRDefault="00B929AA" w:rsidP="00B929AA">
            <w:pPr>
              <w:jc w:val="right"/>
            </w:pPr>
            <w:r w:rsidRPr="00EE0A20">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11BED490" w14:textId="77777777" w:rsidR="00B929AA" w:rsidRDefault="00B929AA" w:rsidP="00B929AA">
            <w:pPr>
              <w:jc w:val="right"/>
            </w:pPr>
            <w:r w:rsidRPr="00EE0A20">
              <w:rPr>
                <w:rFonts w:ascii="Calibri" w:eastAsia="Times New Roman" w:hAnsi="Calibri" w:cs="Calibri"/>
                <w:lang w:eastAsia="en-AU"/>
              </w:rPr>
              <w:t>0</w:t>
            </w:r>
          </w:p>
        </w:tc>
        <w:tc>
          <w:tcPr>
            <w:tcW w:w="1191" w:type="dxa"/>
            <w:tcBorders>
              <w:top w:val="single" w:sz="4" w:space="0" w:color="auto"/>
              <w:left w:val="single" w:sz="4" w:space="0" w:color="auto"/>
              <w:bottom w:val="single" w:sz="4" w:space="0" w:color="auto"/>
              <w:right w:val="single" w:sz="4" w:space="0" w:color="auto"/>
            </w:tcBorders>
            <w:vAlign w:val="bottom"/>
          </w:tcPr>
          <w:p w14:paraId="60ED4B30" w14:textId="77777777" w:rsidR="00B929AA" w:rsidRDefault="00B929AA" w:rsidP="00B929AA">
            <w:pPr>
              <w:jc w:val="right"/>
            </w:pPr>
            <w:r w:rsidRPr="00EE0A20">
              <w:rPr>
                <w:rFonts w:ascii="Calibri" w:eastAsia="Times New Roman" w:hAnsi="Calibri" w:cs="Calibri"/>
                <w:lang w:eastAsia="en-AU"/>
              </w:rPr>
              <w:t>0</w:t>
            </w:r>
          </w:p>
        </w:tc>
        <w:tc>
          <w:tcPr>
            <w:tcW w:w="1247" w:type="dxa"/>
            <w:tcBorders>
              <w:top w:val="single" w:sz="4" w:space="0" w:color="auto"/>
              <w:left w:val="single" w:sz="4" w:space="0" w:color="auto"/>
              <w:bottom w:val="single" w:sz="4" w:space="0" w:color="auto"/>
              <w:right w:val="single" w:sz="4" w:space="0" w:color="auto"/>
            </w:tcBorders>
            <w:vAlign w:val="bottom"/>
          </w:tcPr>
          <w:p w14:paraId="0A6A5718" w14:textId="77777777" w:rsidR="00B929AA" w:rsidRDefault="00B929AA" w:rsidP="00B929AA">
            <w:pPr>
              <w:jc w:val="right"/>
            </w:pPr>
            <w:r>
              <w:rPr>
                <w:rFonts w:ascii="Calibri" w:eastAsia="Times New Roman" w:hAnsi="Calibri" w:cs="Calibri"/>
                <w:color w:val="000000"/>
                <w:lang w:eastAsia="en-AU"/>
              </w:rPr>
              <w:t>$</w:t>
            </w:r>
            <w:r w:rsidRPr="005252E8">
              <w:rPr>
                <w:rFonts w:ascii="Calibri" w:eastAsia="Times New Roman" w:hAnsi="Calibri" w:cs="Calibri"/>
                <w:color w:val="000000"/>
                <w:lang w:eastAsia="en-AU"/>
              </w:rPr>
              <w:t>374,000</w:t>
            </w:r>
          </w:p>
        </w:tc>
      </w:tr>
    </w:tbl>
    <w:p w14:paraId="732104EC" w14:textId="77777777" w:rsidR="00B929AA" w:rsidRPr="004A357D" w:rsidRDefault="00B929AA" w:rsidP="00B929AA">
      <w:pPr>
        <w:pStyle w:val="Source"/>
        <w:rPr>
          <w:b w:val="0"/>
        </w:rPr>
      </w:pPr>
      <w:r w:rsidRPr="00B2722A">
        <w:t>Source</w:t>
      </w:r>
      <w:r>
        <w:t>:</w:t>
      </w:r>
      <w:r w:rsidRPr="004A357D">
        <w:rPr>
          <w:b w:val="0"/>
        </w:rPr>
        <w:t xml:space="preserve"> ABCC/FWBC Annual Reports</w:t>
      </w:r>
    </w:p>
    <w:p w14:paraId="1A2D6850" w14:textId="77777777" w:rsidR="000A54B6" w:rsidRDefault="00C87850" w:rsidP="004F647D">
      <w:pPr>
        <w:pStyle w:val="Heading2"/>
        <w:numPr>
          <w:ilvl w:val="1"/>
          <w:numId w:val="5"/>
        </w:numPr>
      </w:pPr>
      <w:bookmarkStart w:id="100" w:name="_Toc523154923"/>
      <w:bookmarkStart w:id="101" w:name="_Toc527633009"/>
      <w:r>
        <w:t>Analysis</w:t>
      </w:r>
      <w:bookmarkEnd w:id="100"/>
      <w:bookmarkEnd w:id="101"/>
    </w:p>
    <w:p w14:paraId="48129E88" w14:textId="0BA22F16" w:rsidR="004853D9" w:rsidRDefault="00C87850" w:rsidP="00B83E66">
      <w:pPr>
        <w:spacing w:before="200" w:after="200" w:line="276" w:lineRule="auto"/>
      </w:pPr>
      <w:r w:rsidRPr="005252E8">
        <w:t xml:space="preserve">The above discussion might be summarised as indicating that the union movement is unconvinced that the ABCC is acting as a </w:t>
      </w:r>
      <w:r w:rsidR="007378FF" w:rsidRPr="005252E8">
        <w:t>full-service</w:t>
      </w:r>
      <w:r w:rsidRPr="005252E8">
        <w:t xml:space="preserve"> regulator, while industry associations are generally unconvinced that it should act as a </w:t>
      </w:r>
      <w:r w:rsidR="007378FF" w:rsidRPr="005252E8">
        <w:t>full-service</w:t>
      </w:r>
      <w:r w:rsidRPr="005252E8">
        <w:t xml:space="preserve"> regulator</w:t>
      </w:r>
      <w:r w:rsidR="00F91CAA">
        <w:t xml:space="preserve">. </w:t>
      </w:r>
      <w:r w:rsidR="001A0E04">
        <w:t xml:space="preserve">As noted </w:t>
      </w:r>
      <w:r w:rsidR="000851AC">
        <w:t>above</w:t>
      </w:r>
      <w:r w:rsidR="001A0E04">
        <w:t xml:space="preserve">, the issue of whether the ABCC should function as a </w:t>
      </w:r>
      <w:r w:rsidR="00F23015">
        <w:t>full-service</w:t>
      </w:r>
      <w:r w:rsidR="001A0E04">
        <w:t xml:space="preserve"> regulator lies beyond the terms of reference for this review</w:t>
      </w:r>
      <w:r w:rsidR="00F91CAA">
        <w:t xml:space="preserve">. </w:t>
      </w:r>
      <w:r w:rsidR="001A0E04">
        <w:t xml:space="preserve">Hence, the views on this issue contained in some industry submissions have been reported simply </w:t>
      </w:r>
      <w:r w:rsidR="000851AC">
        <w:t>to</w:t>
      </w:r>
      <w:r w:rsidR="001A0E04">
        <w:t xml:space="preserve"> provide a complete view of the stakeholder comments received</w:t>
      </w:r>
      <w:r w:rsidR="00B83E66">
        <w:t>.</w:t>
      </w:r>
      <w:r w:rsidR="00C404BB">
        <w:rPr>
          <w:rStyle w:val="FootnoteReference"/>
        </w:rPr>
        <w:footnoteReference w:id="25"/>
      </w:r>
    </w:p>
    <w:p w14:paraId="0022D640" w14:textId="7F44EF02" w:rsidR="00ED0610" w:rsidRDefault="00ED0610" w:rsidP="00B83E66">
      <w:pPr>
        <w:spacing w:before="200" w:after="200" w:line="276" w:lineRule="auto"/>
      </w:pPr>
      <w:r>
        <w:t xml:space="preserve">Importantly, while some industry submissions expressed the concern that the requirement for the ABCC to address breaches of the relevant laws by all industry participants </w:t>
      </w:r>
      <w:r w:rsidRPr="00C25EBC">
        <w:t>could</w:t>
      </w:r>
      <w:r>
        <w:t xml:space="preserve"> potentially reduce its focus on what were seen as its core functions (essentially those requirements that are established directly via the BCIIP Act, rather than those addressed in other laws which are ‘designated’ in the BCIIP Act), these submissions made clear that it was not being argued that this had occurred to date. That is, they indicated a view that the ABCC is, to date, currently carrying out its full-service regulator function appropriately, in accordance with its legal obligations.</w:t>
      </w:r>
    </w:p>
    <w:p w14:paraId="19BC1BC1" w14:textId="162D2217" w:rsidR="00F535BB" w:rsidRDefault="00F45E49" w:rsidP="00B83E66">
      <w:pPr>
        <w:spacing w:before="200" w:after="200" w:line="276" w:lineRule="auto"/>
      </w:pPr>
      <w:r>
        <w:t>T</w:t>
      </w:r>
      <w:r w:rsidR="004853D9">
        <w:t xml:space="preserve">he ACTU submission expressed </w:t>
      </w:r>
      <w:r w:rsidR="00F23015">
        <w:t xml:space="preserve">an opposite </w:t>
      </w:r>
      <w:r w:rsidR="004853D9">
        <w:t>view</w:t>
      </w:r>
      <w:r w:rsidR="00F91CAA">
        <w:t xml:space="preserve">. </w:t>
      </w:r>
      <w:r w:rsidR="004853D9">
        <w:t xml:space="preserve">This view is consistent with the strongly held position of the ACTU and relevant member unions in relation to the previous legislation in this area </w:t>
      </w:r>
      <w:r w:rsidR="004853D9">
        <w:lastRenderedPageBreak/>
        <w:t xml:space="preserve">and the </w:t>
      </w:r>
      <w:r>
        <w:t>predecessor organisations</w:t>
      </w:r>
      <w:r w:rsidR="004853D9">
        <w:t xml:space="preserve"> of the </w:t>
      </w:r>
      <w:r>
        <w:t xml:space="preserve">current </w:t>
      </w:r>
      <w:r w:rsidR="004853D9">
        <w:t>ABCC</w:t>
      </w:r>
      <w:r w:rsidR="004853D9">
        <w:rPr>
          <w:rStyle w:val="FootnoteReference"/>
        </w:rPr>
        <w:footnoteReference w:id="26"/>
      </w:r>
      <w:r w:rsidR="00F91CAA">
        <w:t xml:space="preserve">. </w:t>
      </w:r>
      <w:r w:rsidR="00902C2E">
        <w:t>T</w:t>
      </w:r>
      <w:r w:rsidR="00B0746D">
        <w:t xml:space="preserve">he ACTU submission </w:t>
      </w:r>
      <w:r w:rsidR="00902C2E">
        <w:t xml:space="preserve">largely </w:t>
      </w:r>
      <w:proofErr w:type="gramStart"/>
      <w:r w:rsidR="00902C2E">
        <w:t xml:space="preserve">made </w:t>
      </w:r>
      <w:r w:rsidR="00B0746D">
        <w:t>reference</w:t>
      </w:r>
      <w:proofErr w:type="gramEnd"/>
      <w:r w:rsidR="00B0746D">
        <w:t xml:space="preserve"> to the actions of the ABCC’s predecessor organisations</w:t>
      </w:r>
      <w:r w:rsidR="00902C2E">
        <w:t xml:space="preserve"> in supporting its view on this issue</w:t>
      </w:r>
      <w:r w:rsidR="00B83E66">
        <w:t>.</w:t>
      </w:r>
    </w:p>
    <w:p w14:paraId="60817E2C" w14:textId="14EE8E57" w:rsidR="00E22B78" w:rsidRDefault="00E22B78" w:rsidP="00B83E66">
      <w:pPr>
        <w:spacing w:before="200" w:after="200" w:line="276" w:lineRule="auto"/>
      </w:pPr>
      <w:r>
        <w:t xml:space="preserve">That the ACTU submission draws heavily on the history of the ABCC’s predecessors </w:t>
      </w:r>
      <w:r w:rsidR="00F906E4">
        <w:t>is unsurprising, given the very recent reconstitution of the ABCC under new legislation</w:t>
      </w:r>
      <w:r w:rsidR="00F91CAA">
        <w:t xml:space="preserve">. </w:t>
      </w:r>
      <w:r>
        <w:t xml:space="preserve">However, </w:t>
      </w:r>
      <w:r w:rsidR="00F906E4">
        <w:t xml:space="preserve">the </w:t>
      </w:r>
      <w:r w:rsidR="00921484">
        <w:t>t</w:t>
      </w:r>
      <w:r w:rsidR="00F906E4">
        <w:t xml:space="preserve">erms of </w:t>
      </w:r>
      <w:r w:rsidR="00921484">
        <w:t>r</w:t>
      </w:r>
      <w:r w:rsidR="00F906E4">
        <w:t>eference clearly ask the review to consider the performance of the current AB</w:t>
      </w:r>
      <w:r>
        <w:t>C</w:t>
      </w:r>
      <w:r w:rsidR="00F906E4">
        <w:t xml:space="preserve">C, operating under </w:t>
      </w:r>
      <w:r w:rsidR="007378FF">
        <w:t>the BCIIP</w:t>
      </w:r>
      <w:r w:rsidR="005C2643">
        <w:t> </w:t>
      </w:r>
      <w:r w:rsidR="007378FF">
        <w:t>Act</w:t>
      </w:r>
      <w:r w:rsidR="00B83E66">
        <w:t>.</w:t>
      </w:r>
    </w:p>
    <w:p w14:paraId="62D24DA0" w14:textId="5AADCA99" w:rsidR="00E22B78" w:rsidRDefault="00E22B78" w:rsidP="00B83E66">
      <w:pPr>
        <w:spacing w:before="200" w:after="200" w:line="276" w:lineRule="auto"/>
      </w:pPr>
      <w:r>
        <w:t xml:space="preserve">The ACTU submission contained </w:t>
      </w:r>
      <w:r w:rsidR="0021163A">
        <w:t xml:space="preserve">relatively </w:t>
      </w:r>
      <w:r>
        <w:t>little material that could be regarded as supporting its contention that the ABCC is currently failing to perform its full</w:t>
      </w:r>
      <w:r w:rsidR="00173E54">
        <w:t>-</w:t>
      </w:r>
      <w:r>
        <w:t>service regulator function appropriately</w:t>
      </w:r>
      <w:r w:rsidR="00F91CAA">
        <w:t xml:space="preserve">. </w:t>
      </w:r>
      <w:r w:rsidR="006327D9">
        <w:t xml:space="preserve">The review does not accept </w:t>
      </w:r>
      <w:r w:rsidR="00F906E4">
        <w:t>t</w:t>
      </w:r>
      <w:r w:rsidR="00C87850" w:rsidRPr="005252E8">
        <w:t xml:space="preserve">he </w:t>
      </w:r>
      <w:r w:rsidR="00F906E4">
        <w:t xml:space="preserve">suggestion that the fact that </w:t>
      </w:r>
      <w:r w:rsidR="00C87850" w:rsidRPr="005252E8">
        <w:t>only a little over 30</w:t>
      </w:r>
      <w:r w:rsidR="007B23BE">
        <w:t> per cent</w:t>
      </w:r>
      <w:r w:rsidR="007B23BE" w:rsidRPr="005252E8">
        <w:t xml:space="preserve"> </w:t>
      </w:r>
      <w:r w:rsidR="00C87850" w:rsidRPr="005252E8">
        <w:t xml:space="preserve">of the investigations currently being undertaken by the ABCC relate to either wages and conditions or sham contracting issues </w:t>
      </w:r>
      <w:r w:rsidR="006327D9">
        <w:t xml:space="preserve">can be taken as </w:t>
      </w:r>
      <w:r w:rsidR="00C87850" w:rsidRPr="005252E8">
        <w:t>evidence of a lack of even</w:t>
      </w:r>
      <w:r w:rsidR="00F906E4">
        <w:t>-</w:t>
      </w:r>
      <w:r w:rsidR="00C87850" w:rsidRPr="005252E8">
        <w:t>handedness</w:t>
      </w:r>
      <w:r>
        <w:t>, for two reasons</w:t>
      </w:r>
      <w:r w:rsidR="00B83E66">
        <w:t>.</w:t>
      </w:r>
    </w:p>
    <w:p w14:paraId="38F8E5B1" w14:textId="22AE2210" w:rsidR="00E22B78" w:rsidRDefault="00E22B78" w:rsidP="00B83E66">
      <w:pPr>
        <w:spacing w:before="200" w:after="200" w:line="276" w:lineRule="auto"/>
      </w:pPr>
      <w:r>
        <w:t>First, a</w:t>
      </w:r>
      <w:r w:rsidR="00C87850" w:rsidRPr="005252E8">
        <w:t>n even</w:t>
      </w:r>
      <w:r w:rsidR="00F906E4">
        <w:t>-</w:t>
      </w:r>
      <w:r w:rsidR="00C87850" w:rsidRPr="005252E8">
        <w:t>handed approach does not</w:t>
      </w:r>
      <w:r w:rsidR="00097DA8">
        <w:t xml:space="preserve"> necessarily</w:t>
      </w:r>
      <w:r w:rsidR="00C87850" w:rsidRPr="005252E8">
        <w:t xml:space="preserve"> imply that the numbers of investigations relating to employers, on the one hand, and employees/unions on the other</w:t>
      </w:r>
      <w:r w:rsidR="006327D9">
        <w:t xml:space="preserve"> should be near-identical, as this point apparently suggests</w:t>
      </w:r>
      <w:r w:rsidR="00F91CAA">
        <w:t xml:space="preserve">. </w:t>
      </w:r>
      <w:r w:rsidR="007378FF">
        <w:t xml:space="preserve">Rather, it suggests that </w:t>
      </w:r>
      <w:r w:rsidR="003C3909">
        <w:t>all matters brought to the attention of the regulator are dealt with in a consistent and unbiased fashion.</w:t>
      </w:r>
    </w:p>
    <w:p w14:paraId="3F9086BA" w14:textId="3EDE6E40" w:rsidR="00E22B78" w:rsidRDefault="00E22B78" w:rsidP="00B83E66">
      <w:pPr>
        <w:spacing w:before="200" w:after="200" w:line="276" w:lineRule="auto"/>
      </w:pPr>
      <w:r>
        <w:t>Second</w:t>
      </w:r>
      <w:r w:rsidR="006327D9">
        <w:t xml:space="preserve">, </w:t>
      </w:r>
      <w:r w:rsidR="00F535BB">
        <w:t xml:space="preserve">as discussed above, </w:t>
      </w:r>
      <w:r w:rsidR="00097DA8">
        <w:t>the published data indicate that th</w:t>
      </w:r>
      <w:r w:rsidR="00C87850" w:rsidRPr="005252E8">
        <w:t>e percentage of current ABCC investigations that relate to wages and conditions or sham contracting has increased</w:t>
      </w:r>
      <w:r w:rsidR="00701684" w:rsidRPr="005252E8">
        <w:t xml:space="preserve"> progressively since the ABCC commenced operations, while the</w:t>
      </w:r>
      <w:r w:rsidR="00097DA8">
        <w:t xml:space="preserve"> unpublished</w:t>
      </w:r>
      <w:r w:rsidR="00701684" w:rsidRPr="005252E8">
        <w:t xml:space="preserve"> data provided by the ABCC in r</w:t>
      </w:r>
      <w:r w:rsidR="00097DA8">
        <w:t xml:space="preserve">elation to July–December 2017, discussed above, </w:t>
      </w:r>
      <w:r w:rsidR="00701684" w:rsidRPr="005252E8">
        <w:t>indicates that approximately half of newly commenced investigations relate</w:t>
      </w:r>
      <w:r w:rsidR="003C3909">
        <w:t>d</w:t>
      </w:r>
      <w:r w:rsidR="00701684" w:rsidRPr="005252E8">
        <w:t xml:space="preserve"> to wages and entitlements or misclassification/sham contracting issues. Moreover, almost half </w:t>
      </w:r>
      <w:r w:rsidR="00F23015" w:rsidRPr="005252E8">
        <w:t>(48</w:t>
      </w:r>
      <w:r w:rsidR="00C47753">
        <w:t> per cent</w:t>
      </w:r>
      <w:r w:rsidR="00F23015" w:rsidRPr="005252E8">
        <w:t xml:space="preserve">) </w:t>
      </w:r>
      <w:r w:rsidR="00701684" w:rsidRPr="005252E8">
        <w:t>of the</w:t>
      </w:r>
      <w:r w:rsidR="009F3956">
        <w:t xml:space="preserve"> subjects of </w:t>
      </w:r>
      <w:r w:rsidR="0038351B" w:rsidRPr="005252E8">
        <w:t>investigations commenced by the ABCC during this period were employers</w:t>
      </w:r>
      <w:r w:rsidR="002C368B" w:rsidRPr="00EE0A20">
        <w:t>.</w:t>
      </w:r>
      <w:r w:rsidR="0021163A">
        <w:rPr>
          <w:rStyle w:val="FootnoteReference"/>
        </w:rPr>
        <w:footnoteReference w:id="27"/>
      </w:r>
    </w:p>
    <w:p w14:paraId="171E9757" w14:textId="09CCDB70" w:rsidR="00F535BB" w:rsidRDefault="003C3909" w:rsidP="00B83E66">
      <w:pPr>
        <w:spacing w:before="200" w:after="200" w:line="276" w:lineRule="auto"/>
      </w:pPr>
      <w:r>
        <w:t>T</w:t>
      </w:r>
      <w:r w:rsidR="00C87850" w:rsidRPr="005252E8">
        <w:t xml:space="preserve">he results of completed </w:t>
      </w:r>
      <w:r w:rsidR="0038351B" w:rsidRPr="005252E8">
        <w:t xml:space="preserve">wages and entitlements </w:t>
      </w:r>
      <w:r w:rsidR="00C87850" w:rsidRPr="005252E8">
        <w:t>investigations, cited by the ACTU</w:t>
      </w:r>
      <w:r w:rsidR="002C368B" w:rsidRPr="00E732BC">
        <w:t>,</w:t>
      </w:r>
      <w:r w:rsidR="005252E8" w:rsidRPr="005252E8">
        <w:rPr>
          <w:rStyle w:val="FootnoteReference"/>
        </w:rPr>
        <w:footnoteReference w:id="28"/>
      </w:r>
      <w:r w:rsidR="00C87850" w:rsidRPr="005252E8">
        <w:t xml:space="preserve"> do indicate very limited outcomes, in terms of payments obtained for underpaid workers</w:t>
      </w:r>
      <w:r w:rsidR="00F91CAA">
        <w:t xml:space="preserve">. </w:t>
      </w:r>
      <w:r w:rsidR="00F535BB">
        <w:t xml:space="preserve">However, </w:t>
      </w:r>
      <w:r w:rsidR="009B253E">
        <w:t>the</w:t>
      </w:r>
      <w:r w:rsidR="00642167" w:rsidRPr="00642167">
        <w:t xml:space="preserve"> available quantitative data </w:t>
      </w:r>
      <w:r w:rsidR="00F535BB">
        <w:t>– particularly the unpublished data supplied by the ABCC – s</w:t>
      </w:r>
      <w:r w:rsidR="00642167" w:rsidRPr="00642167">
        <w:t xml:space="preserve">uggest </w:t>
      </w:r>
      <w:r w:rsidR="00F535BB">
        <w:t xml:space="preserve">a clear trend toward an </w:t>
      </w:r>
      <w:r w:rsidR="00642167" w:rsidRPr="00642167">
        <w:t>increasing focus on wages and entitlements and sham contracting issues</w:t>
      </w:r>
      <w:r w:rsidR="00F535BB">
        <w:t xml:space="preserve"> since the re-establishment of the </w:t>
      </w:r>
      <w:r w:rsidR="002C368B" w:rsidRPr="00E732BC">
        <w:t>ABCC</w:t>
      </w:r>
      <w:r w:rsidR="009B253E">
        <w:t xml:space="preserve">, while the strategic orientations set out by the </w:t>
      </w:r>
      <w:r w:rsidR="002C368B" w:rsidRPr="00E45E66">
        <w:t>ABC </w:t>
      </w:r>
      <w:r w:rsidR="009B253E">
        <w:t>Commissioner</w:t>
      </w:r>
      <w:r w:rsidR="00097DA8">
        <w:t xml:space="preserve"> in discussion with the review</w:t>
      </w:r>
      <w:r w:rsidR="009B253E">
        <w:t xml:space="preserve"> indicate an intention to continue to increase the ABCC’s focus on this area in the short to medium-term</w:t>
      </w:r>
      <w:r w:rsidR="00B83E66">
        <w:t>.</w:t>
      </w:r>
    </w:p>
    <w:p w14:paraId="1A4E1F4B" w14:textId="45431E86" w:rsidR="00C87850" w:rsidRDefault="00F535BB" w:rsidP="00B83E66">
      <w:pPr>
        <w:spacing w:before="200" w:after="200" w:line="276" w:lineRule="auto"/>
      </w:pPr>
      <w:r>
        <w:t xml:space="preserve">These factors clearly suggest that the ABCC is </w:t>
      </w:r>
      <w:r w:rsidR="00585A4B">
        <w:t xml:space="preserve">cognisant of the need to </w:t>
      </w:r>
      <w:r>
        <w:t xml:space="preserve">act in accordance with its </w:t>
      </w:r>
      <w:r w:rsidR="005E7F75" w:rsidRPr="00EE0A20">
        <w:t>‘</w:t>
      </w:r>
      <w:r>
        <w:t xml:space="preserve">full service </w:t>
      </w:r>
      <w:r w:rsidRPr="00EE0A20">
        <w:t>regulator</w:t>
      </w:r>
      <w:r w:rsidR="005E7F75" w:rsidRPr="00EE0A20">
        <w:t>’</w:t>
      </w:r>
      <w:r>
        <w:t xml:space="preserve"> function</w:t>
      </w:r>
      <w:r w:rsidR="00F91CAA">
        <w:t xml:space="preserve">. </w:t>
      </w:r>
      <w:r>
        <w:t xml:space="preserve">However, it will be important for the </w:t>
      </w:r>
      <w:r w:rsidR="005E7F75" w:rsidRPr="00EE0A20">
        <w:t xml:space="preserve">ABCC </w:t>
      </w:r>
      <w:r>
        <w:t xml:space="preserve">to ensure that it </w:t>
      </w:r>
      <w:r w:rsidR="003C3909">
        <w:t xml:space="preserve">consistently </w:t>
      </w:r>
      <w:r>
        <w:t>demonstrates that this is the case if it is to obtain the confidence of all building industry participants</w:t>
      </w:r>
      <w:r w:rsidR="00F91CAA">
        <w:t xml:space="preserve">. </w:t>
      </w:r>
      <w:r w:rsidR="00C404BB">
        <w:t xml:space="preserve">Its ability to do so may </w:t>
      </w:r>
      <w:r w:rsidR="00642167" w:rsidRPr="00642167">
        <w:t>be enhanced by the provision</w:t>
      </w:r>
      <w:r w:rsidR="0033587A">
        <w:t xml:space="preserve"> in its key publications and on its website</w:t>
      </w:r>
      <w:r w:rsidR="00642167" w:rsidRPr="00642167">
        <w:t xml:space="preserve"> of additional summary material describing </w:t>
      </w:r>
      <w:r w:rsidR="006327D9" w:rsidRPr="00642167">
        <w:t>its key activities</w:t>
      </w:r>
      <w:r w:rsidR="00C404BB">
        <w:t xml:space="preserve">, </w:t>
      </w:r>
      <w:r w:rsidR="00642167" w:rsidRPr="00642167">
        <w:t xml:space="preserve">analysing </w:t>
      </w:r>
      <w:r w:rsidR="006327D9">
        <w:t xml:space="preserve">them </w:t>
      </w:r>
      <w:r w:rsidR="00642167" w:rsidRPr="00642167">
        <w:t>in greater detail</w:t>
      </w:r>
      <w:r w:rsidR="00C404BB">
        <w:t xml:space="preserve"> and providing an explanation of its strategic orientations</w:t>
      </w:r>
      <w:r w:rsidR="00F91CAA">
        <w:t xml:space="preserve">. </w:t>
      </w:r>
      <w:r w:rsidR="00224D38">
        <w:t>The</w:t>
      </w:r>
      <w:r w:rsidR="00C404BB">
        <w:t xml:space="preserve"> review notes that</w:t>
      </w:r>
      <w:r w:rsidR="00585A4B">
        <w:t xml:space="preserve"> the</w:t>
      </w:r>
      <w:r w:rsidR="00224D38">
        <w:t xml:space="preserve"> </w:t>
      </w:r>
      <w:r w:rsidR="005E7F75" w:rsidRPr="00EE0A20">
        <w:t>ABC </w:t>
      </w:r>
      <w:r w:rsidR="00224D38">
        <w:t xml:space="preserve">Commissioner </w:t>
      </w:r>
      <w:r w:rsidR="00224D38">
        <w:lastRenderedPageBreak/>
        <w:t xml:space="preserve">has indicated that, while he believes that the current ABCC Annual Report is comprehensive in nature, he is actively considering </w:t>
      </w:r>
      <w:r w:rsidR="003C3909">
        <w:t xml:space="preserve">how to </w:t>
      </w:r>
      <w:r w:rsidR="00224D38">
        <w:t>improve future annual reports.</w:t>
      </w:r>
    </w:p>
    <w:p w14:paraId="75752A94" w14:textId="6BB4E1EC" w:rsidR="00942619" w:rsidRDefault="00942619" w:rsidP="00B83E66">
      <w:pPr>
        <w:spacing w:before="200" w:after="200" w:line="276" w:lineRule="auto"/>
      </w:pPr>
      <w:r w:rsidRPr="00642167">
        <w:t xml:space="preserve">The </w:t>
      </w:r>
      <w:r w:rsidR="005E7F75" w:rsidRPr="00EE0A20">
        <w:t>‘</w:t>
      </w:r>
      <w:r w:rsidRPr="00642167">
        <w:t>full service regulator</w:t>
      </w:r>
      <w:r w:rsidR="005E7F75" w:rsidRPr="00EE0A20">
        <w:t>’</w:t>
      </w:r>
      <w:r w:rsidRPr="00642167">
        <w:t xml:space="preserve"> concept </w:t>
      </w:r>
      <w:r>
        <w:t>aims to ensure that the ABCC will, in future, have the support of all building industry participants, in contrast to its predecessor bodies. T</w:t>
      </w:r>
      <w:r w:rsidR="00D0780D" w:rsidRPr="00642167">
        <w:t xml:space="preserve">his will only occur if the level of activity of the ABCC in pursuing issues </w:t>
      </w:r>
      <w:r>
        <w:t>such as</w:t>
      </w:r>
      <w:r w:rsidRPr="00642167">
        <w:t xml:space="preserve"> </w:t>
      </w:r>
      <w:r w:rsidR="00D0780D" w:rsidRPr="00642167">
        <w:t>wages and entitlements and sham contracting is sufficient to overcome embedded scepticism as to its orientation and provide confiden</w:t>
      </w:r>
      <w:r w:rsidR="00667C9F">
        <w:t>ce</w:t>
      </w:r>
      <w:r w:rsidR="00D0780D" w:rsidRPr="00642167">
        <w:t xml:space="preserve"> that </w:t>
      </w:r>
      <w:r w:rsidR="007D6E51" w:rsidRPr="00EE0A20">
        <w:t>it</w:t>
      </w:r>
      <w:r w:rsidR="00D0780D" w:rsidRPr="00EE0A20">
        <w:t xml:space="preserve"> </w:t>
      </w:r>
      <w:r w:rsidR="00D0780D" w:rsidRPr="00642167">
        <w:t xml:space="preserve">will behave in an </w:t>
      </w:r>
      <w:r w:rsidR="00667C9F">
        <w:t>even-handed</w:t>
      </w:r>
      <w:r w:rsidR="00667C9F" w:rsidRPr="00642167">
        <w:t xml:space="preserve"> </w:t>
      </w:r>
      <w:r w:rsidR="00D0780D" w:rsidRPr="00642167">
        <w:t>fashion</w:t>
      </w:r>
      <w:r w:rsidR="00F91CAA">
        <w:t xml:space="preserve">. </w:t>
      </w:r>
      <w:r w:rsidR="0033587A">
        <w:t xml:space="preserve">While this review is being undertaken at a very early stage in the operations of the ABCC, </w:t>
      </w:r>
      <w:r>
        <w:t xml:space="preserve">the available quantitative evidence regarding its activities indicates that it is acting consistently with this requirement, while the strategic orientations of the ABCC, as outlined by the </w:t>
      </w:r>
      <w:r w:rsidR="007B23BE">
        <w:t>ABC </w:t>
      </w:r>
      <w:r>
        <w:t>Commissioner, are also consist</w:t>
      </w:r>
      <w:r w:rsidR="009D2459">
        <w:t>ent with its obligations under section </w:t>
      </w:r>
      <w:r>
        <w:t xml:space="preserve">16 of the </w:t>
      </w:r>
      <w:r w:rsidR="00C01C9D">
        <w:t>BCIIP </w:t>
      </w:r>
      <w:r>
        <w:t>Act.</w:t>
      </w:r>
    </w:p>
    <w:p w14:paraId="5804D32E" w14:textId="77777777" w:rsidR="006F4FDF" w:rsidRPr="00034E14" w:rsidRDefault="006F4FDF" w:rsidP="006F4FDF">
      <w:pPr>
        <w:pStyle w:val="Heading2"/>
        <w:keepNext/>
        <w:keepLines/>
        <w:pBdr>
          <w:top w:val="single" w:sz="4" w:space="1" w:color="auto"/>
          <w:bottom w:val="single" w:sz="4" w:space="1" w:color="auto"/>
        </w:pBdr>
        <w:shd w:val="clear" w:color="auto" w:fill="FBE4D5" w:themeFill="accent2" w:themeFillTint="33"/>
      </w:pPr>
      <w:bookmarkStart w:id="102" w:name="_Toc527633010"/>
      <w:r w:rsidRPr="00034E14">
        <w:t>Finding and recommendations</w:t>
      </w:r>
      <w:bookmarkEnd w:id="102"/>
    </w:p>
    <w:p w14:paraId="4C266A45" w14:textId="77777777" w:rsidR="006F4FDF" w:rsidRDefault="006F4FDF" w:rsidP="006F4FDF">
      <w:pPr>
        <w:keepNext/>
        <w:keepLines/>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The activities of the ABCC since its establishment, together with the strategic priorities identified by the ABC Commissioner, are consistent with its full-service regulator function.</w:t>
      </w:r>
    </w:p>
    <w:p w14:paraId="78C7BBBE" w14:textId="77777777" w:rsidR="006F4FDF" w:rsidRDefault="006F4FDF" w:rsidP="006F4FDF">
      <w:pPr>
        <w:keepNext/>
        <w:keepLines/>
        <w:pBdr>
          <w:top w:val="single" w:sz="4" w:space="1" w:color="auto"/>
          <w:bottom w:val="single" w:sz="4" w:space="1" w:color="auto"/>
        </w:pBdr>
        <w:shd w:val="clear" w:color="auto" w:fill="FBE4D5" w:themeFill="accent2" w:themeFillTint="33"/>
        <w:spacing w:before="120" w:after="120"/>
      </w:pPr>
      <w:r w:rsidRPr="00154456">
        <w:rPr>
          <w:b/>
        </w:rPr>
        <w:t>Recommendation 1.1:</w:t>
      </w:r>
      <w:r w:rsidRPr="00154456">
        <w:t xml:space="preserve"> That the ABCC should more clearly articulate its commitment to increase the confidence of all building industry participants as to its impartiality.</w:t>
      </w:r>
    </w:p>
    <w:p w14:paraId="217A70B2" w14:textId="5F5ABC57" w:rsidR="006F4FDF" w:rsidRDefault="006F4FDF" w:rsidP="006F4FDF">
      <w:pPr>
        <w:keepNext/>
        <w:keepLines/>
        <w:pBdr>
          <w:top w:val="single" w:sz="4" w:space="1" w:color="auto"/>
          <w:bottom w:val="single" w:sz="4" w:space="1" w:color="auto"/>
        </w:pBdr>
        <w:shd w:val="clear" w:color="auto" w:fill="FBE4D5" w:themeFill="accent2" w:themeFillTint="33"/>
        <w:spacing w:before="120" w:after="120"/>
      </w:pPr>
      <w:r w:rsidRPr="00154456">
        <w:rPr>
          <w:b/>
        </w:rPr>
        <w:t>Recommendation 1.2:</w:t>
      </w:r>
      <w:r w:rsidRPr="00154456">
        <w:t xml:space="preserve"> That, as a step toward this goal, the ABCC consider publishing additional material in its quarterly and annual reports which provides more detailed information on the matters investigated by it, including proceedings commenced.</w:t>
      </w:r>
    </w:p>
    <w:p w14:paraId="154BFE2B" w14:textId="71421C20" w:rsidR="006F4FDF" w:rsidRDefault="006F4FDF" w:rsidP="006F4FDF">
      <w:pPr>
        <w:keepNext/>
        <w:keepLines/>
        <w:pBdr>
          <w:top w:val="single" w:sz="4" w:space="1" w:color="auto"/>
          <w:bottom w:val="single" w:sz="4" w:space="1" w:color="auto"/>
        </w:pBdr>
        <w:shd w:val="clear" w:color="auto" w:fill="FBE4D5" w:themeFill="accent2" w:themeFillTint="33"/>
        <w:spacing w:before="200" w:after="200" w:line="276" w:lineRule="auto"/>
      </w:pPr>
      <w:r w:rsidRPr="00154456">
        <w:rPr>
          <w:b/>
        </w:rPr>
        <w:t>Recommendation 1.3:</w:t>
      </w:r>
      <w:r w:rsidRPr="00154456">
        <w:t xml:space="preserve"> That this additional information should be of a type that would assist building industry participants to better understand the allocation of ABCC resources and the focus of its activities. It should also include information on the ABCC’s priorities and strategic approaches.</w:t>
      </w:r>
    </w:p>
    <w:p w14:paraId="31168D2C" w14:textId="09886697" w:rsidR="0033587A" w:rsidRPr="00642167" w:rsidRDefault="0033587A" w:rsidP="0033587A">
      <w:pPr>
        <w:spacing w:after="0" w:line="276" w:lineRule="auto"/>
      </w:pPr>
    </w:p>
    <w:p w14:paraId="2A8053F9" w14:textId="77777777" w:rsidR="00034E14" w:rsidRDefault="00034E14" w:rsidP="005F0130">
      <w:pPr>
        <w:autoSpaceDE w:val="0"/>
        <w:autoSpaceDN w:val="0"/>
        <w:adjustRightInd w:val="0"/>
        <w:spacing w:after="0" w:line="276" w:lineRule="auto"/>
        <w:rPr>
          <w:b/>
        </w:rPr>
        <w:sectPr w:rsidR="00034E14" w:rsidSect="002566A2">
          <w:pgSz w:w="11906" w:h="16838" w:code="9"/>
          <w:pgMar w:top="1440" w:right="1440" w:bottom="1440" w:left="1440" w:header="709" w:footer="1009" w:gutter="0"/>
          <w:cols w:space="708"/>
          <w:docGrid w:linePitch="360"/>
        </w:sectPr>
      </w:pPr>
    </w:p>
    <w:p w14:paraId="243B930D" w14:textId="6A93EAA3" w:rsidR="008B186B" w:rsidRDefault="00DF0877" w:rsidP="00C3250D">
      <w:pPr>
        <w:pStyle w:val="Heading1"/>
        <w:tabs>
          <w:tab w:val="left" w:pos="1843"/>
        </w:tabs>
      </w:pPr>
      <w:bookmarkStart w:id="103" w:name="_Toc523154924"/>
      <w:bookmarkStart w:id="104" w:name="_Toc527633011"/>
      <w:r>
        <w:lastRenderedPageBreak/>
        <w:t>Chapter</w:t>
      </w:r>
      <w:r w:rsidRPr="008B186B">
        <w:t xml:space="preserve"> </w:t>
      </w:r>
      <w:r w:rsidR="00C3250D">
        <w:t>2:</w:t>
      </w:r>
      <w:r w:rsidR="00C3250D">
        <w:tab/>
      </w:r>
      <w:r w:rsidR="000A54B6">
        <w:t>I</w:t>
      </w:r>
      <w:r w:rsidR="000A54B6" w:rsidRPr="000A54B6">
        <w:t>ndependent oversight of the compulsory examination powers</w:t>
      </w:r>
      <w:bookmarkEnd w:id="103"/>
      <w:bookmarkEnd w:id="104"/>
    </w:p>
    <w:p w14:paraId="1FCC040B" w14:textId="77777777" w:rsidR="006F4FDF" w:rsidRPr="00034E14" w:rsidRDefault="006F4FDF" w:rsidP="00181AAC">
      <w:pPr>
        <w:pStyle w:val="Heading2"/>
        <w:pBdr>
          <w:top w:val="single" w:sz="4" w:space="1" w:color="auto"/>
          <w:bottom w:val="single" w:sz="4" w:space="1" w:color="auto"/>
        </w:pBdr>
        <w:shd w:val="clear" w:color="auto" w:fill="DEEAF6" w:themeFill="accent1" w:themeFillTint="33"/>
      </w:pPr>
      <w:bookmarkStart w:id="105" w:name="_Toc527633012"/>
      <w:r w:rsidRPr="00034E14">
        <w:t>Term of reference 2</w:t>
      </w:r>
      <w:bookmarkEnd w:id="105"/>
    </w:p>
    <w:p w14:paraId="70C3E8F8" w14:textId="77777777" w:rsidR="006F4FDF" w:rsidRDefault="006F4FDF" w:rsidP="00181AAC">
      <w:pPr>
        <w:pBdr>
          <w:top w:val="single" w:sz="4" w:space="1" w:color="auto"/>
          <w:bottom w:val="single" w:sz="4" w:space="1" w:color="auto"/>
        </w:pBdr>
        <w:shd w:val="clear" w:color="auto" w:fill="DEEAF6" w:themeFill="accent1" w:themeFillTint="33"/>
        <w:spacing w:before="120" w:after="120"/>
        <w:rPr>
          <w:rFonts w:eastAsia="Times New Roman" w:cstheme="minorHAnsi"/>
          <w:lang w:eastAsia="en-AU"/>
        </w:rPr>
      </w:pPr>
      <w:r w:rsidRPr="00887DE0">
        <w:rPr>
          <w:rFonts w:eastAsia="Times New Roman" w:cstheme="minorHAnsi"/>
          <w:lang w:eastAsia="en-AU"/>
        </w:rPr>
        <w:t>The review will examine</w:t>
      </w:r>
      <w:r>
        <w:rPr>
          <w:rFonts w:eastAsia="Times New Roman" w:cstheme="minorHAnsi"/>
          <w:lang w:eastAsia="en-AU"/>
        </w:rPr>
        <w:t xml:space="preserve"> t</w:t>
      </w:r>
      <w:r w:rsidRPr="00887DE0">
        <w:rPr>
          <w:rFonts w:eastAsia="Times New Roman" w:cstheme="minorHAnsi"/>
          <w:lang w:eastAsia="en-AU"/>
        </w:rPr>
        <w:t>he independent oversight of the</w:t>
      </w:r>
      <w:r>
        <w:rPr>
          <w:rFonts w:eastAsia="Times New Roman" w:cstheme="minorHAnsi"/>
          <w:lang w:eastAsia="en-AU"/>
        </w:rPr>
        <w:t xml:space="preserve"> ABCC’s</w:t>
      </w:r>
      <w:r w:rsidRPr="00887DE0">
        <w:rPr>
          <w:rFonts w:eastAsia="Times New Roman" w:cstheme="minorHAnsi"/>
          <w:lang w:eastAsia="en-AU"/>
        </w:rPr>
        <w:t xml:space="preserve"> compulsory examination powers, including</w:t>
      </w:r>
      <w:r>
        <w:rPr>
          <w:rFonts w:eastAsia="Times New Roman" w:cstheme="minorHAnsi"/>
          <w:lang w:eastAsia="en-AU"/>
        </w:rPr>
        <w:t>:</w:t>
      </w:r>
    </w:p>
    <w:p w14:paraId="26CD5D2B" w14:textId="77777777" w:rsidR="006F4FDF" w:rsidRPr="004449A4" w:rsidRDefault="006F4FDF" w:rsidP="00181AAC">
      <w:pPr>
        <w:pStyle w:val="ListBullet"/>
        <w:numPr>
          <w:ilvl w:val="0"/>
          <w:numId w:val="9"/>
        </w:numPr>
        <w:pBdr>
          <w:top w:val="single" w:sz="4" w:space="1" w:color="auto"/>
          <w:bottom w:val="single" w:sz="4" w:space="1" w:color="auto"/>
        </w:pBdr>
        <w:shd w:val="clear" w:color="auto" w:fill="DEEAF6" w:themeFill="accent1" w:themeFillTint="33"/>
        <w:ind w:left="360"/>
        <w:rPr>
          <w:rFonts w:eastAsia="Times New Roman" w:cstheme="minorHAnsi"/>
          <w:lang w:eastAsia="en-AU"/>
        </w:rPr>
      </w:pPr>
      <w:r w:rsidRPr="004449A4">
        <w:rPr>
          <w:rFonts w:eastAsia="Times New Roman" w:cstheme="minorHAnsi"/>
          <w:lang w:eastAsia="en-AU"/>
        </w:rPr>
        <w:t xml:space="preserve">reporting requirements (for example, the frequency these reports are required); and </w:t>
      </w:r>
    </w:p>
    <w:p w14:paraId="479D6381" w14:textId="2F7C03D4" w:rsidR="006F4FDF" w:rsidRPr="006F4FDF" w:rsidRDefault="006F4FDF" w:rsidP="00181AAC">
      <w:pPr>
        <w:pStyle w:val="ListBullet"/>
        <w:numPr>
          <w:ilvl w:val="0"/>
          <w:numId w:val="9"/>
        </w:numPr>
        <w:pBdr>
          <w:top w:val="single" w:sz="4" w:space="1" w:color="auto"/>
          <w:bottom w:val="single" w:sz="4" w:space="1" w:color="auto"/>
        </w:pBdr>
        <w:shd w:val="clear" w:color="auto" w:fill="DEEAF6" w:themeFill="accent1" w:themeFillTint="33"/>
        <w:ind w:left="360"/>
      </w:pPr>
      <w:r w:rsidRPr="004449A4">
        <w:rPr>
          <w:rFonts w:eastAsia="Times New Roman" w:cstheme="minorHAnsi"/>
          <w:lang w:eastAsia="en-AU"/>
        </w:rPr>
        <w:t>safeguards and public accountability in the application of these powers.</w:t>
      </w:r>
    </w:p>
    <w:p w14:paraId="222D91F1" w14:textId="4DA8632E" w:rsidR="002A54ED" w:rsidRDefault="002A54ED" w:rsidP="004F647D">
      <w:pPr>
        <w:pStyle w:val="Heading2"/>
        <w:numPr>
          <w:ilvl w:val="1"/>
          <w:numId w:val="17"/>
        </w:numPr>
      </w:pPr>
      <w:bookmarkStart w:id="106" w:name="_Toc523154925"/>
      <w:bookmarkStart w:id="107" w:name="_Toc527633013"/>
      <w:r>
        <w:t>Introduction</w:t>
      </w:r>
      <w:bookmarkEnd w:id="106"/>
      <w:bookmarkEnd w:id="107"/>
    </w:p>
    <w:p w14:paraId="660AC889" w14:textId="01E7A074" w:rsidR="003B71CC" w:rsidRDefault="00E01867" w:rsidP="00874132">
      <w:pPr>
        <w:spacing w:before="200" w:after="200" w:line="276" w:lineRule="auto"/>
        <w:rPr>
          <w:rFonts w:cstheme="minorHAnsi"/>
          <w:bCs/>
          <w:color w:val="000000"/>
        </w:rPr>
      </w:pPr>
      <w:r>
        <w:rPr>
          <w:rFonts w:cstheme="minorHAnsi"/>
          <w:bCs/>
          <w:color w:val="000000"/>
        </w:rPr>
        <w:t>Section </w:t>
      </w:r>
      <w:r w:rsidR="00CB501E">
        <w:rPr>
          <w:rFonts w:cstheme="minorHAnsi"/>
          <w:bCs/>
          <w:color w:val="000000"/>
        </w:rPr>
        <w:t>61</w:t>
      </w:r>
      <w:r w:rsidR="00CD77F3">
        <w:rPr>
          <w:rFonts w:cstheme="minorHAnsi"/>
          <w:bCs/>
          <w:color w:val="000000"/>
        </w:rPr>
        <w:t>B</w:t>
      </w:r>
      <w:r w:rsidR="00CB501E">
        <w:rPr>
          <w:rFonts w:cstheme="minorHAnsi"/>
          <w:bCs/>
          <w:color w:val="000000"/>
        </w:rPr>
        <w:t xml:space="preserve"> of t</w:t>
      </w:r>
      <w:r w:rsidR="00995C58">
        <w:rPr>
          <w:rFonts w:cstheme="minorHAnsi"/>
          <w:bCs/>
          <w:color w:val="000000"/>
        </w:rPr>
        <w:t xml:space="preserve">he </w:t>
      </w:r>
      <w:r w:rsidR="008E4F9D" w:rsidRPr="00345690">
        <w:rPr>
          <w:rFonts w:cstheme="minorHAnsi"/>
          <w:bCs/>
          <w:color w:val="000000"/>
        </w:rPr>
        <w:t>BCIIP</w:t>
      </w:r>
      <w:r w:rsidR="005C2643">
        <w:rPr>
          <w:rFonts w:cstheme="minorHAnsi"/>
          <w:bCs/>
          <w:color w:val="000000"/>
        </w:rPr>
        <w:t> </w:t>
      </w:r>
      <w:r w:rsidR="008E4F9D" w:rsidRPr="00345690">
        <w:rPr>
          <w:rFonts w:cstheme="minorHAnsi"/>
          <w:bCs/>
          <w:color w:val="000000"/>
        </w:rPr>
        <w:t>Act</w:t>
      </w:r>
      <w:r w:rsidR="00995C58">
        <w:rPr>
          <w:rFonts w:cstheme="minorHAnsi"/>
          <w:bCs/>
          <w:color w:val="000000"/>
        </w:rPr>
        <w:t xml:space="preserve"> </w:t>
      </w:r>
      <w:r w:rsidR="00D86C5D">
        <w:rPr>
          <w:rFonts w:cstheme="minorHAnsi"/>
          <w:bCs/>
          <w:color w:val="000000"/>
        </w:rPr>
        <w:t>empowers</w:t>
      </w:r>
      <w:r w:rsidR="00D86C5D" w:rsidRPr="00345690">
        <w:rPr>
          <w:rFonts w:cstheme="minorHAnsi"/>
          <w:bCs/>
          <w:color w:val="000000"/>
        </w:rPr>
        <w:t xml:space="preserve"> </w:t>
      </w:r>
      <w:r w:rsidR="008E4F9D" w:rsidRPr="00345690">
        <w:rPr>
          <w:rFonts w:cstheme="minorHAnsi"/>
          <w:bCs/>
          <w:color w:val="000000"/>
        </w:rPr>
        <w:t>the ABC</w:t>
      </w:r>
      <w:r w:rsidR="007B23BE">
        <w:rPr>
          <w:rFonts w:cstheme="minorHAnsi"/>
          <w:bCs/>
          <w:color w:val="000000"/>
        </w:rPr>
        <w:t> </w:t>
      </w:r>
      <w:r w:rsidR="008E4F9D" w:rsidRPr="00345690">
        <w:rPr>
          <w:rFonts w:cstheme="minorHAnsi"/>
          <w:bCs/>
          <w:color w:val="000000"/>
        </w:rPr>
        <w:t>C</w:t>
      </w:r>
      <w:r w:rsidR="0035033A">
        <w:rPr>
          <w:rFonts w:cstheme="minorHAnsi"/>
          <w:bCs/>
          <w:color w:val="000000"/>
        </w:rPr>
        <w:t>ommissioner</w:t>
      </w:r>
      <w:r w:rsidR="008E4F9D" w:rsidRPr="00345690">
        <w:rPr>
          <w:rFonts w:cstheme="minorHAnsi"/>
          <w:bCs/>
          <w:color w:val="000000"/>
        </w:rPr>
        <w:t xml:space="preserve"> </w:t>
      </w:r>
      <w:r w:rsidR="00CB501E">
        <w:rPr>
          <w:rFonts w:cstheme="minorHAnsi"/>
          <w:bCs/>
          <w:color w:val="000000"/>
        </w:rPr>
        <w:t>or his delegate</w:t>
      </w:r>
      <w:r w:rsidR="00E05A41">
        <w:rPr>
          <w:rStyle w:val="FootnoteReference"/>
          <w:rFonts w:cstheme="minorHAnsi"/>
          <w:bCs/>
          <w:color w:val="000000"/>
        </w:rPr>
        <w:footnoteReference w:id="29"/>
      </w:r>
      <w:r w:rsidR="00C63937">
        <w:rPr>
          <w:rFonts w:cstheme="minorHAnsi"/>
          <w:bCs/>
          <w:color w:val="000000"/>
        </w:rPr>
        <w:t xml:space="preserve"> </w:t>
      </w:r>
      <w:r w:rsidR="008E4F9D" w:rsidRPr="00345690">
        <w:rPr>
          <w:rFonts w:cstheme="minorHAnsi"/>
          <w:bCs/>
          <w:color w:val="000000"/>
        </w:rPr>
        <w:t xml:space="preserve">to </w:t>
      </w:r>
      <w:r w:rsidR="0035033A">
        <w:rPr>
          <w:rFonts w:cstheme="minorHAnsi"/>
          <w:bCs/>
          <w:color w:val="000000"/>
        </w:rPr>
        <w:t>appl</w:t>
      </w:r>
      <w:r w:rsidR="00D35AE6">
        <w:rPr>
          <w:rFonts w:cstheme="minorHAnsi"/>
          <w:bCs/>
          <w:color w:val="000000"/>
        </w:rPr>
        <w:t>y to a nominated</w:t>
      </w:r>
      <w:r w:rsidR="00C67D1D">
        <w:rPr>
          <w:rFonts w:cstheme="minorHAnsi"/>
          <w:bCs/>
          <w:color w:val="000000"/>
        </w:rPr>
        <w:t xml:space="preserve"> Administrative Appeals Tribunal (AAT) </w:t>
      </w:r>
      <w:r w:rsidR="0035033A">
        <w:rPr>
          <w:rFonts w:cstheme="minorHAnsi"/>
          <w:bCs/>
          <w:color w:val="000000"/>
        </w:rPr>
        <w:t xml:space="preserve">presidential member for </w:t>
      </w:r>
      <w:r w:rsidR="008E4F9D" w:rsidRPr="00345690">
        <w:rPr>
          <w:rFonts w:cstheme="minorHAnsi"/>
          <w:bCs/>
          <w:color w:val="000000"/>
        </w:rPr>
        <w:t xml:space="preserve">an </w:t>
      </w:r>
      <w:r w:rsidR="00D86C5D">
        <w:rPr>
          <w:rFonts w:cstheme="minorHAnsi"/>
          <w:bCs/>
          <w:color w:val="000000"/>
        </w:rPr>
        <w:t>e</w:t>
      </w:r>
      <w:r w:rsidR="008E4F9D" w:rsidRPr="00345690">
        <w:rPr>
          <w:rFonts w:cstheme="minorHAnsi"/>
          <w:bCs/>
          <w:color w:val="000000"/>
        </w:rPr>
        <w:t xml:space="preserve">xamination </w:t>
      </w:r>
      <w:r w:rsidR="00D86C5D">
        <w:rPr>
          <w:rFonts w:cstheme="minorHAnsi"/>
          <w:bCs/>
          <w:color w:val="000000"/>
        </w:rPr>
        <w:t>n</w:t>
      </w:r>
      <w:r w:rsidR="008E4F9D" w:rsidRPr="00345690">
        <w:rPr>
          <w:rFonts w:cstheme="minorHAnsi"/>
          <w:bCs/>
          <w:color w:val="000000"/>
        </w:rPr>
        <w:t xml:space="preserve">otice to be issued to compel witnesses to </w:t>
      </w:r>
      <w:r w:rsidR="00995C58" w:rsidRPr="00345690">
        <w:rPr>
          <w:rFonts w:cstheme="minorHAnsi"/>
          <w:bCs/>
          <w:color w:val="000000"/>
        </w:rPr>
        <w:t>give information or to produce documents</w:t>
      </w:r>
      <w:r w:rsidR="00995C58">
        <w:rPr>
          <w:rFonts w:cstheme="minorHAnsi"/>
          <w:bCs/>
          <w:color w:val="000000"/>
        </w:rPr>
        <w:t xml:space="preserve"> to the </w:t>
      </w:r>
      <w:r w:rsidR="007B23BE">
        <w:rPr>
          <w:rFonts w:cstheme="minorHAnsi"/>
          <w:bCs/>
          <w:color w:val="000000"/>
        </w:rPr>
        <w:t>ABC </w:t>
      </w:r>
      <w:r w:rsidR="00995C58">
        <w:rPr>
          <w:rFonts w:cstheme="minorHAnsi"/>
          <w:bCs/>
          <w:color w:val="000000"/>
        </w:rPr>
        <w:t>Commissioner or to</w:t>
      </w:r>
      <w:r w:rsidR="00995C58" w:rsidRPr="00345690">
        <w:rPr>
          <w:rFonts w:cstheme="minorHAnsi"/>
          <w:bCs/>
          <w:color w:val="000000"/>
        </w:rPr>
        <w:t xml:space="preserve"> </w:t>
      </w:r>
      <w:r w:rsidR="008E4F9D" w:rsidRPr="00345690">
        <w:rPr>
          <w:rFonts w:cstheme="minorHAnsi"/>
          <w:bCs/>
          <w:color w:val="000000"/>
        </w:rPr>
        <w:t>attend an examination</w:t>
      </w:r>
      <w:r w:rsidR="00995C58">
        <w:rPr>
          <w:rFonts w:cstheme="minorHAnsi"/>
          <w:bCs/>
          <w:color w:val="000000"/>
        </w:rPr>
        <w:t xml:space="preserve"> before the </w:t>
      </w:r>
      <w:r w:rsidR="007B23BE">
        <w:rPr>
          <w:rFonts w:cstheme="minorHAnsi"/>
          <w:bCs/>
          <w:color w:val="000000"/>
        </w:rPr>
        <w:t>ABC </w:t>
      </w:r>
      <w:r w:rsidR="00995C58">
        <w:rPr>
          <w:rFonts w:cstheme="minorHAnsi"/>
          <w:bCs/>
          <w:color w:val="000000"/>
        </w:rPr>
        <w:t>Commissioner</w:t>
      </w:r>
      <w:r w:rsidR="00F91CAA">
        <w:rPr>
          <w:rFonts w:cstheme="minorHAnsi"/>
          <w:bCs/>
          <w:color w:val="000000"/>
        </w:rPr>
        <w:t xml:space="preserve">. </w:t>
      </w:r>
      <w:r w:rsidR="00CB501E">
        <w:rPr>
          <w:rFonts w:cstheme="minorHAnsi"/>
          <w:bCs/>
          <w:color w:val="000000"/>
        </w:rPr>
        <w:t xml:space="preserve">Such a notice </w:t>
      </w:r>
      <w:r w:rsidR="00CD77F3">
        <w:rPr>
          <w:rFonts w:cstheme="minorHAnsi"/>
          <w:bCs/>
          <w:color w:val="000000"/>
        </w:rPr>
        <w:t xml:space="preserve">must </w:t>
      </w:r>
      <w:r w:rsidR="00CB501E">
        <w:rPr>
          <w:rFonts w:cstheme="minorHAnsi"/>
          <w:bCs/>
          <w:color w:val="000000"/>
        </w:rPr>
        <w:t>be issued</w:t>
      </w:r>
      <w:r w:rsidR="008E4F9D" w:rsidRPr="00345690">
        <w:rPr>
          <w:rFonts w:cstheme="minorHAnsi"/>
          <w:bCs/>
          <w:color w:val="000000"/>
        </w:rPr>
        <w:t xml:space="preserve"> where</w:t>
      </w:r>
      <w:r w:rsidR="00CD77F3">
        <w:rPr>
          <w:rFonts w:cstheme="minorHAnsi"/>
          <w:bCs/>
          <w:color w:val="000000"/>
        </w:rPr>
        <w:t>, among other things,</w:t>
      </w:r>
      <w:r w:rsidR="008E4F9D" w:rsidRPr="00345690">
        <w:rPr>
          <w:rFonts w:cstheme="minorHAnsi"/>
          <w:bCs/>
          <w:color w:val="000000"/>
        </w:rPr>
        <w:t xml:space="preserve"> it is reasonably believed that the person has information or documents relevant to an investigation into a suspected contravention of </w:t>
      </w:r>
      <w:r w:rsidR="00823E91">
        <w:rPr>
          <w:rFonts w:cstheme="minorHAnsi"/>
          <w:bCs/>
          <w:color w:val="000000"/>
        </w:rPr>
        <w:t>the BCIIP </w:t>
      </w:r>
      <w:r w:rsidR="00C67D1D">
        <w:rPr>
          <w:rFonts w:cstheme="minorHAnsi"/>
          <w:bCs/>
          <w:color w:val="000000"/>
        </w:rPr>
        <w:t>Act or a designated building law</w:t>
      </w:r>
      <w:r w:rsidR="008E4F9D" w:rsidRPr="00345690">
        <w:rPr>
          <w:rFonts w:cstheme="minorHAnsi"/>
          <w:bCs/>
          <w:color w:val="000000"/>
        </w:rPr>
        <w:t xml:space="preserve">. </w:t>
      </w:r>
      <w:r w:rsidR="00995C58">
        <w:rPr>
          <w:rFonts w:cstheme="minorHAnsi"/>
          <w:bCs/>
          <w:color w:val="000000"/>
        </w:rPr>
        <w:t xml:space="preserve">The </w:t>
      </w:r>
      <w:r w:rsidR="00C63937">
        <w:rPr>
          <w:rFonts w:cstheme="minorHAnsi"/>
          <w:bCs/>
          <w:color w:val="000000"/>
        </w:rPr>
        <w:t>examination notice can</w:t>
      </w:r>
      <w:r w:rsidR="00995C58">
        <w:rPr>
          <w:rFonts w:cstheme="minorHAnsi"/>
          <w:bCs/>
          <w:color w:val="000000"/>
        </w:rPr>
        <w:t xml:space="preserve"> only be issued if the </w:t>
      </w:r>
      <w:r w:rsidR="00C67D1D">
        <w:rPr>
          <w:rFonts w:cstheme="minorHAnsi"/>
          <w:bCs/>
          <w:color w:val="000000"/>
        </w:rPr>
        <w:t>nominated</w:t>
      </w:r>
      <w:r w:rsidR="006B549E" w:rsidRPr="00C67D1D">
        <w:rPr>
          <w:rFonts w:cstheme="minorHAnsi"/>
          <w:bCs/>
          <w:color w:val="000000"/>
        </w:rPr>
        <w:t xml:space="preserve"> </w:t>
      </w:r>
      <w:r w:rsidR="00995C58">
        <w:rPr>
          <w:rFonts w:cstheme="minorHAnsi"/>
          <w:bCs/>
          <w:color w:val="000000"/>
        </w:rPr>
        <w:t xml:space="preserve">AAT </w:t>
      </w:r>
      <w:r w:rsidR="00C63937">
        <w:rPr>
          <w:rFonts w:cstheme="minorHAnsi"/>
          <w:bCs/>
          <w:color w:val="000000"/>
        </w:rPr>
        <w:t xml:space="preserve">presidential </w:t>
      </w:r>
      <w:r w:rsidR="00995C58">
        <w:rPr>
          <w:rFonts w:cstheme="minorHAnsi"/>
          <w:bCs/>
          <w:color w:val="000000"/>
        </w:rPr>
        <w:t>member is satisfied that any other method of obtaining this material has been attempted and has been unsuccessful or is not appropriate.</w:t>
      </w:r>
    </w:p>
    <w:p w14:paraId="46BC2FF9" w14:textId="27CDC196" w:rsidR="00DA3255" w:rsidRDefault="0011645A" w:rsidP="00874132">
      <w:pPr>
        <w:spacing w:before="200" w:after="200" w:line="276" w:lineRule="auto"/>
        <w:rPr>
          <w:rFonts w:cstheme="minorHAnsi"/>
          <w:bCs/>
          <w:color w:val="000000"/>
          <w:lang w:val="en"/>
        </w:rPr>
      </w:pPr>
      <w:r>
        <w:rPr>
          <w:rFonts w:cstheme="minorHAnsi"/>
          <w:bCs/>
          <w:color w:val="000000"/>
          <w:lang w:val="en"/>
        </w:rPr>
        <w:t xml:space="preserve">The </w:t>
      </w:r>
      <w:r w:rsidR="00C01C9D">
        <w:rPr>
          <w:rFonts w:cstheme="minorHAnsi"/>
          <w:bCs/>
          <w:color w:val="000000"/>
          <w:lang w:val="en"/>
        </w:rPr>
        <w:t>BCIIP </w:t>
      </w:r>
      <w:r>
        <w:rPr>
          <w:rFonts w:cstheme="minorHAnsi"/>
          <w:bCs/>
          <w:color w:val="000000"/>
          <w:lang w:val="en"/>
        </w:rPr>
        <w:t xml:space="preserve">Act includes several </w:t>
      </w:r>
      <w:r w:rsidR="003B71CC" w:rsidRPr="003B71CC">
        <w:rPr>
          <w:rFonts w:cstheme="minorHAnsi"/>
          <w:bCs/>
          <w:color w:val="000000"/>
          <w:lang w:val="en"/>
        </w:rPr>
        <w:t>safeguards to protect individuals subject to questioning and to ens</w:t>
      </w:r>
      <w:r w:rsidR="003B71CC">
        <w:rPr>
          <w:rFonts w:cstheme="minorHAnsi"/>
          <w:bCs/>
          <w:color w:val="000000"/>
          <w:lang w:val="en"/>
        </w:rPr>
        <w:t xml:space="preserve">ure the </w:t>
      </w:r>
      <w:r>
        <w:rPr>
          <w:rFonts w:cstheme="minorHAnsi"/>
          <w:bCs/>
          <w:color w:val="000000"/>
          <w:lang w:val="en"/>
        </w:rPr>
        <w:t xml:space="preserve">compulsory examination </w:t>
      </w:r>
      <w:r w:rsidR="00470579">
        <w:rPr>
          <w:rFonts w:cstheme="minorHAnsi"/>
          <w:bCs/>
          <w:color w:val="000000"/>
          <w:lang w:val="en"/>
        </w:rPr>
        <w:t xml:space="preserve">powers are used appropriately. </w:t>
      </w:r>
      <w:r w:rsidR="00DA3255">
        <w:rPr>
          <w:rFonts w:cstheme="minorHAnsi"/>
          <w:bCs/>
          <w:color w:val="000000"/>
          <w:lang w:val="en"/>
        </w:rPr>
        <w:t>In particular:</w:t>
      </w:r>
    </w:p>
    <w:p w14:paraId="3C893521" w14:textId="0CF8F4AE" w:rsidR="00DA3255" w:rsidRPr="009D5529" w:rsidRDefault="006B549E" w:rsidP="004F647D">
      <w:pPr>
        <w:pStyle w:val="ListBullet"/>
        <w:numPr>
          <w:ilvl w:val="0"/>
          <w:numId w:val="9"/>
        </w:numPr>
        <w:ind w:left="360"/>
        <w:rPr>
          <w:rFonts w:cstheme="minorHAnsi"/>
          <w:bCs/>
          <w:color w:val="000000"/>
          <w:lang w:val="en"/>
        </w:rPr>
      </w:pPr>
      <w:r w:rsidRPr="00E732BC">
        <w:rPr>
          <w:rFonts w:cstheme="minorHAnsi"/>
          <w:bCs/>
          <w:color w:val="000000"/>
          <w:lang w:val="en"/>
        </w:rPr>
        <w:t>only</w:t>
      </w:r>
      <w:r w:rsidR="0010721E" w:rsidRPr="009D5529">
        <w:rPr>
          <w:rFonts w:cstheme="minorHAnsi"/>
          <w:bCs/>
          <w:color w:val="000000"/>
          <w:lang w:val="en"/>
        </w:rPr>
        <w:t xml:space="preserve"> the ABC</w:t>
      </w:r>
      <w:r w:rsidRPr="00E732BC">
        <w:rPr>
          <w:rFonts w:cstheme="minorHAnsi"/>
          <w:bCs/>
          <w:color w:val="000000"/>
          <w:lang w:val="en"/>
        </w:rPr>
        <w:t> </w:t>
      </w:r>
      <w:r w:rsidR="0010721E" w:rsidRPr="009D5529">
        <w:rPr>
          <w:rFonts w:cstheme="minorHAnsi"/>
          <w:bCs/>
          <w:color w:val="000000"/>
          <w:lang w:val="en"/>
        </w:rPr>
        <w:t>Commissioner</w:t>
      </w:r>
      <w:r w:rsidR="0011645A">
        <w:rPr>
          <w:rFonts w:cstheme="minorHAnsi"/>
          <w:bCs/>
          <w:color w:val="000000"/>
          <w:lang w:val="en"/>
        </w:rPr>
        <w:t xml:space="preserve"> or his delegate</w:t>
      </w:r>
      <w:r w:rsidR="00E05A41" w:rsidRPr="009D5529">
        <w:rPr>
          <w:rFonts w:cstheme="minorHAnsi"/>
          <w:bCs/>
          <w:color w:val="000000"/>
          <w:lang w:val="en"/>
        </w:rPr>
        <w:t xml:space="preserve"> </w:t>
      </w:r>
      <w:r w:rsidR="003B71CC" w:rsidRPr="009D5529">
        <w:rPr>
          <w:rFonts w:cstheme="minorHAnsi"/>
          <w:bCs/>
          <w:color w:val="000000"/>
          <w:lang w:val="en"/>
        </w:rPr>
        <w:t xml:space="preserve">can conduct an </w:t>
      </w:r>
      <w:r w:rsidR="00CD77F3" w:rsidRPr="009D5529">
        <w:rPr>
          <w:rFonts w:cstheme="minorHAnsi"/>
          <w:bCs/>
          <w:color w:val="000000"/>
          <w:lang w:val="en"/>
        </w:rPr>
        <w:t>examination</w:t>
      </w:r>
    </w:p>
    <w:p w14:paraId="76C80C60" w14:textId="59F99D98" w:rsidR="00DA3255" w:rsidRDefault="006B549E" w:rsidP="004F647D">
      <w:pPr>
        <w:pStyle w:val="ListBullet"/>
        <w:numPr>
          <w:ilvl w:val="0"/>
          <w:numId w:val="9"/>
        </w:numPr>
        <w:ind w:left="360"/>
        <w:rPr>
          <w:rFonts w:cstheme="minorHAnsi"/>
          <w:bCs/>
          <w:color w:val="000000"/>
          <w:lang w:val="en"/>
        </w:rPr>
      </w:pPr>
      <w:r w:rsidRPr="00874132">
        <w:rPr>
          <w:rFonts w:cstheme="minorHAnsi"/>
          <w:bCs/>
          <w:color w:val="000000"/>
          <w:lang w:val="en"/>
        </w:rPr>
        <w:t>the</w:t>
      </w:r>
      <w:r w:rsidR="003B71CC" w:rsidRPr="009D5529">
        <w:rPr>
          <w:rFonts w:cstheme="minorHAnsi"/>
          <w:bCs/>
          <w:color w:val="000000"/>
          <w:lang w:val="en"/>
        </w:rPr>
        <w:t xml:space="preserve"> witness has a right to legal representation and reimbursement for </w:t>
      </w:r>
      <w:r w:rsidR="00E732BC">
        <w:rPr>
          <w:rFonts w:cstheme="minorHAnsi"/>
          <w:bCs/>
          <w:color w:val="000000"/>
          <w:lang w:val="en"/>
        </w:rPr>
        <w:t xml:space="preserve">reasonable </w:t>
      </w:r>
      <w:r w:rsidR="003B71CC" w:rsidRPr="009D5529">
        <w:rPr>
          <w:rFonts w:cstheme="minorHAnsi"/>
          <w:bCs/>
          <w:color w:val="000000"/>
          <w:lang w:val="en"/>
        </w:rPr>
        <w:t>ex</w:t>
      </w:r>
      <w:r w:rsidR="0010721E" w:rsidRPr="009D5529">
        <w:rPr>
          <w:rFonts w:cstheme="minorHAnsi"/>
          <w:bCs/>
          <w:color w:val="000000"/>
          <w:lang w:val="en"/>
        </w:rPr>
        <w:t>penses (excluding legal expenses</w:t>
      </w:r>
      <w:r w:rsidRPr="00C67D1D">
        <w:rPr>
          <w:rFonts w:cstheme="minorHAnsi"/>
          <w:bCs/>
          <w:color w:val="000000"/>
          <w:lang w:val="en"/>
        </w:rPr>
        <w:t>)</w:t>
      </w:r>
      <w:r w:rsidR="00E732BC">
        <w:rPr>
          <w:rFonts w:cstheme="minorHAnsi"/>
          <w:bCs/>
          <w:color w:val="000000"/>
          <w:lang w:val="en"/>
        </w:rPr>
        <w:t xml:space="preserve"> incurred in attending the examination</w:t>
      </w:r>
    </w:p>
    <w:p w14:paraId="738FB376" w14:textId="551BCCF8" w:rsidR="00C63937" w:rsidRPr="009D5529" w:rsidRDefault="00C63937" w:rsidP="004F647D">
      <w:pPr>
        <w:pStyle w:val="ListBullet"/>
        <w:numPr>
          <w:ilvl w:val="0"/>
          <w:numId w:val="9"/>
        </w:numPr>
        <w:ind w:left="360"/>
        <w:rPr>
          <w:rFonts w:cstheme="minorHAnsi"/>
          <w:bCs/>
          <w:color w:val="000000"/>
          <w:lang w:val="en"/>
        </w:rPr>
      </w:pPr>
      <w:r w:rsidRPr="009D5529">
        <w:rPr>
          <w:rFonts w:cstheme="minorHAnsi"/>
          <w:bCs/>
          <w:color w:val="000000"/>
        </w:rPr>
        <w:t xml:space="preserve">the Commonwealth Ombudsman </w:t>
      </w:r>
      <w:r w:rsidR="00153D41">
        <w:rPr>
          <w:rFonts w:cstheme="minorHAnsi"/>
          <w:bCs/>
          <w:color w:val="000000"/>
        </w:rPr>
        <w:t xml:space="preserve">(Ombudsman) </w:t>
      </w:r>
      <w:r w:rsidR="006B549E" w:rsidRPr="00E732BC">
        <w:rPr>
          <w:rFonts w:cstheme="minorHAnsi"/>
          <w:bCs/>
          <w:color w:val="000000"/>
        </w:rPr>
        <w:t>undertakes</w:t>
      </w:r>
      <w:r w:rsidRPr="009D5529">
        <w:rPr>
          <w:rFonts w:cstheme="minorHAnsi"/>
          <w:bCs/>
          <w:color w:val="000000"/>
        </w:rPr>
        <w:t xml:space="preserve"> quarterly </w:t>
      </w:r>
      <w:r w:rsidR="0010721E" w:rsidRPr="009D5529">
        <w:rPr>
          <w:rFonts w:cstheme="minorHAnsi"/>
          <w:bCs/>
          <w:color w:val="000000"/>
          <w:lang w:val="en"/>
        </w:rPr>
        <w:t xml:space="preserve">oversight and reporting of </w:t>
      </w:r>
      <w:r w:rsidRPr="009D5529">
        <w:rPr>
          <w:rFonts w:cstheme="minorHAnsi"/>
          <w:bCs/>
          <w:color w:val="000000"/>
          <w:lang w:val="en"/>
        </w:rPr>
        <w:t xml:space="preserve">the conduct of each </w:t>
      </w:r>
      <w:r w:rsidR="0010721E" w:rsidRPr="009D5529">
        <w:rPr>
          <w:rFonts w:cstheme="minorHAnsi"/>
          <w:bCs/>
          <w:color w:val="000000"/>
          <w:lang w:val="en"/>
        </w:rPr>
        <w:t xml:space="preserve">compulsory </w:t>
      </w:r>
      <w:r w:rsidRPr="009D5529">
        <w:rPr>
          <w:rFonts w:cstheme="minorHAnsi"/>
          <w:bCs/>
          <w:color w:val="000000"/>
          <w:lang w:val="en"/>
        </w:rPr>
        <w:t>examination</w:t>
      </w:r>
      <w:r w:rsidR="00CB501E" w:rsidRPr="009D5529">
        <w:rPr>
          <w:rFonts w:cstheme="minorHAnsi"/>
          <w:bCs/>
          <w:color w:val="000000"/>
          <w:lang w:val="en"/>
        </w:rPr>
        <w:t xml:space="preserve"> and </w:t>
      </w:r>
      <w:r w:rsidR="00E05A41" w:rsidRPr="009D5529">
        <w:rPr>
          <w:rFonts w:cstheme="minorHAnsi"/>
          <w:bCs/>
          <w:color w:val="000000"/>
          <w:lang w:val="en"/>
        </w:rPr>
        <w:t>present the</w:t>
      </w:r>
      <w:r w:rsidRPr="009D5529">
        <w:rPr>
          <w:rFonts w:cstheme="minorHAnsi"/>
          <w:bCs/>
          <w:color w:val="000000"/>
          <w:lang w:val="en"/>
        </w:rPr>
        <w:t>se quarterly</w:t>
      </w:r>
      <w:r w:rsidR="0010721E" w:rsidRPr="009D5529">
        <w:rPr>
          <w:rFonts w:cstheme="minorHAnsi"/>
          <w:bCs/>
          <w:color w:val="000000"/>
          <w:lang w:val="en"/>
        </w:rPr>
        <w:t xml:space="preserve"> report</w:t>
      </w:r>
      <w:r w:rsidRPr="009D5529">
        <w:rPr>
          <w:rFonts w:cstheme="minorHAnsi"/>
          <w:bCs/>
          <w:color w:val="000000"/>
          <w:lang w:val="en"/>
        </w:rPr>
        <w:t xml:space="preserve">s </w:t>
      </w:r>
      <w:r w:rsidR="0010721E" w:rsidRPr="009D5529">
        <w:rPr>
          <w:rFonts w:cstheme="minorHAnsi"/>
          <w:bCs/>
          <w:color w:val="000000"/>
          <w:lang w:val="en"/>
        </w:rPr>
        <w:t xml:space="preserve">to </w:t>
      </w:r>
      <w:r w:rsidR="002976F0" w:rsidRPr="009D5529">
        <w:rPr>
          <w:rFonts w:cstheme="minorHAnsi"/>
          <w:bCs/>
          <w:color w:val="000000"/>
          <w:lang w:val="en"/>
        </w:rPr>
        <w:t xml:space="preserve">the </w:t>
      </w:r>
      <w:r w:rsidR="0010721E" w:rsidRPr="009D5529">
        <w:rPr>
          <w:rFonts w:cstheme="minorHAnsi"/>
          <w:bCs/>
          <w:color w:val="000000"/>
          <w:lang w:val="en"/>
        </w:rPr>
        <w:t>Parliament</w:t>
      </w:r>
      <w:r w:rsidR="00F91CAA">
        <w:rPr>
          <w:rFonts w:cstheme="minorHAnsi"/>
          <w:bCs/>
          <w:color w:val="000000"/>
          <w:lang w:val="en"/>
        </w:rPr>
        <w:t xml:space="preserve">. </w:t>
      </w:r>
      <w:r w:rsidR="00CB501E" w:rsidRPr="009D5529">
        <w:rPr>
          <w:rFonts w:cstheme="minorHAnsi"/>
          <w:bCs/>
          <w:color w:val="000000"/>
          <w:lang w:val="en"/>
        </w:rPr>
        <w:t>T</w:t>
      </w:r>
      <w:r w:rsidRPr="009D5529">
        <w:rPr>
          <w:rFonts w:cstheme="minorHAnsi"/>
          <w:bCs/>
          <w:color w:val="000000"/>
          <w:lang w:val="en"/>
        </w:rPr>
        <w:t xml:space="preserve">he Ombudsman’s powers under the </w:t>
      </w:r>
      <w:r w:rsidRPr="009D5529">
        <w:rPr>
          <w:rFonts w:cstheme="minorHAnsi"/>
          <w:bCs/>
          <w:i/>
          <w:color w:val="000000"/>
          <w:lang w:val="en"/>
        </w:rPr>
        <w:t>Ombudsman Act</w:t>
      </w:r>
      <w:r w:rsidR="005C2643">
        <w:rPr>
          <w:rFonts w:cstheme="minorHAnsi"/>
          <w:bCs/>
          <w:i/>
          <w:color w:val="000000"/>
          <w:lang w:val="en"/>
        </w:rPr>
        <w:t> </w:t>
      </w:r>
      <w:r w:rsidRPr="009D5529">
        <w:rPr>
          <w:rFonts w:cstheme="minorHAnsi"/>
          <w:bCs/>
          <w:i/>
          <w:color w:val="000000"/>
          <w:lang w:val="en"/>
        </w:rPr>
        <w:t>1976</w:t>
      </w:r>
      <w:r w:rsidRPr="009D5529">
        <w:rPr>
          <w:rFonts w:cstheme="minorHAnsi"/>
          <w:bCs/>
          <w:color w:val="000000"/>
          <w:lang w:val="en"/>
        </w:rPr>
        <w:t xml:space="preserve"> extend to a review by the Ombudsman under section</w:t>
      </w:r>
      <w:r w:rsidR="006B549E" w:rsidRPr="00E732BC">
        <w:rPr>
          <w:rFonts w:cstheme="minorHAnsi"/>
          <w:bCs/>
          <w:color w:val="000000"/>
          <w:lang w:val="en"/>
        </w:rPr>
        <w:t> 65</w:t>
      </w:r>
      <w:r w:rsidR="00E05A41" w:rsidRPr="009D5529">
        <w:rPr>
          <w:rFonts w:cstheme="minorHAnsi"/>
          <w:bCs/>
          <w:color w:val="000000"/>
          <w:lang w:val="en"/>
        </w:rPr>
        <w:t xml:space="preserve"> of the BCIIP</w:t>
      </w:r>
      <w:r w:rsidR="005C2643">
        <w:rPr>
          <w:rFonts w:cstheme="minorHAnsi"/>
          <w:bCs/>
          <w:color w:val="000000"/>
          <w:lang w:val="en"/>
        </w:rPr>
        <w:t> </w:t>
      </w:r>
      <w:r w:rsidR="00E05A41" w:rsidRPr="009D5529">
        <w:rPr>
          <w:rFonts w:cstheme="minorHAnsi"/>
          <w:bCs/>
          <w:color w:val="000000"/>
          <w:lang w:val="en"/>
        </w:rPr>
        <w:t xml:space="preserve">Act </w:t>
      </w:r>
      <w:r w:rsidRPr="009D5529">
        <w:rPr>
          <w:rFonts w:cstheme="minorHAnsi"/>
          <w:bCs/>
          <w:color w:val="000000"/>
          <w:lang w:val="en"/>
        </w:rPr>
        <w:t>as if the review were an investigation by the Ombudsm</w:t>
      </w:r>
      <w:r w:rsidR="00E05A41" w:rsidRPr="009D5529">
        <w:rPr>
          <w:rFonts w:cstheme="minorHAnsi"/>
          <w:bCs/>
          <w:color w:val="000000"/>
          <w:lang w:val="en"/>
        </w:rPr>
        <w:t xml:space="preserve">an under the </w:t>
      </w:r>
      <w:r w:rsidR="00E05A41" w:rsidRPr="00D9290D">
        <w:rPr>
          <w:rFonts w:cstheme="minorHAnsi"/>
          <w:bCs/>
          <w:i/>
          <w:color w:val="000000"/>
          <w:lang w:val="en"/>
        </w:rPr>
        <w:t>Ombudsman</w:t>
      </w:r>
      <w:r w:rsidRPr="00D9290D">
        <w:rPr>
          <w:rFonts w:cstheme="minorHAnsi"/>
          <w:bCs/>
          <w:i/>
          <w:color w:val="000000"/>
          <w:lang w:val="en"/>
        </w:rPr>
        <w:t xml:space="preserve"> Act</w:t>
      </w:r>
      <w:r w:rsidR="005C2643">
        <w:rPr>
          <w:rFonts w:cstheme="minorHAnsi"/>
          <w:bCs/>
          <w:i/>
          <w:color w:val="000000"/>
          <w:lang w:val="en"/>
        </w:rPr>
        <w:t> </w:t>
      </w:r>
      <w:r w:rsidR="00FE1F54" w:rsidRPr="00D9290D">
        <w:rPr>
          <w:rFonts w:cstheme="minorHAnsi"/>
          <w:bCs/>
          <w:i/>
          <w:color w:val="000000"/>
          <w:lang w:val="en"/>
        </w:rPr>
        <w:t>1976</w:t>
      </w:r>
      <w:r w:rsidRPr="009D5529">
        <w:rPr>
          <w:rFonts w:cstheme="minorHAnsi"/>
          <w:bCs/>
          <w:color w:val="000000"/>
          <w:lang w:val="en"/>
        </w:rPr>
        <w:t>.</w:t>
      </w:r>
    </w:p>
    <w:p w14:paraId="7E8794D3" w14:textId="7D148586" w:rsidR="00E732BC" w:rsidRDefault="0011645A" w:rsidP="00874132">
      <w:pPr>
        <w:spacing w:before="200" w:after="200" w:line="276" w:lineRule="auto"/>
        <w:rPr>
          <w:rFonts w:ascii="Times New Roman" w:hAnsi="Times New Roman" w:cs="Times New Roman"/>
          <w:sz w:val="24"/>
          <w:szCs w:val="24"/>
          <w:lang w:eastAsia="en-AU"/>
        </w:rPr>
      </w:pPr>
      <w:r w:rsidRPr="00403AD9">
        <w:rPr>
          <w:rFonts w:cstheme="minorHAnsi"/>
        </w:rPr>
        <w:t xml:space="preserve">In addition, the </w:t>
      </w:r>
      <w:r w:rsidR="00C01C9D">
        <w:rPr>
          <w:rFonts w:cstheme="minorHAnsi"/>
        </w:rPr>
        <w:t>BCIIP </w:t>
      </w:r>
      <w:r w:rsidRPr="00403AD9">
        <w:rPr>
          <w:rFonts w:cstheme="minorHAnsi"/>
        </w:rPr>
        <w:t>Act provides that information</w:t>
      </w:r>
      <w:r w:rsidR="00E732BC">
        <w:rPr>
          <w:rFonts w:cstheme="minorHAnsi"/>
        </w:rPr>
        <w:t>, answers, documents and records</w:t>
      </w:r>
      <w:r w:rsidRPr="00403AD9">
        <w:rPr>
          <w:rFonts w:cstheme="minorHAnsi"/>
        </w:rPr>
        <w:t xml:space="preserve"> obtained from an individual during a compulsory examination</w:t>
      </w:r>
      <w:r w:rsidR="00E732BC">
        <w:rPr>
          <w:rFonts w:cstheme="minorHAnsi"/>
        </w:rPr>
        <w:t>, or obtained as a direct or indirect consequence of something given during an examination,</w:t>
      </w:r>
      <w:r w:rsidRPr="00403AD9">
        <w:rPr>
          <w:rFonts w:cstheme="minorHAnsi"/>
        </w:rPr>
        <w:t xml:space="preserve"> cannot be used in evidence against them in criminal </w:t>
      </w:r>
      <w:r w:rsidR="00E732BC">
        <w:rPr>
          <w:rFonts w:cstheme="minorHAnsi"/>
        </w:rPr>
        <w:t xml:space="preserve">or civil </w:t>
      </w:r>
      <w:r w:rsidRPr="00403AD9">
        <w:rPr>
          <w:rFonts w:cstheme="minorHAnsi"/>
        </w:rPr>
        <w:t>proceedings.</w:t>
      </w:r>
      <w:r w:rsidR="00E732BC">
        <w:rPr>
          <w:rStyle w:val="FootnoteReference"/>
          <w:rFonts w:cstheme="minorHAnsi"/>
        </w:rPr>
        <w:footnoteReference w:id="30"/>
      </w:r>
    </w:p>
    <w:p w14:paraId="61B4C680" w14:textId="65EADD72" w:rsidR="0011645A" w:rsidRDefault="0011645A" w:rsidP="00874132">
      <w:pPr>
        <w:spacing w:before="200" w:after="200" w:line="276" w:lineRule="auto"/>
        <w:rPr>
          <w:rFonts w:cstheme="minorHAnsi"/>
        </w:rPr>
      </w:pPr>
      <w:r w:rsidRPr="00403AD9">
        <w:rPr>
          <w:rFonts w:cstheme="minorHAnsi"/>
        </w:rPr>
        <w:lastRenderedPageBreak/>
        <w:t>The sa</w:t>
      </w:r>
      <w:r w:rsidR="00823E91">
        <w:rPr>
          <w:rFonts w:cstheme="minorHAnsi"/>
        </w:rPr>
        <w:t>feguards contained in the BCIIP </w:t>
      </w:r>
      <w:r w:rsidRPr="00403AD9">
        <w:rPr>
          <w:rFonts w:cstheme="minorHAnsi"/>
        </w:rPr>
        <w:t>Act in relation to compulsory examination powers are essentially similar to tho</w:t>
      </w:r>
      <w:r w:rsidR="00C01C9D">
        <w:rPr>
          <w:rFonts w:cstheme="minorHAnsi"/>
        </w:rPr>
        <w:t>se contained in the former FWBI </w:t>
      </w:r>
      <w:r w:rsidRPr="00403AD9">
        <w:rPr>
          <w:rFonts w:cstheme="minorHAnsi"/>
        </w:rPr>
        <w:t xml:space="preserve">Act, as shown in detail in </w:t>
      </w:r>
      <w:r w:rsidR="00B627D0" w:rsidRPr="00403AD9">
        <w:rPr>
          <w:rFonts w:cstheme="minorHAnsi"/>
        </w:rPr>
        <w:t xml:space="preserve">Appendix </w:t>
      </w:r>
      <w:r w:rsidR="00901BFE" w:rsidRPr="0011645A">
        <w:rPr>
          <w:rFonts w:cstheme="minorHAnsi"/>
        </w:rPr>
        <w:t>4</w:t>
      </w:r>
      <w:r w:rsidRPr="0011645A">
        <w:rPr>
          <w:rFonts w:cstheme="minorHAnsi"/>
        </w:rPr>
        <w:t xml:space="preserve">. </w:t>
      </w:r>
      <w:r>
        <w:rPr>
          <w:rFonts w:cstheme="minorHAnsi"/>
        </w:rPr>
        <w:t>The key differences are that:</w:t>
      </w:r>
    </w:p>
    <w:p w14:paraId="34570B03" w14:textId="33AF49D2" w:rsidR="0011645A" w:rsidRDefault="006B549E" w:rsidP="004F647D">
      <w:pPr>
        <w:pStyle w:val="ListBullet"/>
        <w:numPr>
          <w:ilvl w:val="0"/>
          <w:numId w:val="9"/>
        </w:numPr>
        <w:ind w:left="360"/>
      </w:pPr>
      <w:r w:rsidRPr="00E45E66">
        <w:rPr>
          <w:rFonts w:cstheme="minorHAnsi"/>
        </w:rPr>
        <w:t>s</w:t>
      </w:r>
      <w:r w:rsidRPr="00EE0A20">
        <w:rPr>
          <w:rFonts w:cstheme="minorHAnsi"/>
        </w:rPr>
        <w:t>ection </w:t>
      </w:r>
      <w:r w:rsidR="0011645A" w:rsidRPr="0011645A">
        <w:rPr>
          <w:rFonts w:cstheme="minorHAnsi"/>
        </w:rPr>
        <w:t>20 of t</w:t>
      </w:r>
      <w:r w:rsidR="00823E91">
        <w:rPr>
          <w:rFonts w:cstheme="minorHAnsi"/>
        </w:rPr>
        <w:t>he BCIIP </w:t>
      </w:r>
      <w:r w:rsidR="0011645A" w:rsidRPr="0011645A">
        <w:rPr>
          <w:rFonts w:cstheme="minorHAnsi"/>
        </w:rPr>
        <w:t xml:space="preserve">Act requires that </w:t>
      </w:r>
      <w:r w:rsidR="0011645A" w:rsidRPr="00403AD9">
        <w:rPr>
          <w:rFonts w:cstheme="minorHAnsi"/>
          <w:bCs/>
          <w:color w:val="000000"/>
          <w:lang w:val="en"/>
        </w:rPr>
        <w:t>t</w:t>
      </w:r>
      <w:r w:rsidR="00C63937" w:rsidRPr="00403AD9">
        <w:rPr>
          <w:rFonts w:cstheme="minorHAnsi"/>
          <w:bCs/>
          <w:color w:val="000000"/>
          <w:lang w:val="en"/>
        </w:rPr>
        <w:t>he ABC</w:t>
      </w:r>
      <w:r w:rsidRPr="00EE0A20">
        <w:rPr>
          <w:rFonts w:cstheme="minorHAnsi"/>
          <w:bCs/>
          <w:color w:val="000000"/>
          <w:lang w:val="en"/>
        </w:rPr>
        <w:t> </w:t>
      </w:r>
      <w:r w:rsidR="00C63937" w:rsidRPr="00403AD9">
        <w:rPr>
          <w:rFonts w:cstheme="minorHAnsi"/>
          <w:bCs/>
          <w:color w:val="000000"/>
          <w:lang w:val="en"/>
        </w:rPr>
        <w:t xml:space="preserve">Commissioner </w:t>
      </w:r>
      <w:r w:rsidR="00E05A41" w:rsidRPr="00403AD9">
        <w:rPr>
          <w:rFonts w:cstheme="minorHAnsi"/>
          <w:bCs/>
          <w:color w:val="000000"/>
          <w:lang w:val="en"/>
        </w:rPr>
        <w:t>prepare and g</w:t>
      </w:r>
      <w:r w:rsidR="00C63937" w:rsidRPr="00403AD9">
        <w:rPr>
          <w:rFonts w:cstheme="minorHAnsi"/>
          <w:bCs/>
          <w:color w:val="000000"/>
          <w:lang w:val="en"/>
        </w:rPr>
        <w:t>ive to the</w:t>
      </w:r>
      <w:r w:rsidR="00CC2D9C" w:rsidRPr="00403AD9">
        <w:rPr>
          <w:rFonts w:cstheme="minorHAnsi"/>
          <w:bCs/>
          <w:color w:val="000000"/>
          <w:lang w:val="en"/>
        </w:rPr>
        <w:t xml:space="preserve"> </w:t>
      </w:r>
      <w:r w:rsidR="00C63937" w:rsidRPr="00403AD9">
        <w:rPr>
          <w:rFonts w:cstheme="minorHAnsi"/>
          <w:bCs/>
          <w:color w:val="000000"/>
          <w:lang w:val="en"/>
        </w:rPr>
        <w:t xml:space="preserve">Minister a </w:t>
      </w:r>
      <w:r w:rsidR="00DA3255" w:rsidRPr="00403AD9">
        <w:rPr>
          <w:rFonts w:cstheme="minorHAnsi"/>
          <w:bCs/>
          <w:color w:val="000000"/>
          <w:lang w:val="en"/>
        </w:rPr>
        <w:t>q</w:t>
      </w:r>
      <w:r w:rsidR="00C63937" w:rsidRPr="00403AD9">
        <w:rPr>
          <w:rFonts w:cstheme="minorHAnsi"/>
          <w:bCs/>
          <w:color w:val="000000"/>
          <w:lang w:val="en"/>
        </w:rPr>
        <w:t xml:space="preserve">uarterly report on the performance of the </w:t>
      </w:r>
      <w:r w:rsidRPr="00EE0A20">
        <w:rPr>
          <w:rFonts w:cstheme="minorHAnsi"/>
          <w:bCs/>
          <w:color w:val="000000"/>
          <w:lang w:val="en"/>
        </w:rPr>
        <w:t>ABC </w:t>
      </w:r>
      <w:r w:rsidR="00C63937" w:rsidRPr="00403AD9">
        <w:rPr>
          <w:rFonts w:cstheme="minorHAnsi"/>
          <w:bCs/>
          <w:color w:val="000000"/>
          <w:lang w:val="en"/>
        </w:rPr>
        <w:t xml:space="preserve">Commissioner’s </w:t>
      </w:r>
      <w:r w:rsidR="00E05A41" w:rsidRPr="00403AD9">
        <w:rPr>
          <w:rFonts w:cstheme="minorHAnsi"/>
          <w:bCs/>
          <w:color w:val="000000"/>
          <w:lang w:val="en"/>
        </w:rPr>
        <w:t>functions</w:t>
      </w:r>
      <w:r w:rsidR="00C63937" w:rsidRPr="00403AD9">
        <w:rPr>
          <w:rFonts w:cstheme="minorHAnsi"/>
          <w:bCs/>
          <w:color w:val="000000"/>
          <w:lang w:val="en"/>
        </w:rPr>
        <w:t xml:space="preserve"> and the exercise of the </w:t>
      </w:r>
      <w:r w:rsidR="00E732BC">
        <w:rPr>
          <w:rFonts w:cstheme="minorHAnsi"/>
          <w:bCs/>
          <w:color w:val="000000"/>
          <w:lang w:val="en"/>
        </w:rPr>
        <w:t>ABC</w:t>
      </w:r>
      <w:r w:rsidRPr="00E732BC">
        <w:rPr>
          <w:rFonts w:cstheme="minorHAnsi"/>
          <w:bCs/>
          <w:color w:val="000000"/>
          <w:lang w:val="en"/>
        </w:rPr>
        <w:t> </w:t>
      </w:r>
      <w:r w:rsidR="00C63937" w:rsidRPr="00403AD9">
        <w:rPr>
          <w:rFonts w:cstheme="minorHAnsi"/>
          <w:bCs/>
          <w:color w:val="000000"/>
          <w:lang w:val="en"/>
        </w:rPr>
        <w:t>Commissioner’s powers</w:t>
      </w:r>
      <w:r w:rsidR="00E05A41" w:rsidRPr="00403AD9">
        <w:rPr>
          <w:rFonts w:cstheme="minorHAnsi"/>
          <w:bCs/>
          <w:color w:val="000000"/>
          <w:lang w:val="en"/>
        </w:rPr>
        <w:t>, including those relating to compulsory e</w:t>
      </w:r>
      <w:r w:rsidR="00C63937" w:rsidRPr="00403AD9">
        <w:rPr>
          <w:rFonts w:cstheme="minorHAnsi"/>
          <w:bCs/>
          <w:color w:val="000000"/>
          <w:lang w:val="en"/>
        </w:rPr>
        <w:t>xaminations, during that quarter.</w:t>
      </w:r>
      <w:r w:rsidR="00F9367D" w:rsidRPr="00403AD9">
        <w:rPr>
          <w:rFonts w:cstheme="minorHAnsi"/>
          <w:bCs/>
          <w:color w:val="000000"/>
          <w:lang w:val="en"/>
        </w:rPr>
        <w:t xml:space="preserve"> </w:t>
      </w:r>
      <w:r w:rsidR="00F9367D">
        <w:t xml:space="preserve">The Minister must </w:t>
      </w:r>
      <w:r w:rsidR="00A44153">
        <w:t xml:space="preserve">present a </w:t>
      </w:r>
      <w:r w:rsidR="00F9367D">
        <w:t xml:space="preserve">copy of each quarterly report (and each annual report) before each House of the Parliament within 15 sitting days of </w:t>
      </w:r>
      <w:r w:rsidR="00DA3255">
        <w:t>receiving it</w:t>
      </w:r>
    </w:p>
    <w:p w14:paraId="6AE4A7FB" w14:textId="633AEFA0" w:rsidR="003B71CC" w:rsidRDefault="006B549E" w:rsidP="004F647D">
      <w:pPr>
        <w:pStyle w:val="ListBullet"/>
        <w:numPr>
          <w:ilvl w:val="0"/>
          <w:numId w:val="9"/>
        </w:numPr>
        <w:ind w:left="360"/>
      </w:pPr>
      <w:r w:rsidRPr="00E45E66">
        <w:t>the</w:t>
      </w:r>
      <w:r w:rsidR="0011645A">
        <w:t xml:space="preserve"> Commonwealth Ombudsman is also required to produce quarterly reports on the use of these powers</w:t>
      </w:r>
    </w:p>
    <w:p w14:paraId="1A0CFF1A" w14:textId="736BF7D0" w:rsidR="006B549E" w:rsidRPr="00E732BC" w:rsidRDefault="00E732BC" w:rsidP="004F647D">
      <w:pPr>
        <w:pStyle w:val="ListBullet"/>
        <w:numPr>
          <w:ilvl w:val="0"/>
          <w:numId w:val="9"/>
        </w:numPr>
        <w:ind w:left="360"/>
      </w:pPr>
      <w:r>
        <w:t>witnesses are not entitled to reimbursement of reasonable legal expenses</w:t>
      </w:r>
      <w:r w:rsidR="006B549E" w:rsidRPr="00E732BC">
        <w:t>.</w:t>
      </w:r>
    </w:p>
    <w:p w14:paraId="538DE782" w14:textId="3BC9E16E" w:rsidR="000A54B6" w:rsidRDefault="002A54ED" w:rsidP="004F647D">
      <w:pPr>
        <w:pStyle w:val="Heading2"/>
        <w:numPr>
          <w:ilvl w:val="1"/>
          <w:numId w:val="17"/>
        </w:numPr>
      </w:pPr>
      <w:bookmarkStart w:id="108" w:name="_Toc523154926"/>
      <w:bookmarkStart w:id="109" w:name="_Toc527633014"/>
      <w:r>
        <w:t>Stakeholder views</w:t>
      </w:r>
      <w:bookmarkEnd w:id="108"/>
      <w:bookmarkEnd w:id="109"/>
    </w:p>
    <w:p w14:paraId="7902C21D" w14:textId="046D2611" w:rsidR="00606709" w:rsidRDefault="00AF5DCB" w:rsidP="00874132">
      <w:pPr>
        <w:spacing w:before="200" w:after="200" w:line="276" w:lineRule="auto"/>
        <w:rPr>
          <w:rFonts w:cstheme="minorHAnsi"/>
        </w:rPr>
      </w:pPr>
      <w:r w:rsidRPr="004C246B">
        <w:rPr>
          <w:rFonts w:cstheme="minorHAnsi"/>
        </w:rPr>
        <w:t>Most of</w:t>
      </w:r>
      <w:r>
        <w:rPr>
          <w:rFonts w:cstheme="minorHAnsi"/>
        </w:rPr>
        <w:t xml:space="preserve"> the</w:t>
      </w:r>
      <w:r w:rsidR="004C246B" w:rsidRPr="004C246B">
        <w:rPr>
          <w:rFonts w:cstheme="minorHAnsi"/>
        </w:rPr>
        <w:t xml:space="preserve"> submissions received addressed this term of reference</w:t>
      </w:r>
      <w:r w:rsidR="00F91CAA">
        <w:rPr>
          <w:rFonts w:cstheme="minorHAnsi"/>
        </w:rPr>
        <w:t xml:space="preserve">. </w:t>
      </w:r>
      <w:r w:rsidR="00606709">
        <w:rPr>
          <w:rFonts w:cstheme="minorHAnsi"/>
        </w:rPr>
        <w:t xml:space="preserve">However, many submissions focused on the merits of the compulsory examination powers, while providing </w:t>
      </w:r>
      <w:r w:rsidR="00DA3255">
        <w:rPr>
          <w:rFonts w:cstheme="minorHAnsi"/>
        </w:rPr>
        <w:t>little or no commentary</w:t>
      </w:r>
      <w:r w:rsidR="00606709">
        <w:rPr>
          <w:rFonts w:cstheme="minorHAnsi"/>
        </w:rPr>
        <w:t xml:space="preserve"> on the specific issue of the </w:t>
      </w:r>
      <w:r>
        <w:rPr>
          <w:rFonts w:cstheme="minorHAnsi"/>
        </w:rPr>
        <w:t>oversight provisions</w:t>
      </w:r>
      <w:r w:rsidR="00606709">
        <w:rPr>
          <w:rFonts w:cstheme="minorHAnsi"/>
        </w:rPr>
        <w:t xml:space="preserve"> to which term of reference 2 directs the review</w:t>
      </w:r>
      <w:r w:rsidR="00F91CAA">
        <w:rPr>
          <w:rFonts w:cstheme="minorHAnsi"/>
        </w:rPr>
        <w:t xml:space="preserve">. </w:t>
      </w:r>
      <w:r w:rsidR="00032C23">
        <w:rPr>
          <w:rFonts w:cstheme="minorHAnsi"/>
        </w:rPr>
        <w:t xml:space="preserve">Thus, relatively few of the comments received fall within </w:t>
      </w:r>
      <w:r w:rsidR="00490DD7">
        <w:rPr>
          <w:rFonts w:cstheme="minorHAnsi"/>
        </w:rPr>
        <w:t>th</w:t>
      </w:r>
      <w:r w:rsidR="004B177F">
        <w:rPr>
          <w:rFonts w:cstheme="minorHAnsi"/>
        </w:rPr>
        <w:t>e review’s</w:t>
      </w:r>
      <w:r w:rsidR="00490DD7">
        <w:rPr>
          <w:rFonts w:cstheme="minorHAnsi"/>
        </w:rPr>
        <w:t xml:space="preserve"> term</w:t>
      </w:r>
      <w:r w:rsidR="004B177F">
        <w:rPr>
          <w:rFonts w:cstheme="minorHAnsi"/>
        </w:rPr>
        <w:t>s</w:t>
      </w:r>
      <w:r w:rsidR="00490DD7">
        <w:rPr>
          <w:rFonts w:cstheme="minorHAnsi"/>
        </w:rPr>
        <w:t xml:space="preserve"> of reference</w:t>
      </w:r>
      <w:r w:rsidR="00F91CAA">
        <w:rPr>
          <w:rFonts w:cstheme="minorHAnsi"/>
        </w:rPr>
        <w:t xml:space="preserve">. </w:t>
      </w:r>
      <w:r w:rsidR="00032C23">
        <w:rPr>
          <w:rFonts w:cstheme="minorHAnsi"/>
        </w:rPr>
        <w:t>However, the views expressed are summarised below for the sake of transparency.</w:t>
      </w:r>
    </w:p>
    <w:p w14:paraId="4B3B6D3E" w14:textId="2F69DAD9" w:rsidR="005D24FC" w:rsidRDefault="004C246B" w:rsidP="00874132">
      <w:pPr>
        <w:spacing w:before="200" w:after="200" w:line="276" w:lineRule="auto"/>
        <w:rPr>
          <w:rFonts w:cstheme="minorHAnsi"/>
        </w:rPr>
      </w:pPr>
      <w:r>
        <w:rPr>
          <w:rFonts w:cstheme="minorHAnsi"/>
        </w:rPr>
        <w:t xml:space="preserve">Several </w:t>
      </w:r>
      <w:r w:rsidR="00764FDE">
        <w:rPr>
          <w:rFonts w:cstheme="minorHAnsi"/>
        </w:rPr>
        <w:t xml:space="preserve">industry </w:t>
      </w:r>
      <w:r>
        <w:rPr>
          <w:rFonts w:cstheme="minorHAnsi"/>
        </w:rPr>
        <w:t xml:space="preserve">submissions argued strongly that the compulsory examination powers wielded by the ABCC are unremarkable in their nature and extent. That is, it was argued that several other </w:t>
      </w:r>
      <w:r w:rsidR="0012704A">
        <w:rPr>
          <w:rFonts w:cstheme="minorHAnsi"/>
        </w:rPr>
        <w:t xml:space="preserve">Australian Government </w:t>
      </w:r>
      <w:r>
        <w:rPr>
          <w:rFonts w:cstheme="minorHAnsi"/>
        </w:rPr>
        <w:t>agencies exercise similar or stronger powers</w:t>
      </w:r>
      <w:r w:rsidR="00F91CAA">
        <w:rPr>
          <w:rFonts w:cstheme="minorHAnsi"/>
        </w:rPr>
        <w:t xml:space="preserve">. </w:t>
      </w:r>
      <w:r>
        <w:rPr>
          <w:rFonts w:cstheme="minorHAnsi"/>
        </w:rPr>
        <w:t xml:space="preserve">Moreover, it was argued that the use of these powers by </w:t>
      </w:r>
      <w:r w:rsidR="00796A42">
        <w:rPr>
          <w:rFonts w:cstheme="minorHAnsi"/>
        </w:rPr>
        <w:t xml:space="preserve">the </w:t>
      </w:r>
      <w:r>
        <w:rPr>
          <w:rFonts w:cstheme="minorHAnsi"/>
        </w:rPr>
        <w:t>ABCC is now subject to far more extensive and rigorous scrutiny than is generally the case where equivalent powers are exercised. These scrutiny mechanisms were said to be at least adequate to ensure that the compulsory examination powers are exercised appropriately.</w:t>
      </w:r>
      <w:r w:rsidR="00027D4E">
        <w:rPr>
          <w:rFonts w:cstheme="minorHAnsi"/>
        </w:rPr>
        <w:t xml:space="preserve"> </w:t>
      </w:r>
    </w:p>
    <w:p w14:paraId="7DB100B3" w14:textId="2571BB7D" w:rsidR="00764FDE" w:rsidRDefault="00764FDE" w:rsidP="00874132">
      <w:pPr>
        <w:spacing w:before="200" w:after="200" w:line="276" w:lineRule="auto"/>
        <w:rPr>
          <w:rFonts w:cstheme="minorHAnsi"/>
        </w:rPr>
      </w:pPr>
      <w:r>
        <w:rPr>
          <w:rFonts w:cstheme="minorHAnsi"/>
        </w:rPr>
        <w:t xml:space="preserve">Conversely, the ACTU submission advocated the abolition of the compulsory examination powers and their replacement with </w:t>
      </w:r>
      <w:r w:rsidR="00F02FFE" w:rsidRPr="00F02FFE">
        <w:rPr>
          <w:rFonts w:cstheme="minorHAnsi"/>
        </w:rPr>
        <w:t>‘</w:t>
      </w:r>
      <w:r w:rsidRPr="00F02FFE">
        <w:rPr>
          <w:rFonts w:cstheme="minorHAnsi"/>
        </w:rPr>
        <w:t>the usual discovery and subpoena powers supervised by the courts</w:t>
      </w:r>
      <w:r w:rsidR="00F02FFE" w:rsidRPr="00F02FFE">
        <w:rPr>
          <w:rFonts w:cstheme="minorHAnsi"/>
        </w:rPr>
        <w:t>’</w:t>
      </w:r>
      <w:r w:rsidR="00F91CAA">
        <w:rPr>
          <w:rFonts w:cstheme="minorHAnsi"/>
        </w:rPr>
        <w:t xml:space="preserve">. </w:t>
      </w:r>
    </w:p>
    <w:p w14:paraId="3BC4B39E" w14:textId="4C2A71FC" w:rsidR="00E92ABC" w:rsidRPr="00874132" w:rsidRDefault="001A63F9" w:rsidP="00874132">
      <w:pPr>
        <w:spacing w:before="200" w:after="200" w:line="276" w:lineRule="auto"/>
        <w:rPr>
          <w:rFonts w:cstheme="minorHAnsi"/>
          <w:sz w:val="20"/>
        </w:rPr>
      </w:pPr>
      <w:r>
        <w:rPr>
          <w:rFonts w:cstheme="minorHAnsi"/>
        </w:rPr>
        <w:t xml:space="preserve">In relation to the oversight powers, </w:t>
      </w:r>
      <w:r w:rsidR="006B549E" w:rsidRPr="00EE0A20">
        <w:rPr>
          <w:rFonts w:cstheme="minorHAnsi"/>
        </w:rPr>
        <w:t xml:space="preserve">the </w:t>
      </w:r>
      <w:r>
        <w:rPr>
          <w:rFonts w:cstheme="minorHAnsi"/>
        </w:rPr>
        <w:t>MBA note</w:t>
      </w:r>
      <w:r w:rsidR="00032C23">
        <w:rPr>
          <w:rFonts w:cstheme="minorHAnsi"/>
        </w:rPr>
        <w:t>d</w:t>
      </w:r>
      <w:r>
        <w:rPr>
          <w:rFonts w:cstheme="minorHAnsi"/>
        </w:rPr>
        <w:t xml:space="preserve"> </w:t>
      </w:r>
      <w:r w:rsidR="00032C23">
        <w:rPr>
          <w:rFonts w:cstheme="minorHAnsi"/>
        </w:rPr>
        <w:t xml:space="preserve">that the </w:t>
      </w:r>
      <w:proofErr w:type="spellStart"/>
      <w:r>
        <w:rPr>
          <w:rFonts w:cstheme="minorHAnsi"/>
        </w:rPr>
        <w:t>Heydon</w:t>
      </w:r>
      <w:proofErr w:type="spellEnd"/>
      <w:r>
        <w:rPr>
          <w:rFonts w:cstheme="minorHAnsi"/>
        </w:rPr>
        <w:t xml:space="preserve"> Royal Commission</w:t>
      </w:r>
      <w:r w:rsidR="00032C23">
        <w:rPr>
          <w:rFonts w:cstheme="minorHAnsi"/>
        </w:rPr>
        <w:t xml:space="preserve"> had endorsed the appropriateness of the oversight of the compulsory examination powers by the Ombudsman, as initially proposed in the BCIIP</w:t>
      </w:r>
      <w:r w:rsidR="00B91B9C">
        <w:rPr>
          <w:rFonts w:cstheme="minorHAnsi"/>
        </w:rPr>
        <w:t> </w:t>
      </w:r>
      <w:r w:rsidR="00032C23">
        <w:rPr>
          <w:rFonts w:cstheme="minorHAnsi"/>
        </w:rPr>
        <w:t>Bill</w:t>
      </w:r>
      <w:r w:rsidR="000B41D1">
        <w:rPr>
          <w:rFonts w:cstheme="minorHAnsi"/>
        </w:rPr>
        <w:t xml:space="preserve"> </w:t>
      </w:r>
      <w:r w:rsidR="00032C23">
        <w:rPr>
          <w:rFonts w:cstheme="minorHAnsi"/>
        </w:rPr>
        <w:t>and, in this context, recommended the current oversight arrangements should continue unchanged</w:t>
      </w:r>
      <w:r w:rsidR="00F91CAA">
        <w:rPr>
          <w:rFonts w:cstheme="minorHAnsi"/>
        </w:rPr>
        <w:t xml:space="preserve">. </w:t>
      </w:r>
      <w:r w:rsidR="006B549E" w:rsidRPr="00EE0A20">
        <w:rPr>
          <w:rFonts w:cstheme="minorHAnsi"/>
        </w:rPr>
        <w:t xml:space="preserve">The </w:t>
      </w:r>
      <w:r w:rsidR="00E92ABC">
        <w:rPr>
          <w:rFonts w:cstheme="minorHAnsi"/>
        </w:rPr>
        <w:t>Ai</w:t>
      </w:r>
      <w:r w:rsidR="00B21B47">
        <w:rPr>
          <w:rFonts w:cstheme="minorHAnsi"/>
        </w:rPr>
        <w:t> </w:t>
      </w:r>
      <w:r w:rsidR="00E92ABC">
        <w:rPr>
          <w:rFonts w:cstheme="minorHAnsi"/>
        </w:rPr>
        <w:t xml:space="preserve">Group </w:t>
      </w:r>
      <w:r w:rsidR="00DA3255">
        <w:rPr>
          <w:rFonts w:cstheme="minorHAnsi"/>
        </w:rPr>
        <w:t>stated</w:t>
      </w:r>
      <w:r w:rsidR="00053E2D">
        <w:rPr>
          <w:rFonts w:cstheme="minorHAnsi"/>
        </w:rPr>
        <w:t xml:space="preserve"> </w:t>
      </w:r>
      <w:r w:rsidR="00053E2D" w:rsidRPr="00053E2D">
        <w:rPr>
          <w:rFonts w:cstheme="minorHAnsi"/>
        </w:rPr>
        <w:t>that t</w:t>
      </w:r>
      <w:r w:rsidR="00E92ABC" w:rsidRPr="00053E2D">
        <w:rPr>
          <w:szCs w:val="23"/>
        </w:rPr>
        <w:t xml:space="preserve">he current independent oversight and reporting requirements are adequate and provide </w:t>
      </w:r>
      <w:r w:rsidR="00E92ABC" w:rsidRPr="00874132">
        <w:rPr>
          <w:szCs w:val="23"/>
        </w:rPr>
        <w:t>sufficient protections.</w:t>
      </w:r>
    </w:p>
    <w:p w14:paraId="13B50617" w14:textId="2A96E229" w:rsidR="00272DA4" w:rsidRDefault="00905FD5" w:rsidP="00874132">
      <w:pPr>
        <w:spacing w:before="200" w:after="200" w:line="276" w:lineRule="auto"/>
        <w:rPr>
          <w:rFonts w:cstheme="minorHAnsi"/>
        </w:rPr>
      </w:pPr>
      <w:r>
        <w:rPr>
          <w:rFonts w:cstheme="minorHAnsi"/>
        </w:rPr>
        <w:t>The ACTU submission was the only submission to identify concerns with the current oversight arrangements, highlighting questions in relation to both timeline</w:t>
      </w:r>
      <w:r w:rsidR="00606709">
        <w:rPr>
          <w:rFonts w:cstheme="minorHAnsi"/>
        </w:rPr>
        <w:t>ss and the availability of the O</w:t>
      </w:r>
      <w:r>
        <w:rPr>
          <w:rFonts w:cstheme="minorHAnsi"/>
        </w:rPr>
        <w:t>mbudsman reports.</w:t>
      </w:r>
      <w:r w:rsidR="00EA1A36">
        <w:rPr>
          <w:rFonts w:cstheme="minorHAnsi"/>
        </w:rPr>
        <w:t xml:space="preserve"> </w:t>
      </w:r>
      <w:r w:rsidR="00AF5DCB">
        <w:rPr>
          <w:rFonts w:cstheme="minorHAnsi"/>
        </w:rPr>
        <w:t>The</w:t>
      </w:r>
      <w:r w:rsidR="00EA1A36">
        <w:rPr>
          <w:rFonts w:cstheme="minorHAnsi"/>
        </w:rPr>
        <w:t xml:space="preserve"> ACTU argued that the current oversight mechanisms do not allow </w:t>
      </w:r>
      <w:r w:rsidR="006B549E" w:rsidRPr="00EE0A20">
        <w:rPr>
          <w:rFonts w:cstheme="minorHAnsi"/>
        </w:rPr>
        <w:t>‘</w:t>
      </w:r>
      <w:r w:rsidR="00EA1A36">
        <w:rPr>
          <w:rFonts w:cstheme="minorHAnsi"/>
        </w:rPr>
        <w:t xml:space="preserve">real time </w:t>
      </w:r>
      <w:r w:rsidR="006B549E" w:rsidRPr="00EE0A20">
        <w:rPr>
          <w:rFonts w:cstheme="minorHAnsi"/>
        </w:rPr>
        <w:t>oversight’,</w:t>
      </w:r>
      <w:r w:rsidR="00EA1A36">
        <w:rPr>
          <w:rFonts w:cstheme="minorHAnsi"/>
        </w:rPr>
        <w:t xml:space="preserve"> with the associated ability to address issues as they arise, </w:t>
      </w:r>
      <w:r w:rsidR="00AF5DCB">
        <w:rPr>
          <w:rFonts w:cstheme="minorHAnsi"/>
        </w:rPr>
        <w:t xml:space="preserve">instead requiring reliance on </w:t>
      </w:r>
      <w:r w:rsidR="00EA1A36">
        <w:rPr>
          <w:rFonts w:cstheme="minorHAnsi"/>
        </w:rPr>
        <w:t xml:space="preserve">unenforceable recommendations </w:t>
      </w:r>
      <w:r w:rsidR="00AF5DCB">
        <w:rPr>
          <w:rFonts w:cstheme="minorHAnsi"/>
        </w:rPr>
        <w:t xml:space="preserve">made </w:t>
      </w:r>
      <w:r w:rsidR="00EA1A36">
        <w:rPr>
          <w:rFonts w:cstheme="minorHAnsi"/>
        </w:rPr>
        <w:t>after the fact. It also argued that</w:t>
      </w:r>
      <w:r w:rsidR="00272DA4">
        <w:rPr>
          <w:rFonts w:cstheme="minorHAnsi"/>
        </w:rPr>
        <w:t xml:space="preserve"> </w:t>
      </w:r>
      <w:r w:rsidR="00EA1A36">
        <w:rPr>
          <w:rFonts w:cstheme="minorHAnsi"/>
        </w:rPr>
        <w:t xml:space="preserve">the </w:t>
      </w:r>
      <w:r w:rsidR="00AF5DCB">
        <w:rPr>
          <w:rFonts w:cstheme="minorHAnsi"/>
        </w:rPr>
        <w:t>O</w:t>
      </w:r>
      <w:r w:rsidR="00EA1A36">
        <w:rPr>
          <w:rFonts w:cstheme="minorHAnsi"/>
        </w:rPr>
        <w:t xml:space="preserve">mbudsman’s reports should be made more readily accessible via publication on the ABCC website, in a </w:t>
      </w:r>
      <w:r w:rsidR="00FE0BD7">
        <w:rPr>
          <w:rFonts w:cstheme="minorHAnsi"/>
        </w:rPr>
        <w:t>timelier</w:t>
      </w:r>
      <w:r w:rsidR="00EA1A36">
        <w:rPr>
          <w:rFonts w:cstheme="minorHAnsi"/>
        </w:rPr>
        <w:t xml:space="preserve"> fashion. </w:t>
      </w:r>
    </w:p>
    <w:p w14:paraId="6CEA11A1" w14:textId="77777777" w:rsidR="002A646E" w:rsidRDefault="00EA1A36" w:rsidP="00874132">
      <w:pPr>
        <w:spacing w:before="200" w:after="200" w:line="276" w:lineRule="auto"/>
        <w:rPr>
          <w:rFonts w:cstheme="minorHAnsi"/>
        </w:rPr>
      </w:pPr>
      <w:r>
        <w:rPr>
          <w:rFonts w:cstheme="minorHAnsi"/>
        </w:rPr>
        <w:t xml:space="preserve">The ACTU argued, </w:t>
      </w:r>
      <w:r w:rsidR="002A646E">
        <w:rPr>
          <w:rFonts w:cstheme="minorHAnsi"/>
        </w:rPr>
        <w:t xml:space="preserve">that </w:t>
      </w:r>
      <w:r>
        <w:rPr>
          <w:rFonts w:cstheme="minorHAnsi"/>
        </w:rPr>
        <w:t>the oversight mechanisms</w:t>
      </w:r>
      <w:r w:rsidR="002A646E">
        <w:rPr>
          <w:rFonts w:cstheme="minorHAnsi"/>
        </w:rPr>
        <w:t xml:space="preserve"> are particularly important because</w:t>
      </w:r>
      <w:r w:rsidR="00272DA4">
        <w:rPr>
          <w:rFonts w:cstheme="minorHAnsi"/>
        </w:rPr>
        <w:t>, in its view</w:t>
      </w:r>
      <w:r w:rsidR="002A646E">
        <w:rPr>
          <w:rFonts w:cstheme="minorHAnsi"/>
        </w:rPr>
        <w:t>:</w:t>
      </w:r>
    </w:p>
    <w:p w14:paraId="77826177" w14:textId="689657B7" w:rsidR="002A646E" w:rsidRPr="002A646E" w:rsidRDefault="00EA1A36" w:rsidP="004F647D">
      <w:pPr>
        <w:pStyle w:val="ListBullet"/>
        <w:numPr>
          <w:ilvl w:val="0"/>
          <w:numId w:val="9"/>
        </w:numPr>
        <w:ind w:left="360"/>
        <w:rPr>
          <w:rFonts w:cstheme="minorHAnsi"/>
          <w:color w:val="000000"/>
        </w:rPr>
      </w:pPr>
      <w:r w:rsidRPr="002A646E">
        <w:rPr>
          <w:rFonts w:cstheme="minorHAnsi"/>
          <w:color w:val="000000"/>
        </w:rPr>
        <w:lastRenderedPageBreak/>
        <w:t xml:space="preserve">the compulsory examination powers limit the right to privacy contained in Article 17 of the International Covenant on Civil and Political Rights </w:t>
      </w:r>
    </w:p>
    <w:p w14:paraId="5FE21CD9" w14:textId="4A75F01F" w:rsidR="002A646E" w:rsidRPr="002A646E" w:rsidRDefault="00DB5EA5" w:rsidP="004F647D">
      <w:pPr>
        <w:pStyle w:val="ListBullet"/>
        <w:numPr>
          <w:ilvl w:val="0"/>
          <w:numId w:val="9"/>
        </w:numPr>
        <w:ind w:left="360"/>
        <w:rPr>
          <w:rFonts w:cstheme="minorHAnsi"/>
          <w:color w:val="000000"/>
        </w:rPr>
      </w:pPr>
      <w:r>
        <w:rPr>
          <w:rFonts w:cstheme="minorHAnsi"/>
          <w:color w:val="000000"/>
        </w:rPr>
        <w:t>t</w:t>
      </w:r>
      <w:r w:rsidRPr="002A646E">
        <w:rPr>
          <w:rFonts w:cstheme="minorHAnsi"/>
          <w:color w:val="000000"/>
        </w:rPr>
        <w:t xml:space="preserve">he </w:t>
      </w:r>
      <w:r w:rsidR="002A646E" w:rsidRPr="002A646E">
        <w:rPr>
          <w:rFonts w:cstheme="minorHAnsi"/>
          <w:color w:val="000000"/>
        </w:rPr>
        <w:t xml:space="preserve">ABCC has </w:t>
      </w:r>
      <w:r w:rsidR="00EA1A36" w:rsidRPr="002A646E">
        <w:rPr>
          <w:rFonts w:cstheme="minorHAnsi"/>
          <w:color w:val="000000"/>
        </w:rPr>
        <w:t>misuse</w:t>
      </w:r>
      <w:r w:rsidR="002A646E" w:rsidRPr="002A646E">
        <w:rPr>
          <w:rFonts w:cstheme="minorHAnsi"/>
          <w:color w:val="000000"/>
        </w:rPr>
        <w:t>d</w:t>
      </w:r>
      <w:r w:rsidR="00EA1A36" w:rsidRPr="002A646E">
        <w:rPr>
          <w:rFonts w:cstheme="minorHAnsi"/>
          <w:color w:val="000000"/>
        </w:rPr>
        <w:t xml:space="preserve"> these and other investigative powers in the past. </w:t>
      </w:r>
    </w:p>
    <w:p w14:paraId="52033792" w14:textId="6AB001E9" w:rsidR="00EA1A36" w:rsidRPr="002A646E" w:rsidRDefault="002A646E" w:rsidP="00874132">
      <w:pPr>
        <w:spacing w:before="200" w:after="200" w:line="276" w:lineRule="auto"/>
        <w:rPr>
          <w:rFonts w:cstheme="minorHAnsi"/>
          <w:color w:val="000000"/>
        </w:rPr>
      </w:pPr>
      <w:r w:rsidRPr="00874132">
        <w:rPr>
          <w:rFonts w:cstheme="minorHAnsi"/>
        </w:rPr>
        <w:t>In</w:t>
      </w:r>
      <w:r w:rsidRPr="002A646E">
        <w:rPr>
          <w:rFonts w:cstheme="minorHAnsi"/>
          <w:color w:val="000000"/>
        </w:rPr>
        <w:t xml:space="preserve"> relation to the latter point, the ACTU cited criticism by </w:t>
      </w:r>
      <w:r w:rsidR="00EA1A36" w:rsidRPr="002A646E">
        <w:rPr>
          <w:rFonts w:cstheme="minorHAnsi"/>
          <w:color w:val="000000"/>
        </w:rPr>
        <w:t xml:space="preserve">Justice North of the then </w:t>
      </w:r>
      <w:r w:rsidR="006B549E" w:rsidRPr="00EE0A20">
        <w:rPr>
          <w:rFonts w:cstheme="minorHAnsi"/>
          <w:color w:val="000000"/>
        </w:rPr>
        <w:t>ABC </w:t>
      </w:r>
      <w:r w:rsidR="00EA1A36" w:rsidRPr="002A646E">
        <w:rPr>
          <w:rFonts w:cstheme="minorHAnsi"/>
          <w:color w:val="000000"/>
        </w:rPr>
        <w:t>Commissioner Mr</w:t>
      </w:r>
      <w:r w:rsidR="006B549E" w:rsidRPr="00EE0A20">
        <w:rPr>
          <w:rFonts w:cstheme="minorHAnsi"/>
          <w:color w:val="000000"/>
        </w:rPr>
        <w:t> </w:t>
      </w:r>
      <w:proofErr w:type="spellStart"/>
      <w:r w:rsidR="00EA1A36" w:rsidRPr="002A646E">
        <w:rPr>
          <w:rFonts w:cstheme="minorHAnsi"/>
          <w:color w:val="000000"/>
        </w:rPr>
        <w:t>Hadgkiss</w:t>
      </w:r>
      <w:proofErr w:type="spellEnd"/>
      <w:r w:rsidR="00EA1A36" w:rsidRPr="002A646E">
        <w:rPr>
          <w:rFonts w:cstheme="minorHAnsi"/>
          <w:color w:val="000000"/>
        </w:rPr>
        <w:t xml:space="preserve"> for adopting</w:t>
      </w:r>
      <w:r w:rsidRPr="002A646E">
        <w:rPr>
          <w:rFonts w:cstheme="minorHAnsi"/>
          <w:color w:val="000000"/>
        </w:rPr>
        <w:t xml:space="preserve"> a</w:t>
      </w:r>
      <w:r w:rsidR="00EA1A36" w:rsidRPr="002A646E">
        <w:rPr>
          <w:rFonts w:cstheme="minorHAnsi"/>
          <w:color w:val="000000"/>
        </w:rPr>
        <w:t xml:space="preserve"> partisan approach </w:t>
      </w:r>
      <w:r w:rsidRPr="002A646E">
        <w:rPr>
          <w:rFonts w:cstheme="minorHAnsi"/>
          <w:color w:val="000000"/>
        </w:rPr>
        <w:t>during a compulsory examination</w:t>
      </w:r>
      <w:r w:rsidR="00EA1A36" w:rsidRPr="002A646E">
        <w:rPr>
          <w:rFonts w:cstheme="minorHAnsi"/>
          <w:color w:val="000000"/>
        </w:rPr>
        <w:t>.</w:t>
      </w:r>
      <w:r w:rsidR="00EA1A36" w:rsidRPr="002A646E">
        <w:rPr>
          <w:rStyle w:val="FootnoteReference"/>
          <w:rFonts w:cstheme="minorHAnsi"/>
          <w:color w:val="000000"/>
        </w:rPr>
        <w:footnoteReference w:id="31"/>
      </w:r>
    </w:p>
    <w:p w14:paraId="6A9DA07A" w14:textId="7D464033" w:rsidR="00A263C8" w:rsidRPr="00874132" w:rsidRDefault="00A263C8" w:rsidP="00874132">
      <w:pPr>
        <w:spacing w:before="200" w:after="200" w:line="276" w:lineRule="auto"/>
        <w:rPr>
          <w:rFonts w:cstheme="minorHAnsi"/>
          <w:color w:val="000000"/>
        </w:rPr>
      </w:pPr>
      <w:r>
        <w:rPr>
          <w:rFonts w:cstheme="minorHAnsi"/>
        </w:rPr>
        <w:t xml:space="preserve">The ACTU also argued that the oversight powers were deficient in </w:t>
      </w:r>
      <w:r w:rsidR="00272DA4">
        <w:rPr>
          <w:rFonts w:cstheme="minorHAnsi"/>
        </w:rPr>
        <w:t>that</w:t>
      </w:r>
      <w:r>
        <w:rPr>
          <w:rFonts w:cstheme="minorHAnsi"/>
        </w:rPr>
        <w:t xml:space="preserve"> the Ombudsman </w:t>
      </w:r>
      <w:r w:rsidR="00272DA4">
        <w:rPr>
          <w:rFonts w:cstheme="minorHAnsi"/>
        </w:rPr>
        <w:t>cannot</w:t>
      </w:r>
      <w:r>
        <w:rPr>
          <w:rFonts w:cstheme="minorHAnsi"/>
        </w:rPr>
        <w:t xml:space="preserve"> enforce his recommendations. In this context, they cited the single recommendation made in both of the Ombudsman’s reports published to date in relation to the use of the compulsory examination powers</w:t>
      </w:r>
      <w:r w:rsidR="00F91CAA">
        <w:rPr>
          <w:rFonts w:cstheme="minorHAnsi"/>
        </w:rPr>
        <w:t xml:space="preserve">. </w:t>
      </w:r>
      <w:r w:rsidR="00AF5DCB">
        <w:rPr>
          <w:rFonts w:cstheme="minorHAnsi"/>
        </w:rPr>
        <w:t xml:space="preserve">This </w:t>
      </w:r>
      <w:r>
        <w:rPr>
          <w:rFonts w:cstheme="minorHAnsi"/>
        </w:rPr>
        <w:t>was that</w:t>
      </w:r>
      <w:r w:rsidR="002A646E">
        <w:rPr>
          <w:rFonts w:cstheme="minorHAnsi"/>
        </w:rPr>
        <w:t xml:space="preserve">, given the </w:t>
      </w:r>
      <w:r w:rsidR="00AF5DCB">
        <w:rPr>
          <w:rFonts w:cstheme="minorHAnsi"/>
        </w:rPr>
        <w:t>BCIIP</w:t>
      </w:r>
      <w:r w:rsidR="005C2643">
        <w:rPr>
          <w:rFonts w:cstheme="minorHAnsi"/>
        </w:rPr>
        <w:t> </w:t>
      </w:r>
      <w:r w:rsidR="00AF5DCB">
        <w:rPr>
          <w:rFonts w:cstheme="minorHAnsi"/>
        </w:rPr>
        <w:t xml:space="preserve">Act’s </w:t>
      </w:r>
      <w:r w:rsidR="00DC08A2">
        <w:rPr>
          <w:rFonts w:cstheme="minorHAnsi"/>
        </w:rPr>
        <w:t xml:space="preserve">explicit </w:t>
      </w:r>
      <w:r w:rsidR="002A646E">
        <w:rPr>
          <w:rFonts w:cstheme="minorHAnsi"/>
        </w:rPr>
        <w:t xml:space="preserve">prohibition on the </w:t>
      </w:r>
      <w:r w:rsidR="006B549E" w:rsidRPr="00E732BC">
        <w:rPr>
          <w:rFonts w:cstheme="minorHAnsi"/>
        </w:rPr>
        <w:t>ABC </w:t>
      </w:r>
      <w:r w:rsidR="002A646E">
        <w:rPr>
          <w:rFonts w:cstheme="minorHAnsi"/>
        </w:rPr>
        <w:t xml:space="preserve">Commissioner requiring an examinee not to disclose the matters discussed during an examination, the </w:t>
      </w:r>
      <w:r w:rsidR="006B549E" w:rsidRPr="00E732BC">
        <w:rPr>
          <w:rFonts w:cstheme="minorHAnsi"/>
        </w:rPr>
        <w:t>ABC </w:t>
      </w:r>
      <w:r w:rsidR="002A646E">
        <w:rPr>
          <w:rFonts w:cstheme="minorHAnsi"/>
        </w:rPr>
        <w:t>Commissioner should also refrain from expressing a preference in this regard</w:t>
      </w:r>
      <w:r w:rsidR="006B549E" w:rsidRPr="00E732BC">
        <w:rPr>
          <w:rFonts w:cstheme="minorHAnsi"/>
        </w:rPr>
        <w:t>.</w:t>
      </w:r>
      <w:r w:rsidRPr="000378F8">
        <w:rPr>
          <w:rStyle w:val="FootnoteReference"/>
          <w:color w:val="000000"/>
        </w:rPr>
        <w:footnoteReference w:id="32"/>
      </w:r>
      <w:r w:rsidR="00F91CAA">
        <w:rPr>
          <w:rFonts w:cstheme="minorHAnsi"/>
        </w:rPr>
        <w:t xml:space="preserve"> </w:t>
      </w:r>
      <w:r w:rsidR="000C2F07">
        <w:rPr>
          <w:rFonts w:cstheme="minorHAnsi"/>
        </w:rPr>
        <w:t xml:space="preserve">The ACTU noted that the Ombudsman had repeated this recommendation in a subsequent report as the </w:t>
      </w:r>
      <w:r w:rsidR="006B549E" w:rsidRPr="00C67D1D">
        <w:rPr>
          <w:rFonts w:cstheme="minorHAnsi"/>
        </w:rPr>
        <w:t>ABC </w:t>
      </w:r>
      <w:r w:rsidR="000C2F07">
        <w:rPr>
          <w:rFonts w:cstheme="minorHAnsi"/>
        </w:rPr>
        <w:t xml:space="preserve">Commissioner had not accepted the recommendation when it was initially made and that the Ombudsman has no power to enforce its </w:t>
      </w:r>
      <w:r w:rsidR="000C2F07" w:rsidRPr="00874132">
        <w:rPr>
          <w:rFonts w:cstheme="minorHAnsi"/>
        </w:rPr>
        <w:t>adoption.</w:t>
      </w:r>
    </w:p>
    <w:p w14:paraId="0CB229A5" w14:textId="0B19EEB3" w:rsidR="004C246B" w:rsidRDefault="00417BAD" w:rsidP="00874132">
      <w:pPr>
        <w:spacing w:before="200" w:after="200" w:line="276" w:lineRule="auto"/>
        <w:rPr>
          <w:rFonts w:cstheme="minorHAnsi"/>
        </w:rPr>
      </w:pPr>
      <w:r w:rsidRPr="00417BAD">
        <w:rPr>
          <w:rFonts w:cstheme="minorHAnsi"/>
        </w:rPr>
        <w:t xml:space="preserve">The ACTU submission also referenced previous </w:t>
      </w:r>
      <w:r>
        <w:rPr>
          <w:rFonts w:cstheme="minorHAnsi"/>
        </w:rPr>
        <w:t xml:space="preserve">statements made by it in respect of the safeguards issue in other </w:t>
      </w:r>
      <w:r w:rsidR="0028230C">
        <w:rPr>
          <w:rFonts w:cstheme="minorHAnsi"/>
        </w:rPr>
        <w:t xml:space="preserve">fora, including </w:t>
      </w:r>
      <w:r>
        <w:rPr>
          <w:rFonts w:cstheme="minorHAnsi"/>
        </w:rPr>
        <w:t xml:space="preserve">its submission to the Senate Standing Legislation Committee on Education and Employment </w:t>
      </w:r>
      <w:r w:rsidR="00DB5EA5">
        <w:rPr>
          <w:rFonts w:cstheme="minorHAnsi"/>
        </w:rPr>
        <w:t>i</w:t>
      </w:r>
      <w:r>
        <w:rPr>
          <w:rFonts w:cstheme="minorHAnsi"/>
        </w:rPr>
        <w:t>nquiry into the 2013 version of the BCIIP</w:t>
      </w:r>
      <w:r w:rsidR="006B549E" w:rsidRPr="00E732BC">
        <w:rPr>
          <w:rFonts w:cstheme="minorHAnsi"/>
        </w:rPr>
        <w:t> </w:t>
      </w:r>
      <w:r>
        <w:rPr>
          <w:rFonts w:cstheme="minorHAnsi"/>
        </w:rPr>
        <w:t>Bill</w:t>
      </w:r>
      <w:r w:rsidR="00F91CAA">
        <w:rPr>
          <w:rFonts w:cstheme="minorHAnsi"/>
        </w:rPr>
        <w:t xml:space="preserve">. </w:t>
      </w:r>
      <w:r w:rsidR="0028230C">
        <w:rPr>
          <w:rFonts w:cstheme="minorHAnsi"/>
        </w:rPr>
        <w:t>In this submission</w:t>
      </w:r>
      <w:r>
        <w:rPr>
          <w:rFonts w:cstheme="minorHAnsi"/>
        </w:rPr>
        <w:t xml:space="preserve">, the ACTU stated that it objected to the removal of </w:t>
      </w:r>
      <w:r w:rsidR="00DB5EA5">
        <w:rPr>
          <w:rFonts w:cstheme="minorHAnsi"/>
        </w:rPr>
        <w:t xml:space="preserve">certain safeguards </w:t>
      </w:r>
      <w:r>
        <w:rPr>
          <w:rFonts w:cstheme="minorHAnsi"/>
        </w:rPr>
        <w:t xml:space="preserve">on the use of the compulsory examination powers that had been contained in the previous </w:t>
      </w:r>
      <w:r w:rsidRPr="00D9290D">
        <w:rPr>
          <w:rFonts w:cstheme="minorHAnsi"/>
          <w:i/>
        </w:rPr>
        <w:t>Building and Construction Industry Improvement Amendment (Transition to Fair Work) Act</w:t>
      </w:r>
      <w:r w:rsidR="005C2643">
        <w:rPr>
          <w:rFonts w:cstheme="minorHAnsi"/>
          <w:i/>
        </w:rPr>
        <w:t> </w:t>
      </w:r>
      <w:r w:rsidRPr="00D9290D">
        <w:rPr>
          <w:rFonts w:cstheme="minorHAnsi"/>
          <w:i/>
        </w:rPr>
        <w:t>2012</w:t>
      </w:r>
      <w:r>
        <w:rPr>
          <w:rFonts w:cstheme="minorHAnsi"/>
        </w:rPr>
        <w:t>, citing:</w:t>
      </w:r>
    </w:p>
    <w:p w14:paraId="29F44528" w14:textId="733CFE70" w:rsidR="00417BAD" w:rsidRDefault="00417BAD" w:rsidP="004F647D">
      <w:pPr>
        <w:pStyle w:val="ListBullet"/>
        <w:numPr>
          <w:ilvl w:val="0"/>
          <w:numId w:val="9"/>
        </w:numPr>
        <w:ind w:left="360"/>
        <w:rPr>
          <w:rFonts w:cstheme="minorHAnsi"/>
        </w:rPr>
      </w:pPr>
      <w:r>
        <w:rPr>
          <w:rFonts w:cstheme="minorHAnsi"/>
        </w:rPr>
        <w:t xml:space="preserve">the requirement for an application </w:t>
      </w:r>
      <w:r w:rsidR="006F6E39">
        <w:rPr>
          <w:rFonts w:cstheme="minorHAnsi"/>
        </w:rPr>
        <w:t xml:space="preserve">for an </w:t>
      </w:r>
      <w:r>
        <w:rPr>
          <w:rFonts w:cstheme="minorHAnsi"/>
        </w:rPr>
        <w:t>examination notice to be made to a Presidential Member of the Administrative Appeals Tribunal</w:t>
      </w:r>
    </w:p>
    <w:p w14:paraId="1B0DDB70" w14:textId="05F9FD36" w:rsidR="00417BAD" w:rsidRDefault="00417BAD" w:rsidP="004F647D">
      <w:pPr>
        <w:pStyle w:val="ListBullet"/>
        <w:numPr>
          <w:ilvl w:val="0"/>
          <w:numId w:val="9"/>
        </w:numPr>
        <w:ind w:left="360"/>
        <w:rPr>
          <w:rFonts w:cstheme="minorHAnsi"/>
        </w:rPr>
      </w:pPr>
      <w:r>
        <w:rPr>
          <w:rFonts w:cstheme="minorHAnsi"/>
        </w:rPr>
        <w:t>the requirement that the Presidential Member be satisfied that the case had been made out for the use of the powers, having regard to a number of factors</w:t>
      </w:r>
    </w:p>
    <w:p w14:paraId="7DA80B3C" w14:textId="298A2018" w:rsidR="00417BAD" w:rsidRDefault="00417BAD" w:rsidP="004F647D">
      <w:pPr>
        <w:pStyle w:val="ListBullet"/>
        <w:numPr>
          <w:ilvl w:val="0"/>
          <w:numId w:val="9"/>
        </w:numPr>
        <w:ind w:left="360"/>
        <w:rPr>
          <w:rFonts w:cstheme="minorHAnsi"/>
        </w:rPr>
      </w:pPr>
      <w:r>
        <w:rPr>
          <w:rFonts w:cstheme="minorHAnsi"/>
        </w:rPr>
        <w:t>the capacity under the FWBI</w:t>
      </w:r>
      <w:r w:rsidR="005C2643">
        <w:rPr>
          <w:rFonts w:cstheme="minorHAnsi"/>
        </w:rPr>
        <w:t> </w:t>
      </w:r>
      <w:r>
        <w:rPr>
          <w:rFonts w:cstheme="minorHAnsi"/>
        </w:rPr>
        <w:t xml:space="preserve">Act for certain building industry participants to make an application to an independent assessor to have the compulsory examination powers </w:t>
      </w:r>
      <w:r w:rsidR="006B549E" w:rsidRPr="00EE0A20">
        <w:rPr>
          <w:rFonts w:cstheme="minorHAnsi"/>
        </w:rPr>
        <w:t>‘</w:t>
      </w:r>
      <w:r>
        <w:rPr>
          <w:rFonts w:cstheme="minorHAnsi"/>
        </w:rPr>
        <w:t xml:space="preserve">switched </w:t>
      </w:r>
      <w:r w:rsidR="006B549E" w:rsidRPr="00EE0A20">
        <w:rPr>
          <w:rFonts w:cstheme="minorHAnsi"/>
        </w:rPr>
        <w:t>off’,</w:t>
      </w:r>
      <w:r>
        <w:rPr>
          <w:rFonts w:cstheme="minorHAnsi"/>
        </w:rPr>
        <w:t xml:space="preserve"> in respect of a particular building project</w:t>
      </w:r>
    </w:p>
    <w:p w14:paraId="32C3FBCD" w14:textId="56857665" w:rsidR="00417BAD" w:rsidRDefault="00417BAD" w:rsidP="004F647D">
      <w:pPr>
        <w:pStyle w:val="ListBullet"/>
        <w:numPr>
          <w:ilvl w:val="0"/>
          <w:numId w:val="9"/>
        </w:numPr>
        <w:ind w:left="360"/>
        <w:rPr>
          <w:rFonts w:cstheme="minorHAnsi"/>
        </w:rPr>
      </w:pPr>
      <w:r>
        <w:rPr>
          <w:rFonts w:cstheme="minorHAnsi"/>
        </w:rPr>
        <w:t xml:space="preserve">the prohibition on the </w:t>
      </w:r>
      <w:r w:rsidR="006B549E" w:rsidRPr="00EE0A20">
        <w:rPr>
          <w:rFonts w:cstheme="minorHAnsi"/>
        </w:rPr>
        <w:t>FWBC Director</w:t>
      </w:r>
      <w:r>
        <w:rPr>
          <w:rFonts w:cstheme="minorHAnsi"/>
        </w:rPr>
        <w:t xml:space="preserve"> requiring a person attending an examination to enter into a confidentiality undertaking in relation to the examination</w:t>
      </w:r>
    </w:p>
    <w:p w14:paraId="239FBCD1" w14:textId="76B8F01F" w:rsidR="00417BAD" w:rsidRDefault="00417BAD" w:rsidP="004F647D">
      <w:pPr>
        <w:pStyle w:val="ListBullet"/>
        <w:numPr>
          <w:ilvl w:val="0"/>
          <w:numId w:val="9"/>
        </w:numPr>
        <w:ind w:left="360"/>
        <w:rPr>
          <w:rFonts w:cstheme="minorHAnsi"/>
        </w:rPr>
      </w:pPr>
      <w:r>
        <w:rPr>
          <w:rFonts w:cstheme="minorHAnsi"/>
        </w:rPr>
        <w:t>the sunsetting of the use of the coercive powers after three years, with a decision to be made at that time as to their continuation</w:t>
      </w:r>
    </w:p>
    <w:p w14:paraId="421B737E" w14:textId="77777777" w:rsidR="00417BAD" w:rsidRPr="00417BAD" w:rsidRDefault="00417BAD" w:rsidP="004F647D">
      <w:pPr>
        <w:pStyle w:val="ListBullet"/>
        <w:numPr>
          <w:ilvl w:val="0"/>
          <w:numId w:val="9"/>
        </w:numPr>
        <w:ind w:left="360"/>
        <w:rPr>
          <w:rFonts w:cstheme="minorHAnsi"/>
        </w:rPr>
      </w:pPr>
      <w:r>
        <w:rPr>
          <w:rFonts w:cstheme="minorHAnsi"/>
        </w:rPr>
        <w:t>the removal of the provisions for the payment of legal expenses incurred as a result of attending a compulsory examination.</w:t>
      </w:r>
    </w:p>
    <w:p w14:paraId="322A933F" w14:textId="278A91A4" w:rsidR="00417BAD" w:rsidRDefault="004661B2" w:rsidP="00874132">
      <w:pPr>
        <w:spacing w:before="200" w:after="200" w:line="276" w:lineRule="auto"/>
        <w:rPr>
          <w:rFonts w:cstheme="minorHAnsi"/>
        </w:rPr>
      </w:pPr>
      <w:r>
        <w:rPr>
          <w:rFonts w:cstheme="minorHAnsi"/>
        </w:rPr>
        <w:lastRenderedPageBreak/>
        <w:t xml:space="preserve">The ACTU argued, in </w:t>
      </w:r>
      <w:r w:rsidR="00DC08A2">
        <w:rPr>
          <w:rFonts w:cstheme="minorHAnsi"/>
        </w:rPr>
        <w:t xml:space="preserve">the </w:t>
      </w:r>
      <w:r>
        <w:rPr>
          <w:rFonts w:cstheme="minorHAnsi"/>
        </w:rPr>
        <w:t>2013</w:t>
      </w:r>
      <w:r w:rsidR="00DC08A2">
        <w:rPr>
          <w:rFonts w:cstheme="minorHAnsi"/>
        </w:rPr>
        <w:t xml:space="preserve"> submission</w:t>
      </w:r>
      <w:r>
        <w:rPr>
          <w:rFonts w:cstheme="minorHAnsi"/>
        </w:rPr>
        <w:t xml:space="preserve">, that there was no evidence that the existence of these </w:t>
      </w:r>
      <w:r w:rsidR="006F6E39">
        <w:rPr>
          <w:rFonts w:cstheme="minorHAnsi"/>
        </w:rPr>
        <w:t xml:space="preserve">safeguards </w:t>
      </w:r>
      <w:r>
        <w:rPr>
          <w:rFonts w:cstheme="minorHAnsi"/>
        </w:rPr>
        <w:t>had in any way impeded the work of the then FWBC.</w:t>
      </w:r>
    </w:p>
    <w:p w14:paraId="0A02157A" w14:textId="5F1361C6" w:rsidR="00F06634" w:rsidRDefault="00F06634" w:rsidP="00874132">
      <w:pPr>
        <w:spacing w:before="200" w:after="200" w:line="276" w:lineRule="auto"/>
        <w:rPr>
          <w:rFonts w:cstheme="minorHAnsi"/>
        </w:rPr>
      </w:pPr>
      <w:r>
        <w:rPr>
          <w:rFonts w:cstheme="minorHAnsi"/>
        </w:rPr>
        <w:t xml:space="preserve">However, as discussed below, while these provisions </w:t>
      </w:r>
      <w:r w:rsidR="00B91B9C">
        <w:rPr>
          <w:rFonts w:cstheme="minorHAnsi"/>
        </w:rPr>
        <w:t>were not contained in the BCIIP </w:t>
      </w:r>
      <w:r>
        <w:rPr>
          <w:rFonts w:cstheme="minorHAnsi"/>
        </w:rPr>
        <w:t>Bill introduced in 2013, the majo</w:t>
      </w:r>
      <w:r w:rsidR="00823E91">
        <w:rPr>
          <w:rFonts w:cstheme="minorHAnsi"/>
        </w:rPr>
        <w:t>rity were included in the BCIIP </w:t>
      </w:r>
      <w:r>
        <w:rPr>
          <w:rFonts w:cstheme="minorHAnsi"/>
        </w:rPr>
        <w:t>Act as passed.</w:t>
      </w:r>
    </w:p>
    <w:p w14:paraId="3BDDF17D" w14:textId="7F2ECB60" w:rsidR="00874132" w:rsidRPr="00B97E9E" w:rsidRDefault="00A43A9A" w:rsidP="00874132">
      <w:pPr>
        <w:pStyle w:val="Heading3"/>
      </w:pPr>
      <w:bookmarkStart w:id="110" w:name="_Toc527633015"/>
      <w:r>
        <w:t xml:space="preserve">Views expressed by the </w:t>
      </w:r>
      <w:r w:rsidR="00874132" w:rsidRPr="00B97E9E">
        <w:t>ABC</w:t>
      </w:r>
      <w:r w:rsidR="00874132">
        <w:t> </w:t>
      </w:r>
      <w:r w:rsidR="00874132" w:rsidRPr="00B97E9E">
        <w:t>Commissioner</w:t>
      </w:r>
      <w:bookmarkEnd w:id="110"/>
    </w:p>
    <w:p w14:paraId="4930DFCA" w14:textId="2DB184FC" w:rsidR="009F5EA3" w:rsidRDefault="004661B2" w:rsidP="00874132">
      <w:pPr>
        <w:spacing w:before="200" w:after="200" w:line="276" w:lineRule="auto"/>
        <w:rPr>
          <w:rFonts w:cstheme="minorHAnsi"/>
        </w:rPr>
      </w:pPr>
      <w:r>
        <w:rPr>
          <w:rFonts w:cstheme="minorHAnsi"/>
        </w:rPr>
        <w:t>The ABC</w:t>
      </w:r>
      <w:r w:rsidR="006B549E" w:rsidRPr="00EE0A20">
        <w:rPr>
          <w:rFonts w:cstheme="minorHAnsi"/>
        </w:rPr>
        <w:t> </w:t>
      </w:r>
      <w:r>
        <w:rPr>
          <w:rFonts w:cstheme="minorHAnsi"/>
        </w:rPr>
        <w:t>Commissioner provided comment to the review in response</w:t>
      </w:r>
      <w:r w:rsidR="00DC67C0">
        <w:rPr>
          <w:rFonts w:cstheme="minorHAnsi"/>
        </w:rPr>
        <w:t xml:space="preserve"> to the proposals </w:t>
      </w:r>
      <w:r>
        <w:rPr>
          <w:rFonts w:cstheme="minorHAnsi"/>
        </w:rPr>
        <w:t>put forward by the ACTU</w:t>
      </w:r>
      <w:r w:rsidR="00DC67C0">
        <w:rPr>
          <w:rFonts w:cstheme="minorHAnsi"/>
        </w:rPr>
        <w:t xml:space="preserve"> in relation to the oversight provisions</w:t>
      </w:r>
      <w:r>
        <w:rPr>
          <w:rFonts w:cstheme="minorHAnsi"/>
        </w:rPr>
        <w:t xml:space="preserve">. </w:t>
      </w:r>
      <w:r w:rsidR="00DC08A2">
        <w:rPr>
          <w:rFonts w:cstheme="minorHAnsi"/>
        </w:rPr>
        <w:t>He</w:t>
      </w:r>
      <w:r>
        <w:rPr>
          <w:rFonts w:cstheme="minorHAnsi"/>
        </w:rPr>
        <w:t xml:space="preserve"> noted that the discovery and subpoena powers suggested by the ACTU as an alternative to the use of the compulsory examination powers are not applicable in respect of investigations occurring prior to the commencement of litigation. By contrast, the use of the compulsory examination powers involves an inquisitorial process, designed to elicit information, documents and evidence which may potentially be used in subsequent court proceedings, should these be commenced. </w:t>
      </w:r>
    </w:p>
    <w:p w14:paraId="4FA8FBDE" w14:textId="2E47C133" w:rsidR="004661B2" w:rsidRDefault="004661B2" w:rsidP="00874132">
      <w:pPr>
        <w:spacing w:before="200" w:after="200" w:line="276" w:lineRule="auto"/>
        <w:rPr>
          <w:rFonts w:cstheme="minorHAnsi"/>
        </w:rPr>
      </w:pPr>
      <w:r>
        <w:rPr>
          <w:rFonts w:cstheme="minorHAnsi"/>
        </w:rPr>
        <w:t xml:space="preserve">In relation to the reports of the </w:t>
      </w:r>
      <w:r w:rsidR="00CE5149">
        <w:rPr>
          <w:rFonts w:cstheme="minorHAnsi"/>
        </w:rPr>
        <w:t>O</w:t>
      </w:r>
      <w:r>
        <w:rPr>
          <w:rFonts w:cstheme="minorHAnsi"/>
        </w:rPr>
        <w:t xml:space="preserve">mbudsman on the exercise of the powers, the Commissioner argued that it is appropriate that these be published on the </w:t>
      </w:r>
      <w:r w:rsidR="00CE5149">
        <w:rPr>
          <w:rFonts w:cstheme="minorHAnsi"/>
        </w:rPr>
        <w:t>O</w:t>
      </w:r>
      <w:r>
        <w:rPr>
          <w:rFonts w:cstheme="minorHAnsi"/>
        </w:rPr>
        <w:t>mbudsman’s own website, as at present.</w:t>
      </w:r>
    </w:p>
    <w:p w14:paraId="65228826" w14:textId="1C0DF541" w:rsidR="004661B2" w:rsidRPr="002A51B7" w:rsidRDefault="00601772" w:rsidP="004F647D">
      <w:pPr>
        <w:pStyle w:val="Heading2"/>
        <w:numPr>
          <w:ilvl w:val="1"/>
          <w:numId w:val="17"/>
        </w:numPr>
      </w:pPr>
      <w:bookmarkStart w:id="111" w:name="_Toc523154927"/>
      <w:bookmarkStart w:id="112" w:name="_Toc527633016"/>
      <w:r>
        <w:t xml:space="preserve">Views expressed by the </w:t>
      </w:r>
      <w:r w:rsidR="002A51B7" w:rsidRPr="002A51B7">
        <w:t>Ombudsman</w:t>
      </w:r>
      <w:bookmarkEnd w:id="111"/>
      <w:bookmarkEnd w:id="112"/>
    </w:p>
    <w:p w14:paraId="141963CD" w14:textId="0C627DAE" w:rsidR="00FE0BD7" w:rsidRDefault="00FE0BD7" w:rsidP="00874132">
      <w:pPr>
        <w:spacing w:before="200" w:after="200" w:line="276" w:lineRule="auto"/>
      </w:pPr>
      <w:bookmarkStart w:id="113" w:name="_Toc515550994"/>
      <w:r>
        <w:t xml:space="preserve">Assessment of the content of the reports produced by the Ombudsman provides an important insight into the </w:t>
      </w:r>
      <w:r w:rsidR="0073310B">
        <w:t xml:space="preserve">functioning of the </w:t>
      </w:r>
      <w:r>
        <w:t>independent oversight process</w:t>
      </w:r>
      <w:r w:rsidR="00F91CAA">
        <w:t xml:space="preserve">. </w:t>
      </w:r>
      <w:r>
        <w:t>In addition, the review received a submission from the Ombudsman which specifically addressed this term of reference</w:t>
      </w:r>
      <w:r w:rsidR="00F91CAA">
        <w:t xml:space="preserve">. </w:t>
      </w:r>
    </w:p>
    <w:p w14:paraId="2D1666D9" w14:textId="00C60DE4" w:rsidR="00C4520D" w:rsidRDefault="00C4520D" w:rsidP="004F647D">
      <w:pPr>
        <w:pStyle w:val="Heading3"/>
        <w:numPr>
          <w:ilvl w:val="0"/>
          <w:numId w:val="18"/>
        </w:numPr>
        <w:ind w:left="284" w:hanging="284"/>
      </w:pPr>
      <w:bookmarkStart w:id="114" w:name="_Toc523154928"/>
      <w:bookmarkStart w:id="115" w:name="_Toc527633017"/>
      <w:r>
        <w:t>Reports on the exercise of the compulsory examination powers</w:t>
      </w:r>
      <w:bookmarkEnd w:id="113"/>
      <w:bookmarkEnd w:id="114"/>
      <w:bookmarkEnd w:id="115"/>
    </w:p>
    <w:p w14:paraId="3C1026FB" w14:textId="327646A5" w:rsidR="009F24D3" w:rsidRDefault="009F24D3" w:rsidP="002D5359">
      <w:pPr>
        <w:spacing w:before="200" w:after="200" w:line="276" w:lineRule="auto"/>
      </w:pPr>
      <w:r>
        <w:t xml:space="preserve">The </w:t>
      </w:r>
      <w:r w:rsidR="00F06634">
        <w:t xml:space="preserve">three </w:t>
      </w:r>
      <w:r>
        <w:t>most recently published Ombudsman’s reviews of the use of the compulsory examination powers are</w:t>
      </w:r>
      <w:r w:rsidR="00364CEE">
        <w:t>:</w:t>
      </w:r>
      <w:r w:rsidR="00364CEE">
        <w:rPr>
          <w:rStyle w:val="FootnoteReference"/>
        </w:rPr>
        <w:footnoteReference w:id="33"/>
      </w:r>
    </w:p>
    <w:p w14:paraId="52B44CE4" w14:textId="6C4B10BD" w:rsidR="009F24D3" w:rsidRDefault="00CE5149" w:rsidP="004F647D">
      <w:pPr>
        <w:pStyle w:val="ListBullet"/>
        <w:numPr>
          <w:ilvl w:val="0"/>
          <w:numId w:val="9"/>
        </w:numPr>
        <w:ind w:left="360"/>
      </w:pPr>
      <w:r>
        <w:t>the annual review report</w:t>
      </w:r>
      <w:r w:rsidR="009F24D3">
        <w:t>, covering e</w:t>
      </w:r>
      <w:r w:rsidR="00B627D0">
        <w:t>xaminations conducted in 2015</w:t>
      </w:r>
      <w:r w:rsidR="00B627D0">
        <w:noBreakHyphen/>
      </w:r>
      <w:r w:rsidR="009F24D3">
        <w:t xml:space="preserve">16, </w:t>
      </w:r>
      <w:r w:rsidR="00B627D0">
        <w:t>which was published in November </w:t>
      </w:r>
      <w:r w:rsidR="009F24D3">
        <w:t>2017</w:t>
      </w:r>
      <w:r w:rsidR="001C713A">
        <w:rPr>
          <w:rStyle w:val="FootnoteReference"/>
        </w:rPr>
        <w:footnoteReference w:id="34"/>
      </w:r>
    </w:p>
    <w:p w14:paraId="044A6C26" w14:textId="1A934305" w:rsidR="00F06634" w:rsidRDefault="00CE5149" w:rsidP="004F647D">
      <w:pPr>
        <w:pStyle w:val="ListBullet"/>
        <w:numPr>
          <w:ilvl w:val="0"/>
          <w:numId w:val="9"/>
        </w:numPr>
        <w:ind w:left="360"/>
      </w:pPr>
      <w:r w:rsidRPr="00FB2137">
        <w:t>the quarterly review report</w:t>
      </w:r>
      <w:r w:rsidR="009F24D3" w:rsidRPr="00FB2137">
        <w:t>, covering examinations conducted in the</w:t>
      </w:r>
      <w:r w:rsidR="00B627D0" w:rsidRPr="00FB2137">
        <w:t xml:space="preserve"> first three quarters of 2016</w:t>
      </w:r>
      <w:r w:rsidR="00B627D0" w:rsidRPr="00FB2137">
        <w:noBreakHyphen/>
      </w:r>
      <w:r w:rsidR="009F24D3" w:rsidRPr="00FB2137">
        <w:t>1</w:t>
      </w:r>
      <w:r w:rsidR="00B627D0" w:rsidRPr="00FB2137">
        <w:t>7, which was published in March </w:t>
      </w:r>
      <w:r w:rsidR="009F24D3" w:rsidRPr="00FB2137">
        <w:t>2018</w:t>
      </w:r>
      <w:r w:rsidR="00FB2137">
        <w:rPr>
          <w:rStyle w:val="FootnoteReference"/>
        </w:rPr>
        <w:footnoteReference w:id="35"/>
      </w:r>
    </w:p>
    <w:p w14:paraId="69F69B45" w14:textId="4E64D738" w:rsidR="009F24D3" w:rsidRDefault="00F06634" w:rsidP="004F647D">
      <w:pPr>
        <w:pStyle w:val="ListBullet"/>
        <w:numPr>
          <w:ilvl w:val="0"/>
          <w:numId w:val="9"/>
        </w:numPr>
        <w:ind w:left="360"/>
      </w:pPr>
      <w:r>
        <w:t>the quarterly review report covering examinations conducted in the first quarter of 2017</w:t>
      </w:r>
      <w:r w:rsidR="006B549E" w:rsidRPr="00C67D1D">
        <w:noBreakHyphen/>
      </w:r>
      <w:r>
        <w:t>18, which was published in July 2018</w:t>
      </w:r>
      <w:r w:rsidR="009F24D3">
        <w:t>.</w:t>
      </w:r>
      <w:r w:rsidR="001C713A">
        <w:rPr>
          <w:rStyle w:val="FootnoteReference"/>
        </w:rPr>
        <w:footnoteReference w:id="36"/>
      </w:r>
    </w:p>
    <w:p w14:paraId="34AF9B1B" w14:textId="53B529ED" w:rsidR="009F24D3" w:rsidRDefault="00FE0BD7" w:rsidP="002D5359">
      <w:pPr>
        <w:spacing w:before="200" w:after="200" w:line="276" w:lineRule="auto"/>
      </w:pPr>
      <w:r>
        <w:lastRenderedPageBreak/>
        <w:t>T</w:t>
      </w:r>
      <w:r w:rsidR="009F24D3">
        <w:t>he first of these reports covers the exercise of the compulsory examination powers by FWB</w:t>
      </w:r>
      <w:r w:rsidR="00785080">
        <w:t>C</w:t>
      </w:r>
      <w:r w:rsidR="009F24D3">
        <w:t xml:space="preserve"> under the</w:t>
      </w:r>
      <w:r w:rsidR="00816A3E">
        <w:t xml:space="preserve"> FWBI</w:t>
      </w:r>
      <w:r w:rsidR="005C2643">
        <w:t> </w:t>
      </w:r>
      <w:r w:rsidR="00816A3E">
        <w:t>Act</w:t>
      </w:r>
      <w:r w:rsidR="009F24D3">
        <w:t xml:space="preserve">, while the second of these reports covers examinations conducted </w:t>
      </w:r>
      <w:r w:rsidR="006624C6">
        <w:t xml:space="preserve">by both </w:t>
      </w:r>
      <w:r w:rsidR="006B549E" w:rsidRPr="00C67D1D">
        <w:t>the </w:t>
      </w:r>
      <w:r w:rsidR="006624C6">
        <w:t xml:space="preserve">FWBC and </w:t>
      </w:r>
      <w:r w:rsidR="006B549E" w:rsidRPr="00C67D1D">
        <w:t>the </w:t>
      </w:r>
      <w:r w:rsidR="006624C6">
        <w:t>ABCC</w:t>
      </w:r>
      <w:r w:rsidR="00F06634">
        <w:t xml:space="preserve"> and the third covers examinations conducted by the ABCC</w:t>
      </w:r>
      <w:r w:rsidR="006624C6">
        <w:t>.</w:t>
      </w:r>
    </w:p>
    <w:p w14:paraId="4FDE2A02" w14:textId="3B1C96A6" w:rsidR="003B3B06" w:rsidRPr="007A3F17" w:rsidRDefault="003B3B06" w:rsidP="002D5359">
      <w:pPr>
        <w:spacing w:before="200" w:after="200" w:line="276" w:lineRule="auto"/>
      </w:pPr>
      <w:r>
        <w:t>The November</w:t>
      </w:r>
      <w:r w:rsidR="005C2643">
        <w:t> </w:t>
      </w:r>
      <w:r>
        <w:t>2017 report sets out the five criteria used by the Ombudsman in carrying out his review function. These are:</w:t>
      </w:r>
    </w:p>
    <w:p w14:paraId="72F5B4BC" w14:textId="2C754680" w:rsidR="003B3B06" w:rsidRPr="002D5359" w:rsidRDefault="003B3B06" w:rsidP="004F647D">
      <w:pPr>
        <w:pStyle w:val="ListNumber"/>
        <w:numPr>
          <w:ilvl w:val="0"/>
          <w:numId w:val="19"/>
        </w:numPr>
        <w:ind w:left="360"/>
        <w:rPr>
          <w:rFonts w:ascii="Calibri" w:hAnsi="Calibri" w:cs="Calibri"/>
          <w:color w:val="000000"/>
        </w:rPr>
      </w:pPr>
      <w:r w:rsidRPr="002D5359">
        <w:rPr>
          <w:rFonts w:ascii="Calibri" w:hAnsi="Calibri" w:cs="Calibri"/>
          <w:color w:val="000000"/>
        </w:rPr>
        <w:t>Were the applications for examination notices made in accordance with the requirements of the BCIIP</w:t>
      </w:r>
      <w:r w:rsidR="005C2643" w:rsidRPr="002D5359">
        <w:rPr>
          <w:rFonts w:ascii="Calibri" w:hAnsi="Calibri" w:cs="Calibri"/>
          <w:color w:val="000000"/>
        </w:rPr>
        <w:t> </w:t>
      </w:r>
      <w:r w:rsidRPr="002D5359">
        <w:rPr>
          <w:rFonts w:ascii="Calibri" w:hAnsi="Calibri" w:cs="Calibri"/>
          <w:color w:val="000000"/>
        </w:rPr>
        <w:t xml:space="preserve">Act and the Regulations? </w:t>
      </w:r>
    </w:p>
    <w:p w14:paraId="06749DFA" w14:textId="2EEE3D47" w:rsidR="003B3B06" w:rsidRPr="00FE0BD7" w:rsidRDefault="003B3B06" w:rsidP="004F647D">
      <w:pPr>
        <w:pStyle w:val="ListNumber"/>
        <w:numPr>
          <w:ilvl w:val="0"/>
          <w:numId w:val="19"/>
        </w:numPr>
        <w:ind w:left="360"/>
        <w:rPr>
          <w:rFonts w:ascii="Calibri" w:hAnsi="Calibri" w:cs="Calibri"/>
          <w:color w:val="000000"/>
        </w:rPr>
      </w:pPr>
      <w:r w:rsidRPr="00FE0BD7">
        <w:rPr>
          <w:rFonts w:ascii="Calibri" w:hAnsi="Calibri" w:cs="Calibri"/>
          <w:color w:val="000000"/>
        </w:rPr>
        <w:t>Did the examination notice comply with the requirements of the BCIIP</w:t>
      </w:r>
      <w:r w:rsidR="005C2643">
        <w:rPr>
          <w:rFonts w:ascii="Calibri" w:hAnsi="Calibri" w:cs="Calibri"/>
          <w:color w:val="000000"/>
        </w:rPr>
        <w:t> </w:t>
      </w:r>
      <w:r w:rsidRPr="00FE0BD7">
        <w:rPr>
          <w:rFonts w:ascii="Calibri" w:hAnsi="Calibri" w:cs="Calibri"/>
          <w:color w:val="000000"/>
        </w:rPr>
        <w:t xml:space="preserve">Act, the Regulations, and relevant best practice principles set out by the Administrative Review Council? </w:t>
      </w:r>
    </w:p>
    <w:p w14:paraId="3C954A4E" w14:textId="1F6A4A83" w:rsidR="003B3B06" w:rsidRPr="00FE0BD7" w:rsidRDefault="003B3B06" w:rsidP="004F647D">
      <w:pPr>
        <w:pStyle w:val="ListNumber"/>
        <w:numPr>
          <w:ilvl w:val="0"/>
          <w:numId w:val="19"/>
        </w:numPr>
        <w:ind w:left="360"/>
        <w:rPr>
          <w:rFonts w:ascii="Calibri" w:hAnsi="Calibri" w:cs="Calibri"/>
          <w:color w:val="000000"/>
        </w:rPr>
      </w:pPr>
      <w:r w:rsidRPr="00FE0BD7">
        <w:rPr>
          <w:rFonts w:ascii="Calibri" w:hAnsi="Calibri" w:cs="Calibri"/>
          <w:color w:val="000000"/>
        </w:rPr>
        <w:t>Was the examination notice given in accordance with the requirements of the BCIIP</w:t>
      </w:r>
      <w:r w:rsidR="005C2643">
        <w:rPr>
          <w:rFonts w:ascii="Calibri" w:hAnsi="Calibri" w:cs="Calibri"/>
          <w:color w:val="000000"/>
        </w:rPr>
        <w:t> </w:t>
      </w:r>
      <w:r w:rsidRPr="00FE0BD7">
        <w:rPr>
          <w:rFonts w:ascii="Calibri" w:hAnsi="Calibri" w:cs="Calibri"/>
          <w:color w:val="000000"/>
        </w:rPr>
        <w:t xml:space="preserve">Act and were claims of privilege properly dealt with? </w:t>
      </w:r>
    </w:p>
    <w:p w14:paraId="16A62846" w14:textId="084266FF" w:rsidR="003B3B06" w:rsidRPr="00FE0BD7" w:rsidRDefault="003B3B06" w:rsidP="004F647D">
      <w:pPr>
        <w:pStyle w:val="ListNumber"/>
        <w:numPr>
          <w:ilvl w:val="0"/>
          <w:numId w:val="19"/>
        </w:numPr>
        <w:ind w:left="360"/>
        <w:rPr>
          <w:rFonts w:ascii="Calibri" w:hAnsi="Calibri" w:cs="Calibri"/>
          <w:color w:val="000000"/>
        </w:rPr>
      </w:pPr>
      <w:r w:rsidRPr="00FE0BD7">
        <w:rPr>
          <w:rFonts w:ascii="Calibri" w:hAnsi="Calibri" w:cs="Calibri"/>
          <w:color w:val="000000"/>
        </w:rPr>
        <w:t>Was the examination conducted in accordance with the requirements of the BCIIP</w:t>
      </w:r>
      <w:r w:rsidR="005C2643">
        <w:rPr>
          <w:rFonts w:ascii="Calibri" w:hAnsi="Calibri" w:cs="Calibri"/>
          <w:color w:val="000000"/>
        </w:rPr>
        <w:t> </w:t>
      </w:r>
      <w:r w:rsidRPr="00FE0BD7">
        <w:rPr>
          <w:rFonts w:ascii="Calibri" w:hAnsi="Calibri" w:cs="Calibri"/>
          <w:color w:val="000000"/>
        </w:rPr>
        <w:t xml:space="preserve">Act, relevant best-practice principles, standards and </w:t>
      </w:r>
      <w:r w:rsidR="006B549E" w:rsidRPr="00EE0A20">
        <w:rPr>
          <w:rFonts w:ascii="Calibri" w:hAnsi="Calibri" w:cs="Calibri"/>
          <w:color w:val="000000"/>
        </w:rPr>
        <w:t>the </w:t>
      </w:r>
      <w:r w:rsidRPr="00FE0BD7">
        <w:rPr>
          <w:rFonts w:ascii="Calibri" w:hAnsi="Calibri" w:cs="Calibri"/>
          <w:color w:val="000000"/>
        </w:rPr>
        <w:t xml:space="preserve">ABCC’s internal policies and guidelines? </w:t>
      </w:r>
    </w:p>
    <w:p w14:paraId="2EFE965C" w14:textId="77777777" w:rsidR="003B3B06" w:rsidRPr="00FE0BD7" w:rsidRDefault="003B3B06" w:rsidP="004F647D">
      <w:pPr>
        <w:pStyle w:val="ListNumber"/>
        <w:numPr>
          <w:ilvl w:val="0"/>
          <w:numId w:val="19"/>
        </w:numPr>
        <w:ind w:left="360"/>
        <w:rPr>
          <w:rFonts w:ascii="Calibri" w:hAnsi="Calibri" w:cs="Calibri"/>
          <w:color w:val="000000"/>
        </w:rPr>
      </w:pPr>
      <w:r w:rsidRPr="00FE0BD7">
        <w:rPr>
          <w:rFonts w:ascii="Calibri" w:hAnsi="Calibri" w:cs="Calibri"/>
          <w:color w:val="000000"/>
        </w:rPr>
        <w:t xml:space="preserve">Where directions were issued by the Minister, were these complied with? </w:t>
      </w:r>
    </w:p>
    <w:p w14:paraId="2C6F9AD3" w14:textId="078E9CD2" w:rsidR="003B3B06" w:rsidRDefault="006B549E" w:rsidP="002D5359">
      <w:pPr>
        <w:spacing w:before="200" w:after="200" w:line="276" w:lineRule="auto"/>
      </w:pPr>
      <w:r w:rsidRPr="00EE0A20">
        <w:t>Appendix B</w:t>
      </w:r>
      <w:r w:rsidR="003B3B06">
        <w:t xml:space="preserve"> to the</w:t>
      </w:r>
      <w:r w:rsidRPr="00EE0A20">
        <w:t xml:space="preserve"> Ombudsman</w:t>
      </w:r>
      <w:r w:rsidR="003B3B06">
        <w:t xml:space="preserve"> report provides detailed assessments against each </w:t>
      </w:r>
      <w:r w:rsidR="00E01867">
        <w:t>of these criteria. The November </w:t>
      </w:r>
      <w:r w:rsidR="003B3B06">
        <w:t xml:space="preserve">2017 report assessed the </w:t>
      </w:r>
      <w:r w:rsidR="00696621">
        <w:t>FWBC</w:t>
      </w:r>
      <w:r w:rsidR="003B3B06">
        <w:t xml:space="preserve"> as fully compliant with criteria </w:t>
      </w:r>
      <w:r w:rsidR="00696621">
        <w:t>3</w:t>
      </w:r>
      <w:r w:rsidR="003B3B06">
        <w:t xml:space="preserve"> and </w:t>
      </w:r>
      <w:r w:rsidR="00696621">
        <w:t>4</w:t>
      </w:r>
      <w:r w:rsidR="003B3B06">
        <w:t xml:space="preserve"> and as</w:t>
      </w:r>
      <w:r w:rsidR="00696621">
        <w:t xml:space="preserve"> being generally compliant with criteria 1 and 2</w:t>
      </w:r>
      <w:r w:rsidR="009F5EA3">
        <w:t>, with minor exceptions noted</w:t>
      </w:r>
      <w:r w:rsidRPr="00EE0A20">
        <w:t>.</w:t>
      </w:r>
      <w:r w:rsidR="00696621">
        <w:rPr>
          <w:rStyle w:val="FootnoteReference"/>
        </w:rPr>
        <w:footnoteReference w:id="37"/>
      </w:r>
      <w:r w:rsidR="00F91CAA">
        <w:t xml:space="preserve"> </w:t>
      </w:r>
      <w:r w:rsidR="00696621">
        <w:t>In relation to the fifth criterion, the Ombudsman highlighted the fact that the FWBC Director expressed a preference to examinee</w:t>
      </w:r>
      <w:r w:rsidR="00796A42">
        <w:t>s</w:t>
      </w:r>
      <w:r w:rsidR="00696621">
        <w:t xml:space="preserve"> that they not disclose the subject of the examination in all but one case and argued that this approach was co</w:t>
      </w:r>
      <w:r w:rsidR="00E01867">
        <w:t xml:space="preserve">ntrary to the </w:t>
      </w:r>
      <w:r w:rsidR="00AE3A40">
        <w:t xml:space="preserve">intent </w:t>
      </w:r>
      <w:r w:rsidR="00E01867">
        <w:t>of subsection 51(6) of the FWBI </w:t>
      </w:r>
      <w:r w:rsidR="00696621">
        <w:t xml:space="preserve">Act, which explicitly prohibited the Director from requiring </w:t>
      </w:r>
      <w:r w:rsidR="00E732BC">
        <w:t>a witness</w:t>
      </w:r>
      <w:r w:rsidRPr="00C67D1D">
        <w:t xml:space="preserve"> </w:t>
      </w:r>
      <w:r w:rsidR="00696621">
        <w:t xml:space="preserve">to undertake not to disclose </w:t>
      </w:r>
      <w:r w:rsidR="00EB41B7">
        <w:t>matters</w:t>
      </w:r>
      <w:r w:rsidR="00696621">
        <w:t xml:space="preserve"> discussed in the examination</w:t>
      </w:r>
      <w:r w:rsidRPr="00C67D1D">
        <w:t>.</w:t>
      </w:r>
      <w:r w:rsidR="0030684D">
        <w:rPr>
          <w:rStyle w:val="FootnoteReference"/>
        </w:rPr>
        <w:footnoteReference w:id="38"/>
      </w:r>
      <w:r w:rsidR="00696621">
        <w:t xml:space="preserve"> As a result of this finding, a single recommendati</w:t>
      </w:r>
      <w:r w:rsidR="00E01867">
        <w:t>on was included in the November </w:t>
      </w:r>
      <w:r w:rsidR="00696621">
        <w:t>2017 report. This was as follows:</w:t>
      </w:r>
    </w:p>
    <w:p w14:paraId="50935702" w14:textId="1E465A1B" w:rsidR="00696621" w:rsidRPr="00C25EBC" w:rsidRDefault="00696621" w:rsidP="002D5359">
      <w:pPr>
        <w:spacing w:after="200" w:line="276" w:lineRule="auto"/>
        <w:ind w:left="426"/>
        <w:rPr>
          <w:color w:val="000000"/>
        </w:rPr>
      </w:pPr>
      <w:r w:rsidRPr="00E13862">
        <w:rPr>
          <w:color w:val="000000"/>
          <w:sz w:val="20"/>
        </w:rPr>
        <w:t>Under s</w:t>
      </w:r>
      <w:r w:rsidR="006B549E" w:rsidRPr="00C67D1D">
        <w:rPr>
          <w:rFonts w:cstheme="minorHAnsi"/>
          <w:color w:val="000000"/>
          <w:sz w:val="20"/>
          <w:szCs w:val="20"/>
        </w:rPr>
        <w:t> </w:t>
      </w:r>
      <w:r w:rsidRPr="00C25EBC">
        <w:rPr>
          <w:color w:val="000000"/>
          <w:sz w:val="20"/>
        </w:rPr>
        <w:t>51(6) of the Fair Work (Building Industry) Act</w:t>
      </w:r>
      <w:r w:rsidR="005C2643" w:rsidRPr="00C25EBC">
        <w:rPr>
          <w:color w:val="000000"/>
          <w:sz w:val="20"/>
        </w:rPr>
        <w:t> </w:t>
      </w:r>
      <w:r w:rsidRPr="00C25EBC">
        <w:rPr>
          <w:color w:val="000000"/>
          <w:sz w:val="20"/>
        </w:rPr>
        <w:t>2012, the Director of Fair Work Building and Construction must not require an examinee to undertake not to disclose information or answers given at the examination or not to discuss matters relating to the examination with any other person and should not express a preference in this regard.</w:t>
      </w:r>
      <w:r w:rsidR="00AE3A40" w:rsidRPr="00C25EBC">
        <w:rPr>
          <w:rStyle w:val="FootnoteReference"/>
          <w:color w:val="000000"/>
        </w:rPr>
        <w:footnoteReference w:id="39"/>
      </w:r>
    </w:p>
    <w:p w14:paraId="59B0A43B" w14:textId="78A82DF2" w:rsidR="00696621" w:rsidRDefault="00696621" w:rsidP="002D5359">
      <w:pPr>
        <w:spacing w:before="200" w:after="200" w:line="276" w:lineRule="auto"/>
      </w:pPr>
      <w:r>
        <w:t xml:space="preserve">The report notes that the same recommendation had been included in the Ombudsman’s review report covering </w:t>
      </w:r>
      <w:r w:rsidR="006B549E" w:rsidRPr="00C67D1D">
        <w:t>the </w:t>
      </w:r>
      <w:r>
        <w:t>FWBC’s use of the compulsory examination powers during 2014</w:t>
      </w:r>
      <w:r w:rsidR="006B549E" w:rsidRPr="00C67D1D">
        <w:noBreakHyphen/>
      </w:r>
      <w:r>
        <w:t xml:space="preserve">15, and that it had been rejected by the </w:t>
      </w:r>
      <w:r w:rsidR="006B549E" w:rsidRPr="00C67D1D">
        <w:t>FWBC </w:t>
      </w:r>
      <w:r>
        <w:t>Director</w:t>
      </w:r>
      <w:r w:rsidR="005E009E">
        <w:t>, who argued that any request that an examinee not disclose the subject matter of an examination was reasonable when balanced by a clear statement that there was no prohibition on information disclosure, and that the Ombudsman’s oversight provided examinees with sufficient protection</w:t>
      </w:r>
      <w:r w:rsidR="00F91CAA">
        <w:t xml:space="preserve">. </w:t>
      </w:r>
      <w:r w:rsidR="0073310B">
        <w:t>However, t</w:t>
      </w:r>
      <w:r w:rsidR="005E009E">
        <w:t>he report also noted that the acting ABC</w:t>
      </w:r>
      <w:r w:rsidR="006B549E" w:rsidRPr="00E732BC">
        <w:t> </w:t>
      </w:r>
      <w:r w:rsidR="005E009E">
        <w:t>Commissioner had informed the Ombudsman that the practice of expressing a preference that witnesses do not disclose the content of their examinations has been reviewed and is no longer expressed to witnesses as a matter of course.</w:t>
      </w:r>
    </w:p>
    <w:p w14:paraId="68994B57" w14:textId="75E9ABCA" w:rsidR="003B3B06" w:rsidRDefault="0030684D" w:rsidP="002D5359">
      <w:pPr>
        <w:spacing w:before="200" w:after="200" w:line="276" w:lineRule="auto"/>
      </w:pPr>
      <w:r>
        <w:lastRenderedPageBreak/>
        <w:t>In addition to this one recommendation, the November</w:t>
      </w:r>
      <w:r w:rsidR="006B549E" w:rsidRPr="00E732BC">
        <w:t> </w:t>
      </w:r>
      <w:r>
        <w:t xml:space="preserve">2017 report makes three </w:t>
      </w:r>
      <w:r w:rsidR="006B549E" w:rsidRPr="00E732BC">
        <w:t>‘suggestions’</w:t>
      </w:r>
      <w:r>
        <w:t xml:space="preserve"> for improvement in the use of the compulsory examination powers, which it noted continued to be applicable to the use of the equivalent powers under the BCIIP</w:t>
      </w:r>
      <w:r w:rsidR="005C2643">
        <w:t> </w:t>
      </w:r>
      <w:r>
        <w:t>Act by the ABCC. These suggestions were</w:t>
      </w:r>
      <w:r w:rsidR="0073310B">
        <w:t xml:space="preserve"> that the </w:t>
      </w:r>
      <w:r w:rsidR="006B549E" w:rsidRPr="00E732BC">
        <w:t>ABC </w:t>
      </w:r>
      <w:r w:rsidR="0073310B">
        <w:t>Commissioner should</w:t>
      </w:r>
      <w:r>
        <w:t>:</w:t>
      </w:r>
    </w:p>
    <w:p w14:paraId="0FD21FFB" w14:textId="31B01E78" w:rsidR="0030684D" w:rsidRPr="000378F8" w:rsidRDefault="0030684D" w:rsidP="004F647D">
      <w:pPr>
        <w:pStyle w:val="ListBullet"/>
        <w:numPr>
          <w:ilvl w:val="0"/>
          <w:numId w:val="9"/>
        </w:numPr>
        <w:ind w:left="360"/>
        <w:rPr>
          <w:color w:val="000000"/>
        </w:rPr>
      </w:pPr>
      <w:r w:rsidRPr="000378F8">
        <w:rPr>
          <w:color w:val="000000"/>
        </w:rPr>
        <w:t xml:space="preserve">ensure that questioning of examinees is limited to the investigation or investigations for which the examination notice was issued </w:t>
      </w:r>
    </w:p>
    <w:p w14:paraId="0B21A665" w14:textId="4C8DA0C2" w:rsidR="0030684D" w:rsidRPr="000378F8" w:rsidRDefault="0030684D" w:rsidP="004F647D">
      <w:pPr>
        <w:pStyle w:val="ListBullet"/>
        <w:numPr>
          <w:ilvl w:val="0"/>
          <w:numId w:val="9"/>
        </w:numPr>
        <w:ind w:left="360"/>
        <w:rPr>
          <w:color w:val="000000"/>
        </w:rPr>
      </w:pPr>
      <w:r w:rsidRPr="000378F8">
        <w:rPr>
          <w:color w:val="000000"/>
        </w:rPr>
        <w:t xml:space="preserve">inform examinees that they are not required to give evidence on matters outside the scope of the examination notice </w:t>
      </w:r>
    </w:p>
    <w:p w14:paraId="24F92BBD" w14:textId="47572CC8" w:rsidR="0030684D" w:rsidRPr="000378F8" w:rsidRDefault="0030684D" w:rsidP="004F647D">
      <w:pPr>
        <w:pStyle w:val="ListBullet"/>
        <w:numPr>
          <w:ilvl w:val="0"/>
          <w:numId w:val="9"/>
        </w:numPr>
        <w:ind w:left="360"/>
        <w:rPr>
          <w:color w:val="000000"/>
        </w:rPr>
      </w:pPr>
      <w:r w:rsidRPr="000378F8">
        <w:rPr>
          <w:color w:val="000000"/>
        </w:rPr>
        <w:t>should allow an examinee time to answer questions in their own words and from their own experiences.</w:t>
      </w:r>
      <w:r w:rsidRPr="000378F8">
        <w:rPr>
          <w:rStyle w:val="FootnoteReference"/>
          <w:color w:val="000000"/>
        </w:rPr>
        <w:footnoteReference w:id="40"/>
      </w:r>
    </w:p>
    <w:p w14:paraId="53D92CEB" w14:textId="29B8CA55" w:rsidR="00F40B5B" w:rsidRPr="002D5359" w:rsidRDefault="00CC53AB" w:rsidP="002D5359">
      <w:pPr>
        <w:spacing w:before="200" w:after="200" w:line="276" w:lineRule="auto"/>
      </w:pPr>
      <w:r>
        <w:t>The March</w:t>
      </w:r>
      <w:r w:rsidR="006B549E" w:rsidRPr="00C67D1D">
        <w:t> </w:t>
      </w:r>
      <w:r>
        <w:t>2018 Ombudsman’s report highlights the previous report</w:t>
      </w:r>
      <w:r w:rsidR="00C4520D">
        <w:t>’</w:t>
      </w:r>
      <w:r>
        <w:t>s recommendation</w:t>
      </w:r>
      <w:r w:rsidR="00C4520D">
        <w:t>,</w:t>
      </w:r>
      <w:r>
        <w:t xml:space="preserve"> in relation to the </w:t>
      </w:r>
      <w:r w:rsidR="006B549E" w:rsidRPr="00C67D1D">
        <w:t>ABC </w:t>
      </w:r>
      <w:r>
        <w:t>Commissioner expressing a preference to examinees for matters discussed not to be disclosed</w:t>
      </w:r>
      <w:r w:rsidR="00C4520D">
        <w:t>,</w:t>
      </w:r>
      <w:r>
        <w:t xml:space="preserve"> and reports that there had been a change in the practice of the </w:t>
      </w:r>
      <w:r w:rsidR="006B549E" w:rsidRPr="00C67D1D">
        <w:t>ABC </w:t>
      </w:r>
      <w:r>
        <w:t>Commissioner during the reporting period. This was that</w:t>
      </w:r>
      <w:r w:rsidR="009F5EA3">
        <w:t xml:space="preserve"> during the most recent review period, </w:t>
      </w:r>
      <w:r w:rsidRPr="009F5EA3">
        <w:t xml:space="preserve">the </w:t>
      </w:r>
      <w:r w:rsidR="006B549E" w:rsidRPr="00E732BC">
        <w:t>FWBC </w:t>
      </w:r>
      <w:r w:rsidRPr="009F5EA3">
        <w:t xml:space="preserve">Director only appeared to state a preference for the examinee not to discuss the examination if the examinee was </w:t>
      </w:r>
      <w:r w:rsidRPr="002D5359">
        <w:t>a union member.</w:t>
      </w:r>
      <w:r w:rsidRPr="002D5359">
        <w:rPr>
          <w:rStyle w:val="FootnoteReference"/>
        </w:rPr>
        <w:footnoteReference w:id="41"/>
      </w:r>
    </w:p>
    <w:p w14:paraId="4D9D1B12" w14:textId="3D2E6118" w:rsidR="00CC53AB" w:rsidRDefault="002A54ED" w:rsidP="002D5359">
      <w:pPr>
        <w:spacing w:before="200" w:after="200" w:line="276" w:lineRule="auto"/>
      </w:pPr>
      <w:r>
        <w:t xml:space="preserve">The report indicates that, </w:t>
      </w:r>
      <w:r w:rsidR="00577CBA">
        <w:t>because of</w:t>
      </w:r>
      <w:r>
        <w:t xml:space="preserve"> this apparent change in approach, the preference for nondisclosure had been expressed in only two of nine examinations</w:t>
      </w:r>
      <w:r w:rsidR="00F91CAA">
        <w:t xml:space="preserve">. </w:t>
      </w:r>
      <w:r>
        <w:t xml:space="preserve">However, the Ombudsman expressed the view that the practice of expressing this preference should be ceased in all cases and, as a result, </w:t>
      </w:r>
      <w:r w:rsidR="009F5EA3">
        <w:t xml:space="preserve">repeated its previous recommendation in this regard in its </w:t>
      </w:r>
      <w:r>
        <w:t>March</w:t>
      </w:r>
      <w:r w:rsidR="006B549E" w:rsidRPr="00E732BC">
        <w:t> </w:t>
      </w:r>
      <w:r>
        <w:t>2018 report</w:t>
      </w:r>
      <w:r w:rsidR="002D5359">
        <w:t>.</w:t>
      </w:r>
    </w:p>
    <w:p w14:paraId="5311500B" w14:textId="58D7BB01" w:rsidR="002A54ED" w:rsidRDefault="00C4520D" w:rsidP="002D5359">
      <w:pPr>
        <w:spacing w:before="200" w:after="200" w:line="276" w:lineRule="auto"/>
      </w:pPr>
      <w:r>
        <w:t>The March</w:t>
      </w:r>
      <w:r w:rsidR="006B549E" w:rsidRPr="00E732BC">
        <w:t> </w:t>
      </w:r>
      <w:r>
        <w:t xml:space="preserve">2018 report notes that </w:t>
      </w:r>
      <w:r w:rsidR="006B549E" w:rsidRPr="00E732BC">
        <w:t xml:space="preserve">the </w:t>
      </w:r>
      <w:r>
        <w:t xml:space="preserve">FWBC was not assessed against criteria 1, 2 or 3, and that criterion 5 was not applicable during the period. </w:t>
      </w:r>
      <w:r w:rsidR="006B549E" w:rsidRPr="00E732BC">
        <w:t xml:space="preserve">The </w:t>
      </w:r>
      <w:r w:rsidR="009F5EA3">
        <w:t>FWBC</w:t>
      </w:r>
      <w:r>
        <w:t xml:space="preserve"> was assessed as being compliant with criterion 4, albeit that the above recommendation relates to this criterion.</w:t>
      </w:r>
    </w:p>
    <w:p w14:paraId="10BFEAFF" w14:textId="78E99C18" w:rsidR="00AE3A40" w:rsidRDefault="00AE3A40" w:rsidP="002D5359">
      <w:pPr>
        <w:spacing w:before="200" w:after="200" w:line="276" w:lineRule="auto"/>
      </w:pPr>
      <w:r>
        <w:t>The July</w:t>
      </w:r>
      <w:r w:rsidR="006B549E" w:rsidRPr="00E45E66">
        <w:t> </w:t>
      </w:r>
      <w:r>
        <w:t xml:space="preserve">2018 quarterly report notes that no examinations were conducted during the relevant quarter and states that </w:t>
      </w:r>
      <w:r w:rsidR="006B549E" w:rsidRPr="00EE0A20">
        <w:t>‘</w:t>
      </w:r>
      <w:r w:rsidR="005452A4">
        <w:t>[a]</w:t>
      </w:r>
      <w:r w:rsidRPr="000378F8">
        <w:t>s no reviews were conducted during the quarter, we will assess the ABCC’s progress in addressing the issues identified in our previous report,</w:t>
      </w:r>
      <w:r w:rsidRPr="000378F8">
        <w:rPr>
          <w:sz w:val="14"/>
        </w:rPr>
        <w:t xml:space="preserve"> </w:t>
      </w:r>
      <w:r w:rsidRPr="000378F8">
        <w:t>during the next round of reviews</w:t>
      </w:r>
      <w:r>
        <w:t>.’</w:t>
      </w:r>
      <w:r w:rsidR="005452A4">
        <w:rPr>
          <w:rStyle w:val="FootnoteReference"/>
        </w:rPr>
        <w:footnoteReference w:id="42"/>
      </w:r>
    </w:p>
    <w:p w14:paraId="49D8750C" w14:textId="412796CF" w:rsidR="00C4520D" w:rsidRDefault="009D2459" w:rsidP="004F647D">
      <w:pPr>
        <w:pStyle w:val="Heading3"/>
        <w:numPr>
          <w:ilvl w:val="0"/>
          <w:numId w:val="18"/>
        </w:numPr>
        <w:ind w:left="284" w:hanging="284"/>
      </w:pPr>
      <w:bookmarkStart w:id="116" w:name="_Toc515550995"/>
      <w:bookmarkStart w:id="117" w:name="_Toc523154929"/>
      <w:bookmarkStart w:id="118" w:name="_Toc527633018"/>
      <w:r>
        <w:t>Ombudsman’s submission to the r</w:t>
      </w:r>
      <w:r w:rsidR="00C4520D">
        <w:t>eview</w:t>
      </w:r>
      <w:bookmarkEnd w:id="116"/>
      <w:bookmarkEnd w:id="117"/>
      <w:bookmarkEnd w:id="118"/>
    </w:p>
    <w:p w14:paraId="31F20F18" w14:textId="3A571576" w:rsidR="00C4520D" w:rsidRPr="009F5EA3" w:rsidRDefault="00C4520D" w:rsidP="002D5359">
      <w:pPr>
        <w:spacing w:before="200" w:after="200" w:line="276" w:lineRule="auto"/>
      </w:pPr>
      <w:r w:rsidRPr="009F5EA3">
        <w:t>The Ombudsman’s submission to the review stated that his office had reviewed seven examinations since the commencement of the BCIIP</w:t>
      </w:r>
      <w:r w:rsidR="005C2643">
        <w:t> </w:t>
      </w:r>
      <w:r w:rsidRPr="009F5EA3">
        <w:t>Act</w:t>
      </w:r>
      <w:r w:rsidR="00606709" w:rsidRPr="009F5EA3">
        <w:t xml:space="preserve"> and </w:t>
      </w:r>
      <w:r w:rsidR="00F40B5B" w:rsidRPr="009F5EA3">
        <w:t>that</w:t>
      </w:r>
      <w:r w:rsidR="00577CBA">
        <w:t xml:space="preserve"> this number</w:t>
      </w:r>
      <w:r w:rsidR="009F5EA3" w:rsidRPr="009F5EA3">
        <w:t xml:space="preserve"> was </w:t>
      </w:r>
      <w:r w:rsidRPr="009F5EA3">
        <w:t xml:space="preserve">consistent with </w:t>
      </w:r>
      <w:r w:rsidR="009F5EA3" w:rsidRPr="009F5EA3">
        <w:t>its</w:t>
      </w:r>
      <w:r w:rsidRPr="009F5EA3">
        <w:t xml:space="preserve"> experience in reviewing examinations under the</w:t>
      </w:r>
      <w:r w:rsidR="00816A3E">
        <w:t xml:space="preserve"> FWBI</w:t>
      </w:r>
      <w:r w:rsidR="005C2643">
        <w:t> </w:t>
      </w:r>
      <w:r w:rsidR="00816A3E">
        <w:t>Act</w:t>
      </w:r>
      <w:r w:rsidR="00F91CAA">
        <w:t xml:space="preserve">. </w:t>
      </w:r>
      <w:r w:rsidRPr="009F5EA3">
        <w:t xml:space="preserve">The </w:t>
      </w:r>
      <w:r w:rsidR="00577CBA">
        <w:t>submission</w:t>
      </w:r>
      <w:r w:rsidR="00577CBA" w:rsidRPr="009F5EA3">
        <w:t xml:space="preserve"> </w:t>
      </w:r>
      <w:r w:rsidRPr="009F5EA3">
        <w:t>noted that</w:t>
      </w:r>
      <w:r w:rsidR="009F5EA3" w:rsidRPr="009F5EA3">
        <w:t xml:space="preserve"> there is generally a limited degree of variation in t</w:t>
      </w:r>
      <w:r w:rsidRPr="009F5EA3">
        <w:t>he number of examination notices issued and examinations conducted from one period to another. The Ombudsman set out key aspects of the process for reviewing the conduct of examinations, in order to highlight factors which inevitably lead to some delay in completing these reviews</w:t>
      </w:r>
      <w:r w:rsidR="00F91CAA">
        <w:t xml:space="preserve">. </w:t>
      </w:r>
      <w:r w:rsidR="00577CBA">
        <w:t>In particular</w:t>
      </w:r>
      <w:r w:rsidR="009F5EA3" w:rsidRPr="009F5EA3">
        <w:t>, b</w:t>
      </w:r>
      <w:r w:rsidRPr="009F5EA3">
        <w:t>efore the Ombudsman can commence a review, the BCIIP</w:t>
      </w:r>
      <w:r w:rsidR="005C2643">
        <w:t> </w:t>
      </w:r>
      <w:r w:rsidRPr="009F5EA3">
        <w:t xml:space="preserve">Act requires the ABCC to provide an information package to the Ombudsman containing the report on the examination, the video recording of the examination and the transcript. </w:t>
      </w:r>
      <w:r w:rsidR="009F5EA3" w:rsidRPr="009F5EA3">
        <w:t>While t</w:t>
      </w:r>
      <w:r w:rsidRPr="009F5EA3">
        <w:t xml:space="preserve">hese </w:t>
      </w:r>
      <w:r w:rsidRPr="009F5EA3">
        <w:lastRenderedPageBreak/>
        <w:t>must be provided as soon as practicable after the completion of an examination</w:t>
      </w:r>
      <w:r w:rsidR="009F5EA3" w:rsidRPr="009F5EA3">
        <w:t xml:space="preserve">, several factors mean that some time may elapse before the </w:t>
      </w:r>
      <w:r w:rsidR="006B549E" w:rsidRPr="00EE0A20">
        <w:t>ABC </w:t>
      </w:r>
      <w:r w:rsidR="009F5EA3" w:rsidRPr="009F5EA3">
        <w:t>Commissioner is able to provide all the relevant materials</w:t>
      </w:r>
      <w:r w:rsidR="00F91CAA">
        <w:t xml:space="preserve">. </w:t>
      </w:r>
      <w:r w:rsidR="00577CBA">
        <w:t>A key one is t</w:t>
      </w:r>
      <w:r w:rsidR="009F5EA3" w:rsidRPr="009F5EA3">
        <w:t xml:space="preserve">he </w:t>
      </w:r>
      <w:r w:rsidRPr="009F5EA3">
        <w:t>procedural fairness requirement that the transcript be provided</w:t>
      </w:r>
      <w:r w:rsidR="009F5EA3" w:rsidRPr="009F5EA3">
        <w:t xml:space="preserve"> to the examinee </w:t>
      </w:r>
      <w:r w:rsidR="00DC08A2">
        <w:t>to enable any</w:t>
      </w:r>
      <w:r w:rsidR="00DC08A2" w:rsidRPr="009F5EA3">
        <w:t xml:space="preserve"> </w:t>
      </w:r>
      <w:r w:rsidR="009F5EA3" w:rsidRPr="009F5EA3">
        <w:t>amendments</w:t>
      </w:r>
      <w:r w:rsidR="00DC08A2">
        <w:t xml:space="preserve"> to be made to ensure accuracy</w:t>
      </w:r>
      <w:r w:rsidR="006B549E" w:rsidRPr="00EE0A20">
        <w:t>.</w:t>
      </w:r>
      <w:r w:rsidRPr="009F5EA3">
        <w:rPr>
          <w:rStyle w:val="FootnoteReference"/>
        </w:rPr>
        <w:footnoteReference w:id="43"/>
      </w:r>
    </w:p>
    <w:p w14:paraId="7DDDB3FB" w14:textId="59AA8816" w:rsidR="00C4520D" w:rsidRDefault="00C4520D" w:rsidP="002D5359">
      <w:pPr>
        <w:spacing w:before="200" w:after="200" w:line="276" w:lineRule="auto"/>
      </w:pPr>
      <w:r>
        <w:t>Other, operational necessities are also relevant. These include the fact that the ABC</w:t>
      </w:r>
      <w:r w:rsidR="006B549E" w:rsidRPr="00C67D1D">
        <w:t> </w:t>
      </w:r>
      <w:r>
        <w:t xml:space="preserve">Commissioner may group scheduled examinations, for planning and operational reasons, and the fact that the </w:t>
      </w:r>
      <w:r w:rsidR="009F5EA3">
        <w:t>O</w:t>
      </w:r>
      <w:r>
        <w:t xml:space="preserve">mbudsman’s office may also review examinations in batches, for reasons of efficiency, practicality and to </w:t>
      </w:r>
      <w:r w:rsidR="00DC08A2">
        <w:t xml:space="preserve">favour the effective identification of </w:t>
      </w:r>
      <w:r>
        <w:t>any systemic issues</w:t>
      </w:r>
      <w:r w:rsidR="00F91CAA">
        <w:t xml:space="preserve">. </w:t>
      </w:r>
      <w:r>
        <w:t xml:space="preserve">The Ombudsman argues that the delays that necessarily arise due to these factors </w:t>
      </w:r>
      <w:r w:rsidR="00DC08A2">
        <w:t xml:space="preserve">typically </w:t>
      </w:r>
      <w:r>
        <w:t>preclude his office from reviewing and reporting on an examination within a single quarter. As a result, some reports only provide statistical information on the number of examinations that have taken place during the reporting period</w:t>
      </w:r>
      <w:r w:rsidR="00F91CAA">
        <w:t>.</w:t>
      </w:r>
    </w:p>
    <w:p w14:paraId="3D4E9BFF" w14:textId="31021097" w:rsidR="009F5EA3" w:rsidRDefault="00C4520D" w:rsidP="002D5359">
      <w:pPr>
        <w:spacing w:before="200" w:after="200" w:line="276" w:lineRule="auto"/>
      </w:pPr>
      <w:r>
        <w:t xml:space="preserve">The Ombudsman believes that this, in turn, means that the current reporting arrangements do not provide the </w:t>
      </w:r>
      <w:r w:rsidR="006B549E" w:rsidRPr="00E732BC">
        <w:t>‘</w:t>
      </w:r>
      <w:r w:rsidRPr="000378F8">
        <w:t xml:space="preserve">optimum level of assurance as to the Australian Building and Construction Commission’s (ABCC’s) use of coercive examination </w:t>
      </w:r>
      <w:proofErr w:type="gramStart"/>
      <w:r w:rsidR="006B549E" w:rsidRPr="000378F8">
        <w:t>powers’</w:t>
      </w:r>
      <w:proofErr w:type="gramEnd"/>
      <w:r w:rsidR="00C810BE">
        <w:t>.</w:t>
      </w:r>
      <w:r w:rsidR="002E5C95">
        <w:rPr>
          <w:rStyle w:val="FootnoteReference"/>
        </w:rPr>
        <w:footnoteReference w:id="44"/>
      </w:r>
    </w:p>
    <w:p w14:paraId="437A8118" w14:textId="76BC6DFC" w:rsidR="002D5359" w:rsidRDefault="00C4520D" w:rsidP="0099761D">
      <w:pPr>
        <w:spacing w:before="200" w:after="200" w:line="276" w:lineRule="auto"/>
        <w:rPr>
          <w:rFonts w:ascii="Calibri" w:hAnsi="Calibri" w:cs="Calibri"/>
          <w:color w:val="000000"/>
        </w:rPr>
      </w:pPr>
      <w:r w:rsidRPr="009F5EA3">
        <w:t xml:space="preserve">As a result, he recommends that the current, quarterly reporting requirement be replaced by </w:t>
      </w:r>
      <w:r w:rsidR="008D6B3D">
        <w:t xml:space="preserve">a </w:t>
      </w:r>
      <w:r w:rsidRPr="009F5EA3">
        <w:t xml:space="preserve">reporting </w:t>
      </w:r>
      <w:r w:rsidR="008D6B3D">
        <w:t xml:space="preserve">period of </w:t>
      </w:r>
      <w:r w:rsidRPr="009F5EA3">
        <w:t xml:space="preserve">at </w:t>
      </w:r>
      <w:r w:rsidR="008D6B3D">
        <w:t xml:space="preserve">least </w:t>
      </w:r>
      <w:r w:rsidRPr="009F5EA3">
        <w:t xml:space="preserve">six months, since this </w:t>
      </w:r>
      <w:r w:rsidR="00577CBA">
        <w:t>c</w:t>
      </w:r>
      <w:r w:rsidRPr="009F5EA3">
        <w:t xml:space="preserve">ould </w:t>
      </w:r>
      <w:r w:rsidR="00577CBA">
        <w:t>enable</w:t>
      </w:r>
      <w:r w:rsidRPr="009F5EA3">
        <w:t xml:space="preserve"> reports to </w:t>
      </w:r>
      <w:r w:rsidR="00B53354">
        <w:t xml:space="preserve">more </w:t>
      </w:r>
      <w:r w:rsidRPr="009F5EA3">
        <w:t xml:space="preserve">adequately capture an examination and a review within a single reporting period. </w:t>
      </w:r>
      <w:r w:rsidR="009F5EA3" w:rsidRPr="009F5EA3">
        <w:t xml:space="preserve">He argued </w:t>
      </w:r>
      <w:r w:rsidRPr="009F5EA3">
        <w:t>that</w:t>
      </w:r>
      <w:r w:rsidR="009F5EA3" w:rsidRPr="009F5EA3">
        <w:t xml:space="preserve"> t</w:t>
      </w:r>
      <w:r w:rsidRPr="009F5EA3">
        <w:rPr>
          <w:rFonts w:ascii="Calibri" w:hAnsi="Calibri" w:cs="Calibri"/>
          <w:color w:val="000000"/>
        </w:rPr>
        <w:t>his consolidated approach would permit the reports to comprehensively address any systemic and previously identified issues, which currently may be staggered across a series of quarterly reports.</w:t>
      </w:r>
    </w:p>
    <w:p w14:paraId="17A01CB8" w14:textId="3AD817AC" w:rsidR="002A54ED" w:rsidRDefault="002A54ED" w:rsidP="004F647D">
      <w:pPr>
        <w:pStyle w:val="Heading2"/>
        <w:numPr>
          <w:ilvl w:val="1"/>
          <w:numId w:val="17"/>
        </w:numPr>
      </w:pPr>
      <w:bookmarkStart w:id="119" w:name="_Toc523154930"/>
      <w:bookmarkStart w:id="120" w:name="_Toc527633019"/>
      <w:r>
        <w:t>Analysis</w:t>
      </w:r>
      <w:bookmarkEnd w:id="119"/>
      <w:bookmarkEnd w:id="120"/>
    </w:p>
    <w:p w14:paraId="18106A82" w14:textId="77D8E22C" w:rsidR="00F811C8" w:rsidRPr="00E91971" w:rsidRDefault="00F64284" w:rsidP="00E91971">
      <w:r w:rsidRPr="00E91971">
        <w:t xml:space="preserve">As discussed above, </w:t>
      </w:r>
      <w:r w:rsidR="00DC08A2" w:rsidRPr="00E91971">
        <w:t xml:space="preserve">all </w:t>
      </w:r>
      <w:r w:rsidRPr="00E91971">
        <w:t>submissions</w:t>
      </w:r>
      <w:r w:rsidR="00DC08A2" w:rsidRPr="00E91971">
        <w:t xml:space="preserve"> received</w:t>
      </w:r>
      <w:r w:rsidRPr="00E91971">
        <w:t xml:space="preserve"> from industry associations </w:t>
      </w:r>
      <w:r w:rsidR="00DC08A2" w:rsidRPr="00E91971">
        <w:t xml:space="preserve">argued </w:t>
      </w:r>
      <w:r w:rsidRPr="00E91971">
        <w:t>that the current oversight powers are adequate and appropriate</w:t>
      </w:r>
      <w:r w:rsidR="00F91CAA" w:rsidRPr="00E91971">
        <w:t xml:space="preserve">. </w:t>
      </w:r>
      <w:r w:rsidR="00577CBA" w:rsidRPr="00E91971">
        <w:t xml:space="preserve">In this </w:t>
      </w:r>
      <w:r w:rsidR="00F811C8" w:rsidRPr="00E91971">
        <w:t>context</w:t>
      </w:r>
      <w:r w:rsidR="00577CBA" w:rsidRPr="00E91971">
        <w:t xml:space="preserve">, </w:t>
      </w:r>
      <w:r w:rsidR="00DC08A2" w:rsidRPr="00E91971">
        <w:t>some</w:t>
      </w:r>
      <w:r w:rsidR="00F811C8" w:rsidRPr="00E91971">
        <w:t xml:space="preserve"> submissions note</w:t>
      </w:r>
      <w:r w:rsidR="00DC08A2" w:rsidRPr="00E91971">
        <w:t>d</w:t>
      </w:r>
      <w:r w:rsidR="00F811C8" w:rsidRPr="00E91971">
        <w:t xml:space="preserve"> that the compulsory examination powers are frequently used to require company officials to give evidence.</w:t>
      </w:r>
    </w:p>
    <w:p w14:paraId="56DA2F2A" w14:textId="0D11D92B" w:rsidR="000C2F07" w:rsidRPr="00E91971" w:rsidRDefault="00F64284" w:rsidP="00E91971">
      <w:r w:rsidRPr="00E91971">
        <w:t xml:space="preserve">The most recent Ombudsman’s reports on the use of the powers have generally found </w:t>
      </w:r>
      <w:r w:rsidR="00F811C8" w:rsidRPr="00E91971">
        <w:t xml:space="preserve">that the </w:t>
      </w:r>
      <w:r w:rsidR="006B549E" w:rsidRPr="00E91971">
        <w:t>ABC </w:t>
      </w:r>
      <w:r w:rsidR="00F811C8" w:rsidRPr="00E91971">
        <w:t xml:space="preserve">Commissioner has </w:t>
      </w:r>
      <w:r w:rsidRPr="00E91971">
        <w:t xml:space="preserve">exercised </w:t>
      </w:r>
      <w:r w:rsidR="00F811C8" w:rsidRPr="00E91971">
        <w:t xml:space="preserve">them </w:t>
      </w:r>
      <w:r w:rsidRPr="00E91971">
        <w:t>appropriately</w:t>
      </w:r>
      <w:r w:rsidR="00F91CAA" w:rsidRPr="00E91971">
        <w:t xml:space="preserve">. </w:t>
      </w:r>
      <w:r w:rsidRPr="00E91971">
        <w:t xml:space="preserve">The </w:t>
      </w:r>
      <w:r w:rsidR="009C1972" w:rsidRPr="00E91971">
        <w:t xml:space="preserve">key </w:t>
      </w:r>
      <w:r w:rsidRPr="00E91971">
        <w:t xml:space="preserve">recommendation made, which has now been included successively in two annual reports and a subsequent quarterly report, is for the </w:t>
      </w:r>
      <w:r w:rsidR="006B549E" w:rsidRPr="00E91971">
        <w:t>ABC </w:t>
      </w:r>
      <w:r w:rsidRPr="00E91971">
        <w:t xml:space="preserve">Commissioner (and, previously, the FWBC Director) to cease the practice of expressing a preference for nondisclosure of the subject </w:t>
      </w:r>
      <w:r w:rsidR="00145F0B" w:rsidRPr="00E91971">
        <w:t>matter</w:t>
      </w:r>
      <w:r w:rsidR="006B549E" w:rsidRPr="00E91971">
        <w:t xml:space="preserve"> </w:t>
      </w:r>
      <w:r w:rsidR="002D5359" w:rsidRPr="00E91971">
        <w:t>of examinations to examinees.</w:t>
      </w:r>
    </w:p>
    <w:p w14:paraId="366901DD" w14:textId="0C23C993" w:rsidR="00AE3A40" w:rsidRPr="00E91971" w:rsidRDefault="000C2F07" w:rsidP="00E91971">
      <w:r w:rsidRPr="00E91971">
        <w:t>The Ombudsman noted, in his November</w:t>
      </w:r>
      <w:r w:rsidR="006B549E" w:rsidRPr="00E91971">
        <w:t> </w:t>
      </w:r>
      <w:r w:rsidRPr="00E91971">
        <w:t xml:space="preserve">2017 report, that the ABCC had not accepted this recommendation, arguing that expression of this preference was reasonable, when balanced by a clear statement that there was no prohibition on disclosure and that the </w:t>
      </w:r>
      <w:r w:rsidR="00430C4D" w:rsidRPr="00E91971">
        <w:t>O</w:t>
      </w:r>
      <w:r w:rsidRPr="00E91971">
        <w:t>mbudsman’s oversight provided adequate protections</w:t>
      </w:r>
      <w:r w:rsidR="008C0283" w:rsidRPr="00E91971">
        <w:t>.</w:t>
      </w:r>
      <w:r w:rsidR="00AE3A40" w:rsidRPr="00E91971">
        <w:footnoteReference w:id="45"/>
      </w:r>
      <w:r w:rsidR="00F000E9" w:rsidRPr="00E91971">
        <w:t xml:space="preserve"> </w:t>
      </w:r>
      <w:r w:rsidR="00AE3A40" w:rsidRPr="00E91971">
        <w:t>The FWBC Director also stated that witnesses fully comprehended the basis for maintaining the confidentiality of an investigation.</w:t>
      </w:r>
    </w:p>
    <w:p w14:paraId="202021C6" w14:textId="18E4C041" w:rsidR="003B3B06" w:rsidRDefault="008D7088" w:rsidP="002D5359">
      <w:pPr>
        <w:spacing w:before="200" w:after="200" w:line="276" w:lineRule="auto"/>
      </w:pPr>
      <w:r>
        <w:rPr>
          <w:rFonts w:cstheme="minorHAnsi"/>
        </w:rPr>
        <w:t xml:space="preserve">However, while </w:t>
      </w:r>
      <w:r w:rsidR="00F64284">
        <w:t>th</w:t>
      </w:r>
      <w:r w:rsidR="00F811C8">
        <w:t xml:space="preserve">e recommendation made </w:t>
      </w:r>
      <w:r w:rsidR="00F64284">
        <w:t xml:space="preserve">was rejected by the </w:t>
      </w:r>
      <w:r>
        <w:t xml:space="preserve">previous </w:t>
      </w:r>
      <w:r w:rsidR="006B549E" w:rsidRPr="00E732BC">
        <w:t>ABC </w:t>
      </w:r>
      <w:r>
        <w:t>Commissioner</w:t>
      </w:r>
      <w:r w:rsidR="00F64284">
        <w:t>, the Ombudsman</w:t>
      </w:r>
      <w:r w:rsidR="00F7616C">
        <w:t xml:space="preserve">’s reports </w:t>
      </w:r>
      <w:r w:rsidR="00F64284">
        <w:t>ha</w:t>
      </w:r>
      <w:r w:rsidR="00F7616C">
        <w:t>ve</w:t>
      </w:r>
      <w:r w:rsidR="00F64284">
        <w:t xml:space="preserve"> </w:t>
      </w:r>
      <w:r w:rsidR="00F7616C">
        <w:t>documented</w:t>
      </w:r>
      <w:r w:rsidR="00F64284">
        <w:t xml:space="preserve"> changes of policy and practice over time. More recently, </w:t>
      </w:r>
      <w:r w:rsidR="00F811C8">
        <w:t xml:space="preserve">in </w:t>
      </w:r>
      <w:r w:rsidR="003C4468">
        <w:t xml:space="preserve">correspondence </w:t>
      </w:r>
      <w:r w:rsidR="00F811C8">
        <w:t xml:space="preserve">to the review, </w:t>
      </w:r>
      <w:r w:rsidR="00F64284">
        <w:t>the</w:t>
      </w:r>
      <w:r>
        <w:t xml:space="preserve"> current</w:t>
      </w:r>
      <w:r w:rsidR="00F64284">
        <w:t xml:space="preserve"> </w:t>
      </w:r>
      <w:r w:rsidR="006B549E" w:rsidRPr="00E732BC">
        <w:t>ABC </w:t>
      </w:r>
      <w:r w:rsidR="00F64284">
        <w:t xml:space="preserve">Commissioner </w:t>
      </w:r>
      <w:r w:rsidR="00F811C8">
        <w:t>stated that</w:t>
      </w:r>
      <w:r w:rsidR="00FC61D6">
        <w:t>, since taking up his office on 6</w:t>
      </w:r>
      <w:r w:rsidR="006B549E" w:rsidRPr="00E732BC">
        <w:t> </w:t>
      </w:r>
      <w:r w:rsidR="00FC61D6">
        <w:t>February</w:t>
      </w:r>
      <w:r w:rsidR="006B549E" w:rsidRPr="00E732BC">
        <w:t> </w:t>
      </w:r>
      <w:r w:rsidR="00FC61D6">
        <w:t xml:space="preserve">2018, he has reviewed the introductory and concluding remarks made at an examination, the </w:t>
      </w:r>
      <w:r w:rsidR="00DC08A2">
        <w:t>way</w:t>
      </w:r>
      <w:r w:rsidR="00FC61D6">
        <w:t xml:space="preserve"> rights and obligations are communicated and the issue pertaining to a </w:t>
      </w:r>
      <w:r w:rsidR="00FC61D6">
        <w:lastRenderedPageBreak/>
        <w:t xml:space="preserve">preference for nondisclosure being communicated to examinees. As a result, he has </w:t>
      </w:r>
      <w:r>
        <w:t>amended the process as follows</w:t>
      </w:r>
      <w:r w:rsidR="00FC61D6">
        <w:t>:</w:t>
      </w:r>
    </w:p>
    <w:p w14:paraId="5545C709" w14:textId="77777777" w:rsidR="00FC61D6" w:rsidRPr="00C25EBC" w:rsidRDefault="00FC61D6" w:rsidP="002D5359">
      <w:pPr>
        <w:spacing w:after="200" w:line="276" w:lineRule="auto"/>
        <w:ind w:left="426"/>
        <w:rPr>
          <w:sz w:val="24"/>
        </w:rPr>
      </w:pPr>
      <w:r w:rsidRPr="008C0283">
        <w:rPr>
          <w:sz w:val="20"/>
        </w:rPr>
        <w:t>Rather than expressing a preference, I indicate to the examinee that it is entirely a matter for the examinee as to who they communicate with and what they say concerning the examination. I advise the examinee of the confidentiality provisions applying to members of staff of the ABCC and that the ABCC will not advise other witnesses of the fact that the examinee has given evidence or the evidence given by the examinee.</w:t>
      </w:r>
      <w:r w:rsidRPr="00C25EBC">
        <w:rPr>
          <w:rStyle w:val="FootnoteReference"/>
        </w:rPr>
        <w:footnoteReference w:id="46"/>
      </w:r>
    </w:p>
    <w:p w14:paraId="7F625D18" w14:textId="77777777" w:rsidR="00F64284" w:rsidRDefault="00FC61D6" w:rsidP="002D5359">
      <w:pPr>
        <w:spacing w:before="200" w:after="200" w:line="276" w:lineRule="auto"/>
      </w:pPr>
      <w:r>
        <w:t xml:space="preserve">This change appears to address fully the </w:t>
      </w:r>
      <w:r w:rsidR="008D7088">
        <w:t xml:space="preserve">only recommendation made </w:t>
      </w:r>
      <w:r>
        <w:t xml:space="preserve">by the Ombudsman in relation to the </w:t>
      </w:r>
      <w:r w:rsidR="008D7088">
        <w:t xml:space="preserve">use of </w:t>
      </w:r>
      <w:r>
        <w:t>the compulsory examination powers by the ABCC.</w:t>
      </w:r>
    </w:p>
    <w:p w14:paraId="661F7D2C" w14:textId="3CA45E9E" w:rsidR="00F811C8" w:rsidRDefault="00A971F1" w:rsidP="002D5359">
      <w:pPr>
        <w:spacing w:before="200" w:after="200" w:line="276" w:lineRule="auto"/>
        <w:rPr>
          <w:rFonts w:cstheme="minorHAnsi"/>
        </w:rPr>
      </w:pPr>
      <w:r>
        <w:t>T</w:t>
      </w:r>
      <w:r w:rsidR="00F811C8">
        <w:t>he only specific proposals made for improvement to the current oversight powers, other than those of the Ombudsman himself (</w:t>
      </w:r>
      <w:r w:rsidR="003F2A63">
        <w:t>noted above</w:t>
      </w:r>
      <w:r w:rsidR="00F811C8">
        <w:t>), were those of the ACTU</w:t>
      </w:r>
      <w:r w:rsidR="00F91CAA">
        <w:t xml:space="preserve">. </w:t>
      </w:r>
      <w:r w:rsidR="00F811C8">
        <w:t>Specifically, t</w:t>
      </w:r>
      <w:r w:rsidR="00F811C8">
        <w:rPr>
          <w:rFonts w:cstheme="minorHAnsi"/>
        </w:rPr>
        <w:t>he ACTU argued for the Ombudsman’s reports to be published on the ABCC website, as this was seen as making them more readily available than having them published only on the Ombudsman’s own website, as at present</w:t>
      </w:r>
      <w:r w:rsidR="002D5359">
        <w:rPr>
          <w:rFonts w:cstheme="minorHAnsi"/>
        </w:rPr>
        <w:t>.</w:t>
      </w:r>
    </w:p>
    <w:p w14:paraId="0A0C6864" w14:textId="3C3725A3" w:rsidR="00F811C8" w:rsidRDefault="00A971F1" w:rsidP="002D5359">
      <w:pPr>
        <w:spacing w:before="200" w:after="200" w:line="276" w:lineRule="auto"/>
        <w:rPr>
          <w:rFonts w:cstheme="minorHAnsi"/>
        </w:rPr>
      </w:pPr>
      <w:r>
        <w:rPr>
          <w:rFonts w:cstheme="minorHAnsi"/>
        </w:rPr>
        <w:t>I</w:t>
      </w:r>
      <w:r w:rsidR="00F811C8">
        <w:rPr>
          <w:rFonts w:cstheme="minorHAnsi"/>
        </w:rPr>
        <w:t>t is clearly appropriate for the Ombudsman, as the body exercising the review function, to publish its reports on its own website</w:t>
      </w:r>
      <w:r w:rsidR="00F91CAA">
        <w:rPr>
          <w:rFonts w:cstheme="minorHAnsi"/>
        </w:rPr>
        <w:t xml:space="preserve">. </w:t>
      </w:r>
      <w:r w:rsidR="00F811C8">
        <w:rPr>
          <w:rFonts w:cstheme="minorHAnsi"/>
        </w:rPr>
        <w:t xml:space="preserve">However, </w:t>
      </w:r>
      <w:r w:rsidR="00796A42">
        <w:rPr>
          <w:rFonts w:cstheme="minorHAnsi"/>
        </w:rPr>
        <w:t xml:space="preserve">there </w:t>
      </w:r>
      <w:r w:rsidR="003F2A63">
        <w:rPr>
          <w:rFonts w:cstheme="minorHAnsi"/>
        </w:rPr>
        <w:t>is no apparent i</w:t>
      </w:r>
      <w:r w:rsidR="00F811C8">
        <w:rPr>
          <w:rFonts w:cstheme="minorHAnsi"/>
        </w:rPr>
        <w:t xml:space="preserve">mpediment to </w:t>
      </w:r>
      <w:r w:rsidR="00F811C8" w:rsidRPr="00F811C8">
        <w:rPr>
          <w:rFonts w:cstheme="minorHAnsi"/>
          <w:i/>
        </w:rPr>
        <w:t>also</w:t>
      </w:r>
      <w:r w:rsidR="00F811C8">
        <w:rPr>
          <w:rFonts w:cstheme="minorHAnsi"/>
        </w:rPr>
        <w:t xml:space="preserve"> publishing these reports on the ABCC website. The inclusion of the relevant reports by the Ombudsman on the ABCC website </w:t>
      </w:r>
      <w:r>
        <w:rPr>
          <w:rFonts w:cstheme="minorHAnsi"/>
        </w:rPr>
        <w:t>may be</w:t>
      </w:r>
      <w:r w:rsidR="00F811C8">
        <w:rPr>
          <w:rFonts w:cstheme="minorHAnsi"/>
        </w:rPr>
        <w:t xml:space="preserve"> an appropriate addition to the</w:t>
      </w:r>
      <w:r w:rsidR="00816A3E">
        <w:rPr>
          <w:rFonts w:cstheme="minorHAnsi"/>
        </w:rPr>
        <w:t xml:space="preserve"> BCIIP</w:t>
      </w:r>
      <w:r w:rsidR="005C2643">
        <w:rPr>
          <w:rFonts w:cstheme="minorHAnsi"/>
        </w:rPr>
        <w:t> </w:t>
      </w:r>
      <w:r w:rsidR="00F811C8">
        <w:rPr>
          <w:rFonts w:cstheme="minorHAnsi"/>
        </w:rPr>
        <w:t>Act’s requirement that the ABCC report on the use made by it of the compulsory examination powers. A</w:t>
      </w:r>
      <w:r>
        <w:rPr>
          <w:rFonts w:cstheme="minorHAnsi"/>
        </w:rPr>
        <w:t>n alternative approach would be for</w:t>
      </w:r>
      <w:r w:rsidR="00F811C8">
        <w:rPr>
          <w:rFonts w:cstheme="minorHAnsi"/>
        </w:rPr>
        <w:t xml:space="preserve"> the ABCC website </w:t>
      </w:r>
      <w:r>
        <w:rPr>
          <w:rFonts w:cstheme="minorHAnsi"/>
        </w:rPr>
        <w:t xml:space="preserve">to </w:t>
      </w:r>
      <w:r w:rsidR="00F811C8">
        <w:rPr>
          <w:rFonts w:cstheme="minorHAnsi"/>
        </w:rPr>
        <w:t>provide a direct link to the relevant page of the Ombudsman’s website</w:t>
      </w:r>
      <w:r w:rsidR="00F91CAA">
        <w:rPr>
          <w:rFonts w:cstheme="minorHAnsi"/>
        </w:rPr>
        <w:t xml:space="preserve">. </w:t>
      </w:r>
      <w:r>
        <w:rPr>
          <w:rFonts w:cstheme="minorHAnsi"/>
        </w:rPr>
        <w:t xml:space="preserve">This option would have the advantage of ensuring that </w:t>
      </w:r>
      <w:r w:rsidR="00463F6D">
        <w:rPr>
          <w:rFonts w:cstheme="minorHAnsi"/>
        </w:rPr>
        <w:t>up to date information is always available from either source, whilst entailing a lower compliance burden on the ABCC.</w:t>
      </w:r>
    </w:p>
    <w:p w14:paraId="33F0B490" w14:textId="2CC74980" w:rsidR="00F811C8" w:rsidRDefault="00F811C8" w:rsidP="002D5359">
      <w:pPr>
        <w:spacing w:before="200" w:after="200" w:line="276" w:lineRule="auto"/>
        <w:rPr>
          <w:rFonts w:cstheme="minorHAnsi"/>
        </w:rPr>
      </w:pPr>
      <w:r>
        <w:rPr>
          <w:rFonts w:cstheme="minorHAnsi"/>
        </w:rPr>
        <w:t>As noted above, the ACTU also provided a copy of a previous submission in relation to the 2013 version of the BCIIP</w:t>
      </w:r>
      <w:r w:rsidR="006B549E" w:rsidRPr="00EE0A20">
        <w:rPr>
          <w:rFonts w:cstheme="minorHAnsi"/>
        </w:rPr>
        <w:t> </w:t>
      </w:r>
      <w:r>
        <w:rPr>
          <w:rFonts w:cstheme="minorHAnsi"/>
        </w:rPr>
        <w:t>Bill</w:t>
      </w:r>
      <w:r w:rsidR="003F2A63">
        <w:rPr>
          <w:rFonts w:cstheme="minorHAnsi"/>
        </w:rPr>
        <w:t>, which</w:t>
      </w:r>
      <w:r>
        <w:rPr>
          <w:rFonts w:cstheme="minorHAnsi"/>
        </w:rPr>
        <w:t xml:space="preserve"> highlight</w:t>
      </w:r>
      <w:r w:rsidR="003F2A63">
        <w:rPr>
          <w:rFonts w:cstheme="minorHAnsi"/>
        </w:rPr>
        <w:t>ed</w:t>
      </w:r>
      <w:r>
        <w:rPr>
          <w:rFonts w:cstheme="minorHAnsi"/>
        </w:rPr>
        <w:t xml:space="preserve"> the fact that this version of the Bill did not incorporate a number of safeguards on the use of the examination powers previously included in the</w:t>
      </w:r>
      <w:r w:rsidR="00816A3E">
        <w:rPr>
          <w:rFonts w:cstheme="minorHAnsi"/>
        </w:rPr>
        <w:t xml:space="preserve"> FWBI</w:t>
      </w:r>
      <w:r w:rsidR="00903EFD">
        <w:rPr>
          <w:rFonts w:cstheme="minorHAnsi"/>
        </w:rPr>
        <w:t> </w:t>
      </w:r>
      <w:r w:rsidR="00816A3E">
        <w:rPr>
          <w:rFonts w:cstheme="minorHAnsi"/>
        </w:rPr>
        <w:t>Act</w:t>
      </w:r>
      <w:r>
        <w:rPr>
          <w:rFonts w:cstheme="minorHAnsi"/>
        </w:rPr>
        <w:t xml:space="preserve">. However, </w:t>
      </w:r>
      <w:r w:rsidR="00E732BC">
        <w:rPr>
          <w:rFonts w:cstheme="minorHAnsi"/>
        </w:rPr>
        <w:t>three</w:t>
      </w:r>
      <w:r>
        <w:rPr>
          <w:rFonts w:cstheme="minorHAnsi"/>
        </w:rPr>
        <w:t xml:space="preserve"> of these six safeguards were subsequently incorporated in the BCIIP</w:t>
      </w:r>
      <w:r w:rsidR="00E01867">
        <w:rPr>
          <w:rFonts w:cstheme="minorHAnsi"/>
        </w:rPr>
        <w:t> </w:t>
      </w:r>
      <w:r>
        <w:rPr>
          <w:rFonts w:cstheme="minorHAnsi"/>
        </w:rPr>
        <w:t>Act as passed</w:t>
      </w:r>
      <w:r w:rsidR="00F91CAA">
        <w:rPr>
          <w:rFonts w:cstheme="minorHAnsi"/>
        </w:rPr>
        <w:t xml:space="preserve">. </w:t>
      </w:r>
      <w:r>
        <w:rPr>
          <w:rFonts w:cstheme="minorHAnsi"/>
        </w:rPr>
        <w:t>Th</w:t>
      </w:r>
      <w:r w:rsidR="00FD167F">
        <w:rPr>
          <w:rFonts w:cstheme="minorHAnsi"/>
        </w:rPr>
        <w:t>ese were</w:t>
      </w:r>
      <w:r>
        <w:rPr>
          <w:rFonts w:cstheme="minorHAnsi"/>
        </w:rPr>
        <w:t>:</w:t>
      </w:r>
    </w:p>
    <w:p w14:paraId="58F5946E" w14:textId="4CB0B670" w:rsidR="00F811C8" w:rsidRDefault="00E01867" w:rsidP="004F647D">
      <w:pPr>
        <w:pStyle w:val="ListBullet"/>
        <w:numPr>
          <w:ilvl w:val="0"/>
          <w:numId w:val="9"/>
        </w:numPr>
        <w:ind w:left="360"/>
        <w:rPr>
          <w:rFonts w:cstheme="minorHAnsi"/>
        </w:rPr>
      </w:pPr>
      <w:r w:rsidRPr="002D5359">
        <w:rPr>
          <w:color w:val="000000"/>
        </w:rPr>
        <w:t>s</w:t>
      </w:r>
      <w:r w:rsidR="00F811C8" w:rsidRPr="002D5359">
        <w:rPr>
          <w:color w:val="000000"/>
        </w:rPr>
        <w:t>ection</w:t>
      </w:r>
      <w:r w:rsidR="0099154A">
        <w:rPr>
          <w:rFonts w:cstheme="minorHAnsi"/>
        </w:rPr>
        <w:t> </w:t>
      </w:r>
      <w:r w:rsidR="00F811C8">
        <w:rPr>
          <w:rFonts w:cstheme="minorHAnsi"/>
        </w:rPr>
        <w:t>61B</w:t>
      </w:r>
      <w:r w:rsidR="003F2A63">
        <w:rPr>
          <w:rFonts w:cstheme="minorHAnsi"/>
        </w:rPr>
        <w:t>, which</w:t>
      </w:r>
      <w:r w:rsidR="00F811C8">
        <w:rPr>
          <w:rFonts w:cstheme="minorHAnsi"/>
        </w:rPr>
        <w:t xml:space="preserve"> requires that applications </w:t>
      </w:r>
      <w:r w:rsidR="006B549E" w:rsidRPr="00EE0A20">
        <w:rPr>
          <w:rFonts w:cstheme="minorHAnsi"/>
        </w:rPr>
        <w:t>for</w:t>
      </w:r>
      <w:r w:rsidR="00F811C8">
        <w:rPr>
          <w:rFonts w:cstheme="minorHAnsi"/>
        </w:rPr>
        <w:t xml:space="preserve"> examination notices must be made to nominated Administrative Appeals Tribunal</w:t>
      </w:r>
      <w:r w:rsidR="00E732BC">
        <w:rPr>
          <w:rFonts w:cstheme="minorHAnsi"/>
        </w:rPr>
        <w:t xml:space="preserve"> Presidential Members</w:t>
      </w:r>
    </w:p>
    <w:p w14:paraId="604C1C0C" w14:textId="38EBF131" w:rsidR="00F811C8" w:rsidRDefault="00E01867" w:rsidP="004F647D">
      <w:pPr>
        <w:pStyle w:val="ListBullet"/>
        <w:numPr>
          <w:ilvl w:val="0"/>
          <w:numId w:val="9"/>
        </w:numPr>
        <w:ind w:left="360"/>
        <w:rPr>
          <w:rFonts w:cstheme="minorHAnsi"/>
        </w:rPr>
      </w:pPr>
      <w:r>
        <w:rPr>
          <w:rFonts w:cstheme="minorHAnsi"/>
        </w:rPr>
        <w:t>s</w:t>
      </w:r>
      <w:r w:rsidR="00F811C8">
        <w:rPr>
          <w:rFonts w:cstheme="minorHAnsi"/>
        </w:rPr>
        <w:t>ection</w:t>
      </w:r>
      <w:r w:rsidR="0099154A">
        <w:rPr>
          <w:rFonts w:cstheme="minorHAnsi"/>
        </w:rPr>
        <w:t> </w:t>
      </w:r>
      <w:r w:rsidR="00F811C8">
        <w:rPr>
          <w:rFonts w:cstheme="minorHAnsi"/>
        </w:rPr>
        <w:t>61C</w:t>
      </w:r>
      <w:r w:rsidR="003F2A63">
        <w:rPr>
          <w:rFonts w:cstheme="minorHAnsi"/>
        </w:rPr>
        <w:t>, which</w:t>
      </w:r>
      <w:r w:rsidR="00F811C8">
        <w:rPr>
          <w:rFonts w:cstheme="minorHAnsi"/>
        </w:rPr>
        <w:t xml:space="preserve"> requires that the nominated Presidential Member must be satisfied on </w:t>
      </w:r>
      <w:r w:rsidR="003F2A63">
        <w:rPr>
          <w:rFonts w:cstheme="minorHAnsi"/>
        </w:rPr>
        <w:t>several</w:t>
      </w:r>
      <w:r w:rsidR="00F811C8">
        <w:rPr>
          <w:rFonts w:cstheme="minorHAnsi"/>
        </w:rPr>
        <w:t xml:space="preserve"> points before issuing an examination notice</w:t>
      </w:r>
    </w:p>
    <w:p w14:paraId="4DD4908D" w14:textId="611EA4F4" w:rsidR="00F811C8" w:rsidRPr="00DC49F7" w:rsidRDefault="00E01867" w:rsidP="004F647D">
      <w:pPr>
        <w:pStyle w:val="ListBullet"/>
        <w:numPr>
          <w:ilvl w:val="0"/>
          <w:numId w:val="9"/>
        </w:numPr>
        <w:ind w:left="360"/>
        <w:rPr>
          <w:rFonts w:cstheme="minorHAnsi"/>
        </w:rPr>
      </w:pPr>
      <w:r>
        <w:rPr>
          <w:rFonts w:cstheme="minorHAnsi"/>
        </w:rPr>
        <w:t>subs</w:t>
      </w:r>
      <w:r w:rsidR="00F811C8">
        <w:rPr>
          <w:rFonts w:cstheme="minorHAnsi"/>
        </w:rPr>
        <w:t>ection</w:t>
      </w:r>
      <w:r w:rsidR="0099154A">
        <w:rPr>
          <w:rFonts w:cstheme="minorHAnsi"/>
        </w:rPr>
        <w:t> </w:t>
      </w:r>
      <w:r w:rsidR="006B549E" w:rsidRPr="00EE0A20">
        <w:rPr>
          <w:rFonts w:cstheme="minorHAnsi"/>
        </w:rPr>
        <w:t>61</w:t>
      </w:r>
      <w:proofErr w:type="gramStart"/>
      <w:r w:rsidR="006B549E" w:rsidRPr="00EE0A20">
        <w:rPr>
          <w:rFonts w:cstheme="minorHAnsi"/>
        </w:rPr>
        <w:t>F</w:t>
      </w:r>
      <w:r w:rsidR="00F811C8">
        <w:rPr>
          <w:rFonts w:cstheme="minorHAnsi"/>
        </w:rPr>
        <w:t>(</w:t>
      </w:r>
      <w:proofErr w:type="gramEnd"/>
      <w:r w:rsidR="00F811C8">
        <w:rPr>
          <w:rFonts w:cstheme="minorHAnsi"/>
        </w:rPr>
        <w:t>6)</w:t>
      </w:r>
      <w:r w:rsidR="003F2A63">
        <w:rPr>
          <w:rFonts w:cstheme="minorHAnsi"/>
        </w:rPr>
        <w:t>, which</w:t>
      </w:r>
      <w:r w:rsidR="007B23BE">
        <w:rPr>
          <w:rFonts w:cstheme="minorHAnsi"/>
        </w:rPr>
        <w:t xml:space="preserve"> prohibits the ABC </w:t>
      </w:r>
      <w:r w:rsidR="00F811C8">
        <w:rPr>
          <w:rFonts w:cstheme="minorHAnsi"/>
        </w:rPr>
        <w:t>Commissioner requiring an examinee to enter into a confidentiality undertaking</w:t>
      </w:r>
      <w:r w:rsidR="00F811C8" w:rsidRPr="00DC49F7">
        <w:rPr>
          <w:rFonts w:cstheme="minorHAnsi"/>
        </w:rPr>
        <w:t>.</w:t>
      </w:r>
    </w:p>
    <w:p w14:paraId="7BD01721" w14:textId="6B58DA77" w:rsidR="00F811C8" w:rsidRDefault="00F811C8" w:rsidP="002D5359">
      <w:pPr>
        <w:spacing w:before="200" w:after="200" w:line="276" w:lineRule="auto"/>
        <w:rPr>
          <w:rFonts w:cstheme="minorHAnsi"/>
        </w:rPr>
      </w:pPr>
      <w:r>
        <w:rPr>
          <w:rFonts w:cstheme="minorHAnsi"/>
        </w:rPr>
        <w:t xml:space="preserve">The </w:t>
      </w:r>
      <w:r w:rsidR="006B549E" w:rsidRPr="00C67D1D">
        <w:rPr>
          <w:rFonts w:cstheme="minorHAnsi"/>
        </w:rPr>
        <w:t>t</w:t>
      </w:r>
      <w:r w:rsidR="0056479C">
        <w:rPr>
          <w:rFonts w:cstheme="minorHAnsi"/>
        </w:rPr>
        <w:t>hree</w:t>
      </w:r>
      <w:r w:rsidR="006B549E" w:rsidRPr="00C67D1D">
        <w:rPr>
          <w:rFonts w:cstheme="minorHAnsi"/>
        </w:rPr>
        <w:t xml:space="preserve"> ‘safeguards’</w:t>
      </w:r>
      <w:r>
        <w:rPr>
          <w:rFonts w:cstheme="minorHAnsi"/>
        </w:rPr>
        <w:t xml:space="preserve"> identified by the ACTU that have not been incorporated into the BCIIP</w:t>
      </w:r>
      <w:r w:rsidR="00903EFD">
        <w:rPr>
          <w:rFonts w:cstheme="minorHAnsi"/>
        </w:rPr>
        <w:t> </w:t>
      </w:r>
      <w:r>
        <w:rPr>
          <w:rFonts w:cstheme="minorHAnsi"/>
        </w:rPr>
        <w:t>Act are:</w:t>
      </w:r>
    </w:p>
    <w:p w14:paraId="182A81D9" w14:textId="5911D7A5" w:rsidR="00F811C8" w:rsidRDefault="00F811C8" w:rsidP="004F647D">
      <w:pPr>
        <w:pStyle w:val="ListBullet"/>
        <w:numPr>
          <w:ilvl w:val="0"/>
          <w:numId w:val="9"/>
        </w:numPr>
        <w:ind w:left="360"/>
        <w:rPr>
          <w:rFonts w:cstheme="minorHAnsi"/>
        </w:rPr>
      </w:pPr>
      <w:r>
        <w:rPr>
          <w:rFonts w:cstheme="minorHAnsi"/>
        </w:rPr>
        <w:t xml:space="preserve">the capacity </w:t>
      </w:r>
      <w:r w:rsidR="003F2A63">
        <w:rPr>
          <w:rFonts w:cstheme="minorHAnsi"/>
        </w:rPr>
        <w:t xml:space="preserve">for </w:t>
      </w:r>
      <w:r>
        <w:rPr>
          <w:rFonts w:cstheme="minorHAnsi"/>
        </w:rPr>
        <w:t xml:space="preserve">certain building industry participants to make an application to an independent assessor to have the compulsory examination powers </w:t>
      </w:r>
      <w:r w:rsidR="006B549E" w:rsidRPr="00E732BC">
        <w:rPr>
          <w:rFonts w:cstheme="minorHAnsi"/>
        </w:rPr>
        <w:t>‘</w:t>
      </w:r>
      <w:r>
        <w:rPr>
          <w:rFonts w:cstheme="minorHAnsi"/>
        </w:rPr>
        <w:t xml:space="preserve">switched </w:t>
      </w:r>
      <w:r w:rsidR="006B549E" w:rsidRPr="00E732BC">
        <w:rPr>
          <w:rFonts w:cstheme="minorHAnsi"/>
        </w:rPr>
        <w:t>off’,</w:t>
      </w:r>
      <w:r>
        <w:rPr>
          <w:rFonts w:cstheme="minorHAnsi"/>
        </w:rPr>
        <w:t xml:space="preserve"> in respect of a particular building project</w:t>
      </w:r>
    </w:p>
    <w:p w14:paraId="31C41BC1" w14:textId="58A6ACA3" w:rsidR="00F811C8" w:rsidRDefault="00F811C8" w:rsidP="004F647D">
      <w:pPr>
        <w:pStyle w:val="ListBullet"/>
        <w:numPr>
          <w:ilvl w:val="0"/>
          <w:numId w:val="9"/>
        </w:numPr>
        <w:ind w:left="360"/>
        <w:rPr>
          <w:rFonts w:cstheme="minorHAnsi"/>
        </w:rPr>
      </w:pPr>
      <w:r>
        <w:rPr>
          <w:rFonts w:cstheme="minorHAnsi"/>
        </w:rPr>
        <w:lastRenderedPageBreak/>
        <w:t>the sunsetting of the use of the coercive powers after three years, with a decision to be made at that time as to their continuation</w:t>
      </w:r>
    </w:p>
    <w:p w14:paraId="0DEF1356" w14:textId="364D167A" w:rsidR="006B549E" w:rsidRPr="00E732BC" w:rsidRDefault="0056479C" w:rsidP="004F647D">
      <w:pPr>
        <w:pStyle w:val="ListBullet"/>
        <w:numPr>
          <w:ilvl w:val="0"/>
          <w:numId w:val="9"/>
        </w:numPr>
        <w:ind w:left="360"/>
        <w:rPr>
          <w:rFonts w:cstheme="minorHAnsi"/>
        </w:rPr>
      </w:pPr>
      <w:r w:rsidRPr="00DD5EF3">
        <w:rPr>
          <w:rFonts w:cstheme="minorHAnsi"/>
        </w:rPr>
        <w:t>payment of legal expenses incurred as a result of attending a compulsory examination</w:t>
      </w:r>
      <w:r w:rsidR="006B549E" w:rsidRPr="00E732BC">
        <w:rPr>
          <w:rFonts w:cstheme="minorHAnsi"/>
        </w:rPr>
        <w:t>.</w:t>
      </w:r>
    </w:p>
    <w:p w14:paraId="4B697E40" w14:textId="0E13D438" w:rsidR="00F811C8" w:rsidRDefault="003F2A63" w:rsidP="002D5359">
      <w:pPr>
        <w:spacing w:before="200" w:after="200" w:line="276" w:lineRule="auto"/>
      </w:pPr>
      <w:r>
        <w:rPr>
          <w:rFonts w:cstheme="minorHAnsi"/>
        </w:rPr>
        <w:t>I</w:t>
      </w:r>
      <w:r w:rsidR="00F811C8">
        <w:rPr>
          <w:rFonts w:cstheme="minorHAnsi"/>
        </w:rPr>
        <w:t xml:space="preserve">t is questionable whether </w:t>
      </w:r>
      <w:r w:rsidR="006B549E" w:rsidRPr="00E732BC">
        <w:rPr>
          <w:rFonts w:cstheme="minorHAnsi"/>
        </w:rPr>
        <w:t>the</w:t>
      </w:r>
      <w:r w:rsidR="0056479C">
        <w:rPr>
          <w:rFonts w:cstheme="minorHAnsi"/>
        </w:rPr>
        <w:t xml:space="preserve"> fir</w:t>
      </w:r>
      <w:r w:rsidR="006B549E" w:rsidRPr="00E732BC">
        <w:rPr>
          <w:rFonts w:cstheme="minorHAnsi"/>
        </w:rPr>
        <w:t>s</w:t>
      </w:r>
      <w:r w:rsidR="0056479C">
        <w:rPr>
          <w:rFonts w:cstheme="minorHAnsi"/>
        </w:rPr>
        <w:t>t</w:t>
      </w:r>
      <w:r w:rsidR="00F811C8">
        <w:rPr>
          <w:rFonts w:cstheme="minorHAnsi"/>
        </w:rPr>
        <w:t xml:space="preserve"> two provisions can reasonably be characterised as being safeguards, and therefore </w:t>
      </w:r>
      <w:r w:rsidR="00FD167F">
        <w:rPr>
          <w:rFonts w:cstheme="minorHAnsi"/>
        </w:rPr>
        <w:t>as</w:t>
      </w:r>
      <w:r w:rsidR="00F811C8">
        <w:rPr>
          <w:rFonts w:cstheme="minorHAnsi"/>
        </w:rPr>
        <w:t xml:space="preserve"> falling within this term of reference. The </w:t>
      </w:r>
      <w:r w:rsidR="00CD6FD0">
        <w:rPr>
          <w:rFonts w:cstheme="minorHAnsi"/>
        </w:rPr>
        <w:t xml:space="preserve">second </w:t>
      </w:r>
      <w:r w:rsidR="00F811C8">
        <w:rPr>
          <w:rFonts w:cstheme="minorHAnsi"/>
        </w:rPr>
        <w:t>point, in particular, is clearly the fundamental one of whether the use of the compulsory examination powers should continue permanently, rather than a question of how appropriate oversight of their use should be maintained</w:t>
      </w:r>
      <w:r w:rsidR="00F91CAA">
        <w:rPr>
          <w:rFonts w:cstheme="minorHAnsi"/>
        </w:rPr>
        <w:t xml:space="preserve">. </w:t>
      </w:r>
      <w:r w:rsidR="00FD167F">
        <w:rPr>
          <w:rFonts w:cstheme="minorHAnsi"/>
        </w:rPr>
        <w:t>The sunsetting proposal was initially recommended by the Wilcox Report</w:t>
      </w:r>
      <w:r w:rsidR="009361B6">
        <w:rPr>
          <w:rStyle w:val="FootnoteReference"/>
          <w:rFonts w:cstheme="minorHAnsi"/>
        </w:rPr>
        <w:footnoteReference w:id="47"/>
      </w:r>
      <w:r w:rsidR="00FD167F">
        <w:rPr>
          <w:rFonts w:cstheme="minorHAnsi"/>
        </w:rPr>
        <w:t xml:space="preserve"> of</w:t>
      </w:r>
      <w:r w:rsidR="006B549E" w:rsidRPr="00EE0A20">
        <w:rPr>
          <w:rFonts w:cstheme="minorHAnsi"/>
        </w:rPr>
        <w:t> </w:t>
      </w:r>
      <w:r w:rsidR="00FD167F">
        <w:rPr>
          <w:rFonts w:cstheme="minorHAnsi"/>
        </w:rPr>
        <w:t>2009, in the context of a proposed review of the need to retain the compulsory examination powers</w:t>
      </w:r>
      <w:r w:rsidR="00F91CAA">
        <w:rPr>
          <w:rFonts w:cstheme="minorHAnsi"/>
        </w:rPr>
        <w:t>.</w:t>
      </w:r>
      <w:r w:rsidR="00327AB5">
        <w:rPr>
          <w:rFonts w:cstheme="minorHAnsi"/>
        </w:rPr>
        <w:t xml:space="preserve"> </w:t>
      </w:r>
      <w:r w:rsidR="00FD167F">
        <w:rPr>
          <w:rFonts w:cstheme="minorHAnsi"/>
        </w:rPr>
        <w:t xml:space="preserve">However, given the decisions of successive governments to retain these powers, this </w:t>
      </w:r>
      <w:r w:rsidR="00463F6D">
        <w:rPr>
          <w:rFonts w:cstheme="minorHAnsi"/>
        </w:rPr>
        <w:t>issue</w:t>
      </w:r>
      <w:r w:rsidR="00FD167F">
        <w:rPr>
          <w:rFonts w:cstheme="minorHAnsi"/>
        </w:rPr>
        <w:t xml:space="preserve"> does not </w:t>
      </w:r>
      <w:r w:rsidR="00463F6D">
        <w:rPr>
          <w:rFonts w:cstheme="minorHAnsi"/>
        </w:rPr>
        <w:t>fall within the scope of</w:t>
      </w:r>
      <w:r w:rsidR="00FD167F">
        <w:rPr>
          <w:rFonts w:cstheme="minorHAnsi"/>
        </w:rPr>
        <w:t xml:space="preserve"> the current review.</w:t>
      </w:r>
      <w:r w:rsidR="00463F6D">
        <w:rPr>
          <w:rFonts w:cstheme="minorHAnsi"/>
        </w:rPr>
        <w:t xml:space="preserve"> </w:t>
      </w:r>
      <w:r w:rsidR="00F811C8">
        <w:t xml:space="preserve">The question of </w:t>
      </w:r>
      <w:r w:rsidR="006B549E" w:rsidRPr="00C67D1D">
        <w:t>‘</w:t>
      </w:r>
      <w:r w:rsidR="00F811C8">
        <w:t xml:space="preserve">switching </w:t>
      </w:r>
      <w:r w:rsidR="006B549E" w:rsidRPr="00C67D1D">
        <w:t>off’</w:t>
      </w:r>
      <w:r w:rsidR="00F811C8">
        <w:t xml:space="preserve"> the powers in respect of a particular building site also </w:t>
      </w:r>
      <w:r w:rsidR="00FD167F">
        <w:t>effectively addresses</w:t>
      </w:r>
      <w:r w:rsidR="00F811C8">
        <w:t xml:space="preserve"> the potential merits of limiting the scope of the use of the powers, rather than the oversight to be applied to their use</w:t>
      </w:r>
      <w:r w:rsidR="00F91CAA">
        <w:t xml:space="preserve">. </w:t>
      </w:r>
      <w:r w:rsidR="00FD167F">
        <w:t xml:space="preserve">Thus, it is </w:t>
      </w:r>
      <w:r w:rsidR="00463F6D">
        <w:t xml:space="preserve">also </w:t>
      </w:r>
      <w:r w:rsidR="00FD167F">
        <w:t>considered to be beyond the scope of the review.</w:t>
      </w:r>
    </w:p>
    <w:p w14:paraId="5E4ED52A" w14:textId="7963B239" w:rsidR="00CD6FD0" w:rsidRDefault="00CD6FD0" w:rsidP="00327AB5">
      <w:pPr>
        <w:spacing w:before="200" w:after="200" w:line="276" w:lineRule="auto"/>
      </w:pPr>
      <w:r>
        <w:t>The fact that the former provision for the reimbursement of the legal expenses of persons subject to compulsory examinations has not been reinstated in the BCIIP</w:t>
      </w:r>
      <w:r w:rsidR="00BB47CF">
        <w:t> </w:t>
      </w:r>
      <w:r>
        <w:t>Act can clearly be seen as reducing safeguards on the use of this power, in that it may effectively constrain the ability of some examination subjects to obtain adequate legal representation. Conversely, the former provision for the reimbursement of legal expenses in this context appears to be an unusual one.</w:t>
      </w:r>
    </w:p>
    <w:p w14:paraId="4C962D18" w14:textId="490F9FB0" w:rsidR="00FD167F" w:rsidRDefault="003033D0" w:rsidP="00327AB5">
      <w:pPr>
        <w:spacing w:before="200" w:after="200" w:line="276" w:lineRule="auto"/>
      </w:pPr>
      <w:r>
        <w:t>As discussed above, the Ombudsman has generally concluded that the ABCC and FWBC have exercised these powers appropriately</w:t>
      </w:r>
      <w:r w:rsidR="00F91CAA">
        <w:t xml:space="preserve">. </w:t>
      </w:r>
      <w:r>
        <w:t>The key issue identified – that of expressing a preference for non-disclosure by examinees – appears now to have been addressed</w:t>
      </w:r>
      <w:r w:rsidR="00F91CAA">
        <w:t xml:space="preserve">. </w:t>
      </w:r>
    </w:p>
    <w:p w14:paraId="775D6545" w14:textId="1F2BEFD2" w:rsidR="00D15318" w:rsidRDefault="00742758" w:rsidP="00327AB5">
      <w:pPr>
        <w:spacing w:before="200" w:after="200" w:line="276" w:lineRule="auto"/>
      </w:pPr>
      <w:r>
        <w:t xml:space="preserve">The oversight mechanisms in place are broadly similar to </w:t>
      </w:r>
      <w:r w:rsidR="003033D0">
        <w:t>those adopted in relation to the exercise of other, similar powers</w:t>
      </w:r>
      <w:r w:rsidR="00F91CAA">
        <w:t xml:space="preserve">. </w:t>
      </w:r>
      <w:r w:rsidR="00657674">
        <w:t>T</w:t>
      </w:r>
      <w:r w:rsidR="003033D0">
        <w:t xml:space="preserve">he Ombudsman is clearly an appropriate body to exercise </w:t>
      </w:r>
      <w:r>
        <w:t xml:space="preserve">this </w:t>
      </w:r>
      <w:r w:rsidR="003033D0">
        <w:t>function, being widely regarded as impartial, as well as being highly experienced, given that the office exercises similar functions in a range of other specific contexts</w:t>
      </w:r>
      <w:r w:rsidR="00F91CAA">
        <w:t xml:space="preserve">. </w:t>
      </w:r>
      <w:r w:rsidR="003033D0">
        <w:t>The elaboration and publication of explicit assessment criteria and their consistent use in successive review reports is also consistent with good practice, while the criteria used appear to be appropriate</w:t>
      </w:r>
      <w:r w:rsidR="00F91CAA">
        <w:t xml:space="preserve">. </w:t>
      </w:r>
      <w:r w:rsidR="003033D0">
        <w:t>While the ACTU has argued that the inability of the Ombudsman to enforce its recommendations constitutes a weakness of the mechanism, it is not usual for such an oversight body to have coercive powers in this regard</w:t>
      </w:r>
      <w:r w:rsidR="00F91CAA">
        <w:t xml:space="preserve">. </w:t>
      </w:r>
      <w:r>
        <w:t>Moreover,</w:t>
      </w:r>
      <w:r w:rsidR="00D15318">
        <w:t xml:space="preserve"> the </w:t>
      </w:r>
      <w:r>
        <w:t xml:space="preserve">Ombudsman’s </w:t>
      </w:r>
      <w:r w:rsidR="00D15318">
        <w:t>report</w:t>
      </w:r>
      <w:r>
        <w:t xml:space="preserve">s are </w:t>
      </w:r>
      <w:r w:rsidR="00D15318">
        <w:t xml:space="preserve">tabled in Parliament so that </w:t>
      </w:r>
      <w:r w:rsidR="00801E0E">
        <w:t>t</w:t>
      </w:r>
      <w:r w:rsidR="00D15318">
        <w:t xml:space="preserve">he Ombudsman’s </w:t>
      </w:r>
      <w:r>
        <w:t xml:space="preserve">findings and </w:t>
      </w:r>
      <w:r w:rsidR="00D15318">
        <w:t xml:space="preserve">recommendations </w:t>
      </w:r>
      <w:r>
        <w:t xml:space="preserve">can be </w:t>
      </w:r>
      <w:r w:rsidR="006B549E" w:rsidRPr="00EE0A20">
        <w:t xml:space="preserve">publicly </w:t>
      </w:r>
      <w:r w:rsidR="00D15318">
        <w:t>scrutin</w:t>
      </w:r>
      <w:r>
        <w:t>ised</w:t>
      </w:r>
      <w:r w:rsidR="00D15318">
        <w:t>.</w:t>
      </w:r>
    </w:p>
    <w:p w14:paraId="6FFF5535" w14:textId="77777777" w:rsidR="003033D0" w:rsidRPr="00327AB5" w:rsidRDefault="003033D0" w:rsidP="00327AB5">
      <w:pPr>
        <w:pStyle w:val="Heading3"/>
      </w:pPr>
      <w:bookmarkStart w:id="121" w:name="_Toc527633020"/>
      <w:r w:rsidRPr="00327AB5">
        <w:t>Frequency of reporting</w:t>
      </w:r>
      <w:bookmarkEnd w:id="121"/>
    </w:p>
    <w:p w14:paraId="68B50FF1" w14:textId="3E982E18" w:rsidR="009C31CB" w:rsidRDefault="00742758" w:rsidP="00327AB5">
      <w:pPr>
        <w:spacing w:before="200" w:after="200" w:line="276" w:lineRule="auto"/>
      </w:pPr>
      <w:r>
        <w:t xml:space="preserve">However, </w:t>
      </w:r>
      <w:r w:rsidR="003033D0">
        <w:t xml:space="preserve">the </w:t>
      </w:r>
      <w:r w:rsidR="00FC61D6">
        <w:t xml:space="preserve">Ombudsman has pointed to problems arising as a result of the </w:t>
      </w:r>
      <w:r w:rsidR="00F7616C">
        <w:t xml:space="preserve">legislative </w:t>
      </w:r>
      <w:r w:rsidR="00F811C8">
        <w:t>requirement</w:t>
      </w:r>
      <w:r w:rsidR="00FC61D6">
        <w:t xml:space="preserve"> to provide quarterly reports on this issue. In particular, it is typically not possible to provide a substantive assessment of the use of the powers in a particular case at the same time as that case is reported</w:t>
      </w:r>
      <w:r w:rsidR="00F91CAA">
        <w:t xml:space="preserve">. </w:t>
      </w:r>
      <w:r>
        <w:t xml:space="preserve">Thus, </w:t>
      </w:r>
      <w:r w:rsidR="009C31CB">
        <w:t>quarterly reports often contain only a notification that a compulsory examination or examinations have been conducted, without any assessment of the manner of their conduct</w:t>
      </w:r>
      <w:r w:rsidR="00F91CAA">
        <w:t xml:space="preserve">. </w:t>
      </w:r>
      <w:r w:rsidR="009C31CB">
        <w:t xml:space="preserve">In such </w:t>
      </w:r>
      <w:r w:rsidR="009C31CB">
        <w:lastRenderedPageBreak/>
        <w:t>circumstances, these reports provide no</w:t>
      </w:r>
      <w:r w:rsidR="003F2A63">
        <w:t xml:space="preserve"> more</w:t>
      </w:r>
      <w:r w:rsidR="009C31CB">
        <w:t xml:space="preserve"> information tha</w:t>
      </w:r>
      <w:r w:rsidR="003F2A63">
        <w:t xml:space="preserve">n that </w:t>
      </w:r>
      <w:r w:rsidR="009C31CB">
        <w:t>provided in the ABCC’s own quarterly reports.</w:t>
      </w:r>
    </w:p>
    <w:p w14:paraId="582F3D6F" w14:textId="794B4DE4" w:rsidR="009C31CB" w:rsidRDefault="00742758" w:rsidP="00327AB5">
      <w:pPr>
        <w:spacing w:before="200" w:after="200" w:line="276" w:lineRule="auto"/>
      </w:pPr>
      <w:r>
        <w:t>The Ombudsman’s office notes that it is not required to report on a quarterly basis in respect of any of the other, equivalent oversight functions which it performs</w:t>
      </w:r>
      <w:r w:rsidR="00F91CAA">
        <w:t xml:space="preserve">. </w:t>
      </w:r>
      <w:r>
        <w:t xml:space="preserve">Even in the case of the scrutiny it undertakes of powers exercised under the </w:t>
      </w:r>
      <w:r w:rsidRPr="00816A3E">
        <w:rPr>
          <w:i/>
        </w:rPr>
        <w:t>Surveillance Devices Act</w:t>
      </w:r>
      <w:r w:rsidR="00903EFD">
        <w:rPr>
          <w:i/>
        </w:rPr>
        <w:t> </w:t>
      </w:r>
      <w:r w:rsidR="00816A3E" w:rsidRPr="00816A3E">
        <w:rPr>
          <w:i/>
        </w:rPr>
        <w:t>2004</w:t>
      </w:r>
      <w:r>
        <w:t>, reporting occurs on a biannual basis</w:t>
      </w:r>
      <w:r w:rsidR="00F91CAA">
        <w:t xml:space="preserve">. </w:t>
      </w:r>
      <w:r>
        <w:t>T</w:t>
      </w:r>
      <w:r w:rsidR="009C31CB">
        <w:t xml:space="preserve">he Ombudsman </w:t>
      </w:r>
      <w:r w:rsidR="00FC61D6">
        <w:t>proposes that</w:t>
      </w:r>
      <w:r w:rsidR="00A23D64">
        <w:t xml:space="preserve"> the required reporting frequency </w:t>
      </w:r>
      <w:r>
        <w:t>in relation to the BCIIP</w:t>
      </w:r>
      <w:r w:rsidR="00903EFD">
        <w:t> </w:t>
      </w:r>
      <w:r>
        <w:t xml:space="preserve">Act </w:t>
      </w:r>
      <w:r w:rsidR="00A23D64">
        <w:t xml:space="preserve">should be reduced, </w:t>
      </w:r>
      <w:r w:rsidR="00F7616C">
        <w:t xml:space="preserve">with reporting to be no </w:t>
      </w:r>
      <w:r w:rsidR="00A23D64">
        <w:t>more than biannual</w:t>
      </w:r>
      <w:r w:rsidR="00F91CAA">
        <w:t xml:space="preserve">. </w:t>
      </w:r>
      <w:r>
        <w:t xml:space="preserve">The Ombudsman’s view is </w:t>
      </w:r>
      <w:r w:rsidR="009C31CB">
        <w:t>that this change would not reduce the effective degree of scrutiny of the ABCC’s use of its powers, compared with current practice</w:t>
      </w:r>
      <w:r w:rsidR="00F91CAA">
        <w:t xml:space="preserve">. </w:t>
      </w:r>
    </w:p>
    <w:p w14:paraId="753CEED5" w14:textId="11FB8C1F" w:rsidR="00A23D64" w:rsidRDefault="003A7F8B" w:rsidP="00327AB5">
      <w:pPr>
        <w:spacing w:before="200" w:after="200" w:line="276" w:lineRule="auto"/>
      </w:pPr>
      <w:r>
        <w:t>It is notable that</w:t>
      </w:r>
      <w:r w:rsidR="009C31CB">
        <w:t xml:space="preserve"> </w:t>
      </w:r>
      <w:r w:rsidR="003047B9">
        <w:t xml:space="preserve">the concerns as to the practical problems arising from quarterly reporting in this case have been raised by the </w:t>
      </w:r>
      <w:r w:rsidR="00662FE0">
        <w:t>Ombudsman</w:t>
      </w:r>
      <w:r w:rsidR="003047B9">
        <w:t xml:space="preserve">, rather than by the ABCC </w:t>
      </w:r>
      <w:r w:rsidR="009361B6">
        <w:t>as the</w:t>
      </w:r>
      <w:r w:rsidR="003047B9">
        <w:t xml:space="preserve"> reviewed entity. </w:t>
      </w:r>
      <w:r w:rsidR="003F2A63">
        <w:t>Particularly i</w:t>
      </w:r>
      <w:r w:rsidR="003047B9">
        <w:t>n the context of the reviewer reporting consistently that there has been a high level of compliance with the relevant legislati</w:t>
      </w:r>
      <w:r w:rsidR="00D15318">
        <w:t>on</w:t>
      </w:r>
      <w:r w:rsidR="003047B9">
        <w:t xml:space="preserve"> by the ABCC and its predecessor organisation in exercising these powers, there appears to be a strong case in favour of adopting the Ombudsman’s suggested reduction in reporting frequency. </w:t>
      </w:r>
      <w:r>
        <w:t>T</w:t>
      </w:r>
      <w:r w:rsidR="003047B9">
        <w:t>he relatively infrequent use made of the compulsory examination powers</w:t>
      </w:r>
      <w:r>
        <w:t xml:space="preserve"> underlines this point</w:t>
      </w:r>
      <w:r w:rsidR="003047B9">
        <w:t>.</w:t>
      </w:r>
    </w:p>
    <w:p w14:paraId="3E651427" w14:textId="6EC9D53B" w:rsidR="003047B9" w:rsidRDefault="00F40B5B" w:rsidP="00327AB5">
      <w:pPr>
        <w:spacing w:before="200" w:after="200" w:line="276" w:lineRule="auto"/>
      </w:pPr>
      <w:r>
        <w:t>The review considered a</w:t>
      </w:r>
      <w:r w:rsidR="003047B9">
        <w:t>n alternative approach</w:t>
      </w:r>
      <w:r>
        <w:t xml:space="preserve"> to this issue</w:t>
      </w:r>
      <w:r w:rsidR="003047B9">
        <w:t xml:space="preserve">, which </w:t>
      </w:r>
      <w:r>
        <w:t>c</w:t>
      </w:r>
      <w:r w:rsidR="003047B9">
        <w:t>ould potentially address the specific practical concern highlighted by the Ombudsman</w:t>
      </w:r>
      <w:r w:rsidR="00F91CAA">
        <w:t xml:space="preserve">. </w:t>
      </w:r>
      <w:r>
        <w:t>This</w:t>
      </w:r>
      <w:r w:rsidR="003047B9">
        <w:t xml:space="preserve"> would involve changes to the package of materials required to be provided to the Ombudsman by the ABCC. As noted in the </w:t>
      </w:r>
      <w:r w:rsidR="00E01867">
        <w:t>Ombudsman’s submission, section 65 of the BCIIP </w:t>
      </w:r>
      <w:r w:rsidR="003047B9">
        <w:t>Act requires the ABCC to provide the Ombudsman with a report about the examination, a video recording of the examination and a transcript of the examination. The Ombudsman notes that it is the latter requirement that</w:t>
      </w:r>
      <w:r w:rsidR="003F2A63">
        <w:t xml:space="preserve"> typically</w:t>
      </w:r>
      <w:r w:rsidR="003047B9">
        <w:t xml:space="preserve"> leads to </w:t>
      </w:r>
      <w:r w:rsidR="006B549E" w:rsidRPr="00EE0A20">
        <w:t>delays</w:t>
      </w:r>
      <w:r w:rsidR="003047B9">
        <w:t xml:space="preserve"> in the provision of these materials, </w:t>
      </w:r>
      <w:r w:rsidR="003A7F8B">
        <w:t xml:space="preserve">as </w:t>
      </w:r>
      <w:r w:rsidR="003047B9">
        <w:t>examinees must be provided with the opportunity to correct the transcript.</w:t>
      </w:r>
    </w:p>
    <w:p w14:paraId="3E50B453" w14:textId="21F3F7FA" w:rsidR="003047B9" w:rsidRDefault="003047B9" w:rsidP="00327AB5">
      <w:pPr>
        <w:spacing w:before="200" w:after="200" w:line="276" w:lineRule="auto"/>
      </w:pPr>
      <w:r>
        <w:t xml:space="preserve">This being so, a potential change would involve </w:t>
      </w:r>
      <w:r w:rsidR="006C4A36">
        <w:t xml:space="preserve">repealing </w:t>
      </w:r>
      <w:r>
        <w:t xml:space="preserve">the requirement </w:t>
      </w:r>
      <w:r w:rsidR="006C4A36">
        <w:t>in</w:t>
      </w:r>
      <w:r>
        <w:t xml:space="preserve"> </w:t>
      </w:r>
      <w:r w:rsidR="006B549E" w:rsidRPr="00EE0A20">
        <w:t>subsection </w:t>
      </w:r>
      <w:r>
        <w:t xml:space="preserve">65(1)(c) that a transcript be provided. If this change were adopted, the Ombudsman would proceed to assess the use of the examination power on the basis of the report and the video recording. This would </w:t>
      </w:r>
      <w:r w:rsidR="00F40B5B">
        <w:t>appear</w:t>
      </w:r>
      <w:r>
        <w:t xml:space="preserve"> to be a sufficient basis for the assessment in most cases. However, </w:t>
      </w:r>
      <w:r w:rsidR="00CB2A39">
        <w:t xml:space="preserve">in cases </w:t>
      </w:r>
      <w:r>
        <w:t>where</w:t>
      </w:r>
      <w:r w:rsidR="00CB2A39">
        <w:t xml:space="preserve"> the dialogue contained in the examination was not clear in the video recording, the Ombudsman </w:t>
      </w:r>
      <w:r w:rsidR="006C4A36">
        <w:t>c</w:t>
      </w:r>
      <w:r w:rsidR="00CB2A39">
        <w:t>ould delay the assessment pending a request to the ABCC for provision of a transcript.</w:t>
      </w:r>
    </w:p>
    <w:p w14:paraId="01ADA422" w14:textId="07D1BD79" w:rsidR="00773AA7" w:rsidRDefault="00F40B5B" w:rsidP="00327AB5">
      <w:pPr>
        <w:spacing w:before="200" w:after="200" w:line="276" w:lineRule="auto"/>
      </w:pPr>
      <w:r>
        <w:t>The review sought the views of the Ombudsman’s office on this issue</w:t>
      </w:r>
      <w:r w:rsidR="00F91CAA">
        <w:t xml:space="preserve">. </w:t>
      </w:r>
      <w:r w:rsidR="00C9490C">
        <w:t>The office</w:t>
      </w:r>
      <w:r>
        <w:t xml:space="preserve"> </w:t>
      </w:r>
      <w:r w:rsidR="00C9490C">
        <w:t xml:space="preserve">indicated </w:t>
      </w:r>
      <w:r>
        <w:t xml:space="preserve">that </w:t>
      </w:r>
      <w:r w:rsidR="00773AA7">
        <w:t xml:space="preserve">the Administrative Review Council </w:t>
      </w:r>
      <w:r w:rsidR="006F6813">
        <w:t xml:space="preserve">(ARC) </w:t>
      </w:r>
      <w:r w:rsidR="00773AA7">
        <w:t xml:space="preserve">considered this issue in its 2008 report on the coercive information gathering </w:t>
      </w:r>
      <w:r w:rsidR="00C9490C">
        <w:t>p</w:t>
      </w:r>
      <w:r w:rsidR="00773AA7">
        <w:t>owers of government agencies</w:t>
      </w:r>
      <w:r w:rsidR="0056479C">
        <w:t>.</w:t>
      </w:r>
      <w:r w:rsidR="00773AA7">
        <w:rPr>
          <w:rStyle w:val="FootnoteReference"/>
        </w:rPr>
        <w:footnoteReference w:id="48"/>
      </w:r>
      <w:r w:rsidR="00F91CAA">
        <w:t xml:space="preserve"> </w:t>
      </w:r>
      <w:r w:rsidR="00C9490C">
        <w:t>A</w:t>
      </w:r>
      <w:r w:rsidR="00773AA7">
        <w:t xml:space="preserve">mong the principles put forward by the ARC in this report as a guide to government agencies, to ensure fair, efficient and effective use of coercive information-gathering powers, principle 16 states that an examinee should be given an opportunity to view and correct a transcript of the examination. The Ombudsman’s office indicated that it generally relies on this </w:t>
      </w:r>
      <w:r w:rsidR="00C9490C">
        <w:t>A</w:t>
      </w:r>
      <w:r w:rsidR="00773AA7">
        <w:t>RC report to guide the methodology that it uses in undertaking reviews. Consequently, it believes it appropriate that the BCIIP</w:t>
      </w:r>
      <w:r w:rsidR="00903EFD">
        <w:t> </w:t>
      </w:r>
      <w:r w:rsidR="00773AA7">
        <w:t>Act should continue to require that a transcript be provided to it as part of the package of materials on which it should base its review of the use of the compulsory examination powers.</w:t>
      </w:r>
    </w:p>
    <w:p w14:paraId="7D7E5110" w14:textId="77777777" w:rsidR="00DC67C0" w:rsidRPr="00327AB5" w:rsidRDefault="00DC67C0" w:rsidP="00327AB5">
      <w:pPr>
        <w:pStyle w:val="Heading3"/>
      </w:pPr>
      <w:bookmarkStart w:id="122" w:name="_Toc527633021"/>
      <w:r w:rsidRPr="00327AB5">
        <w:lastRenderedPageBreak/>
        <w:t>Conclusion</w:t>
      </w:r>
      <w:bookmarkEnd w:id="122"/>
    </w:p>
    <w:p w14:paraId="71F8D32A" w14:textId="69968F65" w:rsidR="00DC67C0" w:rsidRDefault="00DC67C0" w:rsidP="00327AB5">
      <w:pPr>
        <w:spacing w:before="200" w:after="200" w:line="276" w:lineRule="auto"/>
      </w:pPr>
      <w:r>
        <w:t>The review concludes that the current arrangements for exercising oversight of the compulsory examination powers are generally appropriate. However, it accepts the view put forward by the Ombudsman in relation to the difficulties caused by the current requirement for</w:t>
      </w:r>
      <w:r w:rsidR="004C2BA4">
        <w:t xml:space="preserve"> quarterly report</w:t>
      </w:r>
      <w:r w:rsidR="003A7F8B">
        <w:t>ing.</w:t>
      </w:r>
      <w:r w:rsidR="004C2BA4">
        <w:t xml:space="preserve"> </w:t>
      </w:r>
      <w:r w:rsidR="003A7F8B">
        <w:t xml:space="preserve">There appears to be little merit in continuing with the current frequency of reporting, particularly given the ABCC’s record of exercising </w:t>
      </w:r>
      <w:r w:rsidR="00C9490C">
        <w:t>its</w:t>
      </w:r>
      <w:r w:rsidR="004C2BA4">
        <w:t xml:space="preserve"> compulsory examination powers in an appropriate manner, consistent with the requirements of the legislation</w:t>
      </w:r>
      <w:r w:rsidR="00F91CAA">
        <w:t xml:space="preserve">. </w:t>
      </w:r>
    </w:p>
    <w:p w14:paraId="71C9E8DE" w14:textId="7136ED41" w:rsidR="00C9490C" w:rsidRDefault="00C9490C" w:rsidP="00327AB5">
      <w:pPr>
        <w:spacing w:before="200" w:after="200" w:line="276" w:lineRule="auto"/>
      </w:pPr>
      <w:r>
        <w:t>The review believes that publication of these reports on the Ombudsman’s website is generally appropriate</w:t>
      </w:r>
      <w:r w:rsidR="00F91CAA">
        <w:t xml:space="preserve">. </w:t>
      </w:r>
      <w:r>
        <w:t xml:space="preserve">However, in light of the ACTU’s suggestion that their publication would enhance their effective accessibility, it notes that there appears to be no obvious impediment to </w:t>
      </w:r>
      <w:r w:rsidR="00D15318">
        <w:t xml:space="preserve">access being available through </w:t>
      </w:r>
      <w:r>
        <w:t>both websites.</w:t>
      </w:r>
    </w:p>
    <w:p w14:paraId="027142B0" w14:textId="77777777" w:rsidR="00181AAC" w:rsidRPr="00327AB5" w:rsidRDefault="00181AAC" w:rsidP="00E56667">
      <w:pPr>
        <w:pStyle w:val="Heading2"/>
        <w:keepNext/>
        <w:pBdr>
          <w:top w:val="single" w:sz="4" w:space="1" w:color="auto"/>
          <w:bottom w:val="single" w:sz="4" w:space="1" w:color="auto"/>
        </w:pBdr>
        <w:shd w:val="clear" w:color="auto" w:fill="FBE4D5" w:themeFill="accent2" w:themeFillTint="33"/>
      </w:pPr>
      <w:bookmarkStart w:id="123" w:name="_Toc527633022"/>
      <w:r w:rsidRPr="00327AB5">
        <w:t>Finding and recommendations</w:t>
      </w:r>
      <w:bookmarkEnd w:id="123"/>
    </w:p>
    <w:p w14:paraId="4E1808FE" w14:textId="77777777" w:rsidR="00181AAC" w:rsidRDefault="00181AAC" w:rsidP="00E56667">
      <w:pPr>
        <w:keepNext/>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That the safeguards and public accountability mechanisms incorporated in the current oversight arrangements in respect of the ABCC’s compulsory examination powers are adequate and appropriate.</w:t>
      </w:r>
    </w:p>
    <w:p w14:paraId="0B1DD4D1" w14:textId="77777777" w:rsidR="00181AAC" w:rsidRDefault="00181AAC" w:rsidP="00E56667">
      <w:pPr>
        <w:keepNext/>
        <w:pBdr>
          <w:top w:val="single" w:sz="4" w:space="1" w:color="auto"/>
          <w:bottom w:val="single" w:sz="4" w:space="1" w:color="auto"/>
        </w:pBdr>
        <w:shd w:val="clear" w:color="auto" w:fill="FBE4D5" w:themeFill="accent2" w:themeFillTint="33"/>
        <w:spacing w:before="120" w:after="120"/>
      </w:pPr>
      <w:r>
        <w:rPr>
          <w:b/>
        </w:rPr>
        <w:t>Recommendation 2</w:t>
      </w:r>
      <w:r w:rsidRPr="00154456">
        <w:rPr>
          <w:b/>
        </w:rPr>
        <w:t>.1:</w:t>
      </w:r>
      <w:r w:rsidRPr="00154456">
        <w:t xml:space="preserve"> That the current oversight arrangements should be retained, subject to the changes proposed in recommendations 2.2 and 2.3.</w:t>
      </w:r>
    </w:p>
    <w:p w14:paraId="127A068F" w14:textId="77777777" w:rsidR="00181AAC" w:rsidRDefault="00181AAC" w:rsidP="00E56667">
      <w:pPr>
        <w:keepNext/>
        <w:pBdr>
          <w:top w:val="single" w:sz="4" w:space="1" w:color="auto"/>
          <w:bottom w:val="single" w:sz="4" w:space="1" w:color="auto"/>
        </w:pBdr>
        <w:shd w:val="clear" w:color="auto" w:fill="FBE4D5" w:themeFill="accent2" w:themeFillTint="33"/>
        <w:spacing w:before="120" w:after="120"/>
      </w:pPr>
      <w:r>
        <w:rPr>
          <w:b/>
        </w:rPr>
        <w:t>Recommendation 2</w:t>
      </w:r>
      <w:r w:rsidRPr="00154456">
        <w:rPr>
          <w:b/>
        </w:rPr>
        <w:t>.2:</w:t>
      </w:r>
      <w:r w:rsidRPr="00154456">
        <w:t xml:space="preserve"> Th</w:t>
      </w:r>
      <w:r>
        <w:t>at the provisions of subsection 65(6) of the BCIIP </w:t>
      </w:r>
      <w:r w:rsidRPr="00154456">
        <w:t>Act be amended to provide for the Ombudsman to report to Parliament on a biannual basis, rather than a quarterly basis.</w:t>
      </w:r>
    </w:p>
    <w:p w14:paraId="6338C8CD" w14:textId="6E5A4B00" w:rsidR="00181AAC" w:rsidRDefault="00181AAC" w:rsidP="00E56667">
      <w:pPr>
        <w:keepNext/>
        <w:pBdr>
          <w:top w:val="single" w:sz="4" w:space="1" w:color="auto"/>
          <w:bottom w:val="single" w:sz="4" w:space="1" w:color="auto"/>
        </w:pBdr>
        <w:shd w:val="clear" w:color="auto" w:fill="FBE4D5" w:themeFill="accent2" w:themeFillTint="33"/>
        <w:spacing w:before="200" w:after="200" w:line="276" w:lineRule="auto"/>
      </w:pPr>
      <w:r w:rsidRPr="00154456">
        <w:rPr>
          <w:b/>
        </w:rPr>
        <w:t xml:space="preserve">Recommendation </w:t>
      </w:r>
      <w:r>
        <w:rPr>
          <w:b/>
        </w:rPr>
        <w:t>2</w:t>
      </w:r>
      <w:r w:rsidRPr="00154456">
        <w:rPr>
          <w:b/>
        </w:rPr>
        <w:t>.3:</w:t>
      </w:r>
      <w:r w:rsidRPr="00154456">
        <w:t xml:space="preserve"> That the Minister request that the ABCC incorporate a link to the Ombudsman’s reports on its website.</w:t>
      </w:r>
    </w:p>
    <w:p w14:paraId="75DD3C20" w14:textId="482261AD" w:rsidR="00327AB5" w:rsidRDefault="00327AB5" w:rsidP="00763BF5"/>
    <w:p w14:paraId="6A09F54C" w14:textId="77777777" w:rsidR="00181AAC" w:rsidRDefault="00181AAC" w:rsidP="00763BF5">
      <w:pPr>
        <w:sectPr w:rsidR="00181AAC" w:rsidSect="005875EE">
          <w:pgSz w:w="11906" w:h="16838" w:code="9"/>
          <w:pgMar w:top="1440" w:right="1440" w:bottom="1440" w:left="1440" w:header="709" w:footer="1009" w:gutter="0"/>
          <w:cols w:space="708"/>
          <w:docGrid w:linePitch="360"/>
        </w:sectPr>
      </w:pPr>
    </w:p>
    <w:p w14:paraId="3F3E07EC" w14:textId="51436FC3" w:rsidR="008B186B" w:rsidRDefault="00DF0877" w:rsidP="000474D8">
      <w:pPr>
        <w:pStyle w:val="Heading1"/>
      </w:pPr>
      <w:bookmarkStart w:id="124" w:name="_Toc523154931"/>
      <w:bookmarkStart w:id="125" w:name="_Toc527633023"/>
      <w:r>
        <w:lastRenderedPageBreak/>
        <w:t xml:space="preserve">Chapter </w:t>
      </w:r>
      <w:r w:rsidR="008B186B">
        <w:t>3:</w:t>
      </w:r>
      <w:r w:rsidR="00C3250D">
        <w:tab/>
      </w:r>
      <w:r w:rsidR="000A54B6">
        <w:t>H</w:t>
      </w:r>
      <w:r w:rsidR="000A54B6" w:rsidRPr="000A54B6">
        <w:t>igher penalties under the BCIIP</w:t>
      </w:r>
      <w:r w:rsidR="00903EFD">
        <w:t> </w:t>
      </w:r>
      <w:r w:rsidR="000A54B6" w:rsidRPr="000A54B6">
        <w:t>Act</w:t>
      </w:r>
      <w:bookmarkEnd w:id="124"/>
      <w:bookmarkEnd w:id="125"/>
    </w:p>
    <w:p w14:paraId="623C72C1" w14:textId="77777777" w:rsidR="00181AAC" w:rsidRPr="00327AB5" w:rsidRDefault="00181AAC" w:rsidP="00181AAC">
      <w:pPr>
        <w:pStyle w:val="Heading2"/>
        <w:pBdr>
          <w:top w:val="single" w:sz="4" w:space="1" w:color="auto"/>
          <w:bottom w:val="single" w:sz="4" w:space="1" w:color="auto"/>
        </w:pBdr>
        <w:shd w:val="clear" w:color="auto" w:fill="DEEAF6" w:themeFill="accent1" w:themeFillTint="33"/>
      </w:pPr>
      <w:bookmarkStart w:id="126" w:name="_Toc525908276"/>
      <w:bookmarkStart w:id="127" w:name="_Toc527633024"/>
      <w:r w:rsidRPr="00327AB5">
        <w:t>Term of reference 3</w:t>
      </w:r>
      <w:bookmarkEnd w:id="126"/>
      <w:bookmarkEnd w:id="127"/>
    </w:p>
    <w:p w14:paraId="23237052" w14:textId="440B521F" w:rsidR="00181AAC" w:rsidRPr="00181AAC" w:rsidRDefault="00181AAC" w:rsidP="00181AAC">
      <w:pPr>
        <w:pBdr>
          <w:top w:val="single" w:sz="4" w:space="1" w:color="auto"/>
          <w:bottom w:val="single" w:sz="4" w:space="1" w:color="auto"/>
        </w:pBdr>
        <w:shd w:val="clear" w:color="auto" w:fill="DEEAF6" w:themeFill="accent1" w:themeFillTint="33"/>
      </w:pPr>
      <w:r w:rsidRPr="00887DE0">
        <w:rPr>
          <w:rFonts w:eastAsia="Times New Roman" w:cstheme="minorHAnsi"/>
          <w:lang w:eastAsia="en-AU"/>
        </w:rPr>
        <w:t>The review will examine</w:t>
      </w:r>
      <w:r>
        <w:rPr>
          <w:rFonts w:eastAsia="Times New Roman" w:cstheme="minorHAnsi"/>
          <w:lang w:eastAsia="en-AU"/>
        </w:rPr>
        <w:t xml:space="preserve"> w</w:t>
      </w:r>
      <w:r w:rsidRPr="00AD31DF">
        <w:rPr>
          <w:rFonts w:eastAsia="Times New Roman" w:cstheme="minorHAnsi"/>
          <w:lang w:eastAsia="en-AU"/>
        </w:rPr>
        <w:t>hether the h</w:t>
      </w:r>
      <w:r>
        <w:rPr>
          <w:rFonts w:eastAsia="Times New Roman" w:cstheme="minorHAnsi"/>
          <w:lang w:eastAsia="en-AU"/>
        </w:rPr>
        <w:t>igher penalties under the BCIIP </w:t>
      </w:r>
      <w:r w:rsidRPr="00AD31DF">
        <w:rPr>
          <w:rFonts w:eastAsia="Times New Roman" w:cstheme="minorHAnsi"/>
          <w:lang w:eastAsia="en-AU"/>
        </w:rPr>
        <w:t>Act are acting as a deterrent to prevent contraventions of workplace relations laws by industry participants.</w:t>
      </w:r>
    </w:p>
    <w:p w14:paraId="7A467642" w14:textId="2B1ECD67" w:rsidR="000474D8" w:rsidRDefault="00592A3A" w:rsidP="004F647D">
      <w:pPr>
        <w:pStyle w:val="Heading2"/>
        <w:numPr>
          <w:ilvl w:val="1"/>
          <w:numId w:val="20"/>
        </w:numPr>
      </w:pPr>
      <w:bookmarkStart w:id="128" w:name="_Toc523154932"/>
      <w:bookmarkStart w:id="129" w:name="_Toc527633025"/>
      <w:r>
        <w:t>Introduction</w:t>
      </w:r>
      <w:bookmarkEnd w:id="128"/>
      <w:bookmarkEnd w:id="129"/>
    </w:p>
    <w:p w14:paraId="67B03BD6" w14:textId="313BAD06" w:rsidR="007F69F0" w:rsidRDefault="007F69F0" w:rsidP="00327AB5">
      <w:pPr>
        <w:spacing w:before="200" w:after="200" w:line="276" w:lineRule="auto"/>
        <w:rPr>
          <w:rFonts w:cstheme="minorHAnsi"/>
          <w:bCs/>
          <w:color w:val="000000"/>
        </w:rPr>
      </w:pPr>
      <w:r>
        <w:rPr>
          <w:rFonts w:cstheme="minorHAnsi"/>
          <w:bCs/>
          <w:color w:val="000000"/>
        </w:rPr>
        <w:t>The BCIIP</w:t>
      </w:r>
      <w:r w:rsidR="00903EFD">
        <w:rPr>
          <w:rFonts w:cstheme="minorHAnsi"/>
          <w:bCs/>
          <w:color w:val="000000"/>
        </w:rPr>
        <w:t> </w:t>
      </w:r>
      <w:r>
        <w:rPr>
          <w:rFonts w:cstheme="minorHAnsi"/>
          <w:bCs/>
          <w:color w:val="000000"/>
        </w:rPr>
        <w:t xml:space="preserve">Act </w:t>
      </w:r>
      <w:r w:rsidR="00C70CE5">
        <w:rPr>
          <w:rFonts w:cstheme="minorHAnsi"/>
          <w:bCs/>
          <w:color w:val="000000"/>
        </w:rPr>
        <w:t xml:space="preserve">identifies </w:t>
      </w:r>
      <w:r w:rsidR="00AA7690">
        <w:rPr>
          <w:rFonts w:cstheme="minorHAnsi"/>
          <w:bCs/>
          <w:color w:val="000000"/>
        </w:rPr>
        <w:t xml:space="preserve">a range </w:t>
      </w:r>
      <w:r w:rsidR="004D5EBE">
        <w:rPr>
          <w:rFonts w:cstheme="minorHAnsi"/>
          <w:bCs/>
          <w:color w:val="000000"/>
        </w:rPr>
        <w:t xml:space="preserve">of </w:t>
      </w:r>
      <w:r w:rsidR="00AA7690">
        <w:rPr>
          <w:rFonts w:cstheme="minorHAnsi"/>
          <w:bCs/>
          <w:color w:val="000000"/>
        </w:rPr>
        <w:t xml:space="preserve">workplace relations legislation </w:t>
      </w:r>
      <w:r w:rsidR="00C70CE5">
        <w:rPr>
          <w:rFonts w:cstheme="minorHAnsi"/>
          <w:bCs/>
          <w:color w:val="000000"/>
        </w:rPr>
        <w:t xml:space="preserve">as </w:t>
      </w:r>
      <w:r w:rsidR="00F02FFE">
        <w:rPr>
          <w:rFonts w:cstheme="minorHAnsi"/>
          <w:bCs/>
          <w:color w:val="000000"/>
        </w:rPr>
        <w:t>‘</w:t>
      </w:r>
      <w:r w:rsidR="00C70CE5">
        <w:rPr>
          <w:rFonts w:cstheme="minorHAnsi"/>
          <w:bCs/>
          <w:color w:val="000000"/>
        </w:rPr>
        <w:t xml:space="preserve">designated building </w:t>
      </w:r>
      <w:proofErr w:type="gramStart"/>
      <w:r w:rsidR="00C70CE5">
        <w:rPr>
          <w:rFonts w:cstheme="minorHAnsi"/>
          <w:bCs/>
          <w:color w:val="000000"/>
        </w:rPr>
        <w:t>laws</w:t>
      </w:r>
      <w:r w:rsidR="00F02FFE">
        <w:rPr>
          <w:rFonts w:cstheme="minorHAnsi"/>
          <w:bCs/>
          <w:color w:val="000000"/>
        </w:rPr>
        <w:t>’</w:t>
      </w:r>
      <w:proofErr w:type="gramEnd"/>
      <w:r w:rsidR="00F91CAA">
        <w:rPr>
          <w:rFonts w:cstheme="minorHAnsi"/>
          <w:bCs/>
          <w:color w:val="000000"/>
        </w:rPr>
        <w:t xml:space="preserve">. </w:t>
      </w:r>
      <w:r w:rsidR="00C70CE5">
        <w:rPr>
          <w:rFonts w:cstheme="minorHAnsi"/>
          <w:bCs/>
          <w:color w:val="000000"/>
        </w:rPr>
        <w:t xml:space="preserve">Designated building laws include </w:t>
      </w:r>
      <w:r w:rsidR="00C70CE5" w:rsidRPr="00B8086E">
        <w:rPr>
          <w:rFonts w:cstheme="minorHAnsi"/>
          <w:bCs/>
          <w:color w:val="000000"/>
        </w:rPr>
        <w:t xml:space="preserve">the </w:t>
      </w:r>
      <w:r w:rsidR="00C70CE5" w:rsidRPr="00B8086E">
        <w:rPr>
          <w:rFonts w:cstheme="minorHAnsi"/>
          <w:bCs/>
          <w:i/>
          <w:color w:val="000000"/>
        </w:rPr>
        <w:t>Fair Work Act</w:t>
      </w:r>
      <w:r w:rsidR="00903EFD">
        <w:rPr>
          <w:rFonts w:cstheme="minorHAnsi"/>
          <w:bCs/>
          <w:i/>
          <w:color w:val="000000"/>
        </w:rPr>
        <w:t> </w:t>
      </w:r>
      <w:r w:rsidR="00C70CE5" w:rsidRPr="00B8086E">
        <w:rPr>
          <w:rFonts w:cstheme="minorHAnsi"/>
          <w:bCs/>
          <w:i/>
          <w:color w:val="000000"/>
        </w:rPr>
        <w:t>2009</w:t>
      </w:r>
      <w:r w:rsidR="00816A3E">
        <w:rPr>
          <w:rFonts w:cstheme="minorHAnsi"/>
          <w:bCs/>
          <w:i/>
          <w:color w:val="000000"/>
        </w:rPr>
        <w:t xml:space="preserve"> </w:t>
      </w:r>
      <w:r w:rsidR="00816A3E" w:rsidRPr="00816A3E">
        <w:rPr>
          <w:rFonts w:cstheme="minorHAnsi"/>
          <w:bCs/>
          <w:color w:val="000000"/>
        </w:rPr>
        <w:t>(FW</w:t>
      </w:r>
      <w:r w:rsidR="00EA7C53">
        <w:rPr>
          <w:rFonts w:cstheme="minorHAnsi"/>
          <w:bCs/>
          <w:color w:val="000000"/>
        </w:rPr>
        <w:t> </w:t>
      </w:r>
      <w:r w:rsidR="00816A3E" w:rsidRPr="00816A3E">
        <w:rPr>
          <w:rFonts w:cstheme="minorHAnsi"/>
          <w:bCs/>
          <w:color w:val="000000"/>
        </w:rPr>
        <w:t>Act)</w:t>
      </w:r>
      <w:r w:rsidR="00C70CE5">
        <w:rPr>
          <w:rFonts w:cstheme="minorHAnsi"/>
          <w:bCs/>
          <w:color w:val="000000"/>
        </w:rPr>
        <w:t>,</w:t>
      </w:r>
      <w:r w:rsidR="00C70CE5" w:rsidRPr="000E388C">
        <w:rPr>
          <w:color w:val="000000"/>
        </w:rPr>
        <w:t xml:space="preserve"> </w:t>
      </w:r>
      <w:r w:rsidR="00C70CE5" w:rsidRPr="00B8086E">
        <w:rPr>
          <w:rFonts w:cstheme="minorHAnsi"/>
          <w:bCs/>
          <w:i/>
          <w:color w:val="000000"/>
        </w:rPr>
        <w:t>Fair Work (Transitional Provisions and Consequential Amendments)</w:t>
      </w:r>
      <w:r w:rsidR="00C70CE5" w:rsidRPr="000E388C">
        <w:rPr>
          <w:i/>
          <w:color w:val="000000"/>
        </w:rPr>
        <w:t xml:space="preserve"> Act</w:t>
      </w:r>
      <w:r w:rsidR="00903EFD">
        <w:rPr>
          <w:i/>
          <w:color w:val="000000"/>
        </w:rPr>
        <w:t> </w:t>
      </w:r>
      <w:r w:rsidR="00C70CE5" w:rsidRPr="00B8086E">
        <w:rPr>
          <w:rFonts w:cstheme="minorHAnsi"/>
          <w:bCs/>
          <w:i/>
          <w:color w:val="000000"/>
        </w:rPr>
        <w:t>2009</w:t>
      </w:r>
      <w:r w:rsidR="00C70CE5">
        <w:rPr>
          <w:rFonts w:cstheme="minorHAnsi"/>
          <w:bCs/>
          <w:color w:val="000000"/>
        </w:rPr>
        <w:t>, th</w:t>
      </w:r>
      <w:r w:rsidR="00C70CE5" w:rsidRPr="00B8086E">
        <w:rPr>
          <w:rFonts w:cstheme="minorHAnsi"/>
          <w:bCs/>
          <w:color w:val="000000"/>
        </w:rPr>
        <w:t xml:space="preserve">e </w:t>
      </w:r>
      <w:r w:rsidR="00C70CE5" w:rsidRPr="00B8086E">
        <w:rPr>
          <w:rFonts w:cstheme="minorHAnsi"/>
          <w:bCs/>
          <w:i/>
          <w:color w:val="000000"/>
        </w:rPr>
        <w:t>Independent Contractors Act</w:t>
      </w:r>
      <w:r w:rsidR="00903EFD">
        <w:rPr>
          <w:rFonts w:cstheme="minorHAnsi"/>
          <w:bCs/>
          <w:i/>
          <w:color w:val="000000"/>
        </w:rPr>
        <w:t> </w:t>
      </w:r>
      <w:r w:rsidR="00C70CE5" w:rsidRPr="00B8086E">
        <w:rPr>
          <w:rFonts w:cstheme="minorHAnsi"/>
          <w:bCs/>
          <w:i/>
          <w:color w:val="000000"/>
        </w:rPr>
        <w:t>2006</w:t>
      </w:r>
      <w:r w:rsidR="00C70CE5">
        <w:rPr>
          <w:rFonts w:cstheme="minorHAnsi"/>
          <w:bCs/>
          <w:color w:val="000000"/>
        </w:rPr>
        <w:t xml:space="preserve"> and</w:t>
      </w:r>
      <w:r w:rsidR="00C70CE5" w:rsidRPr="00B8086E">
        <w:rPr>
          <w:rFonts w:cstheme="minorHAnsi"/>
          <w:bCs/>
          <w:color w:val="000000"/>
        </w:rPr>
        <w:t xml:space="preserve"> </w:t>
      </w:r>
      <w:r w:rsidR="0073452C">
        <w:rPr>
          <w:rFonts w:cstheme="minorHAnsi"/>
          <w:bCs/>
          <w:color w:val="000000"/>
        </w:rPr>
        <w:t xml:space="preserve">certain </w:t>
      </w:r>
      <w:r w:rsidR="00C70CE5" w:rsidRPr="00B8086E">
        <w:rPr>
          <w:rFonts w:cstheme="minorHAnsi"/>
          <w:bCs/>
          <w:color w:val="000000"/>
        </w:rPr>
        <w:t>Commonwealth industrial instrument</w:t>
      </w:r>
      <w:r w:rsidR="00C70CE5">
        <w:rPr>
          <w:rFonts w:cstheme="minorHAnsi"/>
          <w:bCs/>
          <w:color w:val="000000"/>
        </w:rPr>
        <w:t>s</w:t>
      </w:r>
      <w:r w:rsidR="00F91CAA">
        <w:rPr>
          <w:rFonts w:cstheme="minorHAnsi"/>
          <w:bCs/>
          <w:color w:val="000000"/>
        </w:rPr>
        <w:t xml:space="preserve">. </w:t>
      </w:r>
      <w:r w:rsidR="00F4134E">
        <w:rPr>
          <w:rFonts w:cstheme="minorHAnsi"/>
          <w:bCs/>
          <w:color w:val="000000"/>
        </w:rPr>
        <w:t xml:space="preserve">The </w:t>
      </w:r>
      <w:r w:rsidR="006B549E" w:rsidRPr="00EE0A20">
        <w:rPr>
          <w:rFonts w:cstheme="minorHAnsi"/>
          <w:bCs/>
          <w:color w:val="000000"/>
        </w:rPr>
        <w:t>ABC </w:t>
      </w:r>
      <w:r w:rsidR="00F4134E">
        <w:rPr>
          <w:rFonts w:cstheme="minorHAnsi"/>
          <w:bCs/>
          <w:color w:val="000000"/>
        </w:rPr>
        <w:t xml:space="preserve">Commissioner is responsible for </w:t>
      </w:r>
      <w:r w:rsidR="009C1972">
        <w:rPr>
          <w:rFonts w:cstheme="minorHAnsi"/>
          <w:bCs/>
          <w:color w:val="000000"/>
        </w:rPr>
        <w:t xml:space="preserve">ensuring </w:t>
      </w:r>
      <w:r w:rsidR="00B40B3D">
        <w:rPr>
          <w:rFonts w:cstheme="minorHAnsi"/>
          <w:bCs/>
          <w:color w:val="000000"/>
        </w:rPr>
        <w:t xml:space="preserve">compliance with </w:t>
      </w:r>
      <w:r w:rsidR="00F4134E">
        <w:rPr>
          <w:rFonts w:cstheme="minorHAnsi"/>
          <w:bCs/>
          <w:color w:val="000000"/>
        </w:rPr>
        <w:t xml:space="preserve">these </w:t>
      </w:r>
      <w:r w:rsidR="00F4134E" w:rsidRPr="00B8086E">
        <w:rPr>
          <w:rFonts w:cstheme="minorHAnsi"/>
          <w:bCs/>
          <w:color w:val="000000"/>
        </w:rPr>
        <w:t>designated building laws</w:t>
      </w:r>
      <w:r w:rsidR="00F4134E">
        <w:rPr>
          <w:rFonts w:cstheme="minorHAnsi"/>
          <w:bCs/>
          <w:color w:val="000000"/>
        </w:rPr>
        <w:t>,</w:t>
      </w:r>
      <w:r w:rsidR="00F4134E" w:rsidRPr="00B8086E">
        <w:rPr>
          <w:rFonts w:cstheme="minorHAnsi"/>
          <w:bCs/>
          <w:color w:val="000000"/>
        </w:rPr>
        <w:t xml:space="preserve"> to the extent that those laws relate to build</w:t>
      </w:r>
      <w:r w:rsidR="00F4134E">
        <w:rPr>
          <w:rFonts w:cstheme="minorHAnsi"/>
          <w:bCs/>
          <w:color w:val="000000"/>
        </w:rPr>
        <w:t xml:space="preserve">ing work and the operation of the </w:t>
      </w:r>
      <w:r w:rsidR="00EA7C53">
        <w:rPr>
          <w:rFonts w:cstheme="minorHAnsi"/>
          <w:bCs/>
          <w:color w:val="000000"/>
        </w:rPr>
        <w:t>2016 </w:t>
      </w:r>
      <w:r w:rsidR="00327AB5">
        <w:rPr>
          <w:rFonts w:cstheme="minorHAnsi"/>
          <w:bCs/>
          <w:color w:val="000000"/>
        </w:rPr>
        <w:t>Code.</w:t>
      </w:r>
    </w:p>
    <w:p w14:paraId="32DBAE6B" w14:textId="0840CDC8" w:rsidR="007F69F0" w:rsidRDefault="007F69F0" w:rsidP="00327AB5">
      <w:pPr>
        <w:spacing w:before="200" w:after="200" w:line="276" w:lineRule="auto"/>
        <w:rPr>
          <w:rFonts w:cstheme="minorHAnsi"/>
          <w:bCs/>
          <w:color w:val="000000"/>
        </w:rPr>
      </w:pPr>
      <w:r>
        <w:rPr>
          <w:rFonts w:cstheme="minorHAnsi"/>
          <w:bCs/>
          <w:color w:val="000000"/>
        </w:rPr>
        <w:t xml:space="preserve">The </w:t>
      </w:r>
      <w:r w:rsidR="00816A3E">
        <w:rPr>
          <w:rFonts w:cstheme="minorHAnsi"/>
          <w:bCs/>
          <w:color w:val="000000"/>
        </w:rPr>
        <w:t>BCIIP</w:t>
      </w:r>
      <w:r w:rsidR="00903EFD">
        <w:rPr>
          <w:rFonts w:cstheme="minorHAnsi"/>
          <w:bCs/>
          <w:color w:val="000000"/>
        </w:rPr>
        <w:t> </w:t>
      </w:r>
      <w:r>
        <w:rPr>
          <w:rFonts w:cstheme="minorHAnsi"/>
          <w:bCs/>
          <w:color w:val="000000"/>
        </w:rPr>
        <w:t>Act contains a number of building industry specific workplace relations civil remedy provisions</w:t>
      </w:r>
      <w:r w:rsidR="00F4134E">
        <w:rPr>
          <w:rFonts w:cstheme="minorHAnsi"/>
          <w:bCs/>
          <w:color w:val="000000"/>
        </w:rPr>
        <w:t>. S</w:t>
      </w:r>
      <w:r>
        <w:rPr>
          <w:rFonts w:cstheme="minorHAnsi"/>
          <w:bCs/>
          <w:color w:val="000000"/>
        </w:rPr>
        <w:t xml:space="preserve">ome of </w:t>
      </w:r>
      <w:r w:rsidR="00F4134E">
        <w:rPr>
          <w:rFonts w:cstheme="minorHAnsi"/>
          <w:bCs/>
          <w:color w:val="000000"/>
        </w:rPr>
        <w:t xml:space="preserve">these </w:t>
      </w:r>
      <w:r>
        <w:rPr>
          <w:rFonts w:cstheme="minorHAnsi"/>
          <w:bCs/>
          <w:color w:val="000000"/>
        </w:rPr>
        <w:t xml:space="preserve">provide </w:t>
      </w:r>
      <w:r w:rsidR="00F4134E">
        <w:rPr>
          <w:rFonts w:cstheme="minorHAnsi"/>
          <w:bCs/>
          <w:color w:val="000000"/>
        </w:rPr>
        <w:t xml:space="preserve">for </w:t>
      </w:r>
      <w:r>
        <w:rPr>
          <w:rFonts w:cstheme="minorHAnsi"/>
          <w:bCs/>
          <w:color w:val="000000"/>
        </w:rPr>
        <w:t xml:space="preserve">higher </w:t>
      </w:r>
      <w:r w:rsidR="00F4134E">
        <w:rPr>
          <w:rFonts w:cstheme="minorHAnsi"/>
          <w:bCs/>
          <w:color w:val="000000"/>
        </w:rPr>
        <w:t xml:space="preserve">maximum </w:t>
      </w:r>
      <w:r>
        <w:rPr>
          <w:rFonts w:cstheme="minorHAnsi"/>
          <w:bCs/>
          <w:color w:val="000000"/>
        </w:rPr>
        <w:t>penalties</w:t>
      </w:r>
      <w:r w:rsidRPr="00A44153">
        <w:rPr>
          <w:rFonts w:cstheme="minorHAnsi"/>
          <w:bCs/>
          <w:color w:val="000000"/>
        </w:rPr>
        <w:t xml:space="preserve"> </w:t>
      </w:r>
      <w:r>
        <w:rPr>
          <w:rFonts w:cstheme="minorHAnsi"/>
          <w:bCs/>
          <w:color w:val="000000"/>
        </w:rPr>
        <w:t xml:space="preserve">for contraventions than those able to be imposed for contraventions of similar provisions of </w:t>
      </w:r>
      <w:r w:rsidRPr="006F625F">
        <w:rPr>
          <w:rFonts w:cstheme="minorHAnsi"/>
          <w:bCs/>
          <w:color w:val="000000"/>
        </w:rPr>
        <w:t>the</w:t>
      </w:r>
      <w:r w:rsidR="00816A3E">
        <w:rPr>
          <w:rFonts w:cstheme="minorHAnsi"/>
          <w:bCs/>
          <w:color w:val="000000"/>
        </w:rPr>
        <w:t xml:space="preserve"> FW</w:t>
      </w:r>
      <w:r w:rsidR="00903EFD">
        <w:rPr>
          <w:rFonts w:cstheme="minorHAnsi"/>
          <w:bCs/>
          <w:color w:val="000000"/>
        </w:rPr>
        <w:t> </w:t>
      </w:r>
      <w:r w:rsidR="00816A3E">
        <w:rPr>
          <w:rFonts w:cstheme="minorHAnsi"/>
          <w:bCs/>
          <w:color w:val="000000"/>
        </w:rPr>
        <w:t>Act</w:t>
      </w:r>
      <w:r w:rsidR="00F91CAA">
        <w:rPr>
          <w:rFonts w:cstheme="minorHAnsi"/>
          <w:bCs/>
          <w:i/>
          <w:color w:val="000000"/>
        </w:rPr>
        <w:t xml:space="preserve">. </w:t>
      </w:r>
      <w:r>
        <w:rPr>
          <w:rFonts w:cstheme="minorHAnsi"/>
          <w:bCs/>
          <w:color w:val="000000"/>
        </w:rPr>
        <w:t>The higher penalty caps are only available if there is a breach of the BCIIP</w:t>
      </w:r>
      <w:r w:rsidR="00903EFD">
        <w:rPr>
          <w:rFonts w:cstheme="minorHAnsi"/>
          <w:bCs/>
          <w:color w:val="000000"/>
        </w:rPr>
        <w:t> </w:t>
      </w:r>
      <w:r>
        <w:rPr>
          <w:rFonts w:cstheme="minorHAnsi"/>
          <w:bCs/>
          <w:color w:val="000000"/>
        </w:rPr>
        <w:t>Act provisions.</w:t>
      </w:r>
    </w:p>
    <w:p w14:paraId="2BF06923" w14:textId="5951817A" w:rsidR="00F4134E" w:rsidRDefault="00025FEE" w:rsidP="00327AB5">
      <w:pPr>
        <w:spacing w:before="200" w:after="200" w:line="276" w:lineRule="auto"/>
        <w:rPr>
          <w:rFonts w:cstheme="minorHAnsi"/>
          <w:bCs/>
          <w:color w:val="000000"/>
        </w:rPr>
      </w:pPr>
      <w:r>
        <w:rPr>
          <w:rFonts w:cstheme="minorHAnsi"/>
          <w:bCs/>
          <w:color w:val="000000"/>
        </w:rPr>
        <w:t>The</w:t>
      </w:r>
      <w:r w:rsidR="000474D8">
        <w:rPr>
          <w:rFonts w:cstheme="minorHAnsi"/>
          <w:bCs/>
          <w:color w:val="000000"/>
        </w:rPr>
        <w:t xml:space="preserve"> penalties contained in the </w:t>
      </w:r>
      <w:r w:rsidR="00095A08">
        <w:rPr>
          <w:rFonts w:cstheme="minorHAnsi"/>
          <w:bCs/>
          <w:color w:val="000000"/>
        </w:rPr>
        <w:t>BCIIP</w:t>
      </w:r>
      <w:r w:rsidR="00903EFD">
        <w:rPr>
          <w:rFonts w:cstheme="minorHAnsi"/>
          <w:bCs/>
          <w:color w:val="000000"/>
        </w:rPr>
        <w:t> </w:t>
      </w:r>
      <w:r w:rsidR="000474D8">
        <w:rPr>
          <w:rFonts w:cstheme="minorHAnsi"/>
          <w:bCs/>
          <w:color w:val="000000"/>
        </w:rPr>
        <w:t xml:space="preserve">Act are similar </w:t>
      </w:r>
      <w:r w:rsidR="00F4134E">
        <w:rPr>
          <w:rFonts w:cstheme="minorHAnsi"/>
          <w:bCs/>
          <w:color w:val="000000"/>
        </w:rPr>
        <w:t xml:space="preserve">in size </w:t>
      </w:r>
      <w:r w:rsidR="000474D8">
        <w:rPr>
          <w:rFonts w:cstheme="minorHAnsi"/>
          <w:bCs/>
          <w:color w:val="000000"/>
        </w:rPr>
        <w:t xml:space="preserve">to those provided </w:t>
      </w:r>
      <w:r>
        <w:rPr>
          <w:rFonts w:cstheme="minorHAnsi"/>
          <w:bCs/>
          <w:color w:val="000000"/>
        </w:rPr>
        <w:t>under the</w:t>
      </w:r>
      <w:r w:rsidR="00CD2889">
        <w:rPr>
          <w:rFonts w:cstheme="minorHAnsi"/>
          <w:bCs/>
          <w:color w:val="000000"/>
        </w:rPr>
        <w:t xml:space="preserve"> former</w:t>
      </w:r>
      <w:r>
        <w:rPr>
          <w:rFonts w:cstheme="minorHAnsi"/>
          <w:bCs/>
          <w:color w:val="000000"/>
        </w:rPr>
        <w:t xml:space="preserve"> </w:t>
      </w:r>
      <w:r w:rsidRPr="00A44153">
        <w:rPr>
          <w:rFonts w:cstheme="minorHAnsi"/>
          <w:bCs/>
          <w:i/>
          <w:color w:val="000000"/>
        </w:rPr>
        <w:t>Building and Construction Industry Improvement Act</w:t>
      </w:r>
      <w:r w:rsidR="00903EFD">
        <w:rPr>
          <w:rFonts w:cstheme="minorHAnsi"/>
          <w:bCs/>
          <w:i/>
          <w:color w:val="000000"/>
        </w:rPr>
        <w:t> </w:t>
      </w:r>
      <w:r w:rsidRPr="00A44153">
        <w:rPr>
          <w:rFonts w:cstheme="minorHAnsi"/>
          <w:bCs/>
          <w:i/>
          <w:color w:val="000000"/>
        </w:rPr>
        <w:t>2005</w:t>
      </w:r>
      <w:r w:rsidR="00816A3E">
        <w:rPr>
          <w:rFonts w:cstheme="minorHAnsi"/>
          <w:bCs/>
          <w:i/>
          <w:color w:val="000000"/>
        </w:rPr>
        <w:t xml:space="preserve"> </w:t>
      </w:r>
      <w:r w:rsidR="00816A3E" w:rsidRPr="00816A3E">
        <w:rPr>
          <w:rFonts w:cstheme="minorHAnsi"/>
          <w:bCs/>
          <w:color w:val="000000"/>
        </w:rPr>
        <w:t>(BCII</w:t>
      </w:r>
      <w:r w:rsidR="00903EFD">
        <w:rPr>
          <w:rFonts w:cstheme="minorHAnsi"/>
          <w:bCs/>
          <w:color w:val="000000"/>
        </w:rPr>
        <w:t> </w:t>
      </w:r>
      <w:r w:rsidR="00816A3E" w:rsidRPr="00816A3E">
        <w:rPr>
          <w:rFonts w:cstheme="minorHAnsi"/>
          <w:bCs/>
          <w:color w:val="000000"/>
        </w:rPr>
        <w:t>Act)</w:t>
      </w:r>
      <w:r w:rsidR="00CD2889">
        <w:rPr>
          <w:rFonts w:cstheme="minorHAnsi"/>
          <w:bCs/>
          <w:i/>
          <w:color w:val="000000"/>
        </w:rPr>
        <w:t xml:space="preserve">, </w:t>
      </w:r>
      <w:r w:rsidR="00CD2889">
        <w:rPr>
          <w:rFonts w:cstheme="minorHAnsi"/>
          <w:bCs/>
          <w:color w:val="000000"/>
        </w:rPr>
        <w:t xml:space="preserve">which was </w:t>
      </w:r>
      <w:r>
        <w:rPr>
          <w:rFonts w:cstheme="minorHAnsi"/>
          <w:bCs/>
          <w:color w:val="000000"/>
        </w:rPr>
        <w:t xml:space="preserve">introduced </w:t>
      </w:r>
      <w:r w:rsidR="00CD2889">
        <w:rPr>
          <w:rFonts w:cstheme="minorHAnsi"/>
          <w:bCs/>
          <w:color w:val="000000"/>
        </w:rPr>
        <w:t>in response to the</w:t>
      </w:r>
      <w:r>
        <w:rPr>
          <w:rFonts w:cstheme="minorHAnsi"/>
          <w:bCs/>
          <w:color w:val="000000"/>
        </w:rPr>
        <w:t xml:space="preserve"> recommendations of the 2003</w:t>
      </w:r>
      <w:r w:rsidR="00903EFD">
        <w:rPr>
          <w:rFonts w:cstheme="minorHAnsi"/>
          <w:bCs/>
          <w:color w:val="000000"/>
        </w:rPr>
        <w:t> </w:t>
      </w:r>
      <w:r>
        <w:rPr>
          <w:rFonts w:cstheme="minorHAnsi"/>
          <w:bCs/>
          <w:color w:val="000000"/>
        </w:rPr>
        <w:t xml:space="preserve">Cole Royal Commission into the Building and Construction Industry. </w:t>
      </w:r>
      <w:r w:rsidR="000740DF">
        <w:rPr>
          <w:rFonts w:cstheme="minorHAnsi"/>
          <w:bCs/>
          <w:color w:val="000000"/>
        </w:rPr>
        <w:t xml:space="preserve">The Cole </w:t>
      </w:r>
      <w:r w:rsidR="000740DF" w:rsidRPr="000740DF">
        <w:rPr>
          <w:rFonts w:cstheme="minorHAnsi"/>
          <w:bCs/>
          <w:color w:val="000000"/>
        </w:rPr>
        <w:t xml:space="preserve">Royal Commission </w:t>
      </w:r>
      <w:r w:rsidR="00CD2889">
        <w:rPr>
          <w:rFonts w:cstheme="minorHAnsi"/>
          <w:bCs/>
          <w:color w:val="000000"/>
        </w:rPr>
        <w:t>concluded that the penalties</w:t>
      </w:r>
      <w:r w:rsidR="000C0CF7">
        <w:rPr>
          <w:rFonts w:cstheme="minorHAnsi"/>
          <w:bCs/>
          <w:color w:val="000000"/>
        </w:rPr>
        <w:t xml:space="preserve"> </w:t>
      </w:r>
      <w:r w:rsidR="0073452C">
        <w:rPr>
          <w:rFonts w:cstheme="minorHAnsi"/>
          <w:bCs/>
          <w:color w:val="000000"/>
        </w:rPr>
        <w:t xml:space="preserve">then </w:t>
      </w:r>
      <w:r w:rsidR="000C0CF7">
        <w:rPr>
          <w:rFonts w:cstheme="minorHAnsi"/>
          <w:bCs/>
          <w:color w:val="000000"/>
        </w:rPr>
        <w:t xml:space="preserve">available </w:t>
      </w:r>
      <w:r w:rsidR="00CD2889">
        <w:rPr>
          <w:rFonts w:cstheme="minorHAnsi"/>
          <w:bCs/>
          <w:color w:val="000000"/>
        </w:rPr>
        <w:t xml:space="preserve">for breaches of workplace laws were insufficient to adequately deter non-compliant behaviour and recommended that significantly higher penalties should be adopted </w:t>
      </w:r>
      <w:r w:rsidR="0073452C">
        <w:rPr>
          <w:rFonts w:cstheme="minorHAnsi"/>
          <w:bCs/>
          <w:color w:val="000000"/>
        </w:rPr>
        <w:t>to</w:t>
      </w:r>
      <w:r w:rsidR="00CD2889">
        <w:rPr>
          <w:rFonts w:cstheme="minorHAnsi"/>
          <w:bCs/>
          <w:color w:val="000000"/>
        </w:rPr>
        <w:t xml:space="preserve"> improv</w:t>
      </w:r>
      <w:r w:rsidR="0073452C">
        <w:rPr>
          <w:rFonts w:cstheme="minorHAnsi"/>
          <w:bCs/>
          <w:color w:val="000000"/>
        </w:rPr>
        <w:t>e</w:t>
      </w:r>
      <w:r w:rsidR="00CD2889">
        <w:rPr>
          <w:rFonts w:cstheme="minorHAnsi"/>
          <w:bCs/>
          <w:color w:val="000000"/>
        </w:rPr>
        <w:t xml:space="preserve"> compliance</w:t>
      </w:r>
      <w:r w:rsidR="0073452C">
        <w:rPr>
          <w:rFonts w:cstheme="minorHAnsi"/>
          <w:bCs/>
          <w:color w:val="000000"/>
        </w:rPr>
        <w:t xml:space="preserve"> with relevant l</w:t>
      </w:r>
      <w:r w:rsidR="00CD2889">
        <w:rPr>
          <w:rFonts w:cstheme="minorHAnsi"/>
          <w:bCs/>
          <w:color w:val="000000"/>
        </w:rPr>
        <w:t>aws</w:t>
      </w:r>
      <w:r w:rsidR="00327AB5">
        <w:rPr>
          <w:rFonts w:cstheme="minorHAnsi"/>
          <w:bCs/>
          <w:color w:val="000000"/>
        </w:rPr>
        <w:t>.</w:t>
      </w:r>
    </w:p>
    <w:p w14:paraId="74CB7F69" w14:textId="63A58511" w:rsidR="00CD2889" w:rsidRDefault="00CD2889" w:rsidP="00327AB5">
      <w:pPr>
        <w:spacing w:before="200" w:after="200" w:line="276" w:lineRule="auto"/>
        <w:rPr>
          <w:rFonts w:cstheme="minorHAnsi"/>
          <w:bCs/>
          <w:color w:val="000000"/>
        </w:rPr>
      </w:pPr>
      <w:r>
        <w:rPr>
          <w:rFonts w:cstheme="minorHAnsi"/>
          <w:bCs/>
          <w:color w:val="000000"/>
        </w:rPr>
        <w:t>However, t</w:t>
      </w:r>
      <w:r w:rsidR="000740DF" w:rsidRPr="000740DF">
        <w:rPr>
          <w:rFonts w:cstheme="minorHAnsi"/>
          <w:bCs/>
          <w:color w:val="000000"/>
        </w:rPr>
        <w:t xml:space="preserve">he </w:t>
      </w:r>
      <w:r w:rsidR="000740DF" w:rsidRPr="00A44153">
        <w:rPr>
          <w:rFonts w:cstheme="minorHAnsi"/>
          <w:bCs/>
          <w:i/>
          <w:color w:val="000000"/>
        </w:rPr>
        <w:t>Fair Work (Building Industry) Act</w:t>
      </w:r>
      <w:r w:rsidR="00903EFD">
        <w:rPr>
          <w:rFonts w:cstheme="minorHAnsi"/>
          <w:bCs/>
          <w:i/>
          <w:color w:val="000000"/>
        </w:rPr>
        <w:t> </w:t>
      </w:r>
      <w:r w:rsidR="000740DF" w:rsidRPr="00A44153">
        <w:rPr>
          <w:rFonts w:cstheme="minorHAnsi"/>
          <w:bCs/>
          <w:i/>
          <w:color w:val="000000"/>
        </w:rPr>
        <w:t>2012</w:t>
      </w:r>
      <w:r w:rsidR="00816A3E">
        <w:rPr>
          <w:rFonts w:cstheme="minorHAnsi"/>
          <w:bCs/>
          <w:i/>
          <w:color w:val="000000"/>
        </w:rPr>
        <w:t xml:space="preserve"> </w:t>
      </w:r>
      <w:r w:rsidR="00816A3E" w:rsidRPr="00816A3E">
        <w:rPr>
          <w:rFonts w:cstheme="minorHAnsi"/>
          <w:bCs/>
          <w:color w:val="000000"/>
        </w:rPr>
        <w:t>(FWBI</w:t>
      </w:r>
      <w:r w:rsidR="00903EFD">
        <w:rPr>
          <w:rFonts w:cstheme="minorHAnsi"/>
          <w:bCs/>
          <w:color w:val="000000"/>
        </w:rPr>
        <w:t> </w:t>
      </w:r>
      <w:r w:rsidR="00816A3E" w:rsidRPr="00816A3E">
        <w:rPr>
          <w:rFonts w:cstheme="minorHAnsi"/>
          <w:bCs/>
          <w:color w:val="000000"/>
        </w:rPr>
        <w:t>Act)</w:t>
      </w:r>
      <w:r w:rsidR="000C0CF7">
        <w:rPr>
          <w:rFonts w:cstheme="minorHAnsi"/>
          <w:bCs/>
          <w:color w:val="000000"/>
        </w:rPr>
        <w:t xml:space="preserve">, which replaced the </w:t>
      </w:r>
      <w:r w:rsidR="00816A3E">
        <w:rPr>
          <w:rFonts w:cstheme="minorHAnsi"/>
          <w:bCs/>
          <w:color w:val="000000"/>
        </w:rPr>
        <w:t>BCII</w:t>
      </w:r>
      <w:r w:rsidR="00903EFD">
        <w:rPr>
          <w:rFonts w:cstheme="minorHAnsi"/>
          <w:bCs/>
          <w:color w:val="000000"/>
        </w:rPr>
        <w:t> </w:t>
      </w:r>
      <w:r w:rsidR="000C0CF7">
        <w:rPr>
          <w:rFonts w:cstheme="minorHAnsi"/>
          <w:bCs/>
          <w:color w:val="000000"/>
        </w:rPr>
        <w:t xml:space="preserve">Act, </w:t>
      </w:r>
      <w:r w:rsidR="00F4134E">
        <w:rPr>
          <w:rFonts w:cstheme="minorHAnsi"/>
          <w:bCs/>
          <w:color w:val="000000"/>
        </w:rPr>
        <w:t xml:space="preserve">did not contain any building industry specific workplace relations civil remedy provisions. Therefore, </w:t>
      </w:r>
      <w:r w:rsidR="00F22117">
        <w:rPr>
          <w:rFonts w:cstheme="minorHAnsi"/>
          <w:bCs/>
          <w:color w:val="000000"/>
        </w:rPr>
        <w:t xml:space="preserve">proceedings initiated </w:t>
      </w:r>
      <w:r w:rsidR="00F4134E">
        <w:rPr>
          <w:rFonts w:cstheme="minorHAnsi"/>
          <w:bCs/>
          <w:color w:val="000000"/>
        </w:rPr>
        <w:t xml:space="preserve">by the FWBC Director of building industry participants who contravened freedom of association, right of entry, coercion, discrimination, industrial action and </w:t>
      </w:r>
      <w:r w:rsidR="0056479C">
        <w:rPr>
          <w:rFonts w:cstheme="minorHAnsi"/>
          <w:bCs/>
          <w:color w:val="000000"/>
        </w:rPr>
        <w:t xml:space="preserve">other </w:t>
      </w:r>
      <w:r w:rsidR="00F4134E">
        <w:rPr>
          <w:rFonts w:cstheme="minorHAnsi"/>
          <w:bCs/>
          <w:color w:val="000000"/>
        </w:rPr>
        <w:t xml:space="preserve">workplace relations laws were undertaken pursuant to the </w:t>
      </w:r>
      <w:r w:rsidR="00816A3E">
        <w:rPr>
          <w:rFonts w:cstheme="minorHAnsi"/>
          <w:bCs/>
          <w:color w:val="000000"/>
        </w:rPr>
        <w:t>FW</w:t>
      </w:r>
      <w:r w:rsidR="00903EFD">
        <w:rPr>
          <w:rFonts w:cstheme="minorHAnsi"/>
          <w:bCs/>
          <w:color w:val="000000"/>
        </w:rPr>
        <w:t> </w:t>
      </w:r>
      <w:r w:rsidR="00F4134E">
        <w:rPr>
          <w:rFonts w:cstheme="minorHAnsi"/>
          <w:bCs/>
          <w:color w:val="000000"/>
        </w:rPr>
        <w:t>Act</w:t>
      </w:r>
      <w:r w:rsidR="00F91CAA">
        <w:rPr>
          <w:rFonts w:cstheme="minorHAnsi"/>
          <w:bCs/>
          <w:color w:val="000000"/>
        </w:rPr>
        <w:t xml:space="preserve">. </w:t>
      </w:r>
      <w:r w:rsidR="00582DD8">
        <w:rPr>
          <w:rFonts w:cstheme="minorHAnsi"/>
          <w:bCs/>
          <w:color w:val="000000"/>
        </w:rPr>
        <w:t xml:space="preserve">This had the effect of significantly reducing the maximum penalties available for breaches of </w:t>
      </w:r>
      <w:r w:rsidR="0056479C">
        <w:rPr>
          <w:rFonts w:cstheme="minorHAnsi"/>
          <w:bCs/>
          <w:color w:val="000000"/>
        </w:rPr>
        <w:t xml:space="preserve">certain </w:t>
      </w:r>
      <w:r w:rsidR="00582DD8">
        <w:rPr>
          <w:rFonts w:cstheme="minorHAnsi"/>
          <w:bCs/>
          <w:color w:val="000000"/>
        </w:rPr>
        <w:t>workplace relations laws in the building industry</w:t>
      </w:r>
      <w:r w:rsidR="00327AB5">
        <w:rPr>
          <w:rFonts w:cstheme="minorHAnsi"/>
          <w:bCs/>
          <w:color w:val="000000"/>
        </w:rPr>
        <w:t>.</w:t>
      </w:r>
    </w:p>
    <w:p w14:paraId="67D443E8" w14:textId="6E7F2C1A" w:rsidR="00E91971" w:rsidRDefault="000C0CF7" w:rsidP="00327AB5">
      <w:pPr>
        <w:spacing w:before="200" w:after="200" w:line="276" w:lineRule="auto"/>
        <w:rPr>
          <w:rFonts w:cstheme="minorHAnsi"/>
          <w:bCs/>
          <w:color w:val="000000"/>
        </w:rPr>
      </w:pPr>
      <w:r>
        <w:rPr>
          <w:rFonts w:cstheme="minorHAnsi"/>
          <w:bCs/>
          <w:color w:val="000000"/>
        </w:rPr>
        <w:t>The BCIIP</w:t>
      </w:r>
      <w:r w:rsidR="00903EFD">
        <w:rPr>
          <w:rFonts w:cstheme="minorHAnsi"/>
          <w:bCs/>
          <w:color w:val="000000"/>
        </w:rPr>
        <w:t> </w:t>
      </w:r>
      <w:r>
        <w:rPr>
          <w:rFonts w:cstheme="minorHAnsi"/>
          <w:bCs/>
          <w:color w:val="000000"/>
        </w:rPr>
        <w:t xml:space="preserve">Act </w:t>
      </w:r>
      <w:r w:rsidR="00582DD8">
        <w:rPr>
          <w:rFonts w:cstheme="minorHAnsi"/>
          <w:bCs/>
          <w:color w:val="000000"/>
        </w:rPr>
        <w:t xml:space="preserve">has </w:t>
      </w:r>
      <w:r>
        <w:rPr>
          <w:rFonts w:cstheme="minorHAnsi"/>
          <w:bCs/>
          <w:color w:val="000000"/>
        </w:rPr>
        <w:t xml:space="preserve">re-established </w:t>
      </w:r>
      <w:r w:rsidR="00582DD8">
        <w:rPr>
          <w:rFonts w:cstheme="minorHAnsi"/>
          <w:bCs/>
          <w:color w:val="000000"/>
        </w:rPr>
        <w:t>a building industry-specific regime of higher penalties, with the maximum penalties available being similar to those established in the BCII</w:t>
      </w:r>
      <w:r w:rsidR="00903EFD">
        <w:rPr>
          <w:rFonts w:cstheme="minorHAnsi"/>
          <w:bCs/>
          <w:color w:val="000000"/>
        </w:rPr>
        <w:t> </w:t>
      </w:r>
      <w:r w:rsidR="00582DD8">
        <w:rPr>
          <w:rFonts w:cstheme="minorHAnsi"/>
          <w:bCs/>
          <w:color w:val="000000"/>
        </w:rPr>
        <w:t>Act</w:t>
      </w:r>
      <w:r w:rsidR="00F91CAA">
        <w:rPr>
          <w:rFonts w:cstheme="minorHAnsi"/>
          <w:bCs/>
          <w:color w:val="000000"/>
        </w:rPr>
        <w:t xml:space="preserve">. </w:t>
      </w:r>
      <w:r w:rsidR="00582DD8">
        <w:rPr>
          <w:rFonts w:cstheme="minorHAnsi"/>
          <w:bCs/>
          <w:color w:val="000000"/>
        </w:rPr>
        <w:t xml:space="preserve">This change </w:t>
      </w:r>
      <w:r w:rsidR="0073452C">
        <w:rPr>
          <w:rFonts w:cstheme="minorHAnsi"/>
          <w:bCs/>
          <w:color w:val="000000"/>
        </w:rPr>
        <w:t>responded</w:t>
      </w:r>
      <w:r w:rsidR="00582DD8">
        <w:rPr>
          <w:rFonts w:cstheme="minorHAnsi"/>
          <w:bCs/>
          <w:color w:val="000000"/>
        </w:rPr>
        <w:t xml:space="preserve">, </w:t>
      </w:r>
      <w:r>
        <w:rPr>
          <w:rFonts w:cstheme="minorHAnsi"/>
          <w:bCs/>
          <w:color w:val="000000"/>
        </w:rPr>
        <w:t>in substantial part</w:t>
      </w:r>
      <w:r w:rsidR="00582DD8">
        <w:rPr>
          <w:rFonts w:cstheme="minorHAnsi"/>
          <w:bCs/>
          <w:color w:val="000000"/>
        </w:rPr>
        <w:t>,</w:t>
      </w:r>
      <w:r>
        <w:rPr>
          <w:rFonts w:cstheme="minorHAnsi"/>
          <w:bCs/>
          <w:color w:val="000000"/>
        </w:rPr>
        <w:t xml:space="preserve"> to concerns </w:t>
      </w:r>
      <w:r w:rsidR="009856E6">
        <w:rPr>
          <w:rFonts w:cstheme="minorHAnsi"/>
          <w:bCs/>
          <w:color w:val="000000"/>
        </w:rPr>
        <w:t>that the lower penalties applicable under the</w:t>
      </w:r>
      <w:r w:rsidR="00816A3E">
        <w:rPr>
          <w:rFonts w:cstheme="minorHAnsi"/>
          <w:bCs/>
          <w:color w:val="000000"/>
        </w:rPr>
        <w:t xml:space="preserve"> FWBI</w:t>
      </w:r>
      <w:r w:rsidR="00903EFD">
        <w:rPr>
          <w:rFonts w:cstheme="minorHAnsi"/>
          <w:bCs/>
          <w:color w:val="000000"/>
        </w:rPr>
        <w:t> </w:t>
      </w:r>
      <w:r w:rsidR="00816A3E" w:rsidRPr="00816A3E">
        <w:rPr>
          <w:rFonts w:cstheme="minorHAnsi"/>
          <w:bCs/>
          <w:color w:val="000000"/>
        </w:rPr>
        <w:t>Act</w:t>
      </w:r>
      <w:r w:rsidR="00816A3E" w:rsidRPr="001A1262">
        <w:rPr>
          <w:color w:val="000000"/>
        </w:rPr>
        <w:t xml:space="preserve"> </w:t>
      </w:r>
      <w:r w:rsidR="00C01C9D">
        <w:rPr>
          <w:rFonts w:cstheme="minorHAnsi"/>
          <w:bCs/>
          <w:color w:val="000000"/>
        </w:rPr>
        <w:t>(that is, those in the FW </w:t>
      </w:r>
      <w:r w:rsidR="0056479C">
        <w:rPr>
          <w:rFonts w:cstheme="minorHAnsi"/>
          <w:bCs/>
          <w:color w:val="000000"/>
        </w:rPr>
        <w:t>Act)</w:t>
      </w:r>
      <w:r w:rsidR="006B549E" w:rsidRPr="0056479C">
        <w:rPr>
          <w:rFonts w:cstheme="minorHAnsi"/>
          <w:bCs/>
          <w:i/>
          <w:color w:val="000000"/>
        </w:rPr>
        <w:t xml:space="preserve"> </w:t>
      </w:r>
      <w:r>
        <w:rPr>
          <w:rFonts w:cstheme="minorHAnsi"/>
          <w:bCs/>
          <w:color w:val="000000"/>
        </w:rPr>
        <w:t>were proving inadequate to provide strong incentives for compliance with the relevant workplace laws. In particular, a number of court judgements had pointed to this issue</w:t>
      </w:r>
      <w:r w:rsidR="00A67252">
        <w:rPr>
          <w:rFonts w:cstheme="minorHAnsi"/>
          <w:bCs/>
          <w:color w:val="000000"/>
        </w:rPr>
        <w:t>, with some examples shown in Box 3.1.</w:t>
      </w:r>
      <w:r w:rsidR="00E91971">
        <w:rPr>
          <w:rFonts w:cstheme="minorHAnsi"/>
          <w:bCs/>
          <w:color w:val="000000"/>
        </w:rPr>
        <w:br w:type="page"/>
      </w:r>
    </w:p>
    <w:p w14:paraId="172B768E" w14:textId="633811FD" w:rsidR="001B1218" w:rsidRDefault="001B1218" w:rsidP="00E91971">
      <w:pPr>
        <w:pStyle w:val="Heading3"/>
      </w:pPr>
      <w:r w:rsidRPr="004B58BA">
        <w:lastRenderedPageBreak/>
        <w:t>Box 3.1: Judicial commentary on the incentive effects of FWBI Act penalties</w:t>
      </w:r>
    </w:p>
    <w:p w14:paraId="22F3D289" w14:textId="77777777" w:rsidR="00A142B2" w:rsidRPr="00401DAA" w:rsidRDefault="00A142B2" w:rsidP="00A142B2">
      <w:pPr>
        <w:keepNext/>
        <w:keepLines/>
        <w:pBdr>
          <w:top w:val="single" w:sz="4" w:space="1" w:color="auto"/>
          <w:bottom w:val="single" w:sz="4" w:space="1" w:color="auto"/>
        </w:pBdr>
        <w:shd w:val="clear" w:color="auto" w:fill="E2EFD9" w:themeFill="accent6" w:themeFillTint="33"/>
        <w:spacing w:before="120" w:after="0"/>
        <w:rPr>
          <w:sz w:val="20"/>
          <w:szCs w:val="20"/>
        </w:rPr>
      </w:pPr>
      <w:r w:rsidRPr="00401DAA">
        <w:rPr>
          <w:sz w:val="20"/>
          <w:szCs w:val="20"/>
        </w:rPr>
        <w:t xml:space="preserve">In </w:t>
      </w:r>
      <w:r w:rsidRPr="00401DAA">
        <w:rPr>
          <w:b/>
          <w:sz w:val="20"/>
          <w:szCs w:val="20"/>
        </w:rPr>
        <w:t>Australian Building and Construction Commissioner v Parker (No 2) [2017] FCA 1082</w:t>
      </w:r>
      <w:r w:rsidRPr="00401DAA">
        <w:rPr>
          <w:sz w:val="20"/>
          <w:szCs w:val="20"/>
        </w:rPr>
        <w:t>, Justice Flick imposed record fines of more than $2.4 million on the CFMEU in respect of unlawful conduct which occurred principally on 24 July 2014. Justice Flick found:</w:t>
      </w:r>
    </w:p>
    <w:p w14:paraId="7EE08671" w14:textId="77777777" w:rsidR="00A142B2" w:rsidRPr="00401DAA" w:rsidRDefault="00A142B2" w:rsidP="00A142B2">
      <w:pPr>
        <w:keepNext/>
        <w:keepLines/>
        <w:pBdr>
          <w:top w:val="single" w:sz="4" w:space="1" w:color="auto"/>
          <w:bottom w:val="single" w:sz="4" w:space="1" w:color="auto"/>
        </w:pBdr>
        <w:shd w:val="clear" w:color="auto" w:fill="E2EFD9" w:themeFill="accent6" w:themeFillTint="33"/>
        <w:rPr>
          <w:sz w:val="20"/>
          <w:szCs w:val="20"/>
        </w:rPr>
      </w:pPr>
      <w:r w:rsidRPr="00401DAA">
        <w:rPr>
          <w:sz w:val="20"/>
          <w:szCs w:val="20"/>
        </w:rPr>
        <w:t>‘The CFMEU is to be regarded as a recidivist offender…it is difficult, if not impossible, to envisage any worse conduct than that pursued by the CFMEU. The CFMEU’s conduct exposes a cavalier disregard for the prior penalties imposed by this Court and exposes the fact that such prior impositions have failed to act as deterrent against further unlawful industrial action.’</w:t>
      </w:r>
    </w:p>
    <w:p w14:paraId="0692917E" w14:textId="77777777" w:rsidR="00A142B2" w:rsidRPr="00401DAA" w:rsidRDefault="00A142B2" w:rsidP="00A142B2">
      <w:pPr>
        <w:keepNext/>
        <w:keepLines/>
        <w:pBdr>
          <w:top w:val="single" w:sz="4" w:space="1" w:color="auto"/>
          <w:bottom w:val="single" w:sz="4" w:space="1" w:color="auto"/>
        </w:pBdr>
        <w:shd w:val="clear" w:color="auto" w:fill="E2EFD9" w:themeFill="accent6" w:themeFillTint="33"/>
        <w:spacing w:after="0"/>
        <w:rPr>
          <w:sz w:val="20"/>
          <w:szCs w:val="20"/>
        </w:rPr>
      </w:pPr>
      <w:r w:rsidRPr="00401DAA">
        <w:rPr>
          <w:sz w:val="20"/>
          <w:szCs w:val="20"/>
        </w:rPr>
        <w:t xml:space="preserve">In </w:t>
      </w:r>
      <w:r w:rsidRPr="00401DAA">
        <w:rPr>
          <w:b/>
          <w:sz w:val="20"/>
          <w:szCs w:val="20"/>
        </w:rPr>
        <w:t>Australian Building and Construction Commissioner v Construction, Forestry, Mining and Energy Union [2017] FCA 1235</w:t>
      </w:r>
      <w:r w:rsidRPr="00401DAA">
        <w:rPr>
          <w:sz w:val="20"/>
          <w:szCs w:val="20"/>
        </w:rPr>
        <w:t>, Justice Tracey, in fining the CFMEU and a branch delegate for preventing a subcontractor’s non-union member employee from working on a building site on 4 August 2015 contrary to the FW Act, noted in his judgement:</w:t>
      </w:r>
    </w:p>
    <w:p w14:paraId="3FE44CBD" w14:textId="77777777" w:rsidR="00A142B2" w:rsidRPr="00401DAA" w:rsidRDefault="00A142B2" w:rsidP="00A142B2">
      <w:pPr>
        <w:keepNext/>
        <w:keepLines/>
        <w:pBdr>
          <w:top w:val="single" w:sz="4" w:space="1" w:color="auto"/>
          <w:bottom w:val="single" w:sz="4" w:space="1" w:color="auto"/>
        </w:pBdr>
        <w:shd w:val="clear" w:color="auto" w:fill="E2EFD9" w:themeFill="accent6" w:themeFillTint="33"/>
        <w:rPr>
          <w:sz w:val="20"/>
          <w:szCs w:val="20"/>
        </w:rPr>
      </w:pPr>
      <w:r w:rsidRPr="00401DAA">
        <w:rPr>
          <w:sz w:val="20"/>
          <w:szCs w:val="20"/>
        </w:rPr>
        <w:t>‘Any penalty will be paid and treated as a necessary cost of enforcing the CFMEU’s demand that all workers on certain classes of construction sites be union members.’</w:t>
      </w:r>
    </w:p>
    <w:p w14:paraId="3460D0D1" w14:textId="77777777" w:rsidR="00A142B2" w:rsidRPr="00401DAA" w:rsidRDefault="00A142B2" w:rsidP="00A142B2">
      <w:pPr>
        <w:keepNext/>
        <w:keepLines/>
        <w:pBdr>
          <w:top w:val="single" w:sz="4" w:space="1" w:color="auto"/>
          <w:bottom w:val="single" w:sz="4" w:space="1" w:color="auto"/>
        </w:pBdr>
        <w:shd w:val="clear" w:color="auto" w:fill="E2EFD9" w:themeFill="accent6" w:themeFillTint="33"/>
        <w:spacing w:after="0"/>
        <w:rPr>
          <w:sz w:val="20"/>
          <w:szCs w:val="20"/>
        </w:rPr>
      </w:pPr>
      <w:r w:rsidRPr="00401DAA">
        <w:rPr>
          <w:sz w:val="20"/>
          <w:szCs w:val="20"/>
        </w:rPr>
        <w:t xml:space="preserve">In </w:t>
      </w:r>
      <w:r w:rsidRPr="00401DAA">
        <w:rPr>
          <w:b/>
          <w:sz w:val="20"/>
          <w:szCs w:val="20"/>
        </w:rPr>
        <w:t>Australian Building and Construction Commissioner v Construction, Forestry, Mining and Energy Union [2017] FCA 1555</w:t>
      </w:r>
      <w:r w:rsidRPr="00401DAA">
        <w:rPr>
          <w:sz w:val="20"/>
          <w:szCs w:val="20"/>
        </w:rPr>
        <w:t xml:space="preserve">, Justice Tracey penalised the CFMEU for contraventions of the FW Act arising out of the disruption </w:t>
      </w:r>
      <w:proofErr w:type="gramStart"/>
      <w:r w:rsidRPr="00401DAA">
        <w:rPr>
          <w:sz w:val="20"/>
          <w:szCs w:val="20"/>
        </w:rPr>
        <w:t>of  a</w:t>
      </w:r>
      <w:proofErr w:type="gramEnd"/>
      <w:r w:rsidRPr="00401DAA">
        <w:rPr>
          <w:sz w:val="20"/>
          <w:szCs w:val="20"/>
        </w:rPr>
        <w:t xml:space="preserve"> concrete pour on a major rail project and noted the case ‘falls into a pattern of repeated disregard for the law.’</w:t>
      </w:r>
    </w:p>
    <w:p w14:paraId="40ADE3F0" w14:textId="77777777" w:rsidR="00902536" w:rsidRDefault="00902536" w:rsidP="00A142B2">
      <w:pPr>
        <w:keepNext/>
        <w:keepLines/>
        <w:pBdr>
          <w:top w:val="single" w:sz="4" w:space="1" w:color="auto"/>
          <w:bottom w:val="single" w:sz="4" w:space="1" w:color="auto"/>
        </w:pBdr>
        <w:shd w:val="clear" w:color="auto" w:fill="E2EFD9" w:themeFill="accent6" w:themeFillTint="33"/>
        <w:rPr>
          <w:sz w:val="20"/>
          <w:szCs w:val="20"/>
        </w:rPr>
      </w:pPr>
      <w:r>
        <w:rPr>
          <w:sz w:val="20"/>
          <w:szCs w:val="20"/>
        </w:rPr>
        <w:t>‘</w:t>
      </w:r>
      <w:r w:rsidRPr="00902536">
        <w:rPr>
          <w:sz w:val="20"/>
          <w:szCs w:val="20"/>
        </w:rPr>
        <w:t>At no point has the CFMEU expressed any remorse for the misconduct of its officials. Nor has it undertaken to take any steps to ensure that there will be no repetition of the contravening conduct.</w:t>
      </w:r>
      <w:r>
        <w:rPr>
          <w:sz w:val="20"/>
          <w:szCs w:val="20"/>
        </w:rPr>
        <w:t>’</w:t>
      </w:r>
    </w:p>
    <w:p w14:paraId="45343B50" w14:textId="3CED0CE9" w:rsidR="00377733" w:rsidRPr="00377733" w:rsidRDefault="00A142B2" w:rsidP="00377733">
      <w:pPr>
        <w:keepNext/>
        <w:keepLines/>
        <w:pBdr>
          <w:top w:val="single" w:sz="4" w:space="1" w:color="auto"/>
          <w:bottom w:val="single" w:sz="4" w:space="1" w:color="auto"/>
        </w:pBdr>
        <w:shd w:val="clear" w:color="auto" w:fill="E2EFD9" w:themeFill="accent6" w:themeFillTint="33"/>
        <w:rPr>
          <w:sz w:val="20"/>
          <w:szCs w:val="20"/>
        </w:rPr>
      </w:pPr>
      <w:r w:rsidRPr="00401DAA">
        <w:rPr>
          <w:sz w:val="20"/>
          <w:szCs w:val="20"/>
        </w:rPr>
        <w:t xml:space="preserve">In </w:t>
      </w:r>
      <w:r w:rsidRPr="00401DAA">
        <w:rPr>
          <w:b/>
          <w:sz w:val="20"/>
          <w:szCs w:val="20"/>
        </w:rPr>
        <w:t>Australian Building and Construction Commissioner v Construction, Forestry, Mining and Energy Union [2018] FCA 163</w:t>
      </w:r>
      <w:r w:rsidRPr="00401DAA">
        <w:rPr>
          <w:sz w:val="20"/>
          <w:szCs w:val="20"/>
        </w:rPr>
        <w:t xml:space="preserve">, the CFMEU and an official were penalised under the FW Act for enforcing a ‘no-ticket, no start’ regime on a site during March 2014. Justice Tracey held: </w:t>
      </w:r>
      <w:r w:rsidR="00404578">
        <w:rPr>
          <w:sz w:val="20"/>
          <w:szCs w:val="20"/>
        </w:rPr>
        <w:t>‘[</w:t>
      </w:r>
      <w:r w:rsidRPr="00401DAA">
        <w:rPr>
          <w:sz w:val="20"/>
          <w:szCs w:val="20"/>
        </w:rPr>
        <w:t>T</w:t>
      </w:r>
      <w:r w:rsidR="00404578">
        <w:rPr>
          <w:sz w:val="20"/>
          <w:szCs w:val="20"/>
        </w:rPr>
        <w:t>]</w:t>
      </w:r>
      <w:r w:rsidRPr="00401DAA">
        <w:rPr>
          <w:sz w:val="20"/>
          <w:szCs w:val="20"/>
        </w:rPr>
        <w:t xml:space="preserve">he CFMEU </w:t>
      </w:r>
      <w:r w:rsidR="00404578" w:rsidRPr="00377733">
        <w:rPr>
          <w:sz w:val="20"/>
          <w:szCs w:val="20"/>
        </w:rPr>
        <w:t xml:space="preserve">has accumulated a deplorable record of contravening civil remedy provisions </w:t>
      </w:r>
      <w:r w:rsidR="00404578">
        <w:rPr>
          <w:sz w:val="20"/>
          <w:szCs w:val="20"/>
        </w:rPr>
        <w:t>of the Act and its predecessors</w:t>
      </w:r>
      <w:r w:rsidRPr="00401DAA">
        <w:rPr>
          <w:sz w:val="20"/>
          <w:szCs w:val="20"/>
        </w:rPr>
        <w:t>.</w:t>
      </w:r>
      <w:r w:rsidR="00404578">
        <w:rPr>
          <w:sz w:val="20"/>
          <w:szCs w:val="20"/>
        </w:rPr>
        <w:t>’</w:t>
      </w:r>
    </w:p>
    <w:p w14:paraId="284BEC9C" w14:textId="77777777" w:rsidR="00A142B2" w:rsidRPr="00401DAA" w:rsidRDefault="00A142B2" w:rsidP="00A142B2">
      <w:pPr>
        <w:keepNext/>
        <w:keepLines/>
        <w:pBdr>
          <w:top w:val="single" w:sz="4" w:space="1" w:color="auto"/>
          <w:bottom w:val="single" w:sz="4" w:space="1" w:color="auto"/>
        </w:pBdr>
        <w:shd w:val="clear" w:color="auto" w:fill="E2EFD9" w:themeFill="accent6" w:themeFillTint="33"/>
        <w:spacing w:after="0"/>
        <w:rPr>
          <w:sz w:val="20"/>
          <w:szCs w:val="20"/>
        </w:rPr>
      </w:pPr>
      <w:r w:rsidRPr="00401DAA">
        <w:rPr>
          <w:sz w:val="20"/>
          <w:szCs w:val="20"/>
        </w:rPr>
        <w:t xml:space="preserve">In </w:t>
      </w:r>
      <w:r w:rsidRPr="00401DAA">
        <w:rPr>
          <w:b/>
          <w:sz w:val="20"/>
          <w:szCs w:val="20"/>
        </w:rPr>
        <w:t>Australian Building and Construction Commissioner v Construction, Forestry, Mining and Energy Union [2018] HCA 3</w:t>
      </w:r>
      <w:r w:rsidRPr="00401DAA">
        <w:rPr>
          <w:sz w:val="20"/>
          <w:szCs w:val="20"/>
        </w:rPr>
        <w:t xml:space="preserve"> the majority of the High Court of Australia held – for contraventions of the FW Act which occurred on 16 and 17 May 2013 – [individual union officials can be required to pay their own fines]:</w:t>
      </w:r>
    </w:p>
    <w:p w14:paraId="03C0ECA0" w14:textId="77777777" w:rsidR="00A142B2" w:rsidRPr="00401DAA" w:rsidRDefault="00A142B2" w:rsidP="00A142B2">
      <w:pPr>
        <w:keepNext/>
        <w:keepLines/>
        <w:pBdr>
          <w:top w:val="single" w:sz="4" w:space="1" w:color="auto"/>
          <w:bottom w:val="single" w:sz="4" w:space="1" w:color="auto"/>
        </w:pBdr>
        <w:shd w:val="clear" w:color="auto" w:fill="E2EFD9" w:themeFill="accent6" w:themeFillTint="33"/>
        <w:rPr>
          <w:sz w:val="20"/>
          <w:szCs w:val="20"/>
        </w:rPr>
      </w:pPr>
      <w:r w:rsidRPr="00401DAA">
        <w:rPr>
          <w:sz w:val="20"/>
          <w:szCs w:val="20"/>
        </w:rPr>
        <w:t>‘Ultimately, if a penalty is devoid of sting or burden, it may not have much, if any, specific or general deterrent effect, and so it will be unlikely, or at least less likely, to achieve the specific and general deterrent effects that are the raison d'être of its imposition.’</w:t>
      </w:r>
    </w:p>
    <w:p w14:paraId="08AF2B93" w14:textId="4BE683A1" w:rsidR="00C06F35" w:rsidRDefault="00C06F35" w:rsidP="00E56667">
      <w:pPr>
        <w:spacing w:before="200" w:after="200" w:line="276" w:lineRule="auto"/>
        <w:rPr>
          <w:rFonts w:cstheme="minorHAnsi"/>
          <w:bCs/>
          <w:color w:val="000000"/>
        </w:rPr>
      </w:pPr>
      <w:r>
        <w:rPr>
          <w:rFonts w:cstheme="minorHAnsi"/>
          <w:bCs/>
          <w:color w:val="000000"/>
        </w:rPr>
        <w:t xml:space="preserve">Further evidence produced after the introduction of the </w:t>
      </w:r>
      <w:r w:rsidR="00A44153">
        <w:rPr>
          <w:rFonts w:cstheme="minorHAnsi"/>
          <w:bCs/>
          <w:color w:val="000000"/>
        </w:rPr>
        <w:t>B</w:t>
      </w:r>
      <w:r w:rsidR="0073452C">
        <w:rPr>
          <w:rFonts w:cstheme="minorHAnsi"/>
          <w:bCs/>
          <w:color w:val="000000"/>
        </w:rPr>
        <w:t>CIIP</w:t>
      </w:r>
      <w:r w:rsidR="00BB47CF">
        <w:rPr>
          <w:rFonts w:cstheme="minorHAnsi"/>
          <w:bCs/>
          <w:color w:val="000000"/>
        </w:rPr>
        <w:t> </w:t>
      </w:r>
      <w:r>
        <w:rPr>
          <w:rFonts w:cstheme="minorHAnsi"/>
          <w:bCs/>
          <w:color w:val="000000"/>
        </w:rPr>
        <w:t>Bill</w:t>
      </w:r>
      <w:r w:rsidR="00A44153">
        <w:rPr>
          <w:rFonts w:cstheme="minorHAnsi"/>
          <w:bCs/>
          <w:color w:val="000000"/>
        </w:rPr>
        <w:t xml:space="preserve"> </w:t>
      </w:r>
      <w:r w:rsidR="00BE3729">
        <w:rPr>
          <w:rFonts w:cstheme="minorHAnsi"/>
          <w:bCs/>
          <w:color w:val="000000"/>
        </w:rPr>
        <w:t>also supported</w:t>
      </w:r>
      <w:r>
        <w:rPr>
          <w:rFonts w:cstheme="minorHAnsi"/>
          <w:bCs/>
          <w:color w:val="000000"/>
        </w:rPr>
        <w:t xml:space="preserve"> the </w:t>
      </w:r>
      <w:r w:rsidR="00BE3729">
        <w:rPr>
          <w:rFonts w:cstheme="minorHAnsi"/>
          <w:bCs/>
          <w:color w:val="000000"/>
        </w:rPr>
        <w:t>case</w:t>
      </w:r>
      <w:r>
        <w:rPr>
          <w:rFonts w:cstheme="minorHAnsi"/>
          <w:bCs/>
          <w:color w:val="000000"/>
        </w:rPr>
        <w:t xml:space="preserve"> for </w:t>
      </w:r>
      <w:r w:rsidR="00095A08">
        <w:rPr>
          <w:rFonts w:cstheme="minorHAnsi"/>
          <w:bCs/>
          <w:color w:val="000000"/>
        </w:rPr>
        <w:t xml:space="preserve">higher maximum </w:t>
      </w:r>
      <w:r>
        <w:rPr>
          <w:rFonts w:cstheme="minorHAnsi"/>
          <w:bCs/>
          <w:color w:val="000000"/>
        </w:rPr>
        <w:t xml:space="preserve">penalties. </w:t>
      </w:r>
      <w:r w:rsidRPr="0024272E">
        <w:rPr>
          <w:rFonts w:cstheme="minorHAnsi"/>
          <w:bCs/>
          <w:color w:val="000000"/>
        </w:rPr>
        <w:t xml:space="preserve">In 2014 the Productivity Commission, the Government’s independent </w:t>
      </w:r>
      <w:r w:rsidR="0073452C">
        <w:rPr>
          <w:rFonts w:cstheme="minorHAnsi"/>
          <w:bCs/>
          <w:color w:val="000000"/>
        </w:rPr>
        <w:t xml:space="preserve">economic </w:t>
      </w:r>
      <w:r w:rsidRPr="0024272E">
        <w:rPr>
          <w:rFonts w:cstheme="minorHAnsi"/>
          <w:bCs/>
          <w:color w:val="000000"/>
        </w:rPr>
        <w:t xml:space="preserve">research and advisory body, released the </w:t>
      </w:r>
      <w:r w:rsidRPr="00E56667">
        <w:rPr>
          <w:rFonts w:cstheme="minorHAnsi"/>
          <w:bCs/>
          <w:color w:val="000000"/>
        </w:rPr>
        <w:t>Public Infrastructure Inquiry Report</w:t>
      </w:r>
      <w:r w:rsidR="00E56667">
        <w:rPr>
          <w:rFonts w:cstheme="minorHAnsi"/>
          <w:bCs/>
          <w:color w:val="000000"/>
        </w:rPr>
        <w:t xml:space="preserve">, </w:t>
      </w:r>
      <w:r w:rsidR="00C10E6C">
        <w:rPr>
          <w:rFonts w:cstheme="minorHAnsi"/>
          <w:bCs/>
          <w:color w:val="000000"/>
        </w:rPr>
        <w:t>which</w:t>
      </w:r>
      <w:r w:rsidRPr="0024272E">
        <w:rPr>
          <w:rFonts w:cstheme="minorHAnsi"/>
          <w:bCs/>
          <w:color w:val="000000"/>
        </w:rPr>
        <w:t xml:space="preserve"> examin</w:t>
      </w:r>
      <w:r w:rsidR="00C10E6C">
        <w:rPr>
          <w:rFonts w:cstheme="minorHAnsi"/>
          <w:bCs/>
          <w:color w:val="000000"/>
        </w:rPr>
        <w:t>ed</w:t>
      </w:r>
      <w:r w:rsidRPr="0024272E">
        <w:rPr>
          <w:rFonts w:cstheme="minorHAnsi"/>
          <w:bCs/>
          <w:color w:val="000000"/>
        </w:rPr>
        <w:t xml:space="preserve"> competitiveness and productivity in the provision of nationally significant economic infrastructure. </w:t>
      </w:r>
      <w:r w:rsidR="0073452C">
        <w:rPr>
          <w:rFonts w:cstheme="minorHAnsi"/>
          <w:bCs/>
          <w:color w:val="000000"/>
        </w:rPr>
        <w:t xml:space="preserve">This report </w:t>
      </w:r>
      <w:r w:rsidRPr="0024272E">
        <w:rPr>
          <w:rFonts w:cstheme="minorHAnsi"/>
          <w:bCs/>
          <w:color w:val="000000"/>
        </w:rPr>
        <w:t xml:space="preserve">recommended </w:t>
      </w:r>
      <w:r w:rsidR="000C0CF7">
        <w:rPr>
          <w:rFonts w:cstheme="minorHAnsi"/>
          <w:bCs/>
          <w:color w:val="000000"/>
        </w:rPr>
        <w:t xml:space="preserve">the adoption of </w:t>
      </w:r>
      <w:r w:rsidRPr="0024272E">
        <w:rPr>
          <w:rFonts w:cstheme="minorHAnsi"/>
          <w:bCs/>
          <w:color w:val="000000"/>
        </w:rPr>
        <w:t>higher penalty levels in the building and construction industry as a means of dissuading repeat offenders and signalling to the courts ‘</w:t>
      </w:r>
      <w:r w:rsidRPr="001A1262">
        <w:rPr>
          <w:color w:val="000000"/>
        </w:rPr>
        <w:t>how</w:t>
      </w:r>
      <w:r w:rsidRPr="0024272E">
        <w:rPr>
          <w:rFonts w:cstheme="minorHAnsi"/>
          <w:bCs/>
          <w:color w:val="000000"/>
        </w:rPr>
        <w:t xml:space="preserve"> </w:t>
      </w:r>
      <w:r w:rsidRPr="001A1262">
        <w:rPr>
          <w:color w:val="000000"/>
        </w:rPr>
        <w:t>seriously society considers the worst level of unlawful conduct</w:t>
      </w:r>
      <w:r w:rsidRPr="0024272E">
        <w:rPr>
          <w:rFonts w:cstheme="minorHAnsi"/>
          <w:bCs/>
          <w:color w:val="000000"/>
        </w:rPr>
        <w:t>.’</w:t>
      </w:r>
      <w:r w:rsidR="00E56667" w:rsidRPr="00E56667">
        <w:rPr>
          <w:rFonts w:cstheme="minorHAnsi"/>
          <w:bCs/>
          <w:vertAlign w:val="superscript"/>
        </w:rPr>
        <w:footnoteReference w:id="49"/>
      </w:r>
    </w:p>
    <w:p w14:paraId="57FA9B0C" w14:textId="1E2D78CE" w:rsidR="00F34E57" w:rsidRDefault="001C7BFF" w:rsidP="00327AB5">
      <w:pPr>
        <w:spacing w:before="200" w:after="200" w:line="276" w:lineRule="auto"/>
        <w:rPr>
          <w:rFonts w:cstheme="minorHAnsi"/>
          <w:bCs/>
          <w:color w:val="000000"/>
        </w:rPr>
      </w:pPr>
      <w:r>
        <w:rPr>
          <w:rFonts w:cstheme="minorHAnsi"/>
          <w:bCs/>
          <w:color w:val="000000"/>
        </w:rPr>
        <w:t xml:space="preserve">The final report of the </w:t>
      </w:r>
      <w:r w:rsidR="00F34E57" w:rsidRPr="00CE08C5">
        <w:rPr>
          <w:rFonts w:cstheme="minorHAnsi"/>
          <w:bCs/>
          <w:i/>
          <w:color w:val="000000"/>
        </w:rPr>
        <w:t>Royal Commission into Trade Union Governance and Corruption</w:t>
      </w:r>
      <w:r w:rsidR="00BE3729">
        <w:rPr>
          <w:rFonts w:cstheme="minorHAnsi"/>
          <w:bCs/>
          <w:i/>
          <w:color w:val="000000"/>
        </w:rPr>
        <w:t>,</w:t>
      </w:r>
      <w:r w:rsidR="00F34E57">
        <w:rPr>
          <w:rFonts w:cstheme="minorHAnsi"/>
          <w:bCs/>
          <w:color w:val="000000"/>
        </w:rPr>
        <w:t xml:space="preserve"> </w:t>
      </w:r>
      <w:r w:rsidR="004853B3">
        <w:rPr>
          <w:rFonts w:cstheme="minorHAnsi"/>
          <w:bCs/>
          <w:color w:val="000000"/>
        </w:rPr>
        <w:t xml:space="preserve">conducted by Justice Dyson </w:t>
      </w:r>
      <w:proofErr w:type="spellStart"/>
      <w:r w:rsidR="004853B3">
        <w:rPr>
          <w:rFonts w:cstheme="minorHAnsi"/>
          <w:bCs/>
          <w:color w:val="000000"/>
        </w:rPr>
        <w:t>Heydon</w:t>
      </w:r>
      <w:proofErr w:type="spellEnd"/>
      <w:r w:rsidR="00327AB5">
        <w:rPr>
          <w:rFonts w:cstheme="minorHAnsi"/>
          <w:bCs/>
          <w:color w:val="000000"/>
        </w:rPr>
        <w:t> AC </w:t>
      </w:r>
      <w:r w:rsidR="00F9655D">
        <w:rPr>
          <w:rFonts w:cstheme="minorHAnsi"/>
          <w:bCs/>
          <w:color w:val="000000"/>
        </w:rPr>
        <w:t>QC</w:t>
      </w:r>
      <w:r>
        <w:rPr>
          <w:rFonts w:cstheme="minorHAnsi"/>
          <w:bCs/>
          <w:color w:val="000000"/>
        </w:rPr>
        <w:t>,</w:t>
      </w:r>
      <w:r w:rsidR="00327AB5">
        <w:rPr>
          <w:rFonts w:cstheme="minorHAnsi"/>
          <w:bCs/>
          <w:color w:val="000000"/>
        </w:rPr>
        <w:t xml:space="preserve"> published in December </w:t>
      </w:r>
      <w:r>
        <w:rPr>
          <w:rFonts w:cstheme="minorHAnsi"/>
          <w:bCs/>
          <w:color w:val="000000"/>
        </w:rPr>
        <w:t>2</w:t>
      </w:r>
      <w:r w:rsidR="00F9655D">
        <w:rPr>
          <w:rFonts w:cstheme="minorHAnsi"/>
          <w:bCs/>
          <w:color w:val="000000"/>
        </w:rPr>
        <w:t>0</w:t>
      </w:r>
      <w:r>
        <w:rPr>
          <w:rFonts w:cstheme="minorHAnsi"/>
          <w:bCs/>
          <w:color w:val="000000"/>
        </w:rPr>
        <w:t xml:space="preserve">15, also </w:t>
      </w:r>
      <w:r w:rsidR="00C46D3F">
        <w:rPr>
          <w:rFonts w:cstheme="minorHAnsi"/>
          <w:bCs/>
          <w:color w:val="000000"/>
        </w:rPr>
        <w:t>concluded</w:t>
      </w:r>
      <w:r>
        <w:rPr>
          <w:rFonts w:cstheme="minorHAnsi"/>
          <w:bCs/>
          <w:color w:val="000000"/>
        </w:rPr>
        <w:t xml:space="preserve"> </w:t>
      </w:r>
      <w:r w:rsidR="00F34E57">
        <w:rPr>
          <w:rFonts w:cstheme="minorHAnsi"/>
          <w:bCs/>
          <w:color w:val="000000"/>
        </w:rPr>
        <w:t xml:space="preserve">that the penalties that </w:t>
      </w:r>
      <w:r w:rsidR="00BE3729">
        <w:rPr>
          <w:rFonts w:cstheme="minorHAnsi"/>
          <w:bCs/>
          <w:color w:val="000000"/>
        </w:rPr>
        <w:t>could</w:t>
      </w:r>
      <w:r w:rsidR="00F34E57">
        <w:rPr>
          <w:rFonts w:cstheme="minorHAnsi"/>
          <w:bCs/>
          <w:color w:val="000000"/>
        </w:rPr>
        <w:t xml:space="preserve"> be imposed under the</w:t>
      </w:r>
      <w:r w:rsidR="00816A3E">
        <w:rPr>
          <w:rFonts w:cstheme="minorHAnsi"/>
          <w:bCs/>
          <w:color w:val="000000"/>
        </w:rPr>
        <w:t xml:space="preserve"> FW</w:t>
      </w:r>
      <w:r w:rsidR="00903EFD">
        <w:rPr>
          <w:rFonts w:cstheme="minorHAnsi"/>
          <w:bCs/>
          <w:color w:val="000000"/>
        </w:rPr>
        <w:t> </w:t>
      </w:r>
      <w:r w:rsidR="00816A3E">
        <w:rPr>
          <w:rFonts w:cstheme="minorHAnsi"/>
          <w:bCs/>
          <w:color w:val="000000"/>
        </w:rPr>
        <w:t xml:space="preserve">Act </w:t>
      </w:r>
      <w:r w:rsidR="00F34E57">
        <w:rPr>
          <w:rFonts w:cstheme="minorHAnsi"/>
          <w:bCs/>
          <w:color w:val="000000"/>
        </w:rPr>
        <w:t>w</w:t>
      </w:r>
      <w:r>
        <w:rPr>
          <w:rFonts w:cstheme="minorHAnsi"/>
          <w:bCs/>
          <w:color w:val="000000"/>
        </w:rPr>
        <w:t>ere</w:t>
      </w:r>
      <w:r w:rsidR="00F34E57">
        <w:rPr>
          <w:rFonts w:cstheme="minorHAnsi"/>
          <w:bCs/>
          <w:color w:val="000000"/>
        </w:rPr>
        <w:t xml:space="preserve"> </w:t>
      </w:r>
      <w:r w:rsidR="00C46D3F">
        <w:rPr>
          <w:rFonts w:cstheme="minorHAnsi"/>
          <w:bCs/>
          <w:color w:val="000000"/>
        </w:rPr>
        <w:t xml:space="preserve">insufficient to </w:t>
      </w:r>
      <w:r w:rsidR="00F34E57">
        <w:rPr>
          <w:rFonts w:cstheme="minorHAnsi"/>
          <w:bCs/>
          <w:color w:val="000000"/>
        </w:rPr>
        <w:t xml:space="preserve">deter </w:t>
      </w:r>
      <w:r w:rsidR="0056479C">
        <w:rPr>
          <w:rFonts w:cstheme="minorHAnsi"/>
          <w:bCs/>
          <w:color w:val="000000"/>
        </w:rPr>
        <w:t xml:space="preserve">unlawful </w:t>
      </w:r>
      <w:r w:rsidR="00F34E57">
        <w:rPr>
          <w:rFonts w:cstheme="minorHAnsi"/>
          <w:bCs/>
          <w:color w:val="000000"/>
        </w:rPr>
        <w:t>behaviour by the key building unions</w:t>
      </w:r>
      <w:r w:rsidR="00A96FA7">
        <w:rPr>
          <w:rFonts w:cstheme="minorHAnsi"/>
          <w:bCs/>
          <w:color w:val="000000"/>
        </w:rPr>
        <w:t xml:space="preserve">. Therefore, Justice </w:t>
      </w:r>
      <w:proofErr w:type="spellStart"/>
      <w:r w:rsidR="00A96FA7">
        <w:rPr>
          <w:rFonts w:cstheme="minorHAnsi"/>
          <w:bCs/>
          <w:color w:val="000000"/>
        </w:rPr>
        <w:t>Heydon</w:t>
      </w:r>
      <w:proofErr w:type="spellEnd"/>
      <w:r w:rsidR="00C46D3F">
        <w:rPr>
          <w:rFonts w:cstheme="minorHAnsi"/>
          <w:bCs/>
          <w:color w:val="000000"/>
        </w:rPr>
        <w:t xml:space="preserve"> made several recommendations for </w:t>
      </w:r>
      <w:r w:rsidR="00BE3729">
        <w:rPr>
          <w:rFonts w:cstheme="minorHAnsi"/>
          <w:bCs/>
          <w:color w:val="000000"/>
        </w:rPr>
        <w:t xml:space="preserve">increased </w:t>
      </w:r>
      <w:r w:rsidR="00C46D3F">
        <w:rPr>
          <w:rFonts w:cstheme="minorHAnsi"/>
          <w:bCs/>
          <w:color w:val="000000"/>
        </w:rPr>
        <w:t>penalties in a range of areas</w:t>
      </w:r>
      <w:r w:rsidR="00F91CAA">
        <w:rPr>
          <w:rFonts w:cstheme="minorHAnsi"/>
          <w:bCs/>
          <w:color w:val="000000"/>
        </w:rPr>
        <w:t xml:space="preserve">. </w:t>
      </w:r>
      <w:r w:rsidR="0073452C">
        <w:rPr>
          <w:rFonts w:cstheme="minorHAnsi"/>
          <w:bCs/>
          <w:color w:val="000000"/>
        </w:rPr>
        <w:t>However</w:t>
      </w:r>
      <w:r w:rsidR="00A96FA7">
        <w:rPr>
          <w:rFonts w:cstheme="minorHAnsi"/>
          <w:bCs/>
          <w:color w:val="000000"/>
        </w:rPr>
        <w:t>,</w:t>
      </w:r>
      <w:r w:rsidR="00C01C9D">
        <w:rPr>
          <w:rFonts w:cstheme="minorHAnsi"/>
          <w:bCs/>
          <w:color w:val="000000"/>
        </w:rPr>
        <w:t xml:space="preserve"> </w:t>
      </w:r>
      <w:r w:rsidR="00A96FA7">
        <w:rPr>
          <w:rFonts w:cstheme="minorHAnsi"/>
          <w:bCs/>
          <w:color w:val="000000"/>
        </w:rPr>
        <w:t xml:space="preserve">he recommended that the higher penalty caps be incorporated into </w:t>
      </w:r>
      <w:r w:rsidR="00A96FA7">
        <w:rPr>
          <w:rFonts w:cstheme="minorHAnsi"/>
          <w:bCs/>
          <w:color w:val="000000"/>
        </w:rPr>
        <w:lastRenderedPageBreak/>
        <w:t xml:space="preserve">the </w:t>
      </w:r>
      <w:r w:rsidR="00816A3E">
        <w:rPr>
          <w:rFonts w:cstheme="minorHAnsi"/>
          <w:bCs/>
          <w:color w:val="000000"/>
        </w:rPr>
        <w:t>FW</w:t>
      </w:r>
      <w:r w:rsidR="00903EFD">
        <w:rPr>
          <w:rFonts w:cstheme="minorHAnsi"/>
          <w:bCs/>
          <w:color w:val="000000"/>
        </w:rPr>
        <w:t> </w:t>
      </w:r>
      <w:r w:rsidR="00816A3E">
        <w:rPr>
          <w:rFonts w:cstheme="minorHAnsi"/>
          <w:bCs/>
          <w:color w:val="000000"/>
        </w:rPr>
        <w:t>Act</w:t>
      </w:r>
      <w:r w:rsidR="00E70EE7">
        <w:rPr>
          <w:rFonts w:cstheme="minorHAnsi"/>
          <w:bCs/>
          <w:color w:val="000000"/>
        </w:rPr>
        <w:t>, which would have the effect that the</w:t>
      </w:r>
      <w:r w:rsidR="0073452C">
        <w:rPr>
          <w:rFonts w:cstheme="minorHAnsi"/>
          <w:bCs/>
          <w:color w:val="000000"/>
        </w:rPr>
        <w:t xml:space="preserve">y would be applicable to </w:t>
      </w:r>
      <w:r w:rsidR="00A96FA7">
        <w:rPr>
          <w:rFonts w:cstheme="minorHAnsi"/>
          <w:bCs/>
          <w:color w:val="000000"/>
        </w:rPr>
        <w:t>all industries</w:t>
      </w:r>
      <w:r w:rsidR="0073452C">
        <w:rPr>
          <w:rFonts w:cstheme="minorHAnsi"/>
          <w:bCs/>
          <w:color w:val="000000"/>
        </w:rPr>
        <w:t>, rather than subjecting the building industry to a specific penalty regime</w:t>
      </w:r>
      <w:r w:rsidR="00F34E57">
        <w:rPr>
          <w:rFonts w:cstheme="minorHAnsi"/>
          <w:bCs/>
          <w:color w:val="000000"/>
        </w:rPr>
        <w:t>.</w:t>
      </w:r>
      <w:r w:rsidR="00E70EE7">
        <w:rPr>
          <w:rStyle w:val="FootnoteReference"/>
          <w:rFonts w:cstheme="minorHAnsi"/>
          <w:bCs/>
          <w:color w:val="000000"/>
        </w:rPr>
        <w:footnoteReference w:id="50"/>
      </w:r>
    </w:p>
    <w:p w14:paraId="5A5CEA44" w14:textId="5E7D3F81" w:rsidR="00C46D3F" w:rsidRDefault="00592A3A" w:rsidP="004F647D">
      <w:pPr>
        <w:pStyle w:val="Heading2"/>
        <w:numPr>
          <w:ilvl w:val="1"/>
          <w:numId w:val="20"/>
        </w:numPr>
      </w:pPr>
      <w:bookmarkStart w:id="130" w:name="_Toc523154933"/>
      <w:bookmarkStart w:id="131" w:name="_Toc527633026"/>
      <w:r>
        <w:t>Stakeholder views</w:t>
      </w:r>
      <w:bookmarkEnd w:id="130"/>
      <w:bookmarkEnd w:id="131"/>
    </w:p>
    <w:p w14:paraId="011C31E1" w14:textId="6CF9A5C5" w:rsidR="00587DEA" w:rsidRPr="00327AB5" w:rsidRDefault="00231CD5" w:rsidP="00327AB5">
      <w:pPr>
        <w:spacing w:before="200" w:after="200" w:line="276" w:lineRule="auto"/>
        <w:rPr>
          <w:rFonts w:cstheme="minorHAnsi"/>
          <w:color w:val="000000"/>
        </w:rPr>
      </w:pPr>
      <w:r>
        <w:rPr>
          <w:rFonts w:cstheme="minorHAnsi"/>
        </w:rPr>
        <w:t>Industry submissions generally acknowledged that, as the BCIIP</w:t>
      </w:r>
      <w:r w:rsidR="00903EFD">
        <w:rPr>
          <w:rFonts w:cstheme="minorHAnsi"/>
        </w:rPr>
        <w:t> </w:t>
      </w:r>
      <w:r>
        <w:rPr>
          <w:rFonts w:cstheme="minorHAnsi"/>
        </w:rPr>
        <w:t>Act has been in operation for less than two years, there is little basis for drawing conclusions as to whether the re-establishment of the regime of higher, building industry-specific penalties is</w:t>
      </w:r>
      <w:r w:rsidR="0073452C">
        <w:rPr>
          <w:rFonts w:cstheme="minorHAnsi"/>
        </w:rPr>
        <w:t xml:space="preserve"> better </w:t>
      </w:r>
      <w:r w:rsidR="00BE3729">
        <w:rPr>
          <w:rFonts w:cstheme="minorHAnsi"/>
        </w:rPr>
        <w:t>deterr</w:t>
      </w:r>
      <w:r w:rsidR="0073452C">
        <w:rPr>
          <w:rFonts w:cstheme="minorHAnsi"/>
        </w:rPr>
        <w:t xml:space="preserve">ing </w:t>
      </w:r>
      <w:r w:rsidR="0056479C">
        <w:rPr>
          <w:rFonts w:cstheme="minorHAnsi"/>
        </w:rPr>
        <w:t>unlawful</w:t>
      </w:r>
      <w:r w:rsidR="0056479C" w:rsidRPr="00E732BC">
        <w:rPr>
          <w:rFonts w:cstheme="minorHAnsi"/>
        </w:rPr>
        <w:t xml:space="preserve"> </w:t>
      </w:r>
      <w:r w:rsidR="00BE3729">
        <w:rPr>
          <w:rFonts w:cstheme="minorHAnsi"/>
        </w:rPr>
        <w:t>activity</w:t>
      </w:r>
      <w:r w:rsidR="00F91CAA">
        <w:rPr>
          <w:rFonts w:cstheme="minorHAnsi"/>
        </w:rPr>
        <w:t xml:space="preserve">. </w:t>
      </w:r>
      <w:r w:rsidR="00BE3729">
        <w:rPr>
          <w:rFonts w:cstheme="minorHAnsi"/>
        </w:rPr>
        <w:t xml:space="preserve">However, </w:t>
      </w:r>
      <w:r w:rsidR="0073452C">
        <w:rPr>
          <w:rFonts w:cstheme="minorHAnsi"/>
        </w:rPr>
        <w:t>most of these</w:t>
      </w:r>
      <w:r w:rsidR="00F01993" w:rsidRPr="00E013A2">
        <w:rPr>
          <w:rFonts w:cstheme="minorHAnsi"/>
        </w:rPr>
        <w:t xml:space="preserve"> submissions </w:t>
      </w:r>
      <w:r w:rsidR="00BE3729">
        <w:rPr>
          <w:rFonts w:cstheme="minorHAnsi"/>
        </w:rPr>
        <w:t>argued</w:t>
      </w:r>
      <w:r w:rsidR="00F01993" w:rsidRPr="00E013A2">
        <w:rPr>
          <w:rFonts w:cstheme="minorHAnsi"/>
        </w:rPr>
        <w:t xml:space="preserve"> strongly </w:t>
      </w:r>
      <w:r w:rsidR="0073452C">
        <w:rPr>
          <w:rFonts w:cstheme="minorHAnsi"/>
        </w:rPr>
        <w:t>for the</w:t>
      </w:r>
      <w:r w:rsidR="00F01993" w:rsidRPr="00E013A2">
        <w:rPr>
          <w:rFonts w:cstheme="minorHAnsi"/>
        </w:rPr>
        <w:t xml:space="preserve"> maint</w:t>
      </w:r>
      <w:r w:rsidR="0073452C">
        <w:rPr>
          <w:rFonts w:cstheme="minorHAnsi"/>
        </w:rPr>
        <w:t>enance of</w:t>
      </w:r>
      <w:r w:rsidR="00F01993" w:rsidRPr="00E013A2">
        <w:rPr>
          <w:rFonts w:cstheme="minorHAnsi"/>
        </w:rPr>
        <w:t xml:space="preserve"> the</w:t>
      </w:r>
      <w:r w:rsidR="0073452C">
        <w:rPr>
          <w:rFonts w:cstheme="minorHAnsi"/>
        </w:rPr>
        <w:t xml:space="preserve"> </w:t>
      </w:r>
      <w:r w:rsidR="00587DEA" w:rsidRPr="00E013A2">
        <w:rPr>
          <w:rFonts w:cstheme="minorHAnsi"/>
        </w:rPr>
        <w:t>penalties</w:t>
      </w:r>
      <w:r w:rsidR="0073452C">
        <w:rPr>
          <w:rFonts w:cstheme="minorHAnsi"/>
        </w:rPr>
        <w:t xml:space="preserve"> at their current levels. </w:t>
      </w:r>
      <w:r w:rsidR="00587DEA" w:rsidRPr="00E013A2">
        <w:rPr>
          <w:rFonts w:cstheme="minorHAnsi"/>
        </w:rPr>
        <w:t xml:space="preserve">For example, </w:t>
      </w:r>
      <w:r>
        <w:rPr>
          <w:rFonts w:cstheme="minorHAnsi"/>
        </w:rPr>
        <w:t xml:space="preserve">ACCI </w:t>
      </w:r>
      <w:r w:rsidR="00E013A2" w:rsidRPr="00E013A2">
        <w:rPr>
          <w:rFonts w:cstheme="minorHAnsi"/>
        </w:rPr>
        <w:t>argued that</w:t>
      </w:r>
      <w:r w:rsidR="002F1171">
        <w:rPr>
          <w:rFonts w:cstheme="minorHAnsi"/>
        </w:rPr>
        <w:t xml:space="preserve"> higher, industry-specific penalties remain warranted, </w:t>
      </w:r>
      <w:r>
        <w:rPr>
          <w:rFonts w:cstheme="minorHAnsi"/>
        </w:rPr>
        <w:t>as</w:t>
      </w:r>
      <w:r w:rsidR="002F1171">
        <w:rPr>
          <w:rFonts w:cstheme="minorHAnsi"/>
        </w:rPr>
        <w:t xml:space="preserve"> </w:t>
      </w:r>
      <w:r w:rsidR="0056479C" w:rsidRPr="0056479C">
        <w:rPr>
          <w:rFonts w:cstheme="minorHAnsi"/>
        </w:rPr>
        <w:t>‘</w:t>
      </w:r>
      <w:r w:rsidR="00327AB5">
        <w:rPr>
          <w:color w:val="000000"/>
        </w:rPr>
        <w:t>[s]</w:t>
      </w:r>
      <w:proofErr w:type="spellStart"/>
      <w:r w:rsidR="00587DEA" w:rsidRPr="008C0283">
        <w:rPr>
          <w:color w:val="000000"/>
        </w:rPr>
        <w:t>ince</w:t>
      </w:r>
      <w:proofErr w:type="spellEnd"/>
      <w:r w:rsidR="00587DEA" w:rsidRPr="008C0283">
        <w:rPr>
          <w:color w:val="000000"/>
        </w:rPr>
        <w:t xml:space="preserve"> the implementation of the BCIIP</w:t>
      </w:r>
      <w:r w:rsidR="00903EFD" w:rsidRPr="008C0283">
        <w:rPr>
          <w:color w:val="000000"/>
        </w:rPr>
        <w:t> </w:t>
      </w:r>
      <w:r w:rsidR="00587DEA" w:rsidRPr="008C0283">
        <w:rPr>
          <w:color w:val="000000"/>
        </w:rPr>
        <w:t xml:space="preserve">Act, cases continue to emerge that highlight the persistent culture of </w:t>
      </w:r>
      <w:r w:rsidR="00587DEA" w:rsidRPr="00327AB5">
        <w:rPr>
          <w:color w:val="000000"/>
        </w:rPr>
        <w:t>lawlessness</w:t>
      </w:r>
      <w:r w:rsidR="0056479C" w:rsidRPr="00327AB5">
        <w:rPr>
          <w:rFonts w:cstheme="minorHAnsi"/>
          <w:color w:val="000000"/>
        </w:rPr>
        <w:t>’</w:t>
      </w:r>
      <w:r w:rsidR="00A43A9A">
        <w:rPr>
          <w:rFonts w:cstheme="minorHAnsi"/>
          <w:color w:val="000000"/>
        </w:rPr>
        <w:t>.</w:t>
      </w:r>
      <w:r w:rsidR="00E013A2" w:rsidRPr="00327AB5">
        <w:rPr>
          <w:rStyle w:val="FootnoteReference"/>
          <w:color w:val="000000"/>
        </w:rPr>
        <w:footnoteReference w:id="51"/>
      </w:r>
    </w:p>
    <w:p w14:paraId="19FE8BDE" w14:textId="5DB12A54" w:rsidR="002F1171" w:rsidRDefault="00E013A2" w:rsidP="00327AB5">
      <w:pPr>
        <w:spacing w:before="200" w:after="200" w:line="276" w:lineRule="auto"/>
        <w:rPr>
          <w:rFonts w:cstheme="minorHAnsi"/>
          <w:color w:val="000000"/>
        </w:rPr>
      </w:pPr>
      <w:r w:rsidRPr="00E013A2">
        <w:rPr>
          <w:rFonts w:cstheme="minorHAnsi"/>
          <w:bCs/>
          <w:color w:val="000000"/>
        </w:rPr>
        <w:t xml:space="preserve">Similarly, the </w:t>
      </w:r>
      <w:r w:rsidR="0073452C">
        <w:rPr>
          <w:rFonts w:cstheme="minorHAnsi"/>
          <w:bCs/>
          <w:color w:val="000000"/>
        </w:rPr>
        <w:t>MBA</w:t>
      </w:r>
      <w:r w:rsidRPr="00E013A2">
        <w:rPr>
          <w:rFonts w:cstheme="minorHAnsi"/>
          <w:bCs/>
          <w:color w:val="000000"/>
        </w:rPr>
        <w:t xml:space="preserve"> supported the current</w:t>
      </w:r>
      <w:r>
        <w:rPr>
          <w:rFonts w:cstheme="minorHAnsi"/>
          <w:bCs/>
          <w:color w:val="000000"/>
        </w:rPr>
        <w:t xml:space="preserve"> penalty provisions of the</w:t>
      </w:r>
      <w:r w:rsidR="00816A3E">
        <w:rPr>
          <w:rFonts w:cstheme="minorHAnsi"/>
          <w:bCs/>
          <w:color w:val="000000"/>
        </w:rPr>
        <w:t xml:space="preserve"> BCIIP</w:t>
      </w:r>
      <w:r w:rsidR="00903EFD">
        <w:rPr>
          <w:rFonts w:cstheme="minorHAnsi"/>
          <w:bCs/>
          <w:color w:val="000000"/>
        </w:rPr>
        <w:t> </w:t>
      </w:r>
      <w:r>
        <w:rPr>
          <w:rFonts w:cstheme="minorHAnsi"/>
          <w:bCs/>
          <w:color w:val="000000"/>
        </w:rPr>
        <w:t xml:space="preserve">Act </w:t>
      </w:r>
      <w:r w:rsidRPr="00E013A2">
        <w:rPr>
          <w:rFonts w:cstheme="minorHAnsi"/>
          <w:bCs/>
          <w:color w:val="000000"/>
        </w:rPr>
        <w:t xml:space="preserve">and recommended that they continue at </w:t>
      </w:r>
      <w:r w:rsidR="0056479C">
        <w:rPr>
          <w:rFonts w:cstheme="minorHAnsi"/>
          <w:bCs/>
          <w:color w:val="000000"/>
        </w:rPr>
        <w:t>‘</w:t>
      </w:r>
      <w:r w:rsidRPr="00E013A2">
        <w:rPr>
          <w:rFonts w:cstheme="minorHAnsi"/>
          <w:bCs/>
          <w:color w:val="000000"/>
        </w:rPr>
        <w:t>at least this level</w:t>
      </w:r>
      <w:r w:rsidR="0056479C">
        <w:rPr>
          <w:rFonts w:cstheme="minorHAnsi"/>
          <w:bCs/>
          <w:color w:val="000000"/>
        </w:rPr>
        <w:t>’</w:t>
      </w:r>
      <w:r w:rsidR="006B549E" w:rsidRPr="0056479C">
        <w:rPr>
          <w:rFonts w:cstheme="minorHAnsi"/>
          <w:bCs/>
          <w:color w:val="000000"/>
        </w:rPr>
        <w:t>,</w:t>
      </w:r>
      <w:r w:rsidR="00231CD5">
        <w:rPr>
          <w:rFonts w:cstheme="minorHAnsi"/>
          <w:bCs/>
          <w:color w:val="000000"/>
        </w:rPr>
        <w:t xml:space="preserve"> citing both the </w:t>
      </w:r>
      <w:proofErr w:type="spellStart"/>
      <w:r w:rsidR="00231CD5">
        <w:rPr>
          <w:rFonts w:cstheme="minorHAnsi"/>
          <w:bCs/>
          <w:color w:val="000000"/>
        </w:rPr>
        <w:t>Heydon</w:t>
      </w:r>
      <w:proofErr w:type="spellEnd"/>
      <w:r w:rsidR="00231CD5">
        <w:rPr>
          <w:rFonts w:cstheme="minorHAnsi"/>
          <w:bCs/>
          <w:color w:val="000000"/>
        </w:rPr>
        <w:t xml:space="preserve"> Royal Commission and the Productivity Commission in support of this view</w:t>
      </w:r>
      <w:r w:rsidR="00F91CAA">
        <w:rPr>
          <w:rFonts w:cstheme="minorHAnsi"/>
          <w:bCs/>
          <w:color w:val="000000"/>
        </w:rPr>
        <w:t xml:space="preserve">. </w:t>
      </w:r>
      <w:r>
        <w:rPr>
          <w:rFonts w:cstheme="minorHAnsi"/>
          <w:color w:val="000000"/>
        </w:rPr>
        <w:t>The MBA argued that sufficient time had not yet elapsed to enable</w:t>
      </w:r>
      <w:r w:rsidRPr="00E013A2">
        <w:rPr>
          <w:rFonts w:cstheme="minorHAnsi"/>
          <w:color w:val="000000"/>
        </w:rPr>
        <w:t xml:space="preserve"> an </w:t>
      </w:r>
      <w:r w:rsidR="0056479C">
        <w:rPr>
          <w:rFonts w:cstheme="minorHAnsi"/>
          <w:color w:val="000000"/>
        </w:rPr>
        <w:t>‘</w:t>
      </w:r>
      <w:r w:rsidRPr="00E013A2">
        <w:rPr>
          <w:rFonts w:cstheme="minorHAnsi"/>
          <w:color w:val="000000"/>
        </w:rPr>
        <w:t>objective assessment of the deterrent value</w:t>
      </w:r>
      <w:r w:rsidR="0056479C">
        <w:rPr>
          <w:rFonts w:cstheme="minorHAnsi"/>
          <w:color w:val="000000"/>
        </w:rPr>
        <w:t>’</w:t>
      </w:r>
      <w:r>
        <w:rPr>
          <w:rFonts w:cstheme="minorHAnsi"/>
          <w:color w:val="000000"/>
        </w:rPr>
        <w:t xml:space="preserve"> of the higher penalties</w:t>
      </w:r>
      <w:r w:rsidR="0073452C">
        <w:rPr>
          <w:rFonts w:cstheme="minorHAnsi"/>
          <w:color w:val="000000"/>
        </w:rPr>
        <w:t xml:space="preserve"> but</w:t>
      </w:r>
      <w:r w:rsidR="00D76A62">
        <w:rPr>
          <w:rFonts w:cstheme="minorHAnsi"/>
          <w:color w:val="000000"/>
        </w:rPr>
        <w:t xml:space="preserve"> that there had, to date, been no discernible improvement </w:t>
      </w:r>
      <w:r w:rsidRPr="00E013A2">
        <w:rPr>
          <w:rFonts w:cstheme="minorHAnsi"/>
          <w:color w:val="000000"/>
        </w:rPr>
        <w:t xml:space="preserve">in the attitudes </w:t>
      </w:r>
      <w:r w:rsidR="00D76A62">
        <w:rPr>
          <w:rFonts w:cstheme="minorHAnsi"/>
          <w:color w:val="000000"/>
        </w:rPr>
        <w:t xml:space="preserve">and conduct </w:t>
      </w:r>
      <w:r w:rsidRPr="00E013A2">
        <w:rPr>
          <w:rFonts w:cstheme="minorHAnsi"/>
          <w:color w:val="000000"/>
        </w:rPr>
        <w:t xml:space="preserve">of building unions. </w:t>
      </w:r>
      <w:r w:rsidR="0073452C">
        <w:rPr>
          <w:rFonts w:cstheme="minorHAnsi"/>
          <w:color w:val="000000"/>
        </w:rPr>
        <w:t xml:space="preserve">Moreover, </w:t>
      </w:r>
      <w:r w:rsidR="002F1171">
        <w:rPr>
          <w:rFonts w:cstheme="minorHAnsi"/>
          <w:color w:val="000000"/>
        </w:rPr>
        <w:t xml:space="preserve">the government should stand ready to increase the current penalties still further, </w:t>
      </w:r>
      <w:r w:rsidR="00231CD5">
        <w:rPr>
          <w:rFonts w:cstheme="minorHAnsi"/>
          <w:color w:val="000000"/>
        </w:rPr>
        <w:t>if</w:t>
      </w:r>
      <w:r w:rsidR="002F1171">
        <w:rPr>
          <w:rFonts w:cstheme="minorHAnsi"/>
          <w:color w:val="000000"/>
        </w:rPr>
        <w:t xml:space="preserve"> necessary.</w:t>
      </w:r>
    </w:p>
    <w:p w14:paraId="5A29D00C" w14:textId="2DFB1FD2" w:rsidR="00E8053F" w:rsidRDefault="009E46CD" w:rsidP="00A43A9A">
      <w:pPr>
        <w:spacing w:before="200" w:after="200" w:line="276" w:lineRule="auto"/>
      </w:pPr>
      <w:r>
        <w:rPr>
          <w:rFonts w:cstheme="minorHAnsi"/>
          <w:bCs/>
          <w:color w:val="000000"/>
        </w:rPr>
        <w:t xml:space="preserve">The </w:t>
      </w:r>
      <w:r w:rsidR="000D5410">
        <w:rPr>
          <w:rFonts w:cstheme="minorHAnsi"/>
          <w:bCs/>
          <w:color w:val="000000"/>
        </w:rPr>
        <w:t>Housing Industry Association</w:t>
      </w:r>
      <w:r w:rsidR="006B549E" w:rsidRPr="00EE0A20">
        <w:rPr>
          <w:rFonts w:cstheme="minorHAnsi"/>
          <w:bCs/>
          <w:color w:val="000000"/>
        </w:rPr>
        <w:t xml:space="preserve"> </w:t>
      </w:r>
      <w:r w:rsidR="000D5410">
        <w:rPr>
          <w:rFonts w:cstheme="minorHAnsi"/>
          <w:bCs/>
          <w:color w:val="000000"/>
        </w:rPr>
        <w:t>(</w:t>
      </w:r>
      <w:r w:rsidR="00231CD5">
        <w:rPr>
          <w:rFonts w:cstheme="minorHAnsi"/>
          <w:bCs/>
          <w:color w:val="000000"/>
        </w:rPr>
        <w:t>HIA</w:t>
      </w:r>
      <w:r w:rsidR="000D5410">
        <w:rPr>
          <w:rFonts w:cstheme="minorHAnsi"/>
          <w:bCs/>
          <w:color w:val="000000"/>
        </w:rPr>
        <w:t>)</w:t>
      </w:r>
      <w:r w:rsidR="00231CD5">
        <w:rPr>
          <w:rFonts w:cstheme="minorHAnsi"/>
          <w:bCs/>
          <w:color w:val="000000"/>
        </w:rPr>
        <w:t xml:space="preserve"> </w:t>
      </w:r>
      <w:r w:rsidR="002F1171">
        <w:rPr>
          <w:rFonts w:cstheme="minorHAnsi"/>
          <w:bCs/>
          <w:color w:val="000000"/>
        </w:rPr>
        <w:t xml:space="preserve">argued that </w:t>
      </w:r>
      <w:r w:rsidR="0056479C" w:rsidRPr="0056479C">
        <w:rPr>
          <w:rFonts w:cstheme="minorHAnsi"/>
          <w:bCs/>
          <w:color w:val="000000"/>
        </w:rPr>
        <w:t>‘</w:t>
      </w:r>
      <w:r w:rsidRPr="00CD6FD0">
        <w:t>despite the increased penalties under the BCIIP</w:t>
      </w:r>
      <w:r w:rsidR="00903EFD" w:rsidRPr="00CD6FD0">
        <w:t> </w:t>
      </w:r>
      <w:r w:rsidRPr="00CD6FD0">
        <w:t>Act and the imposition of significant penalties by the Federal Court the inappropriate behaviour of some industry bodies continues</w:t>
      </w:r>
      <w:r>
        <w:t>.</w:t>
      </w:r>
      <w:r w:rsidR="0056479C">
        <w:t>’</w:t>
      </w:r>
      <w:r w:rsidR="00C10E6C">
        <w:rPr>
          <w:rStyle w:val="FootnoteReference"/>
        </w:rPr>
        <w:footnoteReference w:id="52"/>
      </w:r>
      <w:r>
        <w:t xml:space="preserve"> </w:t>
      </w:r>
      <w:r w:rsidR="00B21B47">
        <w:t>Ai </w:t>
      </w:r>
      <w:r w:rsidR="00A85244">
        <w:t>G</w:t>
      </w:r>
      <w:r w:rsidR="00B21B47">
        <w:t>roup</w:t>
      </w:r>
      <w:r w:rsidR="00E8053F">
        <w:t xml:space="preserve"> </w:t>
      </w:r>
      <w:r w:rsidR="002F1171">
        <w:t>expressed the view</w:t>
      </w:r>
      <w:r w:rsidR="00E8053F">
        <w:t xml:space="preserve"> that the</w:t>
      </w:r>
      <w:r w:rsidR="00A85244">
        <w:t xml:space="preserve"> BCIIP</w:t>
      </w:r>
      <w:r w:rsidR="00903EFD">
        <w:t> </w:t>
      </w:r>
      <w:r w:rsidR="00E8053F">
        <w:t xml:space="preserve">Act has not been in place for long enough to enable a judgement to be made as to the effectiveness of the current penalty regime in improving compliance, but argued that it was clear that the previously available </w:t>
      </w:r>
      <w:r w:rsidR="0073452C">
        <w:t xml:space="preserve">penalties </w:t>
      </w:r>
      <w:r w:rsidR="00E8053F">
        <w:t>were insufficient in this regard</w:t>
      </w:r>
      <w:r w:rsidR="00A43A9A">
        <w:t>.</w:t>
      </w:r>
    </w:p>
    <w:p w14:paraId="776BDD4E" w14:textId="1F264839" w:rsidR="00826830" w:rsidRPr="00A85244" w:rsidRDefault="00826830" w:rsidP="00A43A9A">
      <w:pPr>
        <w:spacing w:before="200" w:after="200" w:line="276" w:lineRule="auto"/>
        <w:rPr>
          <w:rFonts w:cstheme="minorHAnsi"/>
        </w:rPr>
      </w:pPr>
      <w:r>
        <w:rPr>
          <w:rFonts w:cstheme="minorHAnsi"/>
          <w:bCs/>
          <w:color w:val="000000"/>
        </w:rPr>
        <w:t>Two submissions from industry associations did suggest there has been some change in behaviour in the industry since the commencement of the BCIIP</w:t>
      </w:r>
      <w:r w:rsidR="00903EFD">
        <w:rPr>
          <w:rFonts w:cstheme="minorHAnsi"/>
          <w:bCs/>
          <w:color w:val="000000"/>
        </w:rPr>
        <w:t> </w:t>
      </w:r>
      <w:r>
        <w:rPr>
          <w:rFonts w:cstheme="minorHAnsi"/>
          <w:bCs/>
          <w:color w:val="000000"/>
        </w:rPr>
        <w:t xml:space="preserve">Act and </w:t>
      </w:r>
      <w:r w:rsidR="0073452C">
        <w:rPr>
          <w:rFonts w:cstheme="minorHAnsi"/>
          <w:bCs/>
          <w:color w:val="000000"/>
        </w:rPr>
        <w:t xml:space="preserve">argued </w:t>
      </w:r>
      <w:r>
        <w:rPr>
          <w:rFonts w:cstheme="minorHAnsi"/>
          <w:bCs/>
          <w:color w:val="000000"/>
        </w:rPr>
        <w:t>that this could be the result of the incentive effects of the increased penalties</w:t>
      </w:r>
      <w:r w:rsidR="00F91CAA">
        <w:rPr>
          <w:rFonts w:cstheme="minorHAnsi"/>
          <w:bCs/>
          <w:color w:val="000000"/>
        </w:rPr>
        <w:t xml:space="preserve">. </w:t>
      </w:r>
      <w:r>
        <w:rPr>
          <w:rFonts w:cstheme="minorHAnsi"/>
          <w:bCs/>
          <w:color w:val="000000"/>
        </w:rPr>
        <w:t xml:space="preserve">The National Electrical Contractors’ Association (NECA) </w:t>
      </w:r>
      <w:r w:rsidR="00A85244">
        <w:rPr>
          <w:rFonts w:cstheme="minorHAnsi"/>
          <w:bCs/>
          <w:color w:val="000000"/>
        </w:rPr>
        <w:t xml:space="preserve">stated </w:t>
      </w:r>
      <w:r>
        <w:rPr>
          <w:rFonts w:cstheme="minorHAnsi"/>
          <w:bCs/>
          <w:color w:val="000000"/>
        </w:rPr>
        <w:t>that</w:t>
      </w:r>
      <w:r w:rsidR="00A85244">
        <w:rPr>
          <w:rFonts w:cstheme="minorHAnsi"/>
          <w:bCs/>
          <w:color w:val="000000"/>
        </w:rPr>
        <w:t xml:space="preserve">, while </w:t>
      </w:r>
      <w:r w:rsidRPr="00A85244">
        <w:rPr>
          <w:rFonts w:cstheme="minorHAnsi"/>
        </w:rPr>
        <w:t xml:space="preserve">the </w:t>
      </w:r>
      <w:r w:rsidR="00816A3E">
        <w:rPr>
          <w:rFonts w:cstheme="minorHAnsi"/>
        </w:rPr>
        <w:t>BCIIP</w:t>
      </w:r>
      <w:r w:rsidR="00903EFD">
        <w:rPr>
          <w:rFonts w:cstheme="minorHAnsi"/>
        </w:rPr>
        <w:t> </w:t>
      </w:r>
      <w:r w:rsidR="0073452C">
        <w:rPr>
          <w:rFonts w:cstheme="minorHAnsi"/>
        </w:rPr>
        <w:t>A</w:t>
      </w:r>
      <w:r w:rsidRPr="00A85244">
        <w:rPr>
          <w:rFonts w:cstheme="minorHAnsi"/>
        </w:rPr>
        <w:t xml:space="preserve">ct has only been in operation for a little over 12 months, </w:t>
      </w:r>
      <w:r w:rsidR="00A85244">
        <w:rPr>
          <w:rFonts w:cstheme="minorHAnsi"/>
        </w:rPr>
        <w:t>its</w:t>
      </w:r>
      <w:r w:rsidR="00A85244" w:rsidRPr="00A85244">
        <w:rPr>
          <w:rFonts w:cstheme="minorHAnsi"/>
        </w:rPr>
        <w:t xml:space="preserve"> </w:t>
      </w:r>
      <w:r w:rsidRPr="00A85244">
        <w:rPr>
          <w:rFonts w:cstheme="minorHAnsi"/>
        </w:rPr>
        <w:t>members have witnessed a general improvement in the industrial climate</w:t>
      </w:r>
      <w:r w:rsidR="00A85244">
        <w:rPr>
          <w:rFonts w:cstheme="minorHAnsi"/>
        </w:rPr>
        <w:t xml:space="preserve"> and that there has been a clear decrease in the number of disputes in the industry</w:t>
      </w:r>
      <w:r w:rsidR="00F91CAA">
        <w:rPr>
          <w:rFonts w:cstheme="minorHAnsi"/>
        </w:rPr>
        <w:t xml:space="preserve">. </w:t>
      </w:r>
      <w:proofErr w:type="gramStart"/>
      <w:r w:rsidR="00A85244">
        <w:rPr>
          <w:rFonts w:cstheme="minorHAnsi"/>
        </w:rPr>
        <w:t>H</w:t>
      </w:r>
      <w:r w:rsidRPr="00A85244">
        <w:rPr>
          <w:rFonts w:cstheme="minorHAnsi"/>
        </w:rPr>
        <w:t>owever</w:t>
      </w:r>
      <w:proofErr w:type="gramEnd"/>
      <w:r w:rsidRPr="00A85244">
        <w:rPr>
          <w:rFonts w:cstheme="minorHAnsi"/>
        </w:rPr>
        <w:t xml:space="preserve"> </w:t>
      </w:r>
      <w:r w:rsidR="00A85244">
        <w:rPr>
          <w:rFonts w:cstheme="minorHAnsi"/>
        </w:rPr>
        <w:t>it believes that more time must elapse before a clear picture of the overall impact of the higher penalties can be obtained</w:t>
      </w:r>
      <w:r w:rsidR="0073452C">
        <w:rPr>
          <w:rFonts w:cstheme="minorHAnsi"/>
        </w:rPr>
        <w:t>.</w:t>
      </w:r>
    </w:p>
    <w:p w14:paraId="0015F892" w14:textId="2823C105" w:rsidR="005D2C56" w:rsidRPr="00CE7805" w:rsidRDefault="00826830" w:rsidP="00A43A9A">
      <w:pPr>
        <w:spacing w:before="200" w:after="200" w:line="276" w:lineRule="auto"/>
        <w:rPr>
          <w:rFonts w:cstheme="minorHAnsi"/>
          <w:bCs/>
          <w:color w:val="000000"/>
        </w:rPr>
      </w:pPr>
      <w:r>
        <w:rPr>
          <w:rFonts w:cstheme="minorHAnsi"/>
          <w:bCs/>
          <w:color w:val="000000"/>
        </w:rPr>
        <w:t xml:space="preserve">Similarly, the MBA pointed </w:t>
      </w:r>
      <w:r w:rsidR="00A85244">
        <w:rPr>
          <w:rFonts w:cstheme="minorHAnsi"/>
          <w:bCs/>
          <w:color w:val="000000"/>
        </w:rPr>
        <w:t xml:space="preserve">to </w:t>
      </w:r>
      <w:r>
        <w:rPr>
          <w:rFonts w:cstheme="minorHAnsi"/>
          <w:bCs/>
          <w:color w:val="000000"/>
        </w:rPr>
        <w:t>ABS-published data showing substantial reductions in the number of days lost to industrial disputes in the building and construction sector since the commencement of the BCIIP</w:t>
      </w:r>
      <w:r w:rsidR="00903EFD">
        <w:rPr>
          <w:rFonts w:cstheme="minorHAnsi"/>
          <w:bCs/>
          <w:color w:val="000000"/>
        </w:rPr>
        <w:t> </w:t>
      </w:r>
      <w:r>
        <w:rPr>
          <w:rFonts w:cstheme="minorHAnsi"/>
          <w:bCs/>
          <w:color w:val="000000"/>
        </w:rPr>
        <w:t>Act</w:t>
      </w:r>
      <w:r w:rsidR="00F91CAA">
        <w:rPr>
          <w:rFonts w:cstheme="minorHAnsi"/>
          <w:bCs/>
          <w:color w:val="000000"/>
        </w:rPr>
        <w:t xml:space="preserve">. </w:t>
      </w:r>
      <w:r w:rsidR="00A85244">
        <w:rPr>
          <w:rFonts w:cstheme="minorHAnsi"/>
          <w:bCs/>
          <w:color w:val="000000"/>
        </w:rPr>
        <w:t>For example, the number of days lost in the December</w:t>
      </w:r>
      <w:r w:rsidR="00903EFD">
        <w:rPr>
          <w:rFonts w:cstheme="minorHAnsi"/>
          <w:bCs/>
          <w:color w:val="000000"/>
        </w:rPr>
        <w:t> </w:t>
      </w:r>
      <w:r w:rsidR="00A85244">
        <w:rPr>
          <w:rFonts w:cstheme="minorHAnsi"/>
          <w:bCs/>
          <w:color w:val="000000"/>
        </w:rPr>
        <w:t>2017 quarter was less than one third of days lost in the December</w:t>
      </w:r>
      <w:r w:rsidR="00903EFD">
        <w:rPr>
          <w:rFonts w:cstheme="minorHAnsi"/>
          <w:bCs/>
          <w:color w:val="000000"/>
        </w:rPr>
        <w:t> </w:t>
      </w:r>
      <w:r w:rsidR="00A85244">
        <w:rPr>
          <w:rFonts w:cstheme="minorHAnsi"/>
          <w:bCs/>
          <w:color w:val="000000"/>
        </w:rPr>
        <w:t>2016 quarter.</w:t>
      </w:r>
    </w:p>
    <w:p w14:paraId="65ED96A2" w14:textId="77777777" w:rsidR="001C0E09" w:rsidRDefault="005D2C56" w:rsidP="00A43A9A">
      <w:pPr>
        <w:spacing w:before="200" w:after="200" w:line="276" w:lineRule="auto"/>
        <w:rPr>
          <w:rFonts w:cstheme="minorHAnsi"/>
          <w:bCs/>
          <w:color w:val="000000"/>
        </w:rPr>
      </w:pPr>
      <w:r w:rsidRPr="00CE7805">
        <w:rPr>
          <w:rFonts w:cstheme="minorHAnsi"/>
          <w:bCs/>
          <w:color w:val="000000"/>
        </w:rPr>
        <w:lastRenderedPageBreak/>
        <w:t>H</w:t>
      </w:r>
      <w:r w:rsidR="00A85244">
        <w:rPr>
          <w:rFonts w:cstheme="minorHAnsi"/>
          <w:bCs/>
          <w:color w:val="000000"/>
        </w:rPr>
        <w:t>owever, d</w:t>
      </w:r>
      <w:r w:rsidR="00826830">
        <w:rPr>
          <w:rFonts w:cstheme="minorHAnsi"/>
          <w:bCs/>
          <w:color w:val="000000"/>
        </w:rPr>
        <w:t>espite highlighting this data,</w:t>
      </w:r>
      <w:r w:rsidR="006B549E" w:rsidRPr="00E732BC">
        <w:rPr>
          <w:rFonts w:cstheme="minorHAnsi"/>
          <w:bCs/>
          <w:color w:val="000000"/>
        </w:rPr>
        <w:t xml:space="preserve"> </w:t>
      </w:r>
      <w:r w:rsidR="000D5410">
        <w:rPr>
          <w:rFonts w:cstheme="minorHAnsi"/>
          <w:bCs/>
          <w:color w:val="000000"/>
        </w:rPr>
        <w:t>the</w:t>
      </w:r>
      <w:r w:rsidR="00826830">
        <w:rPr>
          <w:rFonts w:cstheme="minorHAnsi"/>
          <w:bCs/>
          <w:color w:val="000000"/>
        </w:rPr>
        <w:t xml:space="preserve"> MBA cautioned against the drawing of firm conclusions on the basis of data </w:t>
      </w:r>
      <w:r>
        <w:rPr>
          <w:rFonts w:cstheme="minorHAnsi"/>
          <w:bCs/>
          <w:color w:val="000000"/>
        </w:rPr>
        <w:t xml:space="preserve">covering only </w:t>
      </w:r>
      <w:r w:rsidR="00826830">
        <w:rPr>
          <w:rFonts w:cstheme="minorHAnsi"/>
          <w:bCs/>
          <w:color w:val="000000"/>
        </w:rPr>
        <w:t>a v</w:t>
      </w:r>
      <w:r>
        <w:rPr>
          <w:rFonts w:cstheme="minorHAnsi"/>
          <w:bCs/>
          <w:color w:val="000000"/>
        </w:rPr>
        <w:t>e</w:t>
      </w:r>
      <w:r w:rsidR="00826830">
        <w:rPr>
          <w:rFonts w:cstheme="minorHAnsi"/>
          <w:bCs/>
          <w:color w:val="000000"/>
        </w:rPr>
        <w:t>ry short period and indicated its belief that there was little other evidence of an improved attitude among unions.</w:t>
      </w:r>
    </w:p>
    <w:p w14:paraId="57F9BA14" w14:textId="302A2690" w:rsidR="00FA072D" w:rsidRDefault="00A85244" w:rsidP="00A43A9A">
      <w:pPr>
        <w:spacing w:before="200" w:after="200" w:line="276" w:lineRule="auto"/>
      </w:pPr>
      <w:r>
        <w:t xml:space="preserve">Submissions from the AWU and the ACTU did not directly address </w:t>
      </w:r>
      <w:r w:rsidR="005D2C56">
        <w:t>the possible impact of</w:t>
      </w:r>
      <w:r>
        <w:t xml:space="preserve"> higher penalties </w:t>
      </w:r>
      <w:r w:rsidR="005D2C56">
        <w:t>on</w:t>
      </w:r>
      <w:r>
        <w:t xml:space="preserve"> compliance</w:t>
      </w:r>
      <w:r w:rsidR="00F91CAA">
        <w:t xml:space="preserve">. </w:t>
      </w:r>
      <w:r w:rsidR="005D2C56">
        <w:t>However</w:t>
      </w:r>
      <w:r>
        <w:t xml:space="preserve">, the </w:t>
      </w:r>
      <w:r w:rsidRPr="000E388C">
        <w:t xml:space="preserve">ACTU </w:t>
      </w:r>
      <w:r>
        <w:t xml:space="preserve">argued that higher penalties should be extended to </w:t>
      </w:r>
      <w:r w:rsidRPr="000E388C">
        <w:t xml:space="preserve">non-compliance with wages and </w:t>
      </w:r>
      <w:r>
        <w:t>entitlements</w:t>
      </w:r>
      <w:r w:rsidRPr="000E388C">
        <w:t xml:space="preserve"> obligations </w:t>
      </w:r>
      <w:r>
        <w:t xml:space="preserve">and contraventions of work health and </w:t>
      </w:r>
      <w:r w:rsidRPr="000E388C">
        <w:t xml:space="preserve">safety </w:t>
      </w:r>
      <w:r>
        <w:t>laws.</w:t>
      </w:r>
    </w:p>
    <w:p w14:paraId="00E0E2D2" w14:textId="768B3815" w:rsidR="002F1171" w:rsidRDefault="00C06133" w:rsidP="00A43A9A">
      <w:pPr>
        <w:spacing w:before="200" w:after="200" w:line="276" w:lineRule="auto"/>
        <w:rPr>
          <w:rFonts w:cstheme="minorHAnsi"/>
          <w:bCs/>
        </w:rPr>
      </w:pPr>
      <w:r>
        <w:rPr>
          <w:rFonts w:cstheme="minorHAnsi"/>
          <w:bCs/>
        </w:rPr>
        <w:t xml:space="preserve">Several submissions </w:t>
      </w:r>
      <w:r w:rsidR="002F1171">
        <w:rPr>
          <w:rFonts w:cstheme="minorHAnsi"/>
          <w:bCs/>
        </w:rPr>
        <w:t xml:space="preserve">from industry bodies argued that the issue of the incentive effects of the available penalties should be considered in the light of </w:t>
      </w:r>
      <w:r>
        <w:rPr>
          <w:rFonts w:cstheme="minorHAnsi"/>
          <w:bCs/>
        </w:rPr>
        <w:t xml:space="preserve">the recent merger of the CFMEU and the </w:t>
      </w:r>
      <w:r w:rsidR="006B549E" w:rsidRPr="00EE0A20">
        <w:rPr>
          <w:rFonts w:cstheme="minorHAnsi"/>
          <w:bCs/>
        </w:rPr>
        <w:t>M</w:t>
      </w:r>
      <w:r w:rsidR="000D5410">
        <w:rPr>
          <w:rFonts w:cstheme="minorHAnsi"/>
          <w:bCs/>
        </w:rPr>
        <w:t xml:space="preserve">aritime </w:t>
      </w:r>
      <w:r w:rsidR="006B549E" w:rsidRPr="00EE0A20">
        <w:rPr>
          <w:rFonts w:cstheme="minorHAnsi"/>
          <w:bCs/>
        </w:rPr>
        <w:t>U</w:t>
      </w:r>
      <w:r w:rsidR="000D5410">
        <w:rPr>
          <w:rFonts w:cstheme="minorHAnsi"/>
          <w:bCs/>
        </w:rPr>
        <w:t xml:space="preserve">nion of </w:t>
      </w:r>
      <w:r w:rsidR="006B549E" w:rsidRPr="00EE0A20">
        <w:rPr>
          <w:rFonts w:cstheme="minorHAnsi"/>
          <w:bCs/>
        </w:rPr>
        <w:t>A</w:t>
      </w:r>
      <w:r w:rsidR="000D5410">
        <w:rPr>
          <w:rFonts w:cstheme="minorHAnsi"/>
          <w:bCs/>
        </w:rPr>
        <w:t>ustralia</w:t>
      </w:r>
      <w:r>
        <w:rPr>
          <w:rFonts w:cstheme="minorHAnsi"/>
          <w:bCs/>
        </w:rPr>
        <w:t xml:space="preserve"> to form the new Construction, Forestry, Maritime, Mining and Energy Union</w:t>
      </w:r>
      <w:r w:rsidR="00E8053F">
        <w:rPr>
          <w:rFonts w:cstheme="minorHAnsi"/>
          <w:bCs/>
        </w:rPr>
        <w:t xml:space="preserve"> (CFMMEU</w:t>
      </w:r>
      <w:r>
        <w:rPr>
          <w:rFonts w:cstheme="minorHAnsi"/>
          <w:bCs/>
        </w:rPr>
        <w:t>)</w:t>
      </w:r>
      <w:r w:rsidR="00F91CAA">
        <w:rPr>
          <w:rFonts w:cstheme="minorHAnsi"/>
          <w:bCs/>
        </w:rPr>
        <w:t>.</w:t>
      </w:r>
      <w:r w:rsidR="00056F60">
        <w:rPr>
          <w:rStyle w:val="FootnoteReference"/>
          <w:rFonts w:cstheme="minorHAnsi"/>
          <w:bCs/>
        </w:rPr>
        <w:footnoteReference w:id="53"/>
      </w:r>
      <w:r w:rsidR="00F91CAA">
        <w:rPr>
          <w:rFonts w:cstheme="minorHAnsi"/>
          <w:bCs/>
        </w:rPr>
        <w:t xml:space="preserve"> </w:t>
      </w:r>
      <w:r w:rsidR="002F1171">
        <w:rPr>
          <w:rFonts w:cstheme="minorHAnsi"/>
          <w:bCs/>
        </w:rPr>
        <w:t>It was suggested that the increased resources available to the merged entity would imply a degree of blunting of whatever disincentive effects the higher penalties available under the BCIIP</w:t>
      </w:r>
      <w:r w:rsidR="00903EFD">
        <w:rPr>
          <w:rFonts w:cstheme="minorHAnsi"/>
          <w:bCs/>
        </w:rPr>
        <w:t> </w:t>
      </w:r>
      <w:r w:rsidR="002F1171">
        <w:rPr>
          <w:rFonts w:cstheme="minorHAnsi"/>
          <w:bCs/>
        </w:rPr>
        <w:t>Act would otherwise have</w:t>
      </w:r>
      <w:r w:rsidR="00F91CAA">
        <w:rPr>
          <w:rFonts w:cstheme="minorHAnsi"/>
          <w:bCs/>
        </w:rPr>
        <w:t xml:space="preserve">. </w:t>
      </w:r>
    </w:p>
    <w:p w14:paraId="5F761131" w14:textId="1740CF87" w:rsidR="00E629C0" w:rsidRPr="00A43A9A" w:rsidRDefault="00E629C0" w:rsidP="00A43A9A">
      <w:pPr>
        <w:pStyle w:val="Heading3"/>
      </w:pPr>
      <w:bookmarkStart w:id="132" w:name="_Toc527633027"/>
      <w:r w:rsidRPr="00A43A9A">
        <w:t xml:space="preserve">Views expressed by the </w:t>
      </w:r>
      <w:r w:rsidR="004C4385" w:rsidRPr="00A43A9A">
        <w:t>ABC </w:t>
      </w:r>
      <w:r w:rsidRPr="00A43A9A">
        <w:t>Commissioner</w:t>
      </w:r>
      <w:bookmarkEnd w:id="132"/>
    </w:p>
    <w:p w14:paraId="4079EECC" w14:textId="5B06CA1C" w:rsidR="00E629C0" w:rsidRDefault="004C4385" w:rsidP="00A43A9A">
      <w:pPr>
        <w:spacing w:before="200" w:after="200" w:line="276" w:lineRule="auto"/>
      </w:pPr>
      <w:r w:rsidRPr="00A43A9A">
        <w:rPr>
          <w:rFonts w:cstheme="minorHAnsi"/>
        </w:rPr>
        <w:t>The</w:t>
      </w:r>
      <w:r>
        <w:t xml:space="preserve"> ABC </w:t>
      </w:r>
      <w:r w:rsidR="00E629C0">
        <w:t>Commissioner briefly addressed the</w:t>
      </w:r>
      <w:r w:rsidR="005D2C56">
        <w:t xml:space="preserve"> penalties </w:t>
      </w:r>
      <w:r w:rsidR="00E629C0">
        <w:t xml:space="preserve">issue </w:t>
      </w:r>
      <w:r w:rsidR="005D2C56">
        <w:t>i</w:t>
      </w:r>
      <w:r w:rsidR="00E629C0">
        <w:t xml:space="preserve">n </w:t>
      </w:r>
      <w:r w:rsidR="003C4468">
        <w:t>correspondence</w:t>
      </w:r>
      <w:r w:rsidR="00E629C0">
        <w:t xml:space="preserve"> to the review</w:t>
      </w:r>
      <w:r w:rsidR="00F91CAA">
        <w:t xml:space="preserve">. </w:t>
      </w:r>
      <w:r w:rsidR="00E629C0">
        <w:t>A key point made was that the higher penalties established under the BCIIP</w:t>
      </w:r>
      <w:r w:rsidR="00903EFD">
        <w:t> </w:t>
      </w:r>
      <w:r w:rsidR="00E629C0">
        <w:t>Act are applicable only to breaches of that Act</w:t>
      </w:r>
      <w:r w:rsidR="00B712BC">
        <w:t xml:space="preserve"> and that </w:t>
      </w:r>
      <w:r w:rsidR="00E629C0">
        <w:t>none of the proceedings issued to</w:t>
      </w:r>
      <w:r w:rsidR="003D50EF">
        <w:t xml:space="preserve"> that time</w:t>
      </w:r>
      <w:r w:rsidR="00DE443C">
        <w:rPr>
          <w:rStyle w:val="FootnoteReference"/>
        </w:rPr>
        <w:footnoteReference w:id="54"/>
      </w:r>
      <w:r w:rsidR="00E629C0">
        <w:t xml:space="preserve"> by the ABCC relate to breaches </w:t>
      </w:r>
      <w:r w:rsidR="005D178E">
        <w:t>of the BCIIP</w:t>
      </w:r>
      <w:r w:rsidR="00903EFD">
        <w:t> </w:t>
      </w:r>
      <w:r w:rsidR="005D178E">
        <w:t>Act</w:t>
      </w:r>
      <w:r w:rsidR="003D50EF">
        <w:t xml:space="preserve">, given </w:t>
      </w:r>
      <w:r w:rsidR="005D178E">
        <w:t xml:space="preserve">the time taken to investigate contraventions, prepare matters for litigation and obtain </w:t>
      </w:r>
      <w:r w:rsidR="00C6110C">
        <w:t>c</w:t>
      </w:r>
      <w:r w:rsidR="005D178E">
        <w:t>ourt judgements</w:t>
      </w:r>
      <w:r w:rsidR="00F91CAA">
        <w:t xml:space="preserve">. </w:t>
      </w:r>
      <w:r w:rsidR="005D178E">
        <w:t>This means that the new, higher penalties under the BCIIP</w:t>
      </w:r>
      <w:r w:rsidR="00903EFD">
        <w:t> </w:t>
      </w:r>
      <w:r w:rsidR="005D178E">
        <w:t xml:space="preserve">Act have not been available to a judge in any of the proceedings finalised since the </w:t>
      </w:r>
      <w:r w:rsidR="000D5410">
        <w:t>BCIIP</w:t>
      </w:r>
      <w:r w:rsidR="00EB0D44">
        <w:t> </w:t>
      </w:r>
      <w:r w:rsidR="005D178E">
        <w:t>Act came into effect</w:t>
      </w:r>
      <w:r w:rsidR="00F91CAA">
        <w:t xml:space="preserve">. </w:t>
      </w:r>
      <w:r w:rsidR="005D178E">
        <w:t>The</w:t>
      </w:r>
      <w:r w:rsidR="006B549E" w:rsidRPr="00C67D1D">
        <w:t xml:space="preserve"> </w:t>
      </w:r>
      <w:r w:rsidR="000D5410">
        <w:t>ABC</w:t>
      </w:r>
      <w:r>
        <w:t> </w:t>
      </w:r>
      <w:r w:rsidR="005D178E">
        <w:t>Commissioner notes that, given this fact, it is not possible to determine whether the higher penalties provided for under the BCIIP</w:t>
      </w:r>
      <w:r w:rsidR="00903EFD">
        <w:t> </w:t>
      </w:r>
      <w:r w:rsidR="005D178E">
        <w:t>Act will have a specific deterrent effect.</w:t>
      </w:r>
    </w:p>
    <w:p w14:paraId="2456216A" w14:textId="03596F41" w:rsidR="005D178E" w:rsidRDefault="005D178E" w:rsidP="00A43A9A">
      <w:pPr>
        <w:spacing w:before="200" w:after="200" w:line="276" w:lineRule="auto"/>
      </w:pPr>
      <w:r>
        <w:t>Given the amount of time typically elapsed between the issue of proceedings and judgement being rendered, together with the fact that no proceedings have been issued as yet under the BCIIP</w:t>
      </w:r>
      <w:r w:rsidR="00903EFD">
        <w:t> </w:t>
      </w:r>
      <w:r>
        <w:t>Act, this is likely to remain the position for some time. That said, the</w:t>
      </w:r>
      <w:r w:rsidR="006B549E" w:rsidRPr="00E732BC">
        <w:t xml:space="preserve"> </w:t>
      </w:r>
      <w:r w:rsidR="000D5410">
        <w:t>ABC</w:t>
      </w:r>
      <w:r w:rsidR="004C4385">
        <w:t> </w:t>
      </w:r>
      <w:r>
        <w:t>Commissioner note</w:t>
      </w:r>
      <w:r w:rsidR="00DE443C">
        <w:t>d</w:t>
      </w:r>
      <w:r>
        <w:t xml:space="preserve"> the potential general deterrence impact of awareness of the ex</w:t>
      </w:r>
      <w:r w:rsidR="00DE443C">
        <w:t>istence of the higher penalties.</w:t>
      </w:r>
    </w:p>
    <w:p w14:paraId="7233823F" w14:textId="77777777" w:rsidR="0016323C" w:rsidRPr="000218CE" w:rsidRDefault="0016323C" w:rsidP="000218CE">
      <w:pPr>
        <w:pStyle w:val="Heading4"/>
      </w:pPr>
      <w:r w:rsidRPr="000218CE">
        <w:t>Data on penalties imposed</w:t>
      </w:r>
    </w:p>
    <w:p w14:paraId="3D18A83E" w14:textId="4F0CB7A4" w:rsidR="00E1565A" w:rsidRPr="001936A0" w:rsidRDefault="00AC5AC1" w:rsidP="00A43A9A">
      <w:pPr>
        <w:spacing w:before="200" w:after="200" w:line="276" w:lineRule="auto"/>
        <w:rPr>
          <w:rFonts w:cstheme="minorHAnsi"/>
          <w:bCs/>
          <w:color w:val="000000"/>
        </w:rPr>
      </w:pPr>
      <w:r>
        <w:rPr>
          <w:rFonts w:cstheme="minorHAnsi"/>
          <w:bCs/>
          <w:color w:val="000000"/>
        </w:rPr>
        <w:t xml:space="preserve">Table </w:t>
      </w:r>
      <w:r w:rsidR="00A529CA">
        <w:rPr>
          <w:rFonts w:cstheme="minorHAnsi"/>
          <w:bCs/>
          <w:color w:val="000000"/>
        </w:rPr>
        <w:t>1</w:t>
      </w:r>
      <w:r w:rsidR="000C4C40">
        <w:rPr>
          <w:rFonts w:cstheme="minorHAnsi"/>
          <w:bCs/>
          <w:color w:val="000000"/>
        </w:rPr>
        <w:t xml:space="preserve"> above </w:t>
      </w:r>
      <w:r>
        <w:rPr>
          <w:rFonts w:cstheme="minorHAnsi"/>
          <w:bCs/>
          <w:color w:val="000000"/>
        </w:rPr>
        <w:t>summarises the penalties imposed in successful proceedings brought by FWBC</w:t>
      </w:r>
      <w:r w:rsidR="000D5410">
        <w:rPr>
          <w:rFonts w:cstheme="minorHAnsi"/>
          <w:bCs/>
          <w:color w:val="000000"/>
        </w:rPr>
        <w:t xml:space="preserve"> and the </w:t>
      </w:r>
      <w:r>
        <w:rPr>
          <w:rFonts w:cstheme="minorHAnsi"/>
          <w:bCs/>
          <w:color w:val="000000"/>
        </w:rPr>
        <w:t xml:space="preserve">ABCC over the </w:t>
      </w:r>
      <w:r w:rsidR="0016323C">
        <w:rPr>
          <w:rFonts w:cstheme="minorHAnsi"/>
          <w:bCs/>
          <w:color w:val="000000"/>
        </w:rPr>
        <w:t>six years to 2016-17</w:t>
      </w:r>
      <w:r w:rsidR="00F91CAA">
        <w:rPr>
          <w:rFonts w:cstheme="minorHAnsi"/>
          <w:bCs/>
          <w:color w:val="000000"/>
        </w:rPr>
        <w:t xml:space="preserve">. </w:t>
      </w:r>
      <w:r w:rsidR="0016323C">
        <w:rPr>
          <w:rFonts w:cstheme="minorHAnsi"/>
          <w:bCs/>
          <w:color w:val="000000"/>
        </w:rPr>
        <w:t>It</w:t>
      </w:r>
      <w:r w:rsidR="006B18EE">
        <w:rPr>
          <w:rFonts w:cstheme="minorHAnsi"/>
          <w:bCs/>
          <w:color w:val="000000"/>
        </w:rPr>
        <w:t xml:space="preserve"> shows that the amount imposed in monetary penalties each year as a result of actions </w:t>
      </w:r>
      <w:r w:rsidR="00A45E91">
        <w:rPr>
          <w:rFonts w:cstheme="minorHAnsi"/>
          <w:bCs/>
          <w:color w:val="000000"/>
        </w:rPr>
        <w:t>concluded</w:t>
      </w:r>
      <w:r w:rsidR="006B18EE">
        <w:rPr>
          <w:rFonts w:cstheme="minorHAnsi"/>
          <w:bCs/>
          <w:color w:val="000000"/>
        </w:rPr>
        <w:t xml:space="preserve"> by FWBC and ABCC over the past six years has varied from a low of $448,660 in 2012-13 to a high of $2,262,350 in 2013-14</w:t>
      </w:r>
      <w:r w:rsidR="00F91CAA">
        <w:rPr>
          <w:rFonts w:cstheme="minorHAnsi"/>
          <w:bCs/>
          <w:color w:val="000000"/>
        </w:rPr>
        <w:t xml:space="preserve">. </w:t>
      </w:r>
      <w:r w:rsidR="00E1565A">
        <w:rPr>
          <w:rFonts w:cstheme="minorHAnsi"/>
          <w:bCs/>
          <w:color w:val="000000"/>
        </w:rPr>
        <w:t>However, despite the impact of the former FWBI</w:t>
      </w:r>
      <w:r w:rsidR="00903EFD">
        <w:rPr>
          <w:rFonts w:cstheme="minorHAnsi"/>
          <w:bCs/>
          <w:color w:val="000000"/>
        </w:rPr>
        <w:t> </w:t>
      </w:r>
      <w:r w:rsidR="00E1565A">
        <w:rPr>
          <w:rFonts w:cstheme="minorHAnsi"/>
          <w:bCs/>
          <w:color w:val="000000"/>
        </w:rPr>
        <w:t>Act in removing the regime of higher penalties previously available under the BCII</w:t>
      </w:r>
      <w:r w:rsidR="00903EFD">
        <w:rPr>
          <w:rFonts w:cstheme="minorHAnsi"/>
          <w:bCs/>
          <w:color w:val="000000"/>
        </w:rPr>
        <w:t> </w:t>
      </w:r>
      <w:r w:rsidR="00E1565A">
        <w:rPr>
          <w:rFonts w:cstheme="minorHAnsi"/>
          <w:bCs/>
          <w:color w:val="000000"/>
        </w:rPr>
        <w:t>Act, t</w:t>
      </w:r>
      <w:r w:rsidR="006B18EE">
        <w:rPr>
          <w:rFonts w:cstheme="minorHAnsi"/>
          <w:bCs/>
          <w:color w:val="000000"/>
        </w:rPr>
        <w:t>here is no obvious trend in the data</w:t>
      </w:r>
      <w:r w:rsidR="00F91CAA">
        <w:rPr>
          <w:rFonts w:cstheme="minorHAnsi"/>
          <w:bCs/>
          <w:color w:val="000000"/>
        </w:rPr>
        <w:t xml:space="preserve">. </w:t>
      </w:r>
      <w:r w:rsidR="00E1565A">
        <w:rPr>
          <w:rFonts w:cstheme="minorHAnsi"/>
          <w:bCs/>
          <w:color w:val="000000"/>
        </w:rPr>
        <w:t xml:space="preserve">In fact, two of the three years in which the total amount of penalties levied were highest were 2015-16 and 2016-17, years in which it is likely that most or all </w:t>
      </w:r>
      <w:r w:rsidR="000D5410">
        <w:rPr>
          <w:rFonts w:cstheme="minorHAnsi"/>
          <w:bCs/>
          <w:color w:val="000000"/>
        </w:rPr>
        <w:t xml:space="preserve">of </w:t>
      </w:r>
      <w:r w:rsidR="00E1565A">
        <w:rPr>
          <w:rFonts w:cstheme="minorHAnsi"/>
          <w:bCs/>
          <w:color w:val="000000"/>
        </w:rPr>
        <w:t>the proceedings finalised would have been determined under the lower penalty regime</w:t>
      </w:r>
      <w:r w:rsidR="00F91CAA">
        <w:rPr>
          <w:rFonts w:cstheme="minorHAnsi"/>
          <w:bCs/>
          <w:color w:val="000000"/>
        </w:rPr>
        <w:t xml:space="preserve">. </w:t>
      </w:r>
      <w:r w:rsidR="00CE7805">
        <w:rPr>
          <w:rFonts w:cstheme="minorHAnsi"/>
          <w:bCs/>
          <w:color w:val="000000"/>
        </w:rPr>
        <w:t>This observation suggests that assess</w:t>
      </w:r>
      <w:r w:rsidR="000C4C40">
        <w:rPr>
          <w:rFonts w:cstheme="minorHAnsi"/>
          <w:bCs/>
          <w:color w:val="000000"/>
        </w:rPr>
        <w:t>ment of</w:t>
      </w:r>
      <w:r w:rsidR="00CE7805">
        <w:rPr>
          <w:rFonts w:cstheme="minorHAnsi"/>
          <w:bCs/>
          <w:color w:val="000000"/>
        </w:rPr>
        <w:t xml:space="preserve"> the incentive effects of adopting a higher penalty regime is </w:t>
      </w:r>
      <w:r w:rsidR="00CE7805">
        <w:rPr>
          <w:rFonts w:cstheme="minorHAnsi"/>
          <w:bCs/>
          <w:color w:val="000000"/>
        </w:rPr>
        <w:lastRenderedPageBreak/>
        <w:t xml:space="preserve">complicated by the fact that the impact of legislating substantially higher </w:t>
      </w:r>
      <w:r w:rsidR="00CE7805">
        <w:rPr>
          <w:rFonts w:cstheme="minorHAnsi"/>
          <w:bCs/>
          <w:i/>
          <w:color w:val="000000"/>
        </w:rPr>
        <w:t xml:space="preserve">maximum </w:t>
      </w:r>
      <w:r w:rsidR="00CE7805">
        <w:rPr>
          <w:rFonts w:cstheme="minorHAnsi"/>
          <w:bCs/>
          <w:color w:val="000000"/>
        </w:rPr>
        <w:t xml:space="preserve">penalties on actual </w:t>
      </w:r>
      <w:r w:rsidR="0056479C">
        <w:rPr>
          <w:rFonts w:cstheme="minorHAnsi"/>
          <w:bCs/>
          <w:color w:val="000000"/>
        </w:rPr>
        <w:t xml:space="preserve">penalty imposition </w:t>
      </w:r>
      <w:r w:rsidR="00CE7805">
        <w:rPr>
          <w:rFonts w:cstheme="minorHAnsi"/>
          <w:bCs/>
          <w:color w:val="000000"/>
        </w:rPr>
        <w:t>practices may be less substantial than anticipated.</w:t>
      </w:r>
    </w:p>
    <w:p w14:paraId="3CBAFC80" w14:textId="4F70158B" w:rsidR="0099761D" w:rsidRDefault="00A529CA" w:rsidP="00A43A9A">
      <w:pPr>
        <w:spacing w:before="200" w:after="200" w:line="276" w:lineRule="auto"/>
        <w:rPr>
          <w:rFonts w:cstheme="minorHAnsi"/>
          <w:bCs/>
          <w:color w:val="000000"/>
        </w:rPr>
      </w:pPr>
      <w:r>
        <w:rPr>
          <w:rFonts w:cstheme="minorHAnsi"/>
          <w:bCs/>
          <w:color w:val="000000"/>
        </w:rPr>
        <w:t>Table 1</w:t>
      </w:r>
      <w:r w:rsidR="0099761D">
        <w:rPr>
          <w:rFonts w:cstheme="minorHAnsi"/>
          <w:bCs/>
          <w:color w:val="000000"/>
        </w:rPr>
        <w:t xml:space="preserve"> also shows that substantially higher penalties have been imposed in respect of right of entry and coercion in the past three years than was previously the case, while no penalties have been imposed in respect of sham contracting over the past two years. </w:t>
      </w:r>
      <w:r w:rsidR="00B069AF" w:rsidRPr="00DD6233">
        <w:rPr>
          <w:rFonts w:ascii="Calibri" w:hAnsi="Calibri" w:cs="Calibri"/>
        </w:rPr>
        <w:t>Unlawful industrial action has remained the largest single source of penalties during the period, although there has been significant variation from year to year.</w:t>
      </w:r>
      <w:r w:rsidR="0099761D">
        <w:rPr>
          <w:rFonts w:cstheme="minorHAnsi"/>
          <w:bCs/>
          <w:color w:val="000000"/>
        </w:rPr>
        <w:t xml:space="preserve"> Such variation may indicate changes over time in the priorities of the regulator and suggests a further degree of complexity in assessing the likely incentive impacts of changes in</w:t>
      </w:r>
      <w:r w:rsidR="003D0AE7">
        <w:rPr>
          <w:rFonts w:cstheme="minorHAnsi"/>
          <w:bCs/>
          <w:color w:val="000000"/>
        </w:rPr>
        <w:t xml:space="preserve"> legislated penalty provisions.</w:t>
      </w:r>
    </w:p>
    <w:p w14:paraId="6187BE6B" w14:textId="717863CD" w:rsidR="004168A6" w:rsidRDefault="00592A3A" w:rsidP="004F647D">
      <w:pPr>
        <w:pStyle w:val="Heading2"/>
        <w:numPr>
          <w:ilvl w:val="1"/>
          <w:numId w:val="20"/>
        </w:numPr>
      </w:pPr>
      <w:bookmarkStart w:id="133" w:name="_Toc523154934"/>
      <w:bookmarkStart w:id="134" w:name="_Toc527633028"/>
      <w:r>
        <w:t>Analysis</w:t>
      </w:r>
      <w:bookmarkEnd w:id="133"/>
      <w:bookmarkEnd w:id="134"/>
    </w:p>
    <w:p w14:paraId="4EBB355F" w14:textId="4E779504" w:rsidR="00C60CEC" w:rsidRPr="00A43A9A" w:rsidRDefault="007B6E7A" w:rsidP="00A43A9A">
      <w:pPr>
        <w:spacing w:before="200" w:after="200" w:line="276" w:lineRule="auto"/>
        <w:rPr>
          <w:rFonts w:cstheme="minorHAnsi"/>
          <w:bCs/>
          <w:color w:val="000000"/>
        </w:rPr>
      </w:pPr>
      <w:r>
        <w:rPr>
          <w:rFonts w:cstheme="minorHAnsi"/>
          <w:bCs/>
          <w:color w:val="000000"/>
        </w:rPr>
        <w:t>A</w:t>
      </w:r>
      <w:r w:rsidR="006032C7">
        <w:rPr>
          <w:rFonts w:cstheme="minorHAnsi"/>
          <w:bCs/>
          <w:color w:val="000000"/>
        </w:rPr>
        <w:t xml:space="preserve"> </w:t>
      </w:r>
      <w:r w:rsidR="00950FEF">
        <w:rPr>
          <w:rFonts w:cstheme="minorHAnsi"/>
          <w:bCs/>
          <w:color w:val="000000"/>
        </w:rPr>
        <w:t>fundamental factor in assessing the deterrent effects of the penalties contained in the BCIIP</w:t>
      </w:r>
      <w:r w:rsidR="00903EFD">
        <w:rPr>
          <w:rFonts w:cstheme="minorHAnsi"/>
          <w:bCs/>
          <w:color w:val="000000"/>
        </w:rPr>
        <w:t> </w:t>
      </w:r>
      <w:r w:rsidR="00950FEF">
        <w:rPr>
          <w:rFonts w:cstheme="minorHAnsi"/>
          <w:bCs/>
          <w:color w:val="000000"/>
        </w:rPr>
        <w:t xml:space="preserve">Act is that, to date, </w:t>
      </w:r>
      <w:r w:rsidR="004744BA">
        <w:rPr>
          <w:rFonts w:cstheme="minorHAnsi"/>
          <w:bCs/>
          <w:color w:val="000000"/>
        </w:rPr>
        <w:t>there have</w:t>
      </w:r>
      <w:r w:rsidR="00C60CEC">
        <w:rPr>
          <w:rFonts w:cstheme="minorHAnsi"/>
          <w:bCs/>
          <w:color w:val="000000"/>
        </w:rPr>
        <w:t xml:space="preserve"> been no </w:t>
      </w:r>
      <w:r w:rsidR="00BE396F">
        <w:rPr>
          <w:rFonts w:cstheme="minorHAnsi"/>
          <w:bCs/>
          <w:color w:val="000000"/>
        </w:rPr>
        <w:t xml:space="preserve">proceedings </w:t>
      </w:r>
      <w:r w:rsidR="00950FEF">
        <w:rPr>
          <w:rFonts w:cstheme="minorHAnsi"/>
          <w:bCs/>
          <w:color w:val="000000"/>
        </w:rPr>
        <w:t xml:space="preserve">finalised </w:t>
      </w:r>
      <w:r w:rsidR="005D2C56">
        <w:rPr>
          <w:rFonts w:cstheme="minorHAnsi"/>
          <w:bCs/>
          <w:color w:val="000000"/>
        </w:rPr>
        <w:t>in which these penalties are available to the court</w:t>
      </w:r>
      <w:r w:rsidR="00F91CAA">
        <w:rPr>
          <w:rFonts w:cstheme="minorHAnsi"/>
          <w:bCs/>
          <w:color w:val="000000"/>
        </w:rPr>
        <w:t xml:space="preserve">. </w:t>
      </w:r>
      <w:r w:rsidR="005D2C56">
        <w:rPr>
          <w:rFonts w:cstheme="minorHAnsi"/>
          <w:bCs/>
          <w:color w:val="000000"/>
        </w:rPr>
        <w:t xml:space="preserve">That is, </w:t>
      </w:r>
      <w:r w:rsidR="00950FEF">
        <w:rPr>
          <w:rFonts w:cstheme="minorHAnsi"/>
          <w:bCs/>
          <w:color w:val="000000"/>
        </w:rPr>
        <w:t xml:space="preserve">the penalties imposed in </w:t>
      </w:r>
      <w:r w:rsidR="005D2C56">
        <w:rPr>
          <w:rFonts w:cstheme="minorHAnsi"/>
          <w:bCs/>
          <w:color w:val="000000"/>
        </w:rPr>
        <w:t xml:space="preserve">all cases finalised in recent times </w:t>
      </w:r>
      <w:r w:rsidR="00950FEF">
        <w:rPr>
          <w:rFonts w:cstheme="minorHAnsi"/>
          <w:bCs/>
          <w:color w:val="000000"/>
        </w:rPr>
        <w:t>have been determined in accordance with the</w:t>
      </w:r>
      <w:r w:rsidR="005D2C56">
        <w:rPr>
          <w:rFonts w:cstheme="minorHAnsi"/>
          <w:bCs/>
          <w:color w:val="000000"/>
        </w:rPr>
        <w:t xml:space="preserve"> </w:t>
      </w:r>
      <w:r w:rsidR="005D2C56" w:rsidRPr="00A43A9A">
        <w:rPr>
          <w:rFonts w:cstheme="minorHAnsi"/>
          <w:bCs/>
          <w:color w:val="000000"/>
        </w:rPr>
        <w:t xml:space="preserve">provisions of </w:t>
      </w:r>
      <w:r w:rsidR="00950FEF" w:rsidRPr="00A43A9A">
        <w:rPr>
          <w:rFonts w:cstheme="minorHAnsi"/>
          <w:bCs/>
          <w:color w:val="000000"/>
        </w:rPr>
        <w:t xml:space="preserve">the </w:t>
      </w:r>
      <w:r w:rsidR="00C34423" w:rsidRPr="00A43A9A">
        <w:rPr>
          <w:rFonts w:cstheme="minorHAnsi"/>
          <w:bCs/>
          <w:color w:val="000000"/>
        </w:rPr>
        <w:t>FW</w:t>
      </w:r>
      <w:r w:rsidR="00903EFD" w:rsidRPr="00A43A9A">
        <w:rPr>
          <w:rFonts w:cstheme="minorHAnsi"/>
          <w:bCs/>
          <w:color w:val="000000"/>
        </w:rPr>
        <w:t> </w:t>
      </w:r>
      <w:r w:rsidR="00C34423" w:rsidRPr="00A43A9A">
        <w:rPr>
          <w:rFonts w:cstheme="minorHAnsi"/>
          <w:bCs/>
          <w:color w:val="000000"/>
        </w:rPr>
        <w:t>Act</w:t>
      </w:r>
      <w:r w:rsidR="00A43A9A" w:rsidRPr="00A43A9A">
        <w:rPr>
          <w:rFonts w:cstheme="minorHAnsi"/>
          <w:bCs/>
          <w:color w:val="000000"/>
        </w:rPr>
        <w:t>.</w:t>
      </w:r>
    </w:p>
    <w:p w14:paraId="09E8B9AA" w14:textId="65A436F3" w:rsidR="006032C7" w:rsidRDefault="00A45E91" w:rsidP="00A43A9A">
      <w:pPr>
        <w:spacing w:before="200" w:after="200" w:line="276" w:lineRule="auto"/>
        <w:rPr>
          <w:rFonts w:cstheme="minorHAnsi"/>
          <w:bCs/>
          <w:color w:val="000000"/>
        </w:rPr>
      </w:pPr>
      <w:r>
        <w:rPr>
          <w:rFonts w:cstheme="minorHAnsi"/>
          <w:bCs/>
          <w:color w:val="000000"/>
        </w:rPr>
        <w:t>This implies that any deterrent effects of the new, higher penalties provided for under the BCIIP</w:t>
      </w:r>
      <w:r w:rsidR="00903EFD">
        <w:rPr>
          <w:rFonts w:cstheme="minorHAnsi"/>
          <w:bCs/>
          <w:color w:val="000000"/>
        </w:rPr>
        <w:t> </w:t>
      </w:r>
      <w:r>
        <w:rPr>
          <w:rFonts w:cstheme="minorHAnsi"/>
          <w:bCs/>
          <w:color w:val="000000"/>
        </w:rPr>
        <w:t>Act can, to date, only have been general, or prospective in nature</w:t>
      </w:r>
      <w:r w:rsidR="00F91CAA">
        <w:rPr>
          <w:rFonts w:cstheme="minorHAnsi"/>
          <w:bCs/>
          <w:color w:val="000000"/>
        </w:rPr>
        <w:t xml:space="preserve">. </w:t>
      </w:r>
      <w:r w:rsidR="006032C7">
        <w:rPr>
          <w:rFonts w:cstheme="minorHAnsi"/>
          <w:bCs/>
          <w:color w:val="000000"/>
        </w:rPr>
        <w:t xml:space="preserve">That is, they </w:t>
      </w:r>
      <w:r>
        <w:rPr>
          <w:rFonts w:cstheme="minorHAnsi"/>
          <w:bCs/>
          <w:color w:val="000000"/>
        </w:rPr>
        <w:t>could only</w:t>
      </w:r>
      <w:r w:rsidR="006032C7">
        <w:rPr>
          <w:rFonts w:cstheme="minorHAnsi"/>
          <w:bCs/>
          <w:color w:val="000000"/>
        </w:rPr>
        <w:t xml:space="preserve"> arise from consciousness of the potential for significantly higher penalties to be imposed than previously, rather than the reality of courts </w:t>
      </w:r>
      <w:r w:rsidR="00FE2AA5">
        <w:rPr>
          <w:rFonts w:cstheme="minorHAnsi"/>
          <w:bCs/>
          <w:color w:val="000000"/>
        </w:rPr>
        <w:t>imposing</w:t>
      </w:r>
      <w:r w:rsidR="006032C7">
        <w:rPr>
          <w:rFonts w:cstheme="minorHAnsi"/>
          <w:bCs/>
          <w:color w:val="000000"/>
        </w:rPr>
        <w:t xml:space="preserve"> the higher penalties authorised by the BCIIP</w:t>
      </w:r>
      <w:r w:rsidR="00903EFD">
        <w:rPr>
          <w:rFonts w:cstheme="minorHAnsi"/>
          <w:bCs/>
          <w:color w:val="000000"/>
        </w:rPr>
        <w:t> </w:t>
      </w:r>
      <w:r w:rsidR="006032C7">
        <w:rPr>
          <w:rFonts w:cstheme="minorHAnsi"/>
          <w:bCs/>
          <w:color w:val="000000"/>
        </w:rPr>
        <w:t xml:space="preserve">Act. Thus, any </w:t>
      </w:r>
      <w:r w:rsidR="0038537A">
        <w:rPr>
          <w:rFonts w:cstheme="minorHAnsi"/>
          <w:bCs/>
          <w:color w:val="000000"/>
        </w:rPr>
        <w:t>dis</w:t>
      </w:r>
      <w:r w:rsidR="006032C7">
        <w:rPr>
          <w:rFonts w:cstheme="minorHAnsi"/>
          <w:bCs/>
          <w:color w:val="000000"/>
        </w:rPr>
        <w:t xml:space="preserve">incentive effects operating to date are likely to be </w:t>
      </w:r>
      <w:r w:rsidR="00FE2AA5">
        <w:rPr>
          <w:rFonts w:cstheme="minorHAnsi"/>
          <w:bCs/>
          <w:color w:val="000000"/>
        </w:rPr>
        <w:t>limited</w:t>
      </w:r>
      <w:r w:rsidR="00F91CAA">
        <w:rPr>
          <w:rFonts w:cstheme="minorHAnsi"/>
          <w:bCs/>
          <w:color w:val="000000"/>
        </w:rPr>
        <w:t xml:space="preserve">. </w:t>
      </w:r>
      <w:r w:rsidR="000100E8">
        <w:rPr>
          <w:rFonts w:cstheme="minorHAnsi"/>
          <w:bCs/>
          <w:color w:val="000000"/>
        </w:rPr>
        <w:t>The full effects of the higher maximum penalties available under the BCIIP</w:t>
      </w:r>
      <w:r w:rsidR="00903EFD">
        <w:rPr>
          <w:rFonts w:cstheme="minorHAnsi"/>
          <w:bCs/>
          <w:color w:val="000000"/>
        </w:rPr>
        <w:t> </w:t>
      </w:r>
      <w:r w:rsidR="000100E8">
        <w:rPr>
          <w:rFonts w:cstheme="minorHAnsi"/>
          <w:bCs/>
          <w:color w:val="000000"/>
        </w:rPr>
        <w:t xml:space="preserve">Act are unlikely to be observable until </w:t>
      </w:r>
      <w:r w:rsidR="009E2BB3">
        <w:rPr>
          <w:rFonts w:cstheme="minorHAnsi"/>
          <w:bCs/>
          <w:color w:val="000000"/>
        </w:rPr>
        <w:t>sufficient</w:t>
      </w:r>
      <w:r w:rsidR="000100E8">
        <w:rPr>
          <w:rFonts w:cstheme="minorHAnsi"/>
          <w:bCs/>
          <w:color w:val="000000"/>
        </w:rPr>
        <w:t xml:space="preserve"> enforcement actions have been finalised and penalties imposed pursuant to the </w:t>
      </w:r>
      <w:r w:rsidR="00C34423">
        <w:rPr>
          <w:rFonts w:cstheme="minorHAnsi"/>
          <w:bCs/>
          <w:color w:val="000000"/>
        </w:rPr>
        <w:t>BCIIP</w:t>
      </w:r>
      <w:r w:rsidR="00903EFD">
        <w:rPr>
          <w:rFonts w:cstheme="minorHAnsi"/>
          <w:bCs/>
          <w:color w:val="000000"/>
        </w:rPr>
        <w:t> </w:t>
      </w:r>
      <w:r w:rsidR="000100E8">
        <w:rPr>
          <w:rFonts w:cstheme="minorHAnsi"/>
          <w:bCs/>
          <w:color w:val="000000"/>
        </w:rPr>
        <w:t>Act, thus enabling industry participants to observe the practical impact of the new penalties arrangements on sentencing outcomes</w:t>
      </w:r>
      <w:r w:rsidR="00A43A9A">
        <w:rPr>
          <w:rFonts w:cstheme="minorHAnsi"/>
          <w:bCs/>
          <w:color w:val="000000"/>
        </w:rPr>
        <w:t>.</w:t>
      </w:r>
    </w:p>
    <w:p w14:paraId="07C19ECA" w14:textId="4C0CEE34" w:rsidR="00A43A9A" w:rsidRDefault="00A45E91" w:rsidP="00A43A9A">
      <w:pPr>
        <w:spacing w:before="200" w:after="200" w:line="276" w:lineRule="auto"/>
        <w:rPr>
          <w:rFonts w:cstheme="minorHAnsi"/>
          <w:bCs/>
          <w:color w:val="000000"/>
        </w:rPr>
      </w:pPr>
      <w:r>
        <w:rPr>
          <w:rFonts w:cstheme="minorHAnsi"/>
          <w:bCs/>
          <w:color w:val="000000"/>
        </w:rPr>
        <w:t>In light of this, there is little reliable basis on which to draw a conclusion as to the probable deterrent effects of the higher penalties provided under the BCIIP</w:t>
      </w:r>
      <w:r w:rsidR="00903EFD">
        <w:rPr>
          <w:rFonts w:cstheme="minorHAnsi"/>
          <w:bCs/>
          <w:color w:val="000000"/>
        </w:rPr>
        <w:t> </w:t>
      </w:r>
      <w:r>
        <w:rPr>
          <w:rFonts w:cstheme="minorHAnsi"/>
          <w:bCs/>
          <w:color w:val="000000"/>
        </w:rPr>
        <w:t>Act</w:t>
      </w:r>
      <w:r w:rsidR="00F91CAA">
        <w:rPr>
          <w:rFonts w:cstheme="minorHAnsi"/>
          <w:bCs/>
          <w:color w:val="000000"/>
        </w:rPr>
        <w:t xml:space="preserve">. </w:t>
      </w:r>
      <w:r w:rsidR="007B6E7A">
        <w:rPr>
          <w:rFonts w:cstheme="minorHAnsi"/>
          <w:bCs/>
          <w:color w:val="000000"/>
        </w:rPr>
        <w:t>This, in turn, suggests that there is no sound basis for recommending any change to the current penalty arrangements.</w:t>
      </w:r>
    </w:p>
    <w:p w14:paraId="30DD1436" w14:textId="77777777" w:rsidR="00181AAC" w:rsidRPr="00C76100" w:rsidRDefault="00181AAC" w:rsidP="00181AAC">
      <w:pPr>
        <w:pStyle w:val="Heading2"/>
        <w:keepNext/>
        <w:keepLines/>
        <w:pBdr>
          <w:top w:val="single" w:sz="4" w:space="1" w:color="auto"/>
          <w:bottom w:val="single" w:sz="4" w:space="1" w:color="auto"/>
        </w:pBdr>
        <w:shd w:val="clear" w:color="auto" w:fill="FBE4D5" w:themeFill="accent2" w:themeFillTint="33"/>
      </w:pPr>
      <w:bookmarkStart w:id="135" w:name="_Toc527633029"/>
      <w:r w:rsidRPr="00C76100">
        <w:t>Finding and recommendations</w:t>
      </w:r>
      <w:bookmarkEnd w:id="135"/>
    </w:p>
    <w:p w14:paraId="2C5D24F9" w14:textId="28A6B16B" w:rsidR="00181AAC" w:rsidRDefault="00181AAC" w:rsidP="00181AAC">
      <w:pPr>
        <w:keepNext/>
        <w:keepLines/>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w:t>
      </w:r>
      <w:r w:rsidRPr="0032771E">
        <w:t xml:space="preserve">That little evidence as to the deterrent effects of the increased penalties </w:t>
      </w:r>
      <w:r>
        <w:t>provided</w:t>
      </w:r>
      <w:r w:rsidRPr="0032771E">
        <w:t xml:space="preserve"> </w:t>
      </w:r>
      <w:r>
        <w:t>under the BCIIP </w:t>
      </w:r>
      <w:r w:rsidRPr="0032771E">
        <w:t>Act is currently available. This largely reflects the fact that no penalties ha</w:t>
      </w:r>
      <w:r>
        <w:t>ve been imposed under the BCIIP </w:t>
      </w:r>
      <w:r w:rsidRPr="0032771E">
        <w:t>Act. Limited evidence of reductions in the number of days lost to industrial disputes and t</w:t>
      </w:r>
      <w:r>
        <w:t xml:space="preserve">he number of proceedings initiated </w:t>
      </w:r>
      <w:r w:rsidRPr="0032771E">
        <w:t>by the ABCC sinc</w:t>
      </w:r>
      <w:r>
        <w:t>e the commencement of the BCIIP </w:t>
      </w:r>
      <w:r w:rsidRPr="0032771E">
        <w:t>Act may suggest that some incentive effects have been felt. However, no confident conclusion can be drawn on this point.</w:t>
      </w:r>
    </w:p>
    <w:p w14:paraId="0C6037A2" w14:textId="77777777" w:rsidR="00181AAC" w:rsidRDefault="00181AAC" w:rsidP="00181AAC">
      <w:pPr>
        <w:keepNext/>
        <w:keepLines/>
        <w:pBdr>
          <w:top w:val="single" w:sz="4" w:space="1" w:color="auto"/>
          <w:bottom w:val="single" w:sz="4" w:space="1" w:color="auto"/>
        </w:pBdr>
        <w:shd w:val="clear" w:color="auto" w:fill="FBE4D5" w:themeFill="accent2" w:themeFillTint="33"/>
        <w:spacing w:before="120" w:after="120"/>
      </w:pPr>
      <w:r>
        <w:rPr>
          <w:b/>
        </w:rPr>
        <w:t>Recommendation 3</w:t>
      </w:r>
      <w:r w:rsidRPr="00154456">
        <w:rPr>
          <w:b/>
        </w:rPr>
        <w:t>.1:</w:t>
      </w:r>
      <w:r w:rsidRPr="00154456">
        <w:t xml:space="preserve"> </w:t>
      </w:r>
      <w:r w:rsidRPr="0032771E">
        <w:t xml:space="preserve">That, in light of the above finding, no changes to the current </w:t>
      </w:r>
      <w:proofErr w:type="gramStart"/>
      <w:r w:rsidRPr="0032771E">
        <w:t>pe</w:t>
      </w:r>
      <w:r>
        <w:t>nalties</w:t>
      </w:r>
      <w:proofErr w:type="gramEnd"/>
      <w:r>
        <w:t xml:space="preserve"> provisions of the BCIIP </w:t>
      </w:r>
      <w:r w:rsidRPr="0032771E">
        <w:t>Act should be adopted at this point.</w:t>
      </w:r>
    </w:p>
    <w:p w14:paraId="271B29DE" w14:textId="6242E6CA" w:rsidR="00181AAC" w:rsidRDefault="00181AAC" w:rsidP="00181AAC">
      <w:pPr>
        <w:keepNext/>
        <w:keepLines/>
        <w:pBdr>
          <w:top w:val="single" w:sz="4" w:space="1" w:color="auto"/>
          <w:bottom w:val="single" w:sz="4" w:space="1" w:color="auto"/>
        </w:pBdr>
        <w:shd w:val="clear" w:color="auto" w:fill="FBE4D5" w:themeFill="accent2" w:themeFillTint="33"/>
        <w:spacing w:before="200" w:after="200" w:line="276" w:lineRule="auto"/>
        <w:rPr>
          <w:rFonts w:cstheme="minorHAnsi"/>
          <w:bCs/>
          <w:color w:val="000000"/>
        </w:rPr>
      </w:pPr>
      <w:r>
        <w:rPr>
          <w:b/>
        </w:rPr>
        <w:t>Recommendation 3</w:t>
      </w:r>
      <w:r w:rsidRPr="00154456">
        <w:rPr>
          <w:b/>
        </w:rPr>
        <w:t>.2:</w:t>
      </w:r>
      <w:r w:rsidRPr="00154456">
        <w:t xml:space="preserve"> </w:t>
      </w:r>
      <w:r>
        <w:t>That the impact of the BCIIP </w:t>
      </w:r>
      <w:r w:rsidRPr="0032771E">
        <w:t>Act’s penalties provisions be monitored by the Department of Jobs and Small Business to enable the provision of further policy advice on this issue.</w:t>
      </w:r>
    </w:p>
    <w:p w14:paraId="5E4F47CD" w14:textId="1D22FD34" w:rsidR="00A43A9A" w:rsidRDefault="00A43A9A" w:rsidP="000A54B6">
      <w:pPr>
        <w:autoSpaceDE w:val="0"/>
        <w:autoSpaceDN w:val="0"/>
        <w:adjustRightInd w:val="0"/>
        <w:spacing w:after="0" w:line="276" w:lineRule="auto"/>
        <w:rPr>
          <w:rFonts w:cstheme="minorHAnsi"/>
          <w:b/>
        </w:rPr>
      </w:pPr>
    </w:p>
    <w:p w14:paraId="62586DF5" w14:textId="77777777" w:rsidR="00181AAC" w:rsidRDefault="00181AAC" w:rsidP="000A54B6">
      <w:pPr>
        <w:autoSpaceDE w:val="0"/>
        <w:autoSpaceDN w:val="0"/>
        <w:adjustRightInd w:val="0"/>
        <w:spacing w:after="0" w:line="276" w:lineRule="auto"/>
        <w:rPr>
          <w:rFonts w:cstheme="minorHAnsi"/>
          <w:b/>
        </w:rPr>
        <w:sectPr w:rsidR="00181AAC" w:rsidSect="005B385F">
          <w:pgSz w:w="11906" w:h="16838" w:code="9"/>
          <w:pgMar w:top="1440" w:right="1440" w:bottom="1440" w:left="1440" w:header="709" w:footer="1009" w:gutter="0"/>
          <w:cols w:space="708"/>
          <w:docGrid w:linePitch="360"/>
        </w:sectPr>
      </w:pPr>
    </w:p>
    <w:p w14:paraId="06FC2603" w14:textId="37629654" w:rsidR="00CA1784" w:rsidRDefault="00DF0877" w:rsidP="00C3250D">
      <w:pPr>
        <w:pStyle w:val="Heading1"/>
        <w:tabs>
          <w:tab w:val="left" w:pos="1843"/>
        </w:tabs>
      </w:pPr>
      <w:bookmarkStart w:id="136" w:name="_Toc523154935"/>
      <w:bookmarkStart w:id="137" w:name="_Toc527633030"/>
      <w:r>
        <w:lastRenderedPageBreak/>
        <w:t xml:space="preserve">Chapter </w:t>
      </w:r>
      <w:r w:rsidR="00C3250D">
        <w:t>4:</w:t>
      </w:r>
      <w:r w:rsidR="00C3250D">
        <w:tab/>
      </w:r>
      <w:r w:rsidR="00CA1784">
        <w:t xml:space="preserve">Streamlining and clarification of the </w:t>
      </w:r>
      <w:r w:rsidR="001E2D49">
        <w:t>BCIIP </w:t>
      </w:r>
      <w:r w:rsidR="00CA1784">
        <w:t>Act, particularly where it interacts with other legislation</w:t>
      </w:r>
      <w:bookmarkEnd w:id="136"/>
      <w:bookmarkEnd w:id="137"/>
    </w:p>
    <w:p w14:paraId="3C15209A" w14:textId="77777777" w:rsidR="00181AAC" w:rsidRPr="00A43A9A" w:rsidRDefault="00181AAC" w:rsidP="00181AAC">
      <w:pPr>
        <w:pStyle w:val="Heading2"/>
        <w:pBdr>
          <w:top w:val="single" w:sz="4" w:space="1" w:color="auto"/>
          <w:bottom w:val="single" w:sz="4" w:space="1" w:color="auto"/>
        </w:pBdr>
        <w:shd w:val="clear" w:color="auto" w:fill="DEEAF6" w:themeFill="accent1" w:themeFillTint="33"/>
      </w:pPr>
      <w:bookmarkStart w:id="138" w:name="_Toc525908283"/>
      <w:bookmarkStart w:id="139" w:name="_Toc527633031"/>
      <w:r w:rsidRPr="00A43A9A">
        <w:t>Term of reference 4</w:t>
      </w:r>
      <w:bookmarkEnd w:id="138"/>
      <w:bookmarkEnd w:id="139"/>
    </w:p>
    <w:p w14:paraId="5C2DE0B7" w14:textId="119092E2" w:rsidR="00181AAC" w:rsidRPr="00181AAC" w:rsidRDefault="00181AAC" w:rsidP="00181AAC">
      <w:pPr>
        <w:pBdr>
          <w:top w:val="single" w:sz="4" w:space="1" w:color="auto"/>
          <w:bottom w:val="single" w:sz="4" w:space="1" w:color="auto"/>
        </w:pBdr>
        <w:shd w:val="clear" w:color="auto" w:fill="DEEAF6" w:themeFill="accent1" w:themeFillTint="33"/>
      </w:pPr>
      <w:r w:rsidRPr="00887DE0">
        <w:rPr>
          <w:rFonts w:eastAsia="Times New Roman" w:cstheme="minorHAnsi"/>
          <w:lang w:eastAsia="en-AU"/>
        </w:rPr>
        <w:t>The review will examine</w:t>
      </w:r>
      <w:r>
        <w:rPr>
          <w:rFonts w:eastAsia="Times New Roman" w:cstheme="minorHAnsi"/>
          <w:lang w:eastAsia="en-AU"/>
        </w:rPr>
        <w:t xml:space="preserve"> a</w:t>
      </w:r>
      <w:r w:rsidRPr="00AD31DF">
        <w:rPr>
          <w:rFonts w:eastAsia="Times New Roman" w:cstheme="minorHAnsi"/>
          <w:lang w:eastAsia="en-AU"/>
        </w:rPr>
        <w:t>ny need for amendments that will streamline and clari</w:t>
      </w:r>
      <w:r>
        <w:rPr>
          <w:rFonts w:eastAsia="Times New Roman" w:cstheme="minorHAnsi"/>
          <w:lang w:eastAsia="en-AU"/>
        </w:rPr>
        <w:t>fy the application of the BCIIP </w:t>
      </w:r>
      <w:r w:rsidRPr="00AD31DF">
        <w:rPr>
          <w:rFonts w:eastAsia="Times New Roman" w:cstheme="minorHAnsi"/>
          <w:lang w:eastAsia="en-AU"/>
        </w:rPr>
        <w:t xml:space="preserve">Act, in particular when it interacts with other Commonwealth legislation (for example, where the recruitment obligations regarding the employment </w:t>
      </w:r>
      <w:r>
        <w:rPr>
          <w:rFonts w:eastAsia="Times New Roman" w:cstheme="minorHAnsi"/>
          <w:lang w:eastAsia="en-AU"/>
        </w:rPr>
        <w:t>of foreign workers in the BCIIP </w:t>
      </w:r>
      <w:r w:rsidRPr="00AD31DF">
        <w:rPr>
          <w:rFonts w:eastAsia="Times New Roman" w:cstheme="minorHAnsi"/>
          <w:lang w:eastAsia="en-AU"/>
        </w:rPr>
        <w:t xml:space="preserve">Act and the </w:t>
      </w:r>
      <w:r w:rsidRPr="00AD31DF">
        <w:rPr>
          <w:rFonts w:eastAsia="Times New Roman" w:cstheme="minorHAnsi"/>
          <w:i/>
          <w:lang w:eastAsia="en-AU"/>
        </w:rPr>
        <w:t>Code for the Tendering and Performance of Building Work 2016</w:t>
      </w:r>
      <w:r w:rsidRPr="00AD31DF">
        <w:rPr>
          <w:rFonts w:eastAsia="Times New Roman" w:cstheme="minorHAnsi"/>
          <w:lang w:eastAsia="en-AU"/>
        </w:rPr>
        <w:t xml:space="preserve"> (</w:t>
      </w:r>
      <w:r>
        <w:rPr>
          <w:rFonts w:eastAsia="Times New Roman" w:cstheme="minorHAnsi"/>
          <w:lang w:eastAsia="en-AU"/>
        </w:rPr>
        <w:t>2016 </w:t>
      </w:r>
      <w:r w:rsidRPr="00AD31DF">
        <w:rPr>
          <w:rFonts w:eastAsia="Times New Roman" w:cstheme="minorHAnsi"/>
          <w:lang w:eastAsia="en-AU"/>
        </w:rPr>
        <w:t xml:space="preserve">Code) overlap with obligations in the </w:t>
      </w:r>
      <w:r>
        <w:rPr>
          <w:rFonts w:eastAsia="Times New Roman" w:cstheme="minorHAnsi"/>
          <w:i/>
          <w:lang w:eastAsia="en-AU"/>
        </w:rPr>
        <w:t>Migration Act </w:t>
      </w:r>
      <w:r w:rsidRPr="00AD31DF">
        <w:rPr>
          <w:rFonts w:eastAsia="Times New Roman" w:cstheme="minorHAnsi"/>
          <w:i/>
          <w:lang w:eastAsia="en-AU"/>
        </w:rPr>
        <w:t>1958</w:t>
      </w:r>
      <w:r w:rsidRPr="00AD31DF">
        <w:rPr>
          <w:rFonts w:eastAsia="Times New Roman" w:cstheme="minorHAnsi"/>
          <w:lang w:eastAsia="en-AU"/>
        </w:rPr>
        <w:t xml:space="preserve"> or Australia's international trade obligations). This should include consideration of whether technical amendments are required to the </w:t>
      </w:r>
      <w:r>
        <w:rPr>
          <w:rFonts w:eastAsia="Times New Roman" w:cstheme="minorHAnsi"/>
          <w:lang w:eastAsia="en-AU"/>
        </w:rPr>
        <w:t>2016 </w:t>
      </w:r>
      <w:r w:rsidRPr="00AD31DF">
        <w:rPr>
          <w:rFonts w:eastAsia="Times New Roman" w:cstheme="minorHAnsi"/>
          <w:lang w:eastAsia="en-AU"/>
        </w:rPr>
        <w:t>Code to clarify its application/improve its operation.</w:t>
      </w:r>
    </w:p>
    <w:p w14:paraId="566D22F9" w14:textId="78B1B5BF" w:rsidR="00663B79" w:rsidRDefault="00CA1784" w:rsidP="00786FD4">
      <w:pPr>
        <w:spacing w:before="200" w:after="200" w:line="276" w:lineRule="auto"/>
      </w:pPr>
      <w:r>
        <w:t xml:space="preserve">Term of </w:t>
      </w:r>
      <w:r w:rsidR="00C75ABC">
        <w:t>r</w:t>
      </w:r>
      <w:r>
        <w:t>eference 4 establishes a general requirement for the review to identify any need for amendments to streamline and clarify the operation of the</w:t>
      </w:r>
      <w:r w:rsidR="00C34423">
        <w:t xml:space="preserve"> BCIIP</w:t>
      </w:r>
      <w:r w:rsidR="00A415EB">
        <w:t> </w:t>
      </w:r>
      <w:r w:rsidRPr="00D73E18">
        <w:t>Act</w:t>
      </w:r>
      <w:r>
        <w:t>, and specifically identifies an overlap between the requirements of the</w:t>
      </w:r>
      <w:r w:rsidRPr="00D73E18">
        <w:t xml:space="preserve"> BCIIP</w:t>
      </w:r>
      <w:r w:rsidR="00A415EB">
        <w:t> </w:t>
      </w:r>
      <w:r w:rsidRPr="00D73E18">
        <w:t>Act</w:t>
      </w:r>
      <w:r>
        <w:t xml:space="preserve"> and those of the </w:t>
      </w:r>
      <w:r w:rsidRPr="005F6BAE">
        <w:rPr>
          <w:i/>
        </w:rPr>
        <w:t>Migration</w:t>
      </w:r>
      <w:r w:rsidR="00A415EB">
        <w:rPr>
          <w:i/>
        </w:rPr>
        <w:t> </w:t>
      </w:r>
      <w:r w:rsidRPr="005F6BAE">
        <w:rPr>
          <w:i/>
        </w:rPr>
        <w:t>Act</w:t>
      </w:r>
      <w:r w:rsidR="00A415EB">
        <w:rPr>
          <w:i/>
        </w:rPr>
        <w:t> </w:t>
      </w:r>
      <w:r w:rsidRPr="005F6BAE">
        <w:rPr>
          <w:i/>
        </w:rPr>
        <w:t>1958</w:t>
      </w:r>
      <w:r w:rsidR="0038537A">
        <w:rPr>
          <w:i/>
        </w:rPr>
        <w:t xml:space="preserve"> </w:t>
      </w:r>
      <w:r w:rsidR="0038537A" w:rsidRPr="0038537A">
        <w:t>(Migration</w:t>
      </w:r>
      <w:r w:rsidR="00A415EB">
        <w:t> </w:t>
      </w:r>
      <w:r w:rsidR="0038537A" w:rsidRPr="0038537A">
        <w:t>Act)</w:t>
      </w:r>
      <w:r>
        <w:t>. The issue of obligations regarding the employment of foreign workers was addressed in several submissions.</w:t>
      </w:r>
    </w:p>
    <w:p w14:paraId="3B45BE8C" w14:textId="569068CF" w:rsidR="00CA1784" w:rsidRDefault="00CA1784" w:rsidP="00786FD4">
      <w:pPr>
        <w:pStyle w:val="Heading2"/>
      </w:pPr>
      <w:bookmarkStart w:id="140" w:name="_Toc523154936"/>
      <w:bookmarkStart w:id="141" w:name="_Toc527633032"/>
      <w:r>
        <w:t>Market testing requirements for non-resident workers</w:t>
      </w:r>
      <w:bookmarkEnd w:id="140"/>
      <w:bookmarkEnd w:id="141"/>
    </w:p>
    <w:p w14:paraId="7DABDD78" w14:textId="4E95210A" w:rsidR="00CA1784" w:rsidRPr="003E3EF8" w:rsidRDefault="00592A3A" w:rsidP="004F647D">
      <w:pPr>
        <w:pStyle w:val="Heading2"/>
        <w:numPr>
          <w:ilvl w:val="1"/>
          <w:numId w:val="21"/>
        </w:numPr>
      </w:pPr>
      <w:bookmarkStart w:id="142" w:name="_Toc523154937"/>
      <w:bookmarkStart w:id="143" w:name="_Toc527633033"/>
      <w:r>
        <w:t>Stakeholder views</w:t>
      </w:r>
      <w:bookmarkEnd w:id="142"/>
      <w:bookmarkEnd w:id="143"/>
    </w:p>
    <w:p w14:paraId="5A95B074" w14:textId="1A532B0B" w:rsidR="00A61CAE" w:rsidRDefault="00A61CAE" w:rsidP="00786FD4">
      <w:pPr>
        <w:spacing w:before="200" w:after="200" w:line="276" w:lineRule="auto"/>
        <w:rPr>
          <w:rFonts w:cstheme="minorHAnsi"/>
          <w:color w:val="000000"/>
        </w:rPr>
      </w:pPr>
      <w:r>
        <w:t xml:space="preserve">Several submissions argued that the obligations contained in subsection 34(2D) of the </w:t>
      </w:r>
      <w:r w:rsidRPr="00D73E18">
        <w:t>BCIIP</w:t>
      </w:r>
      <w:r>
        <w:t> </w:t>
      </w:r>
      <w:r w:rsidRPr="00D73E18">
        <w:t>Act</w:t>
      </w:r>
      <w:r>
        <w:t xml:space="preserve"> in relation to the employment of a person who is not an Australian citizen or permanent resident differ substantively from the obligations in respect of the employment of specific</w:t>
      </w:r>
      <w:r w:rsidR="00931FC6">
        <w:t xml:space="preserve"> categories of</w:t>
      </w:r>
      <w:r>
        <w:t xml:space="preserve"> visa holders imposed by section </w:t>
      </w:r>
      <w:r>
        <w:rPr>
          <w:rFonts w:cstheme="minorHAnsi"/>
        </w:rPr>
        <w:t xml:space="preserve">140GBA of the </w:t>
      </w:r>
      <w:r w:rsidRPr="005F6BAE">
        <w:rPr>
          <w:rFonts w:cstheme="minorHAnsi"/>
        </w:rPr>
        <w:t>Migration</w:t>
      </w:r>
      <w:r>
        <w:rPr>
          <w:rFonts w:cstheme="minorHAnsi"/>
        </w:rPr>
        <w:t> </w:t>
      </w:r>
      <w:r w:rsidRPr="005F6BAE">
        <w:rPr>
          <w:rFonts w:cstheme="minorHAnsi"/>
        </w:rPr>
        <w:t>Act</w:t>
      </w:r>
      <w:r>
        <w:rPr>
          <w:rFonts w:cstheme="minorHAnsi"/>
        </w:rPr>
        <w:t>.</w:t>
      </w:r>
    </w:p>
    <w:p w14:paraId="2CF7D079" w14:textId="6521BE7D" w:rsidR="00CA1784" w:rsidRPr="00C34423" w:rsidRDefault="00CA1784" w:rsidP="00786FD4">
      <w:pPr>
        <w:spacing w:before="200" w:after="200" w:line="276" w:lineRule="auto"/>
        <w:rPr>
          <w:rFonts w:cstheme="minorHAnsi"/>
          <w:color w:val="000000"/>
          <w:szCs w:val="20"/>
        </w:rPr>
      </w:pPr>
      <w:r>
        <w:rPr>
          <w:rFonts w:cstheme="minorHAnsi"/>
          <w:color w:val="000000"/>
        </w:rPr>
        <w:t>The ACTU argues that the labour market testing requirements in section</w:t>
      </w:r>
      <w:r w:rsidR="00E01867">
        <w:rPr>
          <w:rFonts w:cstheme="minorHAnsi"/>
          <w:color w:val="000000"/>
        </w:rPr>
        <w:t> </w:t>
      </w:r>
      <w:r>
        <w:rPr>
          <w:rFonts w:cstheme="minorHAnsi"/>
          <w:color w:val="000000"/>
        </w:rPr>
        <w:t xml:space="preserve">11F of the </w:t>
      </w:r>
      <w:r w:rsidR="00E01867">
        <w:rPr>
          <w:rFonts w:cstheme="minorHAnsi"/>
          <w:color w:val="000000"/>
        </w:rPr>
        <w:t>2016 </w:t>
      </w:r>
      <w:r>
        <w:rPr>
          <w:rFonts w:cstheme="minorHAnsi"/>
          <w:color w:val="000000"/>
        </w:rPr>
        <w:t xml:space="preserve">Code are stronger than those of the </w:t>
      </w:r>
      <w:r w:rsidR="00E01867">
        <w:rPr>
          <w:rFonts w:cstheme="minorHAnsi"/>
          <w:color w:val="000000"/>
        </w:rPr>
        <w:t>Migration </w:t>
      </w:r>
      <w:r w:rsidRPr="007A0959">
        <w:rPr>
          <w:rFonts w:cstheme="minorHAnsi"/>
          <w:color w:val="000000"/>
        </w:rPr>
        <w:t>Act</w:t>
      </w:r>
      <w:r>
        <w:rPr>
          <w:rFonts w:cstheme="minorHAnsi"/>
          <w:color w:val="000000"/>
        </w:rPr>
        <w:t xml:space="preserve"> and that the requirements of the </w:t>
      </w:r>
      <w:r w:rsidR="00E01867">
        <w:rPr>
          <w:rFonts w:cstheme="minorHAnsi"/>
          <w:color w:val="000000"/>
        </w:rPr>
        <w:t>2016 </w:t>
      </w:r>
      <w:r>
        <w:rPr>
          <w:rFonts w:cstheme="minorHAnsi"/>
          <w:color w:val="000000"/>
        </w:rPr>
        <w:t>Code must be complied with in addition to t</w:t>
      </w:r>
      <w:r w:rsidR="00E01867">
        <w:rPr>
          <w:rFonts w:cstheme="minorHAnsi"/>
          <w:color w:val="000000"/>
        </w:rPr>
        <w:t>hose contained in the Migration </w:t>
      </w:r>
      <w:r>
        <w:rPr>
          <w:rFonts w:cstheme="minorHAnsi"/>
          <w:color w:val="000000"/>
        </w:rPr>
        <w:t xml:space="preserve">Act when a </w:t>
      </w:r>
      <w:r w:rsidR="00E01867">
        <w:rPr>
          <w:rFonts w:cstheme="minorHAnsi"/>
          <w:color w:val="000000"/>
        </w:rPr>
        <w:t>c</w:t>
      </w:r>
      <w:r>
        <w:rPr>
          <w:rFonts w:cstheme="minorHAnsi"/>
          <w:color w:val="000000"/>
        </w:rPr>
        <w:t>ode-</w:t>
      </w:r>
      <w:r w:rsidR="00E01867">
        <w:rPr>
          <w:rFonts w:cstheme="minorHAnsi"/>
          <w:color w:val="000000"/>
        </w:rPr>
        <w:t>c</w:t>
      </w:r>
      <w:r>
        <w:rPr>
          <w:rFonts w:cstheme="minorHAnsi"/>
          <w:color w:val="000000"/>
        </w:rPr>
        <w:t xml:space="preserve">overed </w:t>
      </w:r>
      <w:r w:rsidR="00E01867">
        <w:rPr>
          <w:rFonts w:cstheme="minorHAnsi"/>
          <w:color w:val="000000"/>
        </w:rPr>
        <w:t>e</w:t>
      </w:r>
      <w:r>
        <w:rPr>
          <w:rFonts w:cstheme="minorHAnsi"/>
          <w:color w:val="000000"/>
        </w:rPr>
        <w:t>ntity seeks to employ a person who is not an Australian citizen or permanent resident</w:t>
      </w:r>
      <w:r w:rsidR="0038537A">
        <w:rPr>
          <w:rFonts w:cstheme="minorHAnsi"/>
          <w:color w:val="000000"/>
        </w:rPr>
        <w:t xml:space="preserve">. </w:t>
      </w:r>
      <w:r>
        <w:rPr>
          <w:rFonts w:cstheme="minorHAnsi"/>
          <w:color w:val="000000"/>
        </w:rPr>
        <w:t>It was argued that the differences between the provisions of the two Acts had caused confusion in interpreting and applyin</w:t>
      </w:r>
      <w:r w:rsidR="00E01867">
        <w:rPr>
          <w:rFonts w:cstheme="minorHAnsi"/>
          <w:color w:val="000000"/>
        </w:rPr>
        <w:t>g these provisions of the BCIIP </w:t>
      </w:r>
      <w:r w:rsidRPr="00C34423">
        <w:rPr>
          <w:rFonts w:cstheme="minorHAnsi"/>
          <w:color w:val="000000"/>
        </w:rPr>
        <w:t>Act</w:t>
      </w:r>
      <w:r w:rsidR="00786FD4">
        <w:rPr>
          <w:rFonts w:cstheme="minorHAnsi"/>
          <w:color w:val="000000"/>
        </w:rPr>
        <w:t>.</w:t>
      </w:r>
    </w:p>
    <w:p w14:paraId="37743A1A" w14:textId="77777777" w:rsidR="00A20F5B" w:rsidRPr="007959EB" w:rsidRDefault="00A20F5B" w:rsidP="00786FD4">
      <w:pPr>
        <w:spacing w:before="200" w:after="200" w:line="276" w:lineRule="auto"/>
        <w:rPr>
          <w:rFonts w:cstheme="minorHAnsi"/>
          <w:color w:val="000000"/>
        </w:rPr>
      </w:pPr>
      <w:r w:rsidRPr="007959EB">
        <w:rPr>
          <w:rFonts w:cstheme="minorHAnsi"/>
          <w:color w:val="000000"/>
        </w:rPr>
        <w:t>The ACTU submission also highlights an apparent drafting error contained in subsection 34(2D) of the BCIIP Act. The subsection states ‘</w:t>
      </w:r>
      <w:r w:rsidRPr="008C0283">
        <w:rPr>
          <w:color w:val="000000"/>
        </w:rPr>
        <w:t>the Building Code must include provisions ensuring no person is employed to undertake building work</w:t>
      </w:r>
      <w:r w:rsidRPr="007959EB">
        <w:rPr>
          <w:rFonts w:cstheme="minorHAnsi"/>
          <w:color w:val="000000"/>
        </w:rPr>
        <w:t>’ without market testing being undertaken, while section 11F of the 2016 Code states that this provision applies only to the employment of people who are not Australian citizens or Australian permanent residents within the meaning of the Migration Act. The ACTU is of the view this discrepancy requires correction.</w:t>
      </w:r>
    </w:p>
    <w:p w14:paraId="7CD49C33" w14:textId="16BB09E1" w:rsidR="00CA1784" w:rsidRDefault="00CA1784" w:rsidP="00036C11">
      <w:pPr>
        <w:keepNext/>
        <w:spacing w:before="200" w:after="200" w:line="276" w:lineRule="auto"/>
        <w:rPr>
          <w:rFonts w:cstheme="minorHAnsi"/>
          <w:color w:val="000000"/>
        </w:rPr>
      </w:pPr>
      <w:r>
        <w:rPr>
          <w:rFonts w:cstheme="minorHAnsi"/>
          <w:color w:val="000000"/>
        </w:rPr>
        <w:lastRenderedPageBreak/>
        <w:t xml:space="preserve">A supplementary submission from </w:t>
      </w:r>
      <w:r w:rsidR="00E9213E" w:rsidRPr="00EE0A20">
        <w:rPr>
          <w:rFonts w:cstheme="minorHAnsi"/>
          <w:color w:val="000000"/>
        </w:rPr>
        <w:t xml:space="preserve">the </w:t>
      </w:r>
      <w:r>
        <w:rPr>
          <w:rFonts w:cstheme="minorHAnsi"/>
          <w:color w:val="000000"/>
        </w:rPr>
        <w:t>Ai</w:t>
      </w:r>
      <w:r w:rsidR="00B21B47">
        <w:rPr>
          <w:rFonts w:cstheme="minorHAnsi"/>
          <w:color w:val="000000"/>
        </w:rPr>
        <w:t> </w:t>
      </w:r>
      <w:r>
        <w:rPr>
          <w:rFonts w:cstheme="minorHAnsi"/>
          <w:color w:val="000000"/>
        </w:rPr>
        <w:t xml:space="preserve">Group also argued that the provisions of </w:t>
      </w:r>
      <w:r w:rsidR="00E01867">
        <w:rPr>
          <w:rFonts w:cstheme="minorHAnsi"/>
          <w:color w:val="000000"/>
        </w:rPr>
        <w:t>subsection </w:t>
      </w:r>
      <w:r>
        <w:rPr>
          <w:rFonts w:cstheme="minorHAnsi"/>
          <w:color w:val="000000"/>
        </w:rPr>
        <w:t xml:space="preserve">34(2D) differ substantively from those of the </w:t>
      </w:r>
      <w:r w:rsidR="00E01867">
        <w:rPr>
          <w:rFonts w:cstheme="minorHAnsi"/>
          <w:color w:val="000000"/>
        </w:rPr>
        <w:t>Migration </w:t>
      </w:r>
      <w:r w:rsidRPr="005F6BAE">
        <w:rPr>
          <w:rFonts w:cstheme="minorHAnsi"/>
          <w:color w:val="000000"/>
        </w:rPr>
        <w:t>Act</w:t>
      </w:r>
      <w:r>
        <w:rPr>
          <w:rFonts w:cstheme="minorHAnsi"/>
          <w:color w:val="000000"/>
        </w:rPr>
        <w:t>, stating that:</w:t>
      </w:r>
    </w:p>
    <w:p w14:paraId="5E493CA1" w14:textId="4BFA83C7" w:rsidR="00CA1784" w:rsidRPr="00162041" w:rsidRDefault="00CA1784" w:rsidP="00036C11">
      <w:pPr>
        <w:keepNext/>
        <w:spacing w:after="200" w:line="276" w:lineRule="auto"/>
        <w:ind w:left="426"/>
        <w:rPr>
          <w:sz w:val="20"/>
        </w:rPr>
      </w:pPr>
      <w:r w:rsidRPr="008C0283">
        <w:rPr>
          <w:sz w:val="20"/>
        </w:rPr>
        <w:t>The standard set by these provisions is higher than that required for employers engaging workers on working visas in other industries</w:t>
      </w:r>
      <w:r w:rsidR="00E9213E" w:rsidRPr="00EE0A20">
        <w:rPr>
          <w:sz w:val="20"/>
          <w:szCs w:val="20"/>
        </w:rPr>
        <w:t>.</w:t>
      </w:r>
      <w:r w:rsidRPr="00162041">
        <w:rPr>
          <w:rStyle w:val="FootnoteReference"/>
          <w:sz w:val="20"/>
        </w:rPr>
        <w:footnoteReference w:id="55"/>
      </w:r>
    </w:p>
    <w:p w14:paraId="54BA904B" w14:textId="61BBA179" w:rsidR="00CA1784" w:rsidRDefault="00CA1784" w:rsidP="00D82A81">
      <w:pPr>
        <w:spacing w:before="200" w:after="200" w:line="276" w:lineRule="auto"/>
        <w:rPr>
          <w:rFonts w:cstheme="minorHAnsi"/>
          <w:color w:val="000000"/>
        </w:rPr>
      </w:pPr>
      <w:r w:rsidRPr="004035D3">
        <w:rPr>
          <w:rFonts w:cstheme="minorHAnsi"/>
        </w:rPr>
        <w:t xml:space="preserve">The </w:t>
      </w:r>
      <w:r>
        <w:rPr>
          <w:rFonts w:cstheme="minorHAnsi"/>
        </w:rPr>
        <w:t>MBA</w:t>
      </w:r>
      <w:r w:rsidRPr="004035D3">
        <w:rPr>
          <w:rFonts w:cstheme="minorHAnsi"/>
        </w:rPr>
        <w:t xml:space="preserve"> submission did not argue that the market testing provisions of the </w:t>
      </w:r>
      <w:r w:rsidR="00E01867">
        <w:rPr>
          <w:rFonts w:cstheme="minorHAnsi"/>
        </w:rPr>
        <w:t>2016 </w:t>
      </w:r>
      <w:r>
        <w:rPr>
          <w:rFonts w:cstheme="minorHAnsi"/>
        </w:rPr>
        <w:t>Code</w:t>
      </w:r>
      <w:r w:rsidRPr="004035D3">
        <w:rPr>
          <w:rFonts w:cstheme="minorHAnsi"/>
        </w:rPr>
        <w:t xml:space="preserve"> and the </w:t>
      </w:r>
      <w:r w:rsidR="00E01867">
        <w:rPr>
          <w:rFonts w:cstheme="minorHAnsi"/>
        </w:rPr>
        <w:t>Migration </w:t>
      </w:r>
      <w:r w:rsidRPr="005F6BAE">
        <w:rPr>
          <w:rFonts w:cstheme="minorHAnsi"/>
        </w:rPr>
        <w:t>Act</w:t>
      </w:r>
      <w:r w:rsidRPr="0038537A">
        <w:rPr>
          <w:rFonts w:cstheme="minorHAnsi"/>
        </w:rPr>
        <w:t xml:space="preserve"> </w:t>
      </w:r>
      <w:r w:rsidRPr="004035D3">
        <w:rPr>
          <w:rFonts w:cstheme="minorHAnsi"/>
        </w:rPr>
        <w:t>were inconsistent</w:t>
      </w:r>
      <w:r w:rsidR="00F91CAA">
        <w:rPr>
          <w:rFonts w:cstheme="minorHAnsi"/>
        </w:rPr>
        <w:t xml:space="preserve">. </w:t>
      </w:r>
      <w:r w:rsidRPr="004035D3">
        <w:rPr>
          <w:rFonts w:cstheme="minorHAnsi"/>
        </w:rPr>
        <w:t xml:space="preserve">Indeed, it characterised the effect of the </w:t>
      </w:r>
      <w:r w:rsidR="00E01867">
        <w:rPr>
          <w:rFonts w:cstheme="minorHAnsi"/>
        </w:rPr>
        <w:t>2016 </w:t>
      </w:r>
      <w:r w:rsidRPr="004035D3">
        <w:rPr>
          <w:rFonts w:cstheme="minorHAnsi"/>
        </w:rPr>
        <w:t xml:space="preserve">Code as largely being to restate the need to comply with existing laws, including </w:t>
      </w:r>
      <w:r w:rsidRPr="008C0283">
        <w:t xml:space="preserve">‘building laws, OHS laws, migration laws, and competition </w:t>
      </w:r>
      <w:proofErr w:type="gramStart"/>
      <w:r w:rsidRPr="008C0283">
        <w:t>laws’</w:t>
      </w:r>
      <w:proofErr w:type="gramEnd"/>
      <w:r w:rsidR="00F91CAA">
        <w:rPr>
          <w:rFonts w:cstheme="minorHAnsi"/>
          <w:i/>
        </w:rPr>
        <w:t xml:space="preserve">. </w:t>
      </w:r>
      <w:r>
        <w:rPr>
          <w:rFonts w:cstheme="minorHAnsi"/>
          <w:color w:val="000000"/>
        </w:rPr>
        <w:t>However,</w:t>
      </w:r>
      <w:r w:rsidR="00E9213E" w:rsidRPr="00EE0A20">
        <w:rPr>
          <w:rFonts w:cstheme="minorHAnsi"/>
          <w:color w:val="000000"/>
        </w:rPr>
        <w:t xml:space="preserve"> the</w:t>
      </w:r>
      <w:r>
        <w:rPr>
          <w:rFonts w:cstheme="minorHAnsi"/>
          <w:color w:val="000000"/>
        </w:rPr>
        <w:t xml:space="preserve"> MBA argue</w:t>
      </w:r>
      <w:r w:rsidR="00663B79">
        <w:rPr>
          <w:rFonts w:cstheme="minorHAnsi"/>
          <w:color w:val="000000"/>
        </w:rPr>
        <w:t>d</w:t>
      </w:r>
      <w:r>
        <w:rPr>
          <w:rFonts w:cstheme="minorHAnsi"/>
          <w:color w:val="000000"/>
        </w:rPr>
        <w:t xml:space="preserve"> that those elements of the </w:t>
      </w:r>
      <w:r w:rsidR="00E01867">
        <w:rPr>
          <w:rFonts w:cstheme="minorHAnsi"/>
          <w:color w:val="000000"/>
        </w:rPr>
        <w:t>2016 </w:t>
      </w:r>
      <w:r>
        <w:rPr>
          <w:rFonts w:cstheme="minorHAnsi"/>
          <w:color w:val="000000"/>
        </w:rPr>
        <w:t xml:space="preserve">Code that restate the need to comply with other laws in policy areas not directly related to the objectives of the </w:t>
      </w:r>
      <w:r w:rsidR="00E01867">
        <w:rPr>
          <w:rFonts w:cstheme="minorHAnsi"/>
          <w:color w:val="000000"/>
        </w:rPr>
        <w:t>BCIIP </w:t>
      </w:r>
      <w:r w:rsidRPr="00B9308F">
        <w:rPr>
          <w:rFonts w:cstheme="minorHAnsi"/>
          <w:color w:val="000000"/>
        </w:rPr>
        <w:t>Act</w:t>
      </w:r>
      <w:r>
        <w:rPr>
          <w:rFonts w:cstheme="minorHAnsi"/>
          <w:color w:val="000000"/>
        </w:rPr>
        <w:t xml:space="preserve">, including migration related matters, should be reconsidered, preferring these elements of the </w:t>
      </w:r>
      <w:r w:rsidR="00E01867">
        <w:rPr>
          <w:rFonts w:cstheme="minorHAnsi"/>
          <w:color w:val="000000"/>
        </w:rPr>
        <w:t>2016 </w:t>
      </w:r>
      <w:r>
        <w:rPr>
          <w:rFonts w:cstheme="minorHAnsi"/>
          <w:color w:val="000000"/>
        </w:rPr>
        <w:t xml:space="preserve">Code to be the responsibility of </w:t>
      </w:r>
      <w:r w:rsidR="00E9213E" w:rsidRPr="00E732BC">
        <w:rPr>
          <w:rFonts w:cstheme="minorHAnsi"/>
          <w:color w:val="000000"/>
        </w:rPr>
        <w:t>‘</w:t>
      </w:r>
      <w:r>
        <w:rPr>
          <w:rFonts w:cstheme="minorHAnsi"/>
          <w:color w:val="000000"/>
        </w:rPr>
        <w:t xml:space="preserve">traditional and conventional </w:t>
      </w:r>
      <w:r w:rsidR="00E9213E" w:rsidRPr="00E732BC">
        <w:rPr>
          <w:rFonts w:cstheme="minorHAnsi"/>
          <w:color w:val="000000"/>
        </w:rPr>
        <w:t>regulators’,</w:t>
      </w:r>
      <w:r>
        <w:rPr>
          <w:rFonts w:cstheme="minorHAnsi"/>
          <w:color w:val="000000"/>
        </w:rPr>
        <w:t xml:space="preserve"> rather than the ABCC.</w:t>
      </w:r>
      <w:r>
        <w:rPr>
          <w:rStyle w:val="FootnoteReference"/>
          <w:rFonts w:cstheme="minorHAnsi"/>
          <w:color w:val="000000"/>
        </w:rPr>
        <w:footnoteReference w:id="56"/>
      </w:r>
    </w:p>
    <w:p w14:paraId="3BF986A7" w14:textId="04C3120C" w:rsidR="00CA1784" w:rsidRDefault="00E9213E" w:rsidP="00D82A81">
      <w:pPr>
        <w:spacing w:before="200" w:after="200" w:line="276" w:lineRule="auto"/>
        <w:rPr>
          <w:rFonts w:cstheme="minorHAnsi"/>
          <w:color w:val="000000"/>
          <w:szCs w:val="23"/>
        </w:rPr>
      </w:pPr>
      <w:r w:rsidRPr="00C67D1D">
        <w:rPr>
          <w:rFonts w:cstheme="minorHAnsi"/>
          <w:color w:val="000000"/>
        </w:rPr>
        <w:t xml:space="preserve">The </w:t>
      </w:r>
      <w:r w:rsidR="00663B79">
        <w:rPr>
          <w:rFonts w:cstheme="minorHAnsi"/>
          <w:color w:val="000000"/>
        </w:rPr>
        <w:t>Ai</w:t>
      </w:r>
      <w:r w:rsidR="001C1E06">
        <w:rPr>
          <w:rFonts w:cstheme="minorHAnsi"/>
          <w:color w:val="000000"/>
        </w:rPr>
        <w:t> </w:t>
      </w:r>
      <w:r w:rsidR="00663B79">
        <w:rPr>
          <w:rFonts w:cstheme="minorHAnsi"/>
          <w:color w:val="000000"/>
        </w:rPr>
        <w:t xml:space="preserve">Group </w:t>
      </w:r>
      <w:r w:rsidR="00CA1784">
        <w:rPr>
          <w:rFonts w:cstheme="minorHAnsi"/>
          <w:color w:val="000000"/>
          <w:szCs w:val="23"/>
        </w:rPr>
        <w:t>also highlighted the costs to employe</w:t>
      </w:r>
      <w:r w:rsidR="00E56330">
        <w:rPr>
          <w:rFonts w:cstheme="minorHAnsi"/>
          <w:color w:val="000000"/>
          <w:szCs w:val="23"/>
        </w:rPr>
        <w:t xml:space="preserve">rs of complying with the market </w:t>
      </w:r>
      <w:r w:rsidR="00CA1784">
        <w:rPr>
          <w:rFonts w:cstheme="minorHAnsi"/>
          <w:color w:val="000000"/>
          <w:szCs w:val="23"/>
        </w:rPr>
        <w:t>testing provisions, citing anecdotal evidence, provided by its members, of the existence of two types of associated costs</w:t>
      </w:r>
      <w:r w:rsidR="00F91CAA">
        <w:rPr>
          <w:rFonts w:cstheme="minorHAnsi"/>
          <w:color w:val="000000"/>
          <w:szCs w:val="23"/>
        </w:rPr>
        <w:t xml:space="preserve">. </w:t>
      </w:r>
      <w:r w:rsidR="00CA1784">
        <w:rPr>
          <w:rFonts w:cstheme="minorHAnsi"/>
          <w:color w:val="000000"/>
          <w:szCs w:val="23"/>
        </w:rPr>
        <w:t xml:space="preserve">First, it was noted that some forms of building work, particularly of a </w:t>
      </w:r>
      <w:r w:rsidRPr="00E732BC">
        <w:rPr>
          <w:rFonts w:cstheme="minorHAnsi"/>
          <w:color w:val="000000"/>
          <w:szCs w:val="23"/>
        </w:rPr>
        <w:t>‘</w:t>
      </w:r>
      <w:r w:rsidR="00CA1784">
        <w:rPr>
          <w:rFonts w:cstheme="minorHAnsi"/>
          <w:color w:val="000000"/>
          <w:szCs w:val="23"/>
        </w:rPr>
        <w:t>non-</w:t>
      </w:r>
      <w:r w:rsidRPr="00E732BC">
        <w:rPr>
          <w:rFonts w:cstheme="minorHAnsi"/>
          <w:color w:val="000000"/>
          <w:szCs w:val="23"/>
        </w:rPr>
        <w:t>trades’</w:t>
      </w:r>
      <w:r w:rsidR="00CA1784">
        <w:rPr>
          <w:rFonts w:cstheme="minorHAnsi"/>
          <w:color w:val="000000"/>
          <w:szCs w:val="23"/>
        </w:rPr>
        <w:t xml:space="preserve"> type, are temporary in nature and can be readily undertaken by temporary visa holders</w:t>
      </w:r>
      <w:r w:rsidR="00F91CAA">
        <w:rPr>
          <w:rFonts w:cstheme="minorHAnsi"/>
          <w:color w:val="000000"/>
          <w:szCs w:val="23"/>
        </w:rPr>
        <w:t xml:space="preserve">. </w:t>
      </w:r>
      <w:r w:rsidR="00CA1784">
        <w:rPr>
          <w:rFonts w:cstheme="minorHAnsi"/>
          <w:color w:val="000000"/>
          <w:szCs w:val="23"/>
        </w:rPr>
        <w:t>However, there are practical impediments to undertaking the required market testing in this context</w:t>
      </w:r>
      <w:r w:rsidR="00F91CAA">
        <w:rPr>
          <w:rFonts w:cstheme="minorHAnsi"/>
          <w:color w:val="000000"/>
          <w:szCs w:val="23"/>
        </w:rPr>
        <w:t xml:space="preserve">. </w:t>
      </w:r>
      <w:r w:rsidR="00CA1784">
        <w:rPr>
          <w:rFonts w:cstheme="minorHAnsi"/>
          <w:color w:val="000000"/>
          <w:szCs w:val="23"/>
        </w:rPr>
        <w:t>This includes the fact that the need for the worker is often immediate and, at the same time, transient.</w:t>
      </w:r>
      <w:r w:rsidR="00CA1784">
        <w:rPr>
          <w:rStyle w:val="FootnoteReference"/>
          <w:rFonts w:cstheme="minorHAnsi"/>
          <w:color w:val="000000"/>
          <w:szCs w:val="23"/>
        </w:rPr>
        <w:footnoteReference w:id="57"/>
      </w:r>
    </w:p>
    <w:p w14:paraId="5E76D45B" w14:textId="4CEB56CF" w:rsidR="00CA1784" w:rsidRPr="008C0283" w:rsidRDefault="00CA1784" w:rsidP="00D82A81">
      <w:pPr>
        <w:spacing w:before="200" w:after="200" w:line="276" w:lineRule="auto"/>
        <w:rPr>
          <w:color w:val="000000"/>
        </w:rPr>
      </w:pPr>
      <w:r>
        <w:rPr>
          <w:rFonts w:cstheme="minorHAnsi"/>
          <w:color w:val="000000"/>
          <w:szCs w:val="23"/>
        </w:rPr>
        <w:t>Second, it was argued that the market testin</w:t>
      </w:r>
      <w:r w:rsidR="00F852B3">
        <w:rPr>
          <w:rFonts w:cstheme="minorHAnsi"/>
          <w:color w:val="000000"/>
          <w:szCs w:val="23"/>
        </w:rPr>
        <w:t>g requirements of section </w:t>
      </w:r>
      <w:r>
        <w:rPr>
          <w:rFonts w:cstheme="minorHAnsi"/>
          <w:color w:val="000000"/>
          <w:szCs w:val="23"/>
        </w:rPr>
        <w:t xml:space="preserve">11F of the </w:t>
      </w:r>
      <w:r w:rsidR="00F852B3">
        <w:rPr>
          <w:rFonts w:cstheme="minorHAnsi"/>
          <w:color w:val="000000"/>
          <w:szCs w:val="23"/>
        </w:rPr>
        <w:t>2016 </w:t>
      </w:r>
      <w:r>
        <w:rPr>
          <w:rFonts w:cstheme="minorHAnsi"/>
          <w:color w:val="000000"/>
          <w:szCs w:val="23"/>
        </w:rPr>
        <w:t>Code impede companies’ ability to use their own foreign-based employees on Australian projects</w:t>
      </w:r>
      <w:r w:rsidR="00F91CAA">
        <w:rPr>
          <w:rFonts w:cstheme="minorHAnsi"/>
          <w:color w:val="000000"/>
          <w:szCs w:val="23"/>
        </w:rPr>
        <w:t xml:space="preserve">. </w:t>
      </w:r>
      <w:r w:rsidR="00E9213E" w:rsidRPr="00E732BC">
        <w:rPr>
          <w:rFonts w:cstheme="minorHAnsi"/>
          <w:color w:val="000000"/>
          <w:szCs w:val="23"/>
        </w:rPr>
        <w:t xml:space="preserve">The </w:t>
      </w:r>
      <w:r>
        <w:rPr>
          <w:rFonts w:cstheme="minorHAnsi"/>
          <w:color w:val="000000"/>
          <w:szCs w:val="23"/>
        </w:rPr>
        <w:t>Ai</w:t>
      </w:r>
      <w:r w:rsidR="001C1E06">
        <w:rPr>
          <w:rFonts w:cstheme="minorHAnsi"/>
          <w:color w:val="000000"/>
          <w:szCs w:val="23"/>
        </w:rPr>
        <w:t> </w:t>
      </w:r>
      <w:r>
        <w:rPr>
          <w:rFonts w:cstheme="minorHAnsi"/>
          <w:color w:val="000000"/>
          <w:szCs w:val="23"/>
        </w:rPr>
        <w:t>Group argued that impeding global businesses’ ability to utilise senior staff, such as designers and project managers, in their Australian operations has adverse impacts on efficiency, including reducing opportunities for Australian employees to learn from overseas experience.</w:t>
      </w:r>
      <w:r>
        <w:rPr>
          <w:rStyle w:val="FootnoteReference"/>
          <w:rFonts w:cstheme="minorHAnsi"/>
          <w:color w:val="000000"/>
          <w:szCs w:val="23"/>
        </w:rPr>
        <w:footnoteReference w:id="58"/>
      </w:r>
    </w:p>
    <w:p w14:paraId="76DB28A2" w14:textId="75A2C7CC" w:rsidR="00CA1784" w:rsidRPr="00985374" w:rsidRDefault="00E9213E" w:rsidP="00985374">
      <w:pPr>
        <w:spacing w:before="200" w:after="200" w:line="276" w:lineRule="auto"/>
        <w:rPr>
          <w:rFonts w:cstheme="minorHAnsi"/>
          <w:color w:val="000000"/>
          <w:szCs w:val="23"/>
        </w:rPr>
      </w:pPr>
      <w:r w:rsidRPr="00C67D1D">
        <w:rPr>
          <w:rFonts w:cstheme="minorHAnsi"/>
          <w:color w:val="000000"/>
          <w:szCs w:val="23"/>
        </w:rPr>
        <w:t xml:space="preserve">The </w:t>
      </w:r>
      <w:r w:rsidR="00CA1784">
        <w:rPr>
          <w:rFonts w:cstheme="minorHAnsi"/>
          <w:color w:val="000000"/>
          <w:szCs w:val="23"/>
        </w:rPr>
        <w:t>Ai</w:t>
      </w:r>
      <w:r w:rsidR="001C1E06">
        <w:rPr>
          <w:rFonts w:cstheme="minorHAnsi"/>
          <w:color w:val="000000"/>
          <w:szCs w:val="23"/>
        </w:rPr>
        <w:t> </w:t>
      </w:r>
      <w:r w:rsidR="00CA1784">
        <w:rPr>
          <w:rFonts w:cstheme="minorHAnsi"/>
          <w:color w:val="000000"/>
          <w:szCs w:val="23"/>
        </w:rPr>
        <w:t>Group also questioned the impact of the provisions on some types of temporary visa-holders, noting that the prohibition on the engagement of workers who hold temporary visas (unless the market testing requirements have been met) extends as far as persons on working holiday visas and some special working visas provided to New Zealanders.</w:t>
      </w:r>
      <w:r w:rsidR="00CA1784">
        <w:rPr>
          <w:rStyle w:val="FootnoteReference"/>
          <w:rFonts w:cstheme="minorHAnsi"/>
          <w:color w:val="000000"/>
          <w:szCs w:val="23"/>
        </w:rPr>
        <w:footnoteReference w:id="59"/>
      </w:r>
      <w:r w:rsidR="00CA1784">
        <w:rPr>
          <w:rFonts w:cstheme="minorHAnsi"/>
          <w:color w:val="000000"/>
          <w:szCs w:val="23"/>
        </w:rPr>
        <w:t xml:space="preserve"> This raises the question of the appropriateness of placing barriers in the way of employment opportunities for people who already have the right to work in Australia, independently of securing a job, albeit on a temporary basis.</w:t>
      </w:r>
    </w:p>
    <w:p w14:paraId="50B2CBE8" w14:textId="1E5A671B" w:rsidR="00CA1784" w:rsidRDefault="00CA1784" w:rsidP="00036C11">
      <w:pPr>
        <w:pStyle w:val="Heading2"/>
        <w:keepNext/>
        <w:numPr>
          <w:ilvl w:val="1"/>
          <w:numId w:val="21"/>
        </w:numPr>
      </w:pPr>
      <w:bookmarkStart w:id="144" w:name="_Toc523154938"/>
      <w:bookmarkStart w:id="145" w:name="_Toc527633034"/>
      <w:r w:rsidRPr="00E11CB9">
        <w:lastRenderedPageBreak/>
        <w:t>Comparison of market testing provisions</w:t>
      </w:r>
      <w:r>
        <w:t xml:space="preserve"> – </w:t>
      </w:r>
      <w:r w:rsidRPr="00AD17F7">
        <w:t>BCIIP</w:t>
      </w:r>
      <w:r w:rsidR="00BB47B2">
        <w:t> </w:t>
      </w:r>
      <w:r w:rsidRPr="00AD17F7">
        <w:t>Act</w:t>
      </w:r>
      <w:r w:rsidR="00BB47B2">
        <w:t xml:space="preserve"> and 2016 Code vs Migration </w:t>
      </w:r>
      <w:r>
        <w:t>Act</w:t>
      </w:r>
      <w:bookmarkEnd w:id="144"/>
      <w:bookmarkEnd w:id="145"/>
    </w:p>
    <w:p w14:paraId="5EFDF554" w14:textId="3A6A2287" w:rsidR="00CA1784" w:rsidRDefault="00CA1784" w:rsidP="00036C11">
      <w:pPr>
        <w:keepNext/>
        <w:spacing w:before="200" w:after="200" w:line="276" w:lineRule="auto"/>
      </w:pPr>
      <w:r>
        <w:t>S</w:t>
      </w:r>
      <w:r w:rsidR="00F852B3">
        <w:t>ubsection </w:t>
      </w:r>
      <w:r>
        <w:t xml:space="preserve">34(2D) of the </w:t>
      </w:r>
      <w:r w:rsidR="00B40B3D">
        <w:t>BCIIP</w:t>
      </w:r>
      <w:r w:rsidR="00F852B3">
        <w:t> </w:t>
      </w:r>
      <w:r>
        <w:t xml:space="preserve">Act requires the </w:t>
      </w:r>
      <w:r w:rsidR="00F852B3">
        <w:t>2016 </w:t>
      </w:r>
      <w:r>
        <w:t>Code to include the following content in relation to the employment of persons</w:t>
      </w:r>
      <w:r>
        <w:rPr>
          <w:rStyle w:val="FootnoteReference"/>
        </w:rPr>
        <w:footnoteReference w:id="60"/>
      </w:r>
      <w:r>
        <w:t xml:space="preserve"> by </w:t>
      </w:r>
      <w:r w:rsidR="00F852B3">
        <w:t>c</w:t>
      </w:r>
      <w:r>
        <w:t>ode-</w:t>
      </w:r>
      <w:r w:rsidR="00F852B3">
        <w:t>c</w:t>
      </w:r>
      <w:r>
        <w:t xml:space="preserve">overed </w:t>
      </w:r>
      <w:r w:rsidR="00F852B3">
        <w:t>e</w:t>
      </w:r>
      <w:r>
        <w:t>ntities in the building industry:</w:t>
      </w:r>
    </w:p>
    <w:p w14:paraId="1946F5D6" w14:textId="60B82F74" w:rsidR="00CA1784" w:rsidRPr="008C0283" w:rsidRDefault="00CA1784" w:rsidP="00D82A81">
      <w:pPr>
        <w:spacing w:after="200" w:line="276" w:lineRule="auto"/>
        <w:ind w:left="426"/>
        <w:rPr>
          <w:color w:val="000000"/>
          <w:sz w:val="20"/>
        </w:rPr>
      </w:pPr>
      <w:r w:rsidRPr="008C0283">
        <w:rPr>
          <w:color w:val="000000"/>
          <w:sz w:val="20"/>
        </w:rPr>
        <w:t>Without l</w:t>
      </w:r>
      <w:r w:rsidR="00F852B3" w:rsidRPr="008C0283">
        <w:rPr>
          <w:color w:val="000000"/>
          <w:sz w:val="20"/>
        </w:rPr>
        <w:t>imiting subsection </w:t>
      </w:r>
      <w:r w:rsidRPr="008C0283">
        <w:rPr>
          <w:color w:val="000000"/>
          <w:sz w:val="20"/>
        </w:rPr>
        <w:t xml:space="preserve">(1), the Building Code must include provisions ensuring that no person is employed to undertake building work unless: </w:t>
      </w:r>
    </w:p>
    <w:p w14:paraId="26C95D09" w14:textId="3F68C864" w:rsidR="00CA1784" w:rsidRPr="00D82A81" w:rsidRDefault="00CA1784" w:rsidP="004F647D">
      <w:pPr>
        <w:pStyle w:val="ListParagraph"/>
        <w:numPr>
          <w:ilvl w:val="0"/>
          <w:numId w:val="22"/>
        </w:numPr>
        <w:spacing w:after="200" w:line="276" w:lineRule="auto"/>
        <w:rPr>
          <w:color w:val="000000"/>
          <w:sz w:val="20"/>
        </w:rPr>
      </w:pPr>
      <w:r w:rsidRPr="00D82A81">
        <w:rPr>
          <w:color w:val="000000"/>
          <w:sz w:val="20"/>
        </w:rPr>
        <w:t xml:space="preserve">the position is first advertised in Australia; and </w:t>
      </w:r>
    </w:p>
    <w:p w14:paraId="1602DCF1" w14:textId="52662F28" w:rsidR="00CA1784" w:rsidRPr="00D82A81" w:rsidRDefault="00CA1784" w:rsidP="004F647D">
      <w:pPr>
        <w:pStyle w:val="ListParagraph"/>
        <w:numPr>
          <w:ilvl w:val="0"/>
          <w:numId w:val="22"/>
        </w:numPr>
        <w:spacing w:after="200" w:line="276" w:lineRule="auto"/>
        <w:rPr>
          <w:sz w:val="20"/>
        </w:rPr>
      </w:pPr>
      <w:r w:rsidRPr="00D82A81">
        <w:rPr>
          <w:color w:val="000000"/>
          <w:sz w:val="20"/>
        </w:rPr>
        <w:t xml:space="preserve">the advertising was targeted in such a way that a significant proportion of suitably qualified and experienced Australian citizens and Australian permanent residents (within the meaning of the </w:t>
      </w:r>
      <w:r w:rsidRPr="00D82A81">
        <w:rPr>
          <w:i/>
          <w:color w:val="000000"/>
          <w:sz w:val="20"/>
        </w:rPr>
        <w:t>Migration</w:t>
      </w:r>
      <w:r w:rsidR="00A415EB" w:rsidRPr="00D82A81">
        <w:rPr>
          <w:i/>
          <w:color w:val="000000"/>
          <w:sz w:val="20"/>
        </w:rPr>
        <w:t> </w:t>
      </w:r>
      <w:r w:rsidRPr="00D82A81">
        <w:rPr>
          <w:i/>
          <w:color w:val="000000"/>
          <w:sz w:val="20"/>
        </w:rPr>
        <w:t>Act</w:t>
      </w:r>
      <w:r w:rsidR="00C01C9D" w:rsidRPr="00D82A81">
        <w:rPr>
          <w:i/>
          <w:color w:val="000000"/>
          <w:sz w:val="20"/>
        </w:rPr>
        <w:t> </w:t>
      </w:r>
      <w:r w:rsidR="00F6598E" w:rsidRPr="00D82A81">
        <w:rPr>
          <w:rFonts w:cstheme="minorHAnsi"/>
          <w:i/>
          <w:iCs/>
          <w:color w:val="000000"/>
          <w:sz w:val="20"/>
          <w:szCs w:val="20"/>
        </w:rPr>
        <w:t>1958</w:t>
      </w:r>
      <w:r w:rsidRPr="00D82A81">
        <w:rPr>
          <w:color w:val="000000"/>
          <w:sz w:val="20"/>
        </w:rPr>
        <w:t>) would be likely to be informed about the position; and</w:t>
      </w:r>
    </w:p>
    <w:p w14:paraId="06E2C5A6" w14:textId="77777777" w:rsidR="00CA1784" w:rsidRPr="00D82A81" w:rsidRDefault="00CA1784" w:rsidP="004F647D">
      <w:pPr>
        <w:pStyle w:val="ListParagraph"/>
        <w:numPr>
          <w:ilvl w:val="0"/>
          <w:numId w:val="22"/>
        </w:numPr>
        <w:spacing w:after="200" w:line="276" w:lineRule="auto"/>
        <w:rPr>
          <w:color w:val="000000"/>
          <w:sz w:val="20"/>
        </w:rPr>
      </w:pPr>
      <w:r w:rsidRPr="00D82A81">
        <w:rPr>
          <w:color w:val="000000"/>
          <w:sz w:val="20"/>
        </w:rPr>
        <w:t xml:space="preserve">any skills or experience requirements set out in the advertising were appropriate to the position; and </w:t>
      </w:r>
    </w:p>
    <w:p w14:paraId="44C51858" w14:textId="77777777" w:rsidR="00CA1784" w:rsidRPr="00D82A81" w:rsidRDefault="00CA1784" w:rsidP="004F647D">
      <w:pPr>
        <w:pStyle w:val="ListParagraph"/>
        <w:numPr>
          <w:ilvl w:val="0"/>
          <w:numId w:val="22"/>
        </w:numPr>
        <w:spacing w:after="200" w:line="276" w:lineRule="auto"/>
        <w:rPr>
          <w:color w:val="000000"/>
          <w:sz w:val="20"/>
        </w:rPr>
      </w:pPr>
      <w:r w:rsidRPr="00D82A81">
        <w:rPr>
          <w:color w:val="000000"/>
          <w:sz w:val="20"/>
        </w:rPr>
        <w:t>the employer demonstrates that no Australian citizen or Australian permanent resident is suitable for the job.</w:t>
      </w:r>
    </w:p>
    <w:p w14:paraId="38556C0E" w14:textId="08791063" w:rsidR="00CA1784" w:rsidRDefault="00F852B3" w:rsidP="00D82A81">
      <w:pPr>
        <w:spacing w:before="200" w:after="200" w:line="276" w:lineRule="auto"/>
        <w:rPr>
          <w:rFonts w:cstheme="minorHAnsi"/>
        </w:rPr>
      </w:pPr>
      <w:r>
        <w:rPr>
          <w:rFonts w:cstheme="minorHAnsi"/>
        </w:rPr>
        <w:t>Section </w:t>
      </w:r>
      <w:r w:rsidR="00CA1784">
        <w:rPr>
          <w:rFonts w:cstheme="minorHAnsi"/>
        </w:rPr>
        <w:t xml:space="preserve">11F of the </w:t>
      </w:r>
      <w:r>
        <w:rPr>
          <w:rFonts w:cstheme="minorHAnsi"/>
        </w:rPr>
        <w:t>2016 </w:t>
      </w:r>
      <w:r w:rsidR="00CA1784">
        <w:rPr>
          <w:rFonts w:cstheme="minorHAnsi"/>
        </w:rPr>
        <w:t>Code includes drafting that is ge</w:t>
      </w:r>
      <w:r>
        <w:rPr>
          <w:rFonts w:cstheme="minorHAnsi"/>
        </w:rPr>
        <w:t>nerally consistent with subsection </w:t>
      </w:r>
      <w:r w:rsidR="00CA1784">
        <w:rPr>
          <w:rFonts w:cstheme="minorHAnsi"/>
        </w:rPr>
        <w:t>34(2D), alt</w:t>
      </w:r>
      <w:r>
        <w:rPr>
          <w:rFonts w:cstheme="minorHAnsi"/>
        </w:rPr>
        <w:t xml:space="preserve">hough </w:t>
      </w:r>
      <w:r w:rsidR="00E9213E" w:rsidRPr="00EE0A20">
        <w:rPr>
          <w:rFonts w:cstheme="minorHAnsi"/>
        </w:rPr>
        <w:t>section</w:t>
      </w:r>
      <w:r>
        <w:rPr>
          <w:rFonts w:cstheme="minorHAnsi"/>
        </w:rPr>
        <w:t> </w:t>
      </w:r>
      <w:r w:rsidR="00CA1784">
        <w:rPr>
          <w:rFonts w:cstheme="minorHAnsi"/>
        </w:rPr>
        <w:t>11</w:t>
      </w:r>
      <w:proofErr w:type="gramStart"/>
      <w:r w:rsidR="00CA1784">
        <w:rPr>
          <w:rFonts w:cstheme="minorHAnsi"/>
        </w:rPr>
        <w:t>F(</w:t>
      </w:r>
      <w:proofErr w:type="gramEnd"/>
      <w:r w:rsidR="00CA1784">
        <w:rPr>
          <w:rFonts w:cstheme="minorHAnsi"/>
        </w:rPr>
        <w:t>1) differs from the drafting of the</w:t>
      </w:r>
      <w:r w:rsidR="00C34423">
        <w:rPr>
          <w:rFonts w:cstheme="minorHAnsi"/>
        </w:rPr>
        <w:t xml:space="preserve"> BCIIP</w:t>
      </w:r>
      <w:r>
        <w:rPr>
          <w:rFonts w:cstheme="minorHAnsi"/>
        </w:rPr>
        <w:t> </w:t>
      </w:r>
      <w:r w:rsidR="00CA1784">
        <w:rPr>
          <w:rFonts w:cstheme="minorHAnsi"/>
        </w:rPr>
        <w:t>Act in that it states:</w:t>
      </w:r>
    </w:p>
    <w:p w14:paraId="07C826BB" w14:textId="632C286D" w:rsidR="00CA1784" w:rsidRPr="001A1262" w:rsidRDefault="00CA1784" w:rsidP="00D82A81">
      <w:pPr>
        <w:spacing w:after="200" w:line="276" w:lineRule="auto"/>
        <w:ind w:left="426"/>
        <w:rPr>
          <w:color w:val="000000"/>
          <w:sz w:val="20"/>
        </w:rPr>
      </w:pPr>
      <w:r w:rsidRPr="008C0283">
        <w:rPr>
          <w:color w:val="000000"/>
          <w:sz w:val="20"/>
        </w:rPr>
        <w:t xml:space="preserve">A code covered entity must ensure that no person </w:t>
      </w:r>
      <w:r w:rsidRPr="008C0283">
        <w:rPr>
          <w:b/>
          <w:color w:val="000000"/>
          <w:sz w:val="20"/>
        </w:rPr>
        <w:t xml:space="preserve">that is not an Australian citizen or Australian permanent resident (within the meaning of the </w:t>
      </w:r>
      <w:r w:rsidR="00F852B3" w:rsidRPr="001A1262">
        <w:rPr>
          <w:b/>
          <w:i/>
          <w:color w:val="000000"/>
          <w:sz w:val="20"/>
        </w:rPr>
        <w:t>Migration Act </w:t>
      </w:r>
      <w:r w:rsidRPr="001A1262">
        <w:rPr>
          <w:b/>
          <w:i/>
          <w:color w:val="000000"/>
          <w:sz w:val="20"/>
        </w:rPr>
        <w:t>1958</w:t>
      </w:r>
      <w:r w:rsidRPr="001A1262">
        <w:rPr>
          <w:b/>
          <w:color w:val="000000"/>
          <w:sz w:val="20"/>
        </w:rPr>
        <w:t>)</w:t>
      </w:r>
      <w:r w:rsidRPr="001A1262">
        <w:rPr>
          <w:color w:val="000000"/>
          <w:sz w:val="20"/>
        </w:rPr>
        <w:t xml:space="preserve"> is employed to undertake building work for the code covered entity unless… [emphasis added].</w:t>
      </w:r>
    </w:p>
    <w:p w14:paraId="769B717B" w14:textId="59CCA473" w:rsidR="00A20F5B" w:rsidRDefault="00A20F5B" w:rsidP="00D82A81">
      <w:pPr>
        <w:spacing w:before="200" w:after="200" w:line="276" w:lineRule="auto"/>
        <w:rPr>
          <w:rFonts w:cstheme="minorHAnsi"/>
        </w:rPr>
      </w:pPr>
      <w:r>
        <w:rPr>
          <w:rFonts w:cstheme="minorHAnsi"/>
        </w:rPr>
        <w:t>The ACTU suggested in its submission that this di</w:t>
      </w:r>
      <w:r w:rsidR="00E56330">
        <w:rPr>
          <w:rFonts w:cstheme="minorHAnsi"/>
        </w:rPr>
        <w:t xml:space="preserve">fference between the two market </w:t>
      </w:r>
      <w:r>
        <w:rPr>
          <w:rFonts w:cstheme="minorHAnsi"/>
        </w:rPr>
        <w:t xml:space="preserve">testing provisions has arisen from a drafting error. This appears to be the case, with the version of the provision contained in the </w:t>
      </w:r>
      <w:r w:rsidR="00E9213E" w:rsidRPr="00EE0A20">
        <w:rPr>
          <w:rFonts w:cstheme="minorHAnsi"/>
        </w:rPr>
        <w:t>2016 </w:t>
      </w:r>
      <w:r>
        <w:rPr>
          <w:rFonts w:cstheme="minorHAnsi"/>
        </w:rPr>
        <w:t>Code reflecting the apparent legislative intent</w:t>
      </w:r>
      <w:r w:rsidR="002F6E3F">
        <w:rPr>
          <w:rFonts w:cstheme="minorHAnsi"/>
        </w:rPr>
        <w:t>, noting that it is more consistent with the equivalent requirement of the Migration</w:t>
      </w:r>
      <w:r w:rsidR="00E9213E" w:rsidRPr="00EE0A20">
        <w:rPr>
          <w:rFonts w:cstheme="minorHAnsi"/>
        </w:rPr>
        <w:t> </w:t>
      </w:r>
      <w:r w:rsidR="002F6E3F">
        <w:rPr>
          <w:rFonts w:cstheme="minorHAnsi"/>
        </w:rPr>
        <w:t>Act</w:t>
      </w:r>
      <w:r>
        <w:rPr>
          <w:rFonts w:cstheme="minorHAnsi"/>
        </w:rPr>
        <w:t>.</w:t>
      </w:r>
    </w:p>
    <w:p w14:paraId="3D698623" w14:textId="39BBB4E3" w:rsidR="00CA1784" w:rsidRPr="00D320D9" w:rsidRDefault="00CA1784" w:rsidP="00D82A81">
      <w:pPr>
        <w:spacing w:before="200" w:after="200" w:line="276" w:lineRule="auto"/>
        <w:rPr>
          <w:rFonts w:cstheme="minorHAnsi"/>
        </w:rPr>
      </w:pPr>
      <w:r w:rsidRPr="003E14DF">
        <w:rPr>
          <w:rFonts w:cstheme="minorHAnsi"/>
        </w:rPr>
        <w:t xml:space="preserve">This is clearly a strong market testing requirement which, in effect, states that temporary work permit holders can only be employed in the building industry if the employer can demonstrate, on reasonable grounds, that no </w:t>
      </w:r>
      <w:r w:rsidR="00E9213E" w:rsidRPr="00EE0A20">
        <w:rPr>
          <w:rFonts w:cstheme="minorHAnsi"/>
        </w:rPr>
        <w:t>‘</w:t>
      </w:r>
      <w:r w:rsidRPr="003E14DF">
        <w:rPr>
          <w:rFonts w:cstheme="minorHAnsi"/>
        </w:rPr>
        <w:t xml:space="preserve">Australian citizen or Australian permanent </w:t>
      </w:r>
      <w:r w:rsidR="00E9213E" w:rsidRPr="00EE0A20">
        <w:rPr>
          <w:rFonts w:cstheme="minorHAnsi"/>
        </w:rPr>
        <w:t>resident’</w:t>
      </w:r>
      <w:r w:rsidRPr="003E14DF">
        <w:rPr>
          <w:rFonts w:cstheme="minorHAnsi"/>
        </w:rPr>
        <w:t xml:space="preserve"> is suitable for the </w:t>
      </w:r>
      <w:r w:rsidRPr="00D320D9">
        <w:rPr>
          <w:rFonts w:cstheme="minorHAnsi"/>
        </w:rPr>
        <w:t>job.</w:t>
      </w:r>
    </w:p>
    <w:p w14:paraId="3A5AA3C4" w14:textId="518B66B0" w:rsidR="00CA1784" w:rsidRPr="00D320D9" w:rsidRDefault="00CA1784" w:rsidP="00D82A81">
      <w:pPr>
        <w:spacing w:before="200" w:after="200" w:line="276" w:lineRule="auto"/>
        <w:rPr>
          <w:rFonts w:cstheme="minorHAnsi"/>
        </w:rPr>
      </w:pPr>
      <w:r w:rsidRPr="00D320D9">
        <w:rPr>
          <w:rFonts w:cstheme="minorHAnsi"/>
        </w:rPr>
        <w:t>Section</w:t>
      </w:r>
      <w:r w:rsidR="00F852B3" w:rsidRPr="00D320D9">
        <w:rPr>
          <w:rFonts w:cstheme="minorHAnsi"/>
        </w:rPr>
        <w:t> </w:t>
      </w:r>
      <w:r w:rsidRPr="00D320D9">
        <w:rPr>
          <w:rFonts w:cstheme="minorHAnsi"/>
        </w:rPr>
        <w:t xml:space="preserve">140GBA of the </w:t>
      </w:r>
      <w:r w:rsidR="00F852B3" w:rsidRPr="00D320D9">
        <w:rPr>
          <w:rFonts w:cstheme="minorHAnsi"/>
        </w:rPr>
        <w:t>Migration </w:t>
      </w:r>
      <w:r w:rsidRPr="00D320D9">
        <w:rPr>
          <w:rFonts w:cstheme="minorHAnsi"/>
        </w:rPr>
        <w:t xml:space="preserve">Act establishes generally applicable labour market testing requirements in relation to the employment of </w:t>
      </w:r>
      <w:r w:rsidR="003A2A9D">
        <w:rPr>
          <w:rFonts w:cstheme="minorHAnsi"/>
        </w:rPr>
        <w:t>certain</w:t>
      </w:r>
      <w:r w:rsidR="00524AEF" w:rsidRPr="00D320D9">
        <w:rPr>
          <w:rFonts w:cstheme="minorHAnsi"/>
        </w:rPr>
        <w:t xml:space="preserve"> categories of </w:t>
      </w:r>
      <w:r w:rsidRPr="00D320D9">
        <w:rPr>
          <w:rFonts w:cstheme="minorHAnsi"/>
        </w:rPr>
        <w:t>workers who are not Australian cit</w:t>
      </w:r>
      <w:r w:rsidR="00F852B3" w:rsidRPr="00D320D9">
        <w:rPr>
          <w:rFonts w:cstheme="minorHAnsi"/>
        </w:rPr>
        <w:t>izens or residents. Subsections </w:t>
      </w:r>
      <w:r w:rsidRPr="00D320D9">
        <w:rPr>
          <w:rFonts w:cstheme="minorHAnsi"/>
        </w:rPr>
        <w:t>(5)</w:t>
      </w:r>
      <w:r w:rsidR="0099154A" w:rsidRPr="00D320D9">
        <w:rPr>
          <w:rFonts w:cstheme="minorHAnsi"/>
        </w:rPr>
        <w:t> </w:t>
      </w:r>
      <w:r w:rsidRPr="00D320D9">
        <w:rPr>
          <w:rFonts w:cstheme="minorHAnsi"/>
        </w:rPr>
        <w:t>and</w:t>
      </w:r>
      <w:r w:rsidR="0099154A" w:rsidRPr="00D320D9">
        <w:rPr>
          <w:rFonts w:cstheme="minorHAnsi"/>
        </w:rPr>
        <w:t> </w:t>
      </w:r>
      <w:r w:rsidRPr="00D320D9">
        <w:rPr>
          <w:rFonts w:cstheme="minorHAnsi"/>
        </w:rPr>
        <w:t>(6) set out requirements in relation to the provision of evidence of labour market testing havi</w:t>
      </w:r>
      <w:r w:rsidR="00F852B3" w:rsidRPr="00D320D9">
        <w:rPr>
          <w:rFonts w:cstheme="minorHAnsi"/>
        </w:rPr>
        <w:t>ng been carried out</w:t>
      </w:r>
      <w:r w:rsidR="005C7CAD" w:rsidRPr="00D320D9">
        <w:rPr>
          <w:rFonts w:cstheme="minorHAnsi"/>
        </w:rPr>
        <w:t xml:space="preserve">, </w:t>
      </w:r>
      <w:r w:rsidR="00ED4E08" w:rsidRPr="003A2A9D">
        <w:rPr>
          <w:rFonts w:cstheme="minorHAnsi"/>
        </w:rPr>
        <w:t xml:space="preserve">in order to satisfy </w:t>
      </w:r>
      <w:r w:rsidR="005C7CAD" w:rsidRPr="00D320D9">
        <w:rPr>
          <w:rFonts w:cstheme="minorHAnsi"/>
        </w:rPr>
        <w:t>the Minister that</w:t>
      </w:r>
      <w:r w:rsidRPr="00D320D9">
        <w:rPr>
          <w:rFonts w:cstheme="minorHAnsi"/>
        </w:rPr>
        <w:t>:</w:t>
      </w:r>
    </w:p>
    <w:p w14:paraId="0D430909" w14:textId="088F2987" w:rsidR="005C7CAD" w:rsidRPr="00D320D9" w:rsidRDefault="005C7CAD" w:rsidP="00D82A81">
      <w:pPr>
        <w:spacing w:after="200" w:line="276" w:lineRule="auto"/>
        <w:ind w:left="426"/>
        <w:rPr>
          <w:sz w:val="20"/>
        </w:rPr>
      </w:pPr>
      <w:r w:rsidRPr="00D320D9">
        <w:rPr>
          <w:sz w:val="20"/>
        </w:rPr>
        <w:t>[A] suitably qualified and experienced Australian citizen or Australian permanent resident is not readily available to fill the nominated position</w:t>
      </w:r>
    </w:p>
    <w:p w14:paraId="72A01CF0" w14:textId="6481B0A4" w:rsidR="00CA1784" w:rsidRPr="00D320D9" w:rsidRDefault="00F852B3" w:rsidP="00D82A81">
      <w:pPr>
        <w:spacing w:before="200" w:after="200" w:line="276" w:lineRule="auto"/>
        <w:rPr>
          <w:rFonts w:cstheme="minorHAnsi"/>
        </w:rPr>
      </w:pPr>
      <w:r w:rsidRPr="00D320D9">
        <w:rPr>
          <w:rFonts w:cstheme="minorHAnsi"/>
        </w:rPr>
        <w:t>Subsection </w:t>
      </w:r>
      <w:r w:rsidR="00145F0B" w:rsidRPr="00D320D9">
        <w:rPr>
          <w:rFonts w:cstheme="minorHAnsi"/>
        </w:rPr>
        <w:t>(</w:t>
      </w:r>
      <w:r w:rsidR="00CA1784" w:rsidRPr="00D320D9">
        <w:rPr>
          <w:rFonts w:cstheme="minorHAnsi"/>
        </w:rPr>
        <w:t>6</w:t>
      </w:r>
      <w:r w:rsidR="00145F0B" w:rsidRPr="00D320D9">
        <w:rPr>
          <w:rFonts w:cstheme="minorHAnsi"/>
        </w:rPr>
        <w:t>)</w:t>
      </w:r>
      <w:r w:rsidR="00CA1784" w:rsidRPr="00D320D9">
        <w:rPr>
          <w:rFonts w:cstheme="minorHAnsi"/>
        </w:rPr>
        <w:t xml:space="preserve"> </w:t>
      </w:r>
      <w:r w:rsidR="00ED4E08" w:rsidRPr="00D320D9">
        <w:rPr>
          <w:rFonts w:cstheme="minorHAnsi"/>
        </w:rPr>
        <w:t xml:space="preserve">provides </w:t>
      </w:r>
      <w:r w:rsidR="00CA1784" w:rsidRPr="00D320D9">
        <w:rPr>
          <w:rFonts w:cstheme="minorHAnsi"/>
        </w:rPr>
        <w:t xml:space="preserve">that the </w:t>
      </w:r>
      <w:r w:rsidR="00ED4E08" w:rsidRPr="00D320D9">
        <w:rPr>
          <w:rFonts w:cstheme="minorHAnsi"/>
        </w:rPr>
        <w:t>Minister may determine</w:t>
      </w:r>
      <w:r w:rsidR="00CA1784" w:rsidRPr="00D320D9">
        <w:rPr>
          <w:rFonts w:cstheme="minorHAnsi"/>
        </w:rPr>
        <w:t>:</w:t>
      </w:r>
    </w:p>
    <w:p w14:paraId="5D391BD0" w14:textId="77777777" w:rsidR="00ED4E08" w:rsidRPr="00D320D9" w:rsidRDefault="00ED4E08" w:rsidP="00ED4E08">
      <w:pPr>
        <w:spacing w:after="0" w:line="276" w:lineRule="auto"/>
        <w:ind w:left="426"/>
        <w:rPr>
          <w:sz w:val="20"/>
          <w:szCs w:val="20"/>
        </w:rPr>
      </w:pPr>
      <w:r w:rsidRPr="00D320D9">
        <w:rPr>
          <w:sz w:val="20"/>
          <w:szCs w:val="20"/>
        </w:rPr>
        <w:t xml:space="preserve">(a) the language to be used for any advertising (paid or unpaid) of the position, and any similar positions, commissioned or authorised by the approved sponsor; </w:t>
      </w:r>
    </w:p>
    <w:p w14:paraId="72ECEC73" w14:textId="77777777" w:rsidR="00ED4E08" w:rsidRPr="00D320D9" w:rsidRDefault="00ED4E08" w:rsidP="00ED4E08">
      <w:pPr>
        <w:spacing w:after="0" w:line="276" w:lineRule="auto"/>
        <w:ind w:left="426"/>
        <w:rPr>
          <w:sz w:val="20"/>
          <w:szCs w:val="20"/>
        </w:rPr>
      </w:pPr>
      <w:r w:rsidRPr="00D320D9">
        <w:rPr>
          <w:sz w:val="20"/>
          <w:szCs w:val="20"/>
        </w:rPr>
        <w:lastRenderedPageBreak/>
        <w:t xml:space="preserve">(b) the method of any such advertising; </w:t>
      </w:r>
    </w:p>
    <w:p w14:paraId="0637FB94" w14:textId="77777777" w:rsidR="00ED4E08" w:rsidRPr="00D320D9" w:rsidRDefault="00ED4E08" w:rsidP="00ED4E08">
      <w:pPr>
        <w:spacing w:after="0" w:line="276" w:lineRule="auto"/>
        <w:ind w:left="426"/>
        <w:rPr>
          <w:sz w:val="20"/>
          <w:szCs w:val="20"/>
        </w:rPr>
      </w:pPr>
      <w:r w:rsidRPr="00D320D9">
        <w:rPr>
          <w:sz w:val="20"/>
          <w:szCs w:val="20"/>
        </w:rPr>
        <w:t xml:space="preserve">(c) the period during which any such advertising must occur; </w:t>
      </w:r>
    </w:p>
    <w:p w14:paraId="20B047AD" w14:textId="2CBB23B9" w:rsidR="00ED4E08" w:rsidRPr="00D320D9" w:rsidRDefault="00ED4E08" w:rsidP="00ED4E08">
      <w:pPr>
        <w:spacing w:after="0" w:line="276" w:lineRule="auto"/>
        <w:ind w:left="426"/>
        <w:rPr>
          <w:color w:val="000000"/>
          <w:sz w:val="20"/>
          <w:szCs w:val="20"/>
        </w:rPr>
      </w:pPr>
      <w:r w:rsidRPr="00D320D9">
        <w:rPr>
          <w:sz w:val="20"/>
          <w:szCs w:val="20"/>
        </w:rPr>
        <w:t>(d) the duration of any such advertising.</w:t>
      </w:r>
    </w:p>
    <w:p w14:paraId="3FDF6363" w14:textId="7AA695A4" w:rsidR="00CA1784" w:rsidRPr="00D320D9" w:rsidRDefault="00F852B3" w:rsidP="00D82A81">
      <w:pPr>
        <w:spacing w:before="200" w:after="200" w:line="276" w:lineRule="auto"/>
        <w:rPr>
          <w:rFonts w:cstheme="minorHAnsi"/>
        </w:rPr>
      </w:pPr>
      <w:r w:rsidRPr="00D320D9">
        <w:rPr>
          <w:rFonts w:cstheme="minorHAnsi"/>
        </w:rPr>
        <w:t>Subsection</w:t>
      </w:r>
      <w:r w:rsidR="00CA1784" w:rsidRPr="00D320D9">
        <w:rPr>
          <w:rFonts w:cstheme="minorHAnsi"/>
        </w:rPr>
        <w:t xml:space="preserve"> </w:t>
      </w:r>
      <w:r w:rsidR="00145F0B" w:rsidRPr="00D320D9">
        <w:rPr>
          <w:rFonts w:cstheme="minorHAnsi"/>
        </w:rPr>
        <w:t>(</w:t>
      </w:r>
      <w:r w:rsidR="00CA1784" w:rsidRPr="00D320D9">
        <w:rPr>
          <w:rFonts w:cstheme="minorHAnsi"/>
        </w:rPr>
        <w:t>6</w:t>
      </w:r>
      <w:r w:rsidR="00145F0B" w:rsidRPr="00D320D9">
        <w:rPr>
          <w:rFonts w:cstheme="minorHAnsi"/>
        </w:rPr>
        <w:t>)</w:t>
      </w:r>
      <w:r w:rsidR="00CA1784" w:rsidRPr="00D320D9">
        <w:rPr>
          <w:rFonts w:cstheme="minorHAnsi"/>
        </w:rPr>
        <w:t xml:space="preserve"> </w:t>
      </w:r>
      <w:r w:rsidR="00ED4E08" w:rsidRPr="00D320D9">
        <w:rPr>
          <w:rFonts w:cstheme="minorHAnsi"/>
        </w:rPr>
        <w:t>also provides that the Minister may prescribe different manners or evidence for different nominated positions or classes of nominated positions.</w:t>
      </w:r>
    </w:p>
    <w:p w14:paraId="7E936B4F" w14:textId="413346DB" w:rsidR="00CA1784" w:rsidRPr="00D320D9" w:rsidRDefault="00CA1784" w:rsidP="00D82A81">
      <w:pPr>
        <w:spacing w:before="200" w:after="200" w:line="276" w:lineRule="auto"/>
        <w:rPr>
          <w:rFonts w:cstheme="minorHAnsi"/>
        </w:rPr>
      </w:pPr>
      <w:r w:rsidRPr="00D320D9">
        <w:rPr>
          <w:rFonts w:cstheme="minorHAnsi"/>
        </w:rPr>
        <w:t>These requirements are generally simila</w:t>
      </w:r>
      <w:r w:rsidR="00F852B3" w:rsidRPr="00D320D9">
        <w:rPr>
          <w:rFonts w:cstheme="minorHAnsi"/>
        </w:rPr>
        <w:t>r to those contained in section </w:t>
      </w:r>
      <w:r w:rsidRPr="00D320D9">
        <w:rPr>
          <w:rFonts w:cstheme="minorHAnsi"/>
        </w:rPr>
        <w:t xml:space="preserve">11F of the </w:t>
      </w:r>
      <w:r w:rsidR="00EA7C53" w:rsidRPr="00D320D9">
        <w:rPr>
          <w:rFonts w:cstheme="minorHAnsi"/>
        </w:rPr>
        <w:t>2016 </w:t>
      </w:r>
      <w:r w:rsidRPr="00D320D9">
        <w:rPr>
          <w:rFonts w:cstheme="minorHAnsi"/>
        </w:rPr>
        <w:t>Code</w:t>
      </w:r>
      <w:r w:rsidR="00F91CAA" w:rsidRPr="00D320D9">
        <w:rPr>
          <w:rFonts w:cstheme="minorHAnsi"/>
        </w:rPr>
        <w:t xml:space="preserve">. </w:t>
      </w:r>
      <w:r w:rsidRPr="00D320D9">
        <w:rPr>
          <w:rFonts w:cstheme="minorHAnsi"/>
        </w:rPr>
        <w:t>However, s</w:t>
      </w:r>
      <w:r w:rsidR="00F852B3" w:rsidRPr="00D320D9">
        <w:rPr>
          <w:rFonts w:cstheme="minorHAnsi"/>
        </w:rPr>
        <w:t>ubs</w:t>
      </w:r>
      <w:r w:rsidRPr="00D320D9">
        <w:rPr>
          <w:rFonts w:cstheme="minorHAnsi"/>
        </w:rPr>
        <w:t>ection</w:t>
      </w:r>
      <w:r w:rsidR="00F852B3" w:rsidRPr="00D320D9">
        <w:rPr>
          <w:rFonts w:cstheme="minorHAnsi"/>
        </w:rPr>
        <w:t> </w:t>
      </w:r>
      <w:r w:rsidRPr="00D320D9">
        <w:rPr>
          <w:rFonts w:cstheme="minorHAnsi"/>
        </w:rPr>
        <w:t>140GBA(1</w:t>
      </w:r>
      <w:r w:rsidR="00E9213E" w:rsidRPr="00D320D9">
        <w:rPr>
          <w:rFonts w:cstheme="minorHAnsi"/>
        </w:rPr>
        <w:t>)</w:t>
      </w:r>
      <w:r w:rsidR="00145F0B" w:rsidRPr="00D320D9">
        <w:rPr>
          <w:rFonts w:cstheme="minorHAnsi"/>
        </w:rPr>
        <w:t>(</w:t>
      </w:r>
      <w:r w:rsidRPr="00D320D9">
        <w:rPr>
          <w:rFonts w:cstheme="minorHAnsi"/>
        </w:rPr>
        <w:t>c</w:t>
      </w:r>
      <w:r w:rsidR="00145F0B" w:rsidRPr="00D320D9">
        <w:rPr>
          <w:rFonts w:cstheme="minorHAnsi"/>
        </w:rPr>
        <w:t>)</w:t>
      </w:r>
      <w:r w:rsidRPr="00D320D9">
        <w:rPr>
          <w:rFonts w:cstheme="minorHAnsi"/>
        </w:rPr>
        <w:t xml:space="preserve"> of the </w:t>
      </w:r>
      <w:r w:rsidRPr="00D320D9">
        <w:t>Migration</w:t>
      </w:r>
      <w:r w:rsidR="00F852B3" w:rsidRPr="00D320D9">
        <w:t> </w:t>
      </w:r>
      <w:r w:rsidRPr="00D320D9">
        <w:t>Act</w:t>
      </w:r>
      <w:r w:rsidRPr="00D320D9">
        <w:rPr>
          <w:rFonts w:cstheme="minorHAnsi"/>
        </w:rPr>
        <w:t xml:space="preserve"> limits the application of the labour market testing requirements to circumstances in which:</w:t>
      </w:r>
    </w:p>
    <w:p w14:paraId="7083B43D" w14:textId="32FE1FB7" w:rsidR="00C1245B" w:rsidRPr="00D320D9" w:rsidRDefault="00D82A81" w:rsidP="00D82A81">
      <w:pPr>
        <w:spacing w:after="200" w:line="276" w:lineRule="auto"/>
        <w:ind w:left="426"/>
        <w:rPr>
          <w:sz w:val="20"/>
        </w:rPr>
      </w:pPr>
      <w:r w:rsidRPr="00D320D9">
        <w:rPr>
          <w:sz w:val="20"/>
        </w:rPr>
        <w:t>[I]</w:t>
      </w:r>
      <w:r w:rsidR="00CA1784" w:rsidRPr="00D320D9">
        <w:rPr>
          <w:sz w:val="20"/>
        </w:rPr>
        <w:t>t would not be inconsistent with any international trade obligation of Australia determined under subsection</w:t>
      </w:r>
      <w:r w:rsidR="0099154A" w:rsidRPr="00D320D9">
        <w:rPr>
          <w:sz w:val="20"/>
        </w:rPr>
        <w:t> </w:t>
      </w:r>
      <w:r w:rsidR="00CA1784" w:rsidRPr="00D320D9">
        <w:rPr>
          <w:sz w:val="20"/>
        </w:rPr>
        <w:t xml:space="preserve">(2) to require the </w:t>
      </w:r>
      <w:r w:rsidR="00C1245B" w:rsidRPr="00D320D9">
        <w:rPr>
          <w:sz w:val="20"/>
        </w:rPr>
        <w:t xml:space="preserve">person </w:t>
      </w:r>
      <w:r w:rsidR="00CA1784" w:rsidRPr="00D320D9">
        <w:rPr>
          <w:sz w:val="20"/>
        </w:rPr>
        <w:t>to satisfy the labour market testing condition in this section, in relation to the nominated position.</w:t>
      </w:r>
    </w:p>
    <w:p w14:paraId="356763F1" w14:textId="3733D3F8" w:rsidR="00CA1784" w:rsidRPr="00D320D9" w:rsidRDefault="00CA1784" w:rsidP="00D82A81">
      <w:pPr>
        <w:spacing w:before="200" w:after="200" w:line="276" w:lineRule="auto"/>
        <w:rPr>
          <w:color w:val="000000"/>
        </w:rPr>
      </w:pPr>
      <w:r w:rsidRPr="00D320D9">
        <w:t>Several legislative instruments have been made un</w:t>
      </w:r>
      <w:r w:rsidR="00F852B3" w:rsidRPr="00D320D9">
        <w:t>der the authority of subsection </w:t>
      </w:r>
      <w:r w:rsidRPr="00D320D9">
        <w:t>140</w:t>
      </w:r>
      <w:proofErr w:type="gramStart"/>
      <w:r w:rsidRPr="00D320D9">
        <w:t>GBA(</w:t>
      </w:r>
      <w:proofErr w:type="gramEnd"/>
      <w:r w:rsidRPr="00D320D9">
        <w:t xml:space="preserve">2) in recent years which explicitly identify circumstances in which such conflicts arise and, as a result, clarify that the labour market </w:t>
      </w:r>
      <w:r w:rsidR="00F852B3" w:rsidRPr="00D320D9">
        <w:t xml:space="preserve">testing requirements </w:t>
      </w:r>
      <w:r w:rsidRPr="00D320D9">
        <w:t>do not apply in those circumstances</w:t>
      </w:r>
      <w:r w:rsidR="00F91CAA" w:rsidRPr="00D320D9">
        <w:t xml:space="preserve">. </w:t>
      </w:r>
      <w:r w:rsidRPr="00D320D9">
        <w:t xml:space="preserve">For example, the </w:t>
      </w:r>
      <w:r w:rsidRPr="00D320D9">
        <w:rPr>
          <w:i/>
          <w:color w:val="000000"/>
        </w:rPr>
        <w:t>Japan Australia Economic Partnership Agreement Determination</w:t>
      </w:r>
      <w:r w:rsidR="00E9213E" w:rsidRPr="00D320D9">
        <w:rPr>
          <w:i/>
          <w:color w:val="000000"/>
        </w:rPr>
        <w:t> </w:t>
      </w:r>
      <w:r w:rsidRPr="00D320D9">
        <w:rPr>
          <w:i/>
          <w:color w:val="000000"/>
        </w:rPr>
        <w:t>2014 [IMMI</w:t>
      </w:r>
      <w:r w:rsidR="00E9213E" w:rsidRPr="00D320D9">
        <w:rPr>
          <w:i/>
          <w:color w:val="000000"/>
        </w:rPr>
        <w:t> </w:t>
      </w:r>
      <w:r w:rsidRPr="00D320D9">
        <w:rPr>
          <w:i/>
          <w:color w:val="000000"/>
        </w:rPr>
        <w:t xml:space="preserve">14/113] </w:t>
      </w:r>
      <w:r w:rsidR="00E56330" w:rsidRPr="00D320D9">
        <w:rPr>
          <w:color w:val="000000"/>
        </w:rPr>
        <w:t xml:space="preserve">declared that the market </w:t>
      </w:r>
      <w:r w:rsidRPr="00D320D9">
        <w:rPr>
          <w:color w:val="000000"/>
        </w:rPr>
        <w:t xml:space="preserve">testing requirements would be inconsistent with the Japan-Australia Economic Partnership Agreement, to the extent that they were applied to: </w:t>
      </w:r>
    </w:p>
    <w:p w14:paraId="5A71F4AF" w14:textId="4CDD45BD" w:rsidR="00CA1784" w:rsidRPr="00D320D9" w:rsidRDefault="00CA1784" w:rsidP="004F647D">
      <w:pPr>
        <w:pStyle w:val="default0"/>
        <w:numPr>
          <w:ilvl w:val="0"/>
          <w:numId w:val="14"/>
        </w:numPr>
        <w:shd w:val="clear" w:color="auto" w:fill="FFFFFF"/>
        <w:spacing w:before="0" w:beforeAutospacing="0" w:after="0" w:afterAutospacing="0" w:line="276" w:lineRule="auto"/>
        <w:ind w:left="851" w:hanging="425"/>
        <w:rPr>
          <w:rFonts w:asciiTheme="minorHAnsi" w:hAnsiTheme="minorHAnsi"/>
          <w:color w:val="000000"/>
          <w:sz w:val="20"/>
        </w:rPr>
      </w:pPr>
      <w:r w:rsidRPr="00D320D9">
        <w:rPr>
          <w:rFonts w:asciiTheme="minorHAnsi" w:hAnsiTheme="minorHAnsi"/>
          <w:color w:val="000000"/>
          <w:sz w:val="20"/>
        </w:rPr>
        <w:t>Executives and Senior Managers as Intra-Corporate Transferees;</w:t>
      </w:r>
    </w:p>
    <w:p w14:paraId="60C4B923" w14:textId="3E8CAF1C" w:rsidR="00CA1784" w:rsidRPr="00D320D9" w:rsidRDefault="00CA1784" w:rsidP="004F647D">
      <w:pPr>
        <w:pStyle w:val="default0"/>
        <w:numPr>
          <w:ilvl w:val="0"/>
          <w:numId w:val="14"/>
        </w:numPr>
        <w:shd w:val="clear" w:color="auto" w:fill="FFFFFF"/>
        <w:spacing w:before="0" w:beforeAutospacing="0" w:after="0" w:afterAutospacing="0" w:line="276" w:lineRule="auto"/>
        <w:ind w:left="851" w:hanging="425"/>
        <w:rPr>
          <w:rFonts w:asciiTheme="minorHAnsi" w:hAnsiTheme="minorHAnsi"/>
          <w:color w:val="000000"/>
          <w:sz w:val="20"/>
        </w:rPr>
      </w:pPr>
      <w:r w:rsidRPr="00D320D9">
        <w:rPr>
          <w:rFonts w:asciiTheme="minorHAnsi" w:hAnsiTheme="minorHAnsi"/>
          <w:color w:val="000000"/>
          <w:sz w:val="20"/>
        </w:rPr>
        <w:t>Specialists as Intra-Corporate Transferees;</w:t>
      </w:r>
    </w:p>
    <w:p w14:paraId="75FF4C34" w14:textId="111262FA" w:rsidR="00CA1784" w:rsidRPr="00D320D9" w:rsidRDefault="00CA1784" w:rsidP="004F647D">
      <w:pPr>
        <w:pStyle w:val="default0"/>
        <w:numPr>
          <w:ilvl w:val="0"/>
          <w:numId w:val="14"/>
        </w:numPr>
        <w:shd w:val="clear" w:color="auto" w:fill="FFFFFF"/>
        <w:spacing w:before="0" w:beforeAutospacing="0" w:after="0" w:afterAutospacing="0" w:line="276" w:lineRule="auto"/>
        <w:ind w:left="851" w:hanging="425"/>
        <w:rPr>
          <w:rFonts w:asciiTheme="minorHAnsi" w:hAnsiTheme="minorHAnsi"/>
          <w:color w:val="000000"/>
          <w:sz w:val="20"/>
        </w:rPr>
      </w:pPr>
      <w:r w:rsidRPr="00D320D9">
        <w:rPr>
          <w:rFonts w:asciiTheme="minorHAnsi" w:hAnsiTheme="minorHAnsi"/>
          <w:color w:val="000000"/>
          <w:sz w:val="20"/>
        </w:rPr>
        <w:t>Investors of Japan;</w:t>
      </w:r>
    </w:p>
    <w:p w14:paraId="5E1B5496" w14:textId="1C6584B2" w:rsidR="00CA1784" w:rsidRPr="00D320D9" w:rsidRDefault="00CA1784" w:rsidP="004F647D">
      <w:pPr>
        <w:pStyle w:val="default0"/>
        <w:numPr>
          <w:ilvl w:val="0"/>
          <w:numId w:val="14"/>
        </w:numPr>
        <w:shd w:val="clear" w:color="auto" w:fill="FFFFFF"/>
        <w:spacing w:before="0" w:beforeAutospacing="0" w:after="0" w:afterAutospacing="0" w:line="276" w:lineRule="auto"/>
        <w:ind w:left="851" w:hanging="425"/>
        <w:rPr>
          <w:rFonts w:asciiTheme="minorHAnsi" w:hAnsiTheme="minorHAnsi"/>
          <w:color w:val="000000"/>
          <w:sz w:val="20"/>
        </w:rPr>
      </w:pPr>
      <w:r w:rsidRPr="00D320D9">
        <w:rPr>
          <w:rFonts w:asciiTheme="minorHAnsi" w:hAnsiTheme="minorHAnsi"/>
          <w:color w:val="000000"/>
          <w:sz w:val="20"/>
        </w:rPr>
        <w:t>Contractual Service Suppliers.</w:t>
      </w:r>
      <w:r w:rsidR="00C51E7F" w:rsidRPr="003A2A9D">
        <w:rPr>
          <w:rStyle w:val="FootnoteReference"/>
          <w:rFonts w:asciiTheme="minorHAnsi" w:hAnsiTheme="minorHAnsi"/>
          <w:color w:val="000000"/>
          <w:sz w:val="20"/>
        </w:rPr>
        <w:footnoteReference w:id="61"/>
      </w:r>
    </w:p>
    <w:p w14:paraId="716D0BB9" w14:textId="30D45A83" w:rsidR="00CA1784" w:rsidRPr="00D320D9" w:rsidRDefault="00CA1784" w:rsidP="00D82A81">
      <w:pPr>
        <w:spacing w:before="200" w:after="200" w:line="276" w:lineRule="auto"/>
        <w:rPr>
          <w:color w:val="000000"/>
        </w:rPr>
      </w:pPr>
      <w:r w:rsidRPr="003A2A9D">
        <w:rPr>
          <w:color w:val="000000"/>
        </w:rPr>
        <w:t>The instrument came into effect immediately after the Japan Australia Economic Partnership Agreement came into force and had the effect of explicitly removing the requirement for market testing to be undertaken in these circumstances</w:t>
      </w:r>
      <w:r w:rsidR="001334EB" w:rsidRPr="003A2A9D">
        <w:rPr>
          <w:color w:val="000000"/>
        </w:rPr>
        <w:t>.</w:t>
      </w:r>
    </w:p>
    <w:p w14:paraId="44FE5539" w14:textId="209B02BD" w:rsidR="00CA1784" w:rsidRPr="00D320D9" w:rsidRDefault="00CA1784" w:rsidP="00D82A81">
      <w:pPr>
        <w:spacing w:before="200" w:after="200" w:line="276" w:lineRule="auto"/>
        <w:rPr>
          <w:rFonts w:cstheme="minorHAnsi"/>
        </w:rPr>
      </w:pPr>
      <w:r w:rsidRPr="00D320D9">
        <w:rPr>
          <w:rFonts w:cstheme="minorHAnsi"/>
        </w:rPr>
        <w:t>More recently, a substantially wider-ranging legislative instrument has been made un</w:t>
      </w:r>
      <w:r w:rsidR="00F852B3" w:rsidRPr="00D320D9">
        <w:rPr>
          <w:rFonts w:cstheme="minorHAnsi"/>
        </w:rPr>
        <w:t>der the authority of subsection </w:t>
      </w:r>
      <w:r w:rsidRPr="00D320D9">
        <w:rPr>
          <w:rFonts w:cstheme="minorHAnsi"/>
        </w:rPr>
        <w:t>140</w:t>
      </w:r>
      <w:proofErr w:type="gramStart"/>
      <w:r w:rsidRPr="00D320D9">
        <w:rPr>
          <w:rFonts w:cstheme="minorHAnsi"/>
        </w:rPr>
        <w:t>GBA(</w:t>
      </w:r>
      <w:proofErr w:type="gramEnd"/>
      <w:r w:rsidRPr="00D320D9">
        <w:rPr>
          <w:rFonts w:cstheme="minorHAnsi"/>
        </w:rPr>
        <w:t xml:space="preserve">2). This is the </w:t>
      </w:r>
      <w:r w:rsidRPr="00D320D9">
        <w:rPr>
          <w:rFonts w:cstheme="minorHAnsi"/>
          <w:i/>
        </w:rPr>
        <w:t>Determination of International Trade Obligations Relating to Labour Market Testing Instrument</w:t>
      </w:r>
      <w:r w:rsidR="00E9213E" w:rsidRPr="00D320D9">
        <w:rPr>
          <w:rFonts w:cstheme="minorHAnsi"/>
          <w:i/>
        </w:rPr>
        <w:t> </w:t>
      </w:r>
      <w:r w:rsidRPr="00D320D9">
        <w:rPr>
          <w:rFonts w:cstheme="minorHAnsi"/>
          <w:i/>
        </w:rPr>
        <w:t>2017 (IMM</w:t>
      </w:r>
      <w:r w:rsidR="00F852B3" w:rsidRPr="00D320D9">
        <w:rPr>
          <w:rFonts w:cstheme="minorHAnsi"/>
          <w:i/>
        </w:rPr>
        <w:t>I </w:t>
      </w:r>
      <w:r w:rsidRPr="00D320D9">
        <w:rPr>
          <w:rFonts w:cstheme="minorHAnsi"/>
          <w:i/>
        </w:rPr>
        <w:t xml:space="preserve">17/109), </w:t>
      </w:r>
      <w:r w:rsidRPr="00D320D9">
        <w:rPr>
          <w:rFonts w:cstheme="minorHAnsi"/>
        </w:rPr>
        <w:t>which</w:t>
      </w:r>
      <w:r w:rsidRPr="00D320D9">
        <w:t xml:space="preserve"> </w:t>
      </w:r>
      <w:r w:rsidR="00F852B3" w:rsidRPr="00D320D9">
        <w:rPr>
          <w:rFonts w:cstheme="minorHAnsi"/>
        </w:rPr>
        <w:t>was adopted on 22 November </w:t>
      </w:r>
      <w:r w:rsidRPr="00D320D9">
        <w:rPr>
          <w:rFonts w:cstheme="minorHAnsi"/>
        </w:rPr>
        <w:t>2017</w:t>
      </w:r>
      <w:r w:rsidR="00F91CAA" w:rsidRPr="00D320D9">
        <w:rPr>
          <w:rFonts w:cstheme="minorHAnsi"/>
        </w:rPr>
        <w:t xml:space="preserve">. </w:t>
      </w:r>
      <w:r w:rsidRPr="00D320D9">
        <w:rPr>
          <w:rFonts w:cstheme="minorHAnsi"/>
        </w:rPr>
        <w:t xml:space="preserve">This instrument identifies </w:t>
      </w:r>
      <w:r w:rsidR="00F852B3" w:rsidRPr="00D320D9">
        <w:rPr>
          <w:rFonts w:cstheme="minorHAnsi"/>
        </w:rPr>
        <w:t xml:space="preserve">ten </w:t>
      </w:r>
      <w:r w:rsidRPr="00D320D9">
        <w:rPr>
          <w:rFonts w:cstheme="minorHAnsi"/>
        </w:rPr>
        <w:t>of Australia’s international trade agreements in respect of which applying the market testing requirements would be inconsistent in at least some circumstances.</w:t>
      </w:r>
      <w:r w:rsidRPr="00D320D9">
        <w:rPr>
          <w:rStyle w:val="FootnoteReference"/>
          <w:rFonts w:cstheme="minorHAnsi"/>
        </w:rPr>
        <w:footnoteReference w:id="62"/>
      </w:r>
      <w:r w:rsidR="00F852B3" w:rsidRPr="00D320D9">
        <w:rPr>
          <w:rFonts w:cstheme="minorHAnsi"/>
        </w:rPr>
        <w:t xml:space="preserve"> </w:t>
      </w:r>
      <w:r w:rsidRPr="00D320D9">
        <w:rPr>
          <w:rFonts w:cstheme="minorHAnsi"/>
        </w:rPr>
        <w:t>These identified agreements include eight bilateral trade agreements, plus two multi-lateral agreements</w:t>
      </w:r>
      <w:r w:rsidR="00F91CAA" w:rsidRPr="00D320D9">
        <w:rPr>
          <w:rFonts w:cstheme="minorHAnsi"/>
        </w:rPr>
        <w:t xml:space="preserve">. </w:t>
      </w:r>
      <w:r w:rsidRPr="00D320D9">
        <w:rPr>
          <w:rFonts w:cstheme="minorHAnsi"/>
        </w:rPr>
        <w:t>The latter are:</w:t>
      </w:r>
    </w:p>
    <w:p w14:paraId="7CFF7D32" w14:textId="0E52E60E" w:rsidR="00CA1784" w:rsidRPr="00D320D9" w:rsidRDefault="00CA1784" w:rsidP="004F647D">
      <w:pPr>
        <w:pStyle w:val="ListBullet"/>
        <w:numPr>
          <w:ilvl w:val="0"/>
          <w:numId w:val="9"/>
        </w:numPr>
        <w:ind w:left="360"/>
        <w:rPr>
          <w:rFonts w:cstheme="minorHAnsi"/>
        </w:rPr>
      </w:pPr>
      <w:r w:rsidRPr="00D320D9">
        <w:rPr>
          <w:rFonts w:cstheme="minorHAnsi"/>
        </w:rPr>
        <w:t>The ASEAN-Australia-New Zealand Free Trade Agreement</w:t>
      </w:r>
    </w:p>
    <w:p w14:paraId="7072EC75" w14:textId="4A2CB53E" w:rsidR="00CA1784" w:rsidRPr="00D320D9" w:rsidRDefault="00CA1784" w:rsidP="004F647D">
      <w:pPr>
        <w:pStyle w:val="ListBullet"/>
        <w:numPr>
          <w:ilvl w:val="0"/>
          <w:numId w:val="9"/>
        </w:numPr>
        <w:ind w:left="360"/>
        <w:rPr>
          <w:rFonts w:cstheme="minorHAnsi"/>
        </w:rPr>
      </w:pPr>
      <w:r w:rsidRPr="00D320D9">
        <w:rPr>
          <w:rFonts w:cstheme="minorHAnsi"/>
        </w:rPr>
        <w:t>The General Agreement on Trade in Services (GATS)</w:t>
      </w:r>
      <w:r w:rsidR="00F852B3" w:rsidRPr="00D320D9">
        <w:rPr>
          <w:rFonts w:cstheme="minorHAnsi"/>
        </w:rPr>
        <w:t xml:space="preserve"> at Annex </w:t>
      </w:r>
      <w:r w:rsidRPr="00D320D9">
        <w:rPr>
          <w:rFonts w:cstheme="minorHAnsi"/>
        </w:rPr>
        <w:t>1B to the Marrakesh Agreement Establishing the World Trade Organi</w:t>
      </w:r>
      <w:r w:rsidR="007E79D5" w:rsidRPr="00D320D9">
        <w:rPr>
          <w:rFonts w:cstheme="minorHAnsi"/>
        </w:rPr>
        <w:t>s</w:t>
      </w:r>
      <w:r w:rsidRPr="00D320D9">
        <w:rPr>
          <w:rFonts w:cstheme="minorHAnsi"/>
        </w:rPr>
        <w:t>ation</w:t>
      </w:r>
      <w:r w:rsidR="00753544" w:rsidRPr="00D320D9">
        <w:rPr>
          <w:rFonts w:cstheme="minorHAnsi"/>
        </w:rPr>
        <w:t xml:space="preserve"> (WTO)</w:t>
      </w:r>
      <w:r w:rsidRPr="00D320D9">
        <w:rPr>
          <w:rFonts w:cstheme="minorHAnsi"/>
        </w:rPr>
        <w:t>.</w:t>
      </w:r>
    </w:p>
    <w:p w14:paraId="34B59C31" w14:textId="30399555" w:rsidR="00CA1784" w:rsidRPr="00D320D9" w:rsidRDefault="00CA1784" w:rsidP="00D82A81">
      <w:pPr>
        <w:spacing w:before="200" w:after="200" w:line="276" w:lineRule="auto"/>
        <w:rPr>
          <w:rFonts w:cstheme="minorHAnsi"/>
        </w:rPr>
      </w:pPr>
      <w:r w:rsidRPr="00D320D9">
        <w:rPr>
          <w:rFonts w:cstheme="minorHAnsi"/>
        </w:rPr>
        <w:lastRenderedPageBreak/>
        <w:t>The inclusion of the GATS is of particular note, as it sets out obligations with which Australia mus</w:t>
      </w:r>
      <w:r w:rsidR="00F852B3" w:rsidRPr="00D320D9">
        <w:rPr>
          <w:rFonts w:cstheme="minorHAnsi"/>
        </w:rPr>
        <w:t>t comply in relation to all 140 </w:t>
      </w:r>
      <w:r w:rsidRPr="00D320D9">
        <w:rPr>
          <w:rFonts w:cstheme="minorHAnsi"/>
        </w:rPr>
        <w:t>WTO member countries</w:t>
      </w:r>
      <w:r w:rsidR="0007629E">
        <w:rPr>
          <w:rFonts w:cstheme="minorHAnsi"/>
        </w:rPr>
        <w:t>.</w:t>
      </w:r>
      <w:r w:rsidRPr="00D320D9">
        <w:rPr>
          <w:rStyle w:val="FootnoteReference"/>
          <w:rFonts w:cstheme="minorHAnsi"/>
        </w:rPr>
        <w:footnoteReference w:id="63"/>
      </w:r>
      <w:r w:rsidR="00F91CAA" w:rsidRPr="00D320D9">
        <w:rPr>
          <w:rFonts w:cstheme="minorHAnsi"/>
        </w:rPr>
        <w:t xml:space="preserve"> </w:t>
      </w:r>
      <w:r w:rsidR="00F852B3" w:rsidRPr="00D320D9">
        <w:rPr>
          <w:rFonts w:cstheme="minorHAnsi"/>
        </w:rPr>
        <w:t>The impact of IMMI </w:t>
      </w:r>
      <w:r w:rsidRPr="00D320D9">
        <w:rPr>
          <w:rFonts w:cstheme="minorHAnsi"/>
        </w:rPr>
        <w:t>17/109 is summarised on the website of the Department of Foreign Affairs and Trade in the following terms:</w:t>
      </w:r>
    </w:p>
    <w:p w14:paraId="4845F3A0" w14:textId="09FFF882" w:rsidR="00CA1784" w:rsidRPr="00D320D9" w:rsidRDefault="00CA1784" w:rsidP="00D82A81">
      <w:pPr>
        <w:spacing w:after="200" w:line="276" w:lineRule="auto"/>
        <w:ind w:left="426"/>
        <w:rPr>
          <w:b/>
          <w:color w:val="212121"/>
          <w:sz w:val="20"/>
        </w:rPr>
      </w:pPr>
      <w:bookmarkStart w:id="146" w:name="_Toc523154939"/>
      <w:r w:rsidRPr="00D320D9">
        <w:rPr>
          <w:b/>
          <w:color w:val="212121"/>
          <w:sz w:val="20"/>
        </w:rPr>
        <w:t>International trade obligations (ITOs)</w:t>
      </w:r>
      <w:bookmarkEnd w:id="146"/>
    </w:p>
    <w:p w14:paraId="1F682535" w14:textId="77777777" w:rsidR="00CA1784" w:rsidRPr="00D320D9" w:rsidRDefault="00CA1784" w:rsidP="00D82A81">
      <w:pPr>
        <w:spacing w:after="200" w:line="276" w:lineRule="auto"/>
        <w:ind w:left="426"/>
        <w:rPr>
          <w:color w:val="000000"/>
          <w:sz w:val="20"/>
        </w:rPr>
      </w:pPr>
      <w:r w:rsidRPr="00D320D9">
        <w:rPr>
          <w:color w:val="000000"/>
          <w:sz w:val="20"/>
        </w:rPr>
        <w:t>LMT [Labour Market Testing] is not required where it would conflict with Australia’s international trade obligations, in any of the following circumstances:</w:t>
      </w:r>
    </w:p>
    <w:p w14:paraId="2A050DE0" w14:textId="77777777" w:rsidR="00CA1784" w:rsidRPr="00D320D9" w:rsidRDefault="00CA1784" w:rsidP="004F647D">
      <w:pPr>
        <w:numPr>
          <w:ilvl w:val="1"/>
          <w:numId w:val="10"/>
        </w:numPr>
        <w:shd w:val="clear" w:color="auto" w:fill="FFFFFF"/>
        <w:tabs>
          <w:tab w:val="clear" w:pos="1440"/>
          <w:tab w:val="num" w:pos="1680"/>
        </w:tabs>
        <w:spacing w:after="0" w:line="276" w:lineRule="auto"/>
        <w:ind w:left="1056"/>
        <w:rPr>
          <w:color w:val="000000"/>
          <w:sz w:val="20"/>
        </w:rPr>
      </w:pPr>
      <w:r w:rsidRPr="00D320D9">
        <w:rPr>
          <w:color w:val="000000"/>
          <w:sz w:val="20"/>
        </w:rPr>
        <w:t>the worker you nominate is a citizen/national of China, Japan or Thailand, or is a citizen/national/permanent resident of Chile, South Korea, New Zealand or Singapore</w:t>
      </w:r>
    </w:p>
    <w:p w14:paraId="1EF200B3" w14:textId="5B27981E" w:rsidR="00CA1784" w:rsidRPr="00D320D9" w:rsidRDefault="00CA1784" w:rsidP="004F647D">
      <w:pPr>
        <w:numPr>
          <w:ilvl w:val="1"/>
          <w:numId w:val="10"/>
        </w:numPr>
        <w:shd w:val="clear" w:color="auto" w:fill="FFFFFF"/>
        <w:tabs>
          <w:tab w:val="clear" w:pos="1440"/>
          <w:tab w:val="num" w:pos="1680"/>
        </w:tabs>
        <w:spacing w:after="0" w:line="276" w:lineRule="auto"/>
        <w:ind w:left="1056"/>
        <w:rPr>
          <w:color w:val="000000"/>
          <w:sz w:val="20"/>
        </w:rPr>
      </w:pPr>
      <w:r w:rsidRPr="00D320D9">
        <w:rPr>
          <w:color w:val="000000"/>
          <w:sz w:val="20"/>
        </w:rPr>
        <w:t>the worker you nominate is a current employee of a business that is an associated entity of your business and the associated entity is located in an Association of South-East Asian Nations (ASEAN) country (Brunei, Myanmar, Cambodia, Indonesia, Laos, Malaysia, Philippines, Singapore, Thailand and Vietnam), Chile, China</w:t>
      </w:r>
      <w:r w:rsidR="00E9213E" w:rsidRPr="00D320D9">
        <w:rPr>
          <w:rFonts w:cstheme="minorHAnsi"/>
          <w:color w:val="000000"/>
          <w:sz w:val="20"/>
          <w:szCs w:val="20"/>
        </w:rPr>
        <w:t>,</w:t>
      </w:r>
      <w:r w:rsidRPr="00D320D9">
        <w:rPr>
          <w:color w:val="000000"/>
          <w:sz w:val="20"/>
        </w:rPr>
        <w:t xml:space="preserve"> Japan, South Korea or New Zealand</w:t>
      </w:r>
    </w:p>
    <w:p w14:paraId="4F4648E2" w14:textId="77777777" w:rsidR="007831B9" w:rsidRPr="00D320D9" w:rsidRDefault="007831B9" w:rsidP="007831B9">
      <w:pPr>
        <w:numPr>
          <w:ilvl w:val="1"/>
          <w:numId w:val="10"/>
        </w:numPr>
        <w:shd w:val="clear" w:color="auto" w:fill="FFFFFF"/>
        <w:tabs>
          <w:tab w:val="clear" w:pos="1440"/>
          <w:tab w:val="num" w:pos="1680"/>
        </w:tabs>
        <w:spacing w:after="0" w:line="276" w:lineRule="auto"/>
        <w:ind w:left="1056"/>
        <w:rPr>
          <w:color w:val="000000"/>
          <w:sz w:val="20"/>
        </w:rPr>
      </w:pPr>
      <w:r w:rsidRPr="00D320D9">
        <w:rPr>
          <w:color w:val="000000"/>
          <w:sz w:val="20"/>
        </w:rPr>
        <w:t>the worker you nominate is a current employee of an associated entity of your business and that associated entity operates in a country that is a member of the World Trade Organisation (WTO), and the nominated occupation is an Executive or Senior Manager occupation for the purposes of international trade obligations and the nominee will be responsible for the entire or a substantial part of your company's operations in Australia</w:t>
      </w:r>
    </w:p>
    <w:p w14:paraId="1903AF9C" w14:textId="5666F2D2" w:rsidR="007831B9" w:rsidRPr="00D320D9" w:rsidRDefault="007831B9" w:rsidP="007831B9">
      <w:pPr>
        <w:numPr>
          <w:ilvl w:val="1"/>
          <w:numId w:val="10"/>
        </w:numPr>
        <w:shd w:val="clear" w:color="auto" w:fill="FFFFFF"/>
        <w:tabs>
          <w:tab w:val="clear" w:pos="1440"/>
          <w:tab w:val="num" w:pos="1680"/>
        </w:tabs>
        <w:spacing w:after="0" w:line="276" w:lineRule="auto"/>
        <w:ind w:left="1056"/>
        <w:rPr>
          <w:color w:val="000000"/>
          <w:sz w:val="20"/>
        </w:rPr>
      </w:pPr>
      <w:r w:rsidRPr="00D320D9">
        <w:rPr>
          <w:color w:val="000000"/>
          <w:sz w:val="20"/>
        </w:rPr>
        <w:t>your business currently operates in a WTO member country or territory and is seeking to set up a business in Australia, and the nominated occupation is an Executive or Senior Manager occupation for the purposes of international trade obligations</w:t>
      </w:r>
    </w:p>
    <w:p w14:paraId="6F3B688F" w14:textId="61652C08" w:rsidR="00CA1784" w:rsidRPr="00D320D9" w:rsidRDefault="00CA1784" w:rsidP="004F647D">
      <w:pPr>
        <w:numPr>
          <w:ilvl w:val="1"/>
          <w:numId w:val="10"/>
        </w:numPr>
        <w:shd w:val="clear" w:color="auto" w:fill="FFFFFF"/>
        <w:tabs>
          <w:tab w:val="clear" w:pos="1440"/>
          <w:tab w:val="num" w:pos="1680"/>
        </w:tabs>
        <w:spacing w:after="0" w:line="276" w:lineRule="auto"/>
        <w:ind w:left="1056"/>
        <w:rPr>
          <w:color w:val="000000"/>
          <w:sz w:val="20"/>
        </w:rPr>
      </w:pPr>
      <w:r w:rsidRPr="00D320D9">
        <w:rPr>
          <w:color w:val="000000"/>
          <w:sz w:val="20"/>
        </w:rPr>
        <w:t>the worker you nominate is a citizen of a WTO member country or territory and has worked for you in the nominated position in Australia on a full-time basis for the last two years.</w:t>
      </w:r>
      <w:r w:rsidRPr="00D320D9">
        <w:rPr>
          <w:rStyle w:val="FootnoteReference"/>
          <w:color w:val="000000"/>
          <w:sz w:val="20"/>
        </w:rPr>
        <w:footnoteReference w:id="64"/>
      </w:r>
    </w:p>
    <w:p w14:paraId="5D29FE58" w14:textId="6FB1DFD5" w:rsidR="00CA1784" w:rsidRDefault="00CA1784" w:rsidP="00D82A81">
      <w:pPr>
        <w:spacing w:before="200" w:after="200" w:line="276" w:lineRule="auto"/>
        <w:rPr>
          <w:rFonts w:cstheme="minorHAnsi"/>
        </w:rPr>
      </w:pPr>
      <w:r w:rsidRPr="00D320D9">
        <w:rPr>
          <w:rFonts w:cstheme="minorHAnsi"/>
        </w:rPr>
        <w:t xml:space="preserve">That is, the labour market testing requirements of </w:t>
      </w:r>
      <w:r w:rsidR="00F852B3" w:rsidRPr="00D320D9">
        <w:rPr>
          <w:rFonts w:cstheme="minorHAnsi"/>
        </w:rPr>
        <w:t>subsection </w:t>
      </w:r>
      <w:r w:rsidRPr="00D320D9">
        <w:rPr>
          <w:rFonts w:cstheme="minorHAnsi"/>
        </w:rPr>
        <w:t>140GBA are completely void with respect to citizens/nationals of China, Japan Thailand, Chile, South Korea, New Zealand and Singapore, while several other partial exemptions exist</w:t>
      </w:r>
      <w:r w:rsidR="00F91CAA" w:rsidRPr="00D320D9">
        <w:rPr>
          <w:rFonts w:cstheme="minorHAnsi"/>
        </w:rPr>
        <w:t xml:space="preserve">. </w:t>
      </w:r>
      <w:r w:rsidRPr="00D320D9">
        <w:rPr>
          <w:rFonts w:cstheme="minorHAnsi"/>
        </w:rPr>
        <w:t>Conversely, no such exemption from the equivalent market testing requirements, based on the need to avoid inconsistencies with Australia’s international trade obligation</w:t>
      </w:r>
      <w:r w:rsidR="00EA7C53" w:rsidRPr="00D320D9">
        <w:rPr>
          <w:rFonts w:cstheme="minorHAnsi"/>
        </w:rPr>
        <w:t>s, exists in either the BCIIP </w:t>
      </w:r>
      <w:r w:rsidRPr="00D320D9">
        <w:rPr>
          <w:rFonts w:cstheme="minorHAnsi"/>
        </w:rPr>
        <w:t xml:space="preserve">Act or the </w:t>
      </w:r>
      <w:r w:rsidR="00EA7C53" w:rsidRPr="00D320D9">
        <w:rPr>
          <w:rFonts w:cstheme="minorHAnsi"/>
        </w:rPr>
        <w:t>2016 </w:t>
      </w:r>
      <w:r w:rsidRPr="00D320D9">
        <w:rPr>
          <w:rFonts w:cstheme="minorHAnsi"/>
        </w:rPr>
        <w:t>Code</w:t>
      </w:r>
      <w:r w:rsidR="00F91CAA" w:rsidRPr="00D320D9">
        <w:rPr>
          <w:rFonts w:cstheme="minorHAnsi"/>
        </w:rPr>
        <w:t>.</w:t>
      </w:r>
      <w:r w:rsidR="00F91CAA">
        <w:rPr>
          <w:rFonts w:cstheme="minorHAnsi"/>
        </w:rPr>
        <w:t xml:space="preserve"> </w:t>
      </w:r>
    </w:p>
    <w:p w14:paraId="7ABA5B41" w14:textId="35852BD3" w:rsidR="00CA1784" w:rsidRPr="000218CE" w:rsidRDefault="00CA1784" w:rsidP="00E91971">
      <w:pPr>
        <w:pStyle w:val="Heading3"/>
      </w:pPr>
      <w:r w:rsidRPr="000218CE">
        <w:t xml:space="preserve">Policy rationale for the market testing requirements of the </w:t>
      </w:r>
      <w:r w:rsidR="00C34423" w:rsidRPr="000218CE">
        <w:t>BCIIP</w:t>
      </w:r>
      <w:r w:rsidR="00EA7C53" w:rsidRPr="000218CE">
        <w:t> </w:t>
      </w:r>
      <w:r w:rsidRPr="000218CE">
        <w:t xml:space="preserve">Act and </w:t>
      </w:r>
      <w:r w:rsidR="00EA7C53" w:rsidRPr="000218CE">
        <w:t>2016 </w:t>
      </w:r>
      <w:r w:rsidRPr="000218CE">
        <w:t>Code</w:t>
      </w:r>
    </w:p>
    <w:p w14:paraId="281FE9B5" w14:textId="64E8DD2E" w:rsidR="00CA1784" w:rsidRDefault="00C360ED" w:rsidP="00601772">
      <w:pPr>
        <w:spacing w:before="200" w:after="200" w:line="276" w:lineRule="auto"/>
        <w:rPr>
          <w:rFonts w:cstheme="minorHAnsi"/>
        </w:rPr>
      </w:pPr>
      <w:r>
        <w:rPr>
          <w:rFonts w:cstheme="minorHAnsi"/>
        </w:rPr>
        <w:t xml:space="preserve">Where </w:t>
      </w:r>
      <w:r w:rsidR="00CA1784">
        <w:rPr>
          <w:rFonts w:cstheme="minorHAnsi"/>
        </w:rPr>
        <w:t xml:space="preserve">the </w:t>
      </w:r>
      <w:r w:rsidR="00CA1784" w:rsidRPr="00D53E10">
        <w:t>Migration</w:t>
      </w:r>
      <w:r w:rsidR="005523B8">
        <w:t> </w:t>
      </w:r>
      <w:r w:rsidR="00CA1784" w:rsidRPr="00D53E10">
        <w:t>Act</w:t>
      </w:r>
      <w:r w:rsidR="00CA1784">
        <w:rPr>
          <w:rFonts w:cstheme="minorHAnsi"/>
        </w:rPr>
        <w:t xml:space="preserve"> </w:t>
      </w:r>
      <w:r>
        <w:rPr>
          <w:rFonts w:cstheme="minorHAnsi"/>
        </w:rPr>
        <w:t xml:space="preserve">and </w:t>
      </w:r>
      <w:r w:rsidRPr="00C360ED">
        <w:rPr>
          <w:rFonts w:cstheme="minorHAnsi"/>
        </w:rPr>
        <w:t xml:space="preserve">Temporary Skills Shortage (482) visa </w:t>
      </w:r>
      <w:r w:rsidR="00E9213E" w:rsidRPr="00EE0A20">
        <w:rPr>
          <w:rFonts w:cstheme="minorHAnsi"/>
        </w:rPr>
        <w:t>set</w:t>
      </w:r>
      <w:r w:rsidR="00CA1784">
        <w:rPr>
          <w:rFonts w:cstheme="minorHAnsi"/>
        </w:rPr>
        <w:t xml:space="preserve"> out market testing requirements that are intended to apply throughout the economy, the question of the policy merits of establishing a separate, and more onerous, requirement in respect of a subset of the building and construction industry (</w:t>
      </w:r>
      <w:r w:rsidR="00E9213E" w:rsidRPr="00EE0A20">
        <w:rPr>
          <w:rFonts w:cstheme="minorHAnsi"/>
        </w:rPr>
        <w:t>that is,</w:t>
      </w:r>
      <w:r w:rsidR="00CA1784">
        <w:rPr>
          <w:rFonts w:cstheme="minorHAnsi"/>
        </w:rPr>
        <w:t xml:space="preserve"> companies that undertake Commonwealth</w:t>
      </w:r>
      <w:r w:rsidR="0012704A">
        <w:rPr>
          <w:rFonts w:cstheme="minorHAnsi"/>
        </w:rPr>
        <w:t>-</w:t>
      </w:r>
      <w:r w:rsidR="00CA1784">
        <w:rPr>
          <w:rFonts w:cstheme="minorHAnsi"/>
        </w:rPr>
        <w:t xml:space="preserve">funded work </w:t>
      </w:r>
      <w:r w:rsidR="00E9213E" w:rsidRPr="00EE0A20">
        <w:rPr>
          <w:rFonts w:cstheme="minorHAnsi"/>
        </w:rPr>
        <w:t>–</w:t>
      </w:r>
      <w:r w:rsidR="00CA1784">
        <w:rPr>
          <w:rFonts w:cstheme="minorHAnsi"/>
        </w:rPr>
        <w:t xml:space="preserve"> or seek to do so) necessarily arises</w:t>
      </w:r>
      <w:r w:rsidR="00F91CAA">
        <w:rPr>
          <w:rFonts w:cstheme="minorHAnsi"/>
        </w:rPr>
        <w:t xml:space="preserve">. </w:t>
      </w:r>
    </w:p>
    <w:p w14:paraId="4C8737DA" w14:textId="67C5A7EE" w:rsidR="00CA1784" w:rsidRDefault="00CA1784" w:rsidP="00601772">
      <w:pPr>
        <w:spacing w:before="200" w:after="200" w:line="276" w:lineRule="auto"/>
        <w:rPr>
          <w:rFonts w:cstheme="minorHAnsi"/>
        </w:rPr>
      </w:pPr>
      <w:r>
        <w:rPr>
          <w:rFonts w:cstheme="minorHAnsi"/>
        </w:rPr>
        <w:t>T</w:t>
      </w:r>
      <w:r w:rsidRPr="004C7271">
        <w:rPr>
          <w:rFonts w:cstheme="minorHAnsi"/>
        </w:rPr>
        <w:t>he</w:t>
      </w:r>
      <w:r w:rsidRPr="004C7271">
        <w:t xml:space="preserve"> </w:t>
      </w:r>
      <w:r w:rsidR="00F852B3">
        <w:t>inclusion of subsection 34(2D) in the BCIIP </w:t>
      </w:r>
      <w:r>
        <w:t>Act was the result of a Senate amendment, moved by the Opposition</w:t>
      </w:r>
      <w:r w:rsidR="002F6E3F">
        <w:t xml:space="preserve"> and not supported by the government</w:t>
      </w:r>
      <w:r w:rsidR="00F91CAA">
        <w:t xml:space="preserve">. </w:t>
      </w:r>
      <w:r>
        <w:rPr>
          <w:rFonts w:cstheme="minorHAnsi"/>
        </w:rPr>
        <w:t xml:space="preserve">The parliamentary record indicates that it was not discussed extensively, but that the underlying rationale was apparently that of addressing </w:t>
      </w:r>
      <w:r>
        <w:rPr>
          <w:rFonts w:cstheme="minorHAnsi"/>
        </w:rPr>
        <w:lastRenderedPageBreak/>
        <w:t>abuse of t</w:t>
      </w:r>
      <w:r w:rsidR="00F852B3">
        <w:rPr>
          <w:rFonts w:cstheme="minorHAnsi"/>
        </w:rPr>
        <w:t>he (subsequently abolished) 457 </w:t>
      </w:r>
      <w:r>
        <w:rPr>
          <w:rFonts w:cstheme="minorHAnsi"/>
        </w:rPr>
        <w:t xml:space="preserve">visa </w:t>
      </w:r>
      <w:r w:rsidR="00663B79">
        <w:rPr>
          <w:rFonts w:cstheme="minorHAnsi"/>
        </w:rPr>
        <w:t xml:space="preserve">class </w:t>
      </w:r>
      <w:r>
        <w:rPr>
          <w:rFonts w:cstheme="minorHAnsi"/>
        </w:rPr>
        <w:t>within the building industry</w:t>
      </w:r>
      <w:r w:rsidR="00E9213E" w:rsidRPr="00E732BC">
        <w:rPr>
          <w:rFonts w:cstheme="minorHAnsi"/>
        </w:rPr>
        <w:t>.</w:t>
      </w:r>
      <w:r>
        <w:rPr>
          <w:rStyle w:val="FootnoteReference"/>
          <w:rFonts w:cstheme="minorHAnsi"/>
        </w:rPr>
        <w:footnoteReference w:id="65"/>
      </w:r>
      <w:r w:rsidR="00F91CAA">
        <w:rPr>
          <w:rFonts w:cstheme="minorHAnsi"/>
        </w:rPr>
        <w:t xml:space="preserve"> </w:t>
      </w:r>
      <w:r>
        <w:rPr>
          <w:rFonts w:cstheme="minorHAnsi"/>
        </w:rPr>
        <w:t xml:space="preserve">The context is one in which, immediately prior to the commencement of the </w:t>
      </w:r>
      <w:r w:rsidR="00C34423">
        <w:rPr>
          <w:rFonts w:cstheme="minorHAnsi"/>
        </w:rPr>
        <w:t>BCIIP</w:t>
      </w:r>
      <w:r w:rsidR="00F852B3">
        <w:rPr>
          <w:rFonts w:cstheme="minorHAnsi"/>
        </w:rPr>
        <w:t> </w:t>
      </w:r>
      <w:r>
        <w:rPr>
          <w:rFonts w:cstheme="minorHAnsi"/>
        </w:rPr>
        <w:t>Act, the construction industry wa</w:t>
      </w:r>
      <w:r w:rsidR="00F852B3">
        <w:rPr>
          <w:rFonts w:cstheme="minorHAnsi"/>
        </w:rPr>
        <w:t>s the sixth largest user of 457 </w:t>
      </w:r>
      <w:r>
        <w:rPr>
          <w:rFonts w:cstheme="minorHAnsi"/>
        </w:rPr>
        <w:t>visas, accounting for 7.0</w:t>
      </w:r>
      <w:r w:rsidR="007B23BE">
        <w:rPr>
          <w:rFonts w:cstheme="minorHAnsi"/>
        </w:rPr>
        <w:t> per cent</w:t>
      </w:r>
      <w:r>
        <w:rPr>
          <w:rFonts w:cstheme="minorHAnsi"/>
        </w:rPr>
        <w:t xml:space="preserve"> of applica</w:t>
      </w:r>
      <w:r w:rsidR="00F852B3">
        <w:rPr>
          <w:rFonts w:cstheme="minorHAnsi"/>
        </w:rPr>
        <w:t>tions and 6.4</w:t>
      </w:r>
      <w:r w:rsidR="007B23BE">
        <w:rPr>
          <w:rFonts w:cstheme="minorHAnsi"/>
        </w:rPr>
        <w:t> per cent</w:t>
      </w:r>
      <w:r w:rsidR="00F852B3">
        <w:rPr>
          <w:rFonts w:cstheme="minorHAnsi"/>
        </w:rPr>
        <w:t xml:space="preserve"> of grants of 457 </w:t>
      </w:r>
      <w:r>
        <w:rPr>
          <w:rFonts w:cstheme="minorHAnsi"/>
        </w:rPr>
        <w:t>visa</w:t>
      </w:r>
      <w:r w:rsidR="00F852B3">
        <w:rPr>
          <w:rFonts w:cstheme="minorHAnsi"/>
        </w:rPr>
        <w:t>s in the period July</w:t>
      </w:r>
      <w:r w:rsidR="00F852B3">
        <w:rPr>
          <w:rFonts w:cstheme="minorHAnsi"/>
        </w:rPr>
        <w:noBreakHyphen/>
        <w:t>December </w:t>
      </w:r>
      <w:r>
        <w:rPr>
          <w:rFonts w:cstheme="minorHAnsi"/>
        </w:rPr>
        <w:t>2016</w:t>
      </w:r>
      <w:r w:rsidR="00F91CAA">
        <w:rPr>
          <w:rFonts w:cstheme="minorHAnsi"/>
        </w:rPr>
        <w:t xml:space="preserve">. </w:t>
      </w:r>
      <w:r>
        <w:rPr>
          <w:rFonts w:cstheme="minorHAnsi"/>
        </w:rPr>
        <w:t>A total of 1,560 visas were granted within this period, while a total of 5,620 bu</w:t>
      </w:r>
      <w:r w:rsidR="00F852B3">
        <w:rPr>
          <w:rFonts w:cstheme="minorHAnsi"/>
        </w:rPr>
        <w:t>ilding workers held current 457 visas as of 31 December </w:t>
      </w:r>
      <w:r>
        <w:rPr>
          <w:rFonts w:cstheme="minorHAnsi"/>
        </w:rPr>
        <w:t>2016.</w:t>
      </w:r>
      <w:r>
        <w:rPr>
          <w:rStyle w:val="FootnoteReference"/>
          <w:rFonts w:cstheme="minorHAnsi"/>
        </w:rPr>
        <w:footnoteReference w:id="66"/>
      </w:r>
      <w:r w:rsidR="00F852B3">
        <w:rPr>
          <w:rFonts w:cstheme="minorHAnsi"/>
        </w:rPr>
        <w:t xml:space="preserve"> </w:t>
      </w:r>
      <w:r>
        <w:rPr>
          <w:rFonts w:cstheme="minorHAnsi"/>
        </w:rPr>
        <w:t>It appears that this relatively high rate of use of non-resident workers in the building industry gave rise to pressure for a more restrictive approach to be taken in this industry-specific context.</w:t>
      </w:r>
    </w:p>
    <w:p w14:paraId="2D827D4F" w14:textId="498199A3" w:rsidR="00CA1784" w:rsidRDefault="00CA1784" w:rsidP="004F647D">
      <w:pPr>
        <w:pStyle w:val="Heading2"/>
        <w:numPr>
          <w:ilvl w:val="1"/>
          <w:numId w:val="21"/>
        </w:numPr>
      </w:pPr>
      <w:bookmarkStart w:id="147" w:name="_Toc523154940"/>
      <w:bookmarkStart w:id="148" w:name="_Toc527633035"/>
      <w:r>
        <w:t>Analysis</w:t>
      </w:r>
      <w:bookmarkEnd w:id="147"/>
      <w:bookmarkEnd w:id="148"/>
    </w:p>
    <w:p w14:paraId="6D9B46FB" w14:textId="4965A61D" w:rsidR="00CA1784" w:rsidRDefault="00CA1784" w:rsidP="00601772">
      <w:pPr>
        <w:spacing w:before="200" w:after="200" w:line="276" w:lineRule="auto"/>
        <w:rPr>
          <w:rFonts w:cstheme="minorHAnsi"/>
        </w:rPr>
      </w:pPr>
      <w:r>
        <w:rPr>
          <w:rFonts w:cstheme="minorHAnsi"/>
        </w:rPr>
        <w:t xml:space="preserve">As discussed above, </w:t>
      </w:r>
      <w:r w:rsidR="00663B79">
        <w:rPr>
          <w:rFonts w:cstheme="minorHAnsi"/>
        </w:rPr>
        <w:t xml:space="preserve">given the existence </w:t>
      </w:r>
      <w:r w:rsidR="002F6E3F">
        <w:rPr>
          <w:rFonts w:cstheme="minorHAnsi"/>
        </w:rPr>
        <w:t>in the Migration</w:t>
      </w:r>
      <w:r w:rsidR="00E9213E" w:rsidRPr="00E732BC">
        <w:rPr>
          <w:rFonts w:cstheme="minorHAnsi"/>
        </w:rPr>
        <w:t> </w:t>
      </w:r>
      <w:r w:rsidR="002F6E3F">
        <w:rPr>
          <w:rFonts w:cstheme="minorHAnsi"/>
        </w:rPr>
        <w:t xml:space="preserve">Act </w:t>
      </w:r>
      <w:r w:rsidR="00663B79">
        <w:rPr>
          <w:rFonts w:cstheme="minorHAnsi"/>
        </w:rPr>
        <w:t>of a generally applicable market</w:t>
      </w:r>
      <w:r w:rsidR="00E56330">
        <w:rPr>
          <w:rFonts w:cstheme="minorHAnsi"/>
        </w:rPr>
        <w:t xml:space="preserve"> </w:t>
      </w:r>
      <w:r w:rsidR="00663B79">
        <w:rPr>
          <w:rFonts w:cstheme="minorHAnsi"/>
        </w:rPr>
        <w:t xml:space="preserve">testing requirement, </w:t>
      </w:r>
      <w:r>
        <w:rPr>
          <w:rFonts w:cstheme="minorHAnsi"/>
        </w:rPr>
        <w:t xml:space="preserve">it is difficult to identify a sound argument for </w:t>
      </w:r>
      <w:r w:rsidR="00663B79">
        <w:rPr>
          <w:rFonts w:cstheme="minorHAnsi"/>
        </w:rPr>
        <w:t xml:space="preserve">applying </w:t>
      </w:r>
      <w:r>
        <w:rPr>
          <w:rFonts w:cstheme="minorHAnsi"/>
        </w:rPr>
        <w:t>a substantively</w:t>
      </w:r>
      <w:r w:rsidR="00901A08">
        <w:rPr>
          <w:rFonts w:cstheme="minorHAnsi"/>
        </w:rPr>
        <w:t xml:space="preserve"> </w:t>
      </w:r>
      <w:r w:rsidR="002F6E3F">
        <w:rPr>
          <w:rFonts w:cstheme="minorHAnsi"/>
        </w:rPr>
        <w:t xml:space="preserve">different </w:t>
      </w:r>
      <w:r>
        <w:rPr>
          <w:rFonts w:cstheme="minorHAnsi"/>
        </w:rPr>
        <w:t>requirement</w:t>
      </w:r>
      <w:r w:rsidR="00663B79">
        <w:rPr>
          <w:rFonts w:cstheme="minorHAnsi"/>
        </w:rPr>
        <w:t xml:space="preserve"> to a </w:t>
      </w:r>
      <w:r>
        <w:rPr>
          <w:rFonts w:cstheme="minorHAnsi"/>
        </w:rPr>
        <w:t>sub-set of the building industry</w:t>
      </w:r>
      <w:r w:rsidR="00F91CAA">
        <w:rPr>
          <w:rFonts w:cstheme="minorHAnsi"/>
        </w:rPr>
        <w:t xml:space="preserve">. </w:t>
      </w:r>
      <w:r>
        <w:rPr>
          <w:rFonts w:cstheme="minorHAnsi"/>
        </w:rPr>
        <w:t xml:space="preserve">Sound policy principles </w:t>
      </w:r>
      <w:r w:rsidR="0039291E">
        <w:rPr>
          <w:rFonts w:cstheme="minorHAnsi"/>
        </w:rPr>
        <w:t xml:space="preserve">suggest </w:t>
      </w:r>
      <w:r>
        <w:rPr>
          <w:rFonts w:cstheme="minorHAnsi"/>
        </w:rPr>
        <w:t>a presumption in favour of adopting consistent regulatory approaches to all industries, to avoid the likelihood of significant economic distortions arising</w:t>
      </w:r>
      <w:r w:rsidR="00F91CAA">
        <w:rPr>
          <w:rFonts w:cstheme="minorHAnsi"/>
        </w:rPr>
        <w:t xml:space="preserve">. </w:t>
      </w:r>
      <w:r>
        <w:rPr>
          <w:rFonts w:cstheme="minorHAnsi"/>
        </w:rPr>
        <w:t>This presumption should be overturned only where a clear and substantial rationale can be identified.</w:t>
      </w:r>
    </w:p>
    <w:p w14:paraId="697C139F" w14:textId="32D05201" w:rsidR="00CA1784" w:rsidRDefault="00F852B3" w:rsidP="00601772">
      <w:pPr>
        <w:spacing w:before="200" w:after="200" w:line="276" w:lineRule="auto"/>
        <w:rPr>
          <w:rFonts w:cstheme="minorHAnsi"/>
          <w:color w:val="000000"/>
          <w:szCs w:val="23"/>
        </w:rPr>
      </w:pPr>
      <w:r>
        <w:rPr>
          <w:rFonts w:cstheme="minorHAnsi"/>
        </w:rPr>
        <w:t>Subsection </w:t>
      </w:r>
      <w:r w:rsidR="00CA1784">
        <w:rPr>
          <w:rFonts w:cstheme="minorHAnsi"/>
        </w:rPr>
        <w:t xml:space="preserve">34(2D) appears to </w:t>
      </w:r>
      <w:r w:rsidR="0039291E">
        <w:rPr>
          <w:rFonts w:cstheme="minorHAnsi"/>
        </w:rPr>
        <w:t xml:space="preserve">have been adopted </w:t>
      </w:r>
      <w:r w:rsidR="00CA1784">
        <w:rPr>
          <w:rFonts w:cstheme="minorHAnsi"/>
        </w:rPr>
        <w:t>in a co</w:t>
      </w:r>
      <w:r>
        <w:rPr>
          <w:rFonts w:cstheme="minorHAnsi"/>
        </w:rPr>
        <w:t xml:space="preserve">ntext in which </w:t>
      </w:r>
      <w:r w:rsidR="004810AC">
        <w:rPr>
          <w:rFonts w:cstheme="minorHAnsi"/>
        </w:rPr>
        <w:t xml:space="preserve">there was concern that </w:t>
      </w:r>
      <w:r>
        <w:rPr>
          <w:rFonts w:cstheme="minorHAnsi"/>
        </w:rPr>
        <w:t xml:space="preserve">abuse of the </w:t>
      </w:r>
      <w:proofErr w:type="gramStart"/>
      <w:r>
        <w:rPr>
          <w:rFonts w:cstheme="minorHAnsi"/>
        </w:rPr>
        <w:t>457 </w:t>
      </w:r>
      <w:r w:rsidR="00CA1784">
        <w:rPr>
          <w:rFonts w:cstheme="minorHAnsi"/>
        </w:rPr>
        <w:t>visa</w:t>
      </w:r>
      <w:proofErr w:type="gramEnd"/>
      <w:r w:rsidR="00CA1784">
        <w:rPr>
          <w:rFonts w:cstheme="minorHAnsi"/>
        </w:rPr>
        <w:t xml:space="preserve"> system was widespread within the building industry</w:t>
      </w:r>
      <w:r w:rsidR="004810AC">
        <w:rPr>
          <w:rFonts w:cstheme="minorHAnsi"/>
        </w:rPr>
        <w:t>, with the result that non</w:t>
      </w:r>
      <w:r w:rsidR="004737D6">
        <w:rPr>
          <w:rFonts w:cstheme="minorHAnsi"/>
        </w:rPr>
        <w:noBreakHyphen/>
      </w:r>
      <w:r w:rsidR="004810AC">
        <w:rPr>
          <w:rFonts w:cstheme="minorHAnsi"/>
        </w:rPr>
        <w:t>residents were frequently employed despite the availability of Australian residents</w:t>
      </w:r>
      <w:r w:rsidR="00F91CAA">
        <w:rPr>
          <w:rFonts w:cstheme="minorHAnsi"/>
        </w:rPr>
        <w:t xml:space="preserve">. </w:t>
      </w:r>
      <w:r w:rsidR="00CA1784">
        <w:rPr>
          <w:rFonts w:cstheme="minorHAnsi"/>
          <w:color w:val="000000"/>
          <w:szCs w:val="23"/>
        </w:rPr>
        <w:t xml:space="preserve">Regardless of the merits of this </w:t>
      </w:r>
      <w:r w:rsidR="0039291E">
        <w:rPr>
          <w:rFonts w:cstheme="minorHAnsi"/>
          <w:color w:val="000000"/>
          <w:szCs w:val="23"/>
        </w:rPr>
        <w:t>policy response at that time</w:t>
      </w:r>
      <w:r w:rsidR="00CA1784">
        <w:rPr>
          <w:rFonts w:cstheme="minorHAnsi"/>
          <w:color w:val="000000"/>
          <w:szCs w:val="23"/>
        </w:rPr>
        <w:t>, the subsequent abolition an</w:t>
      </w:r>
      <w:r>
        <w:rPr>
          <w:rFonts w:cstheme="minorHAnsi"/>
          <w:color w:val="000000"/>
          <w:szCs w:val="23"/>
        </w:rPr>
        <w:t>d replacement of the former 457 </w:t>
      </w:r>
      <w:r w:rsidR="00CA1784">
        <w:rPr>
          <w:rFonts w:cstheme="minorHAnsi"/>
          <w:color w:val="000000"/>
          <w:szCs w:val="23"/>
        </w:rPr>
        <w:t>visa class with the new Temporary Skills Shortage (482) visa class necessarily raises a question as to the</w:t>
      </w:r>
      <w:r>
        <w:rPr>
          <w:rFonts w:cstheme="minorHAnsi"/>
          <w:color w:val="000000"/>
          <w:szCs w:val="23"/>
        </w:rPr>
        <w:t xml:space="preserve"> continuing benefits of subsection </w:t>
      </w:r>
      <w:r w:rsidR="00CA1784">
        <w:rPr>
          <w:rFonts w:cstheme="minorHAnsi"/>
          <w:color w:val="000000"/>
          <w:szCs w:val="23"/>
        </w:rPr>
        <w:t xml:space="preserve">34(2D) of the </w:t>
      </w:r>
      <w:r w:rsidR="00C34423">
        <w:rPr>
          <w:rFonts w:cstheme="minorHAnsi"/>
          <w:color w:val="000000"/>
          <w:szCs w:val="23"/>
        </w:rPr>
        <w:t>BCIIP</w:t>
      </w:r>
      <w:r>
        <w:rPr>
          <w:rFonts w:cstheme="minorHAnsi"/>
          <w:color w:val="000000"/>
          <w:szCs w:val="23"/>
        </w:rPr>
        <w:t> Act and section </w:t>
      </w:r>
      <w:r w:rsidR="00CA1784">
        <w:rPr>
          <w:rFonts w:cstheme="minorHAnsi"/>
          <w:color w:val="000000"/>
          <w:szCs w:val="23"/>
        </w:rPr>
        <w:t xml:space="preserve">11F of the </w:t>
      </w:r>
      <w:r w:rsidR="00EA7C53">
        <w:rPr>
          <w:rFonts w:cstheme="minorHAnsi"/>
          <w:color w:val="000000"/>
          <w:szCs w:val="23"/>
        </w:rPr>
        <w:t>2016 </w:t>
      </w:r>
      <w:r w:rsidR="00CA1784">
        <w:rPr>
          <w:rFonts w:cstheme="minorHAnsi"/>
          <w:color w:val="000000"/>
          <w:szCs w:val="23"/>
        </w:rPr>
        <w:t>Code</w:t>
      </w:r>
      <w:r w:rsidR="00F91CAA">
        <w:rPr>
          <w:rFonts w:cstheme="minorHAnsi"/>
          <w:color w:val="000000"/>
          <w:szCs w:val="23"/>
        </w:rPr>
        <w:t xml:space="preserve">. </w:t>
      </w:r>
      <w:r w:rsidR="00CA1784">
        <w:rPr>
          <w:rFonts w:cstheme="minorHAnsi"/>
          <w:color w:val="000000"/>
          <w:szCs w:val="23"/>
        </w:rPr>
        <w:t xml:space="preserve">That is, given that the </w:t>
      </w:r>
      <w:r w:rsidR="0084211F">
        <w:rPr>
          <w:rFonts w:cstheme="minorHAnsi"/>
          <w:color w:val="000000"/>
          <w:szCs w:val="23"/>
        </w:rPr>
        <w:t>G</w:t>
      </w:r>
      <w:r w:rsidR="00CA1784">
        <w:rPr>
          <w:rFonts w:cstheme="minorHAnsi"/>
          <w:color w:val="000000"/>
          <w:szCs w:val="23"/>
        </w:rPr>
        <w:t xml:space="preserve">overnment has acted at an economy-wide level to address the </w:t>
      </w:r>
      <w:r w:rsidR="0039291E">
        <w:rPr>
          <w:rFonts w:cstheme="minorHAnsi"/>
          <w:color w:val="000000"/>
          <w:szCs w:val="23"/>
        </w:rPr>
        <w:t xml:space="preserve">previous </w:t>
      </w:r>
      <w:r w:rsidR="00CA1784">
        <w:rPr>
          <w:rFonts w:cstheme="minorHAnsi"/>
          <w:color w:val="000000"/>
          <w:szCs w:val="23"/>
        </w:rPr>
        <w:t xml:space="preserve">concerns regarding </w:t>
      </w:r>
      <w:r>
        <w:rPr>
          <w:rFonts w:cstheme="minorHAnsi"/>
          <w:color w:val="000000"/>
          <w:szCs w:val="23"/>
        </w:rPr>
        <w:t>the integrity of the former 457 </w:t>
      </w:r>
      <w:r w:rsidR="00CA1784">
        <w:rPr>
          <w:rFonts w:cstheme="minorHAnsi"/>
          <w:color w:val="000000"/>
          <w:szCs w:val="23"/>
        </w:rPr>
        <w:t>visa class, the benefits of retaining a strong marke</w:t>
      </w:r>
      <w:r w:rsidR="00E56330">
        <w:rPr>
          <w:rFonts w:cstheme="minorHAnsi"/>
          <w:color w:val="000000"/>
          <w:szCs w:val="23"/>
        </w:rPr>
        <w:t xml:space="preserve">t </w:t>
      </w:r>
      <w:r w:rsidR="00CA1784">
        <w:rPr>
          <w:rFonts w:cstheme="minorHAnsi"/>
          <w:color w:val="000000"/>
          <w:szCs w:val="23"/>
        </w:rPr>
        <w:t>testing requirement with application within only one part of one industry are unclear.</w:t>
      </w:r>
    </w:p>
    <w:p w14:paraId="086D665F" w14:textId="4A293511" w:rsidR="00CA1784" w:rsidRDefault="00CA1784" w:rsidP="00601772">
      <w:pPr>
        <w:spacing w:before="200" w:after="200" w:line="276" w:lineRule="auto"/>
        <w:rPr>
          <w:rFonts w:cstheme="minorHAnsi"/>
          <w:color w:val="000000"/>
        </w:rPr>
      </w:pPr>
      <w:r>
        <w:rPr>
          <w:rFonts w:cstheme="minorHAnsi"/>
        </w:rPr>
        <w:t xml:space="preserve">Conversely, the costs associated with these provisions </w:t>
      </w:r>
      <w:r w:rsidR="0039291E">
        <w:rPr>
          <w:rFonts w:cstheme="minorHAnsi"/>
        </w:rPr>
        <w:t xml:space="preserve">may </w:t>
      </w:r>
      <w:r>
        <w:rPr>
          <w:rFonts w:cstheme="minorHAnsi"/>
        </w:rPr>
        <w:t>be significant</w:t>
      </w:r>
      <w:r w:rsidR="00F91CAA">
        <w:rPr>
          <w:rFonts w:cstheme="minorHAnsi"/>
        </w:rPr>
        <w:t xml:space="preserve">. </w:t>
      </w:r>
      <w:r>
        <w:rPr>
          <w:rFonts w:cstheme="minorHAnsi"/>
        </w:rPr>
        <w:t>As discussed above,</w:t>
      </w:r>
      <w:r w:rsidR="00E9213E" w:rsidRPr="00E732BC">
        <w:rPr>
          <w:rFonts w:cstheme="minorHAnsi"/>
        </w:rPr>
        <w:t xml:space="preserve"> the</w:t>
      </w:r>
      <w:r>
        <w:rPr>
          <w:rFonts w:cstheme="minorHAnsi"/>
        </w:rPr>
        <w:t xml:space="preserve"> Ai</w:t>
      </w:r>
      <w:r w:rsidR="001C1E06">
        <w:rPr>
          <w:rFonts w:cstheme="minorHAnsi"/>
        </w:rPr>
        <w:t> </w:t>
      </w:r>
      <w:r>
        <w:rPr>
          <w:rFonts w:cstheme="minorHAnsi"/>
        </w:rPr>
        <w:t>Group’s submission identified a range of specific contexts in which the provisions would impose tangible efficiency costs on major employers</w:t>
      </w:r>
      <w:r w:rsidR="00F91CAA">
        <w:rPr>
          <w:rFonts w:cstheme="minorHAnsi"/>
        </w:rPr>
        <w:t xml:space="preserve">. </w:t>
      </w:r>
      <w:r>
        <w:rPr>
          <w:rFonts w:cstheme="minorHAnsi"/>
        </w:rPr>
        <w:t xml:space="preserve">The fact that the formal requirement under the market testing provisions is particularly onerous – being to demonstrate </w:t>
      </w:r>
      <w:r w:rsidR="00E9213E" w:rsidRPr="0056479C">
        <w:rPr>
          <w:rFonts w:cstheme="minorHAnsi"/>
        </w:rPr>
        <w:t>‘</w:t>
      </w:r>
      <w:r w:rsidRPr="008C0283">
        <w:rPr>
          <w:color w:val="000000"/>
        </w:rPr>
        <w:t xml:space="preserve">that no Australian citizen or Australian permanent resident is suitable for the </w:t>
      </w:r>
      <w:r w:rsidR="00E9213E" w:rsidRPr="0056479C">
        <w:rPr>
          <w:rFonts w:cstheme="minorHAnsi"/>
          <w:color w:val="000000"/>
        </w:rPr>
        <w:t>job’</w:t>
      </w:r>
      <w:r w:rsidRPr="00C927FF">
        <w:rPr>
          <w:color w:val="000000"/>
        </w:rPr>
        <w:t xml:space="preserve"> </w:t>
      </w:r>
      <w:r>
        <w:rPr>
          <w:rFonts w:cstheme="minorHAnsi"/>
          <w:color w:val="000000"/>
        </w:rPr>
        <w:t>underlines the difficulties faced by employers in complying with the provisions.</w:t>
      </w:r>
    </w:p>
    <w:p w14:paraId="70665C0B" w14:textId="4A4B24AF" w:rsidR="00CA1784" w:rsidRDefault="00CA1784" w:rsidP="00601772">
      <w:pPr>
        <w:spacing w:before="200" w:after="200" w:line="276" w:lineRule="auto"/>
        <w:rPr>
          <w:rFonts w:cstheme="minorHAnsi"/>
          <w:color w:val="000000"/>
        </w:rPr>
      </w:pPr>
      <w:r>
        <w:rPr>
          <w:rFonts w:cstheme="minorHAnsi"/>
          <w:color w:val="000000"/>
        </w:rPr>
        <w:t>However, a cost likely to prove more significant in the medium-term is that of the absence in the BCIIP</w:t>
      </w:r>
      <w:r w:rsidR="005523B8">
        <w:rPr>
          <w:rFonts w:cstheme="minorHAnsi"/>
          <w:color w:val="000000"/>
        </w:rPr>
        <w:t> </w:t>
      </w:r>
      <w:r>
        <w:rPr>
          <w:rFonts w:cstheme="minorHAnsi"/>
          <w:color w:val="000000"/>
        </w:rPr>
        <w:t>Act of a provision which exempts employers from the market testing requirements in circumstances in which they would be inconsistent with Australia’s international trade obligations</w:t>
      </w:r>
      <w:r w:rsidR="00F91CAA">
        <w:rPr>
          <w:rFonts w:cstheme="minorHAnsi"/>
          <w:color w:val="000000"/>
        </w:rPr>
        <w:t xml:space="preserve">. </w:t>
      </w:r>
      <w:r>
        <w:rPr>
          <w:rFonts w:cstheme="minorHAnsi"/>
          <w:color w:val="000000"/>
        </w:rPr>
        <w:t>As shown above in relation to the equivalent provisions of the Migration</w:t>
      </w:r>
      <w:r w:rsidR="005523B8">
        <w:rPr>
          <w:rFonts w:cstheme="minorHAnsi"/>
          <w:color w:val="000000"/>
        </w:rPr>
        <w:t> </w:t>
      </w:r>
      <w:r>
        <w:rPr>
          <w:rFonts w:cstheme="minorHAnsi"/>
          <w:color w:val="000000"/>
        </w:rPr>
        <w:t>Act, such inconsistencies have been identified as arising in a wide range of contexts</w:t>
      </w:r>
      <w:r w:rsidR="00F91CAA">
        <w:rPr>
          <w:rFonts w:cstheme="minorHAnsi"/>
          <w:color w:val="000000"/>
        </w:rPr>
        <w:t xml:space="preserve">. </w:t>
      </w:r>
      <w:r>
        <w:rPr>
          <w:rFonts w:cstheme="minorHAnsi"/>
          <w:color w:val="000000"/>
        </w:rPr>
        <w:t xml:space="preserve">They preclude market testing entirely in relation to citizens of several countries with which Australia has </w:t>
      </w:r>
      <w:r w:rsidR="004810AC">
        <w:rPr>
          <w:rFonts w:cstheme="minorHAnsi"/>
          <w:color w:val="000000"/>
        </w:rPr>
        <w:t xml:space="preserve">international </w:t>
      </w:r>
      <w:r>
        <w:rPr>
          <w:rFonts w:cstheme="minorHAnsi"/>
          <w:color w:val="000000"/>
        </w:rPr>
        <w:t>trade agreements</w:t>
      </w:r>
      <w:r w:rsidR="00F91CAA">
        <w:rPr>
          <w:rFonts w:cstheme="minorHAnsi"/>
          <w:color w:val="000000"/>
        </w:rPr>
        <w:t xml:space="preserve">. </w:t>
      </w:r>
      <w:r>
        <w:rPr>
          <w:rFonts w:cstheme="minorHAnsi"/>
          <w:color w:val="000000"/>
        </w:rPr>
        <w:t xml:space="preserve">For </w:t>
      </w:r>
      <w:r>
        <w:rPr>
          <w:rFonts w:cstheme="minorHAnsi"/>
          <w:color w:val="000000"/>
        </w:rPr>
        <w:lastRenderedPageBreak/>
        <w:t>citizens of many other countries, market testing is prohibited in more limited contexts, involving employees of related entities of Australian companies and certain job categories.</w:t>
      </w:r>
    </w:p>
    <w:p w14:paraId="11BF8701" w14:textId="0FE3576A" w:rsidR="00CA1784" w:rsidRDefault="00CA1784" w:rsidP="00601772">
      <w:pPr>
        <w:spacing w:before="200" w:after="200" w:line="276" w:lineRule="auto"/>
        <w:rPr>
          <w:rFonts w:cstheme="minorHAnsi"/>
          <w:color w:val="000000"/>
        </w:rPr>
      </w:pPr>
      <w:r>
        <w:rPr>
          <w:rFonts w:cstheme="minorHAnsi"/>
          <w:color w:val="000000"/>
        </w:rPr>
        <w:t>The absence from the BCIIP</w:t>
      </w:r>
      <w:r w:rsidR="005523B8">
        <w:rPr>
          <w:rFonts w:cstheme="minorHAnsi"/>
          <w:color w:val="000000"/>
        </w:rPr>
        <w:t> </w:t>
      </w:r>
      <w:r>
        <w:rPr>
          <w:rFonts w:cstheme="minorHAnsi"/>
          <w:color w:val="000000"/>
        </w:rPr>
        <w:t>Act of exclusions from the market testing requirement in these circumstances effectively requires code-covered entities to act in ways that contravene Australia’s international trade obligations in order to comply with domestic law</w:t>
      </w:r>
      <w:r w:rsidR="00F91CAA">
        <w:rPr>
          <w:rFonts w:cstheme="minorHAnsi"/>
          <w:color w:val="000000"/>
        </w:rPr>
        <w:t xml:space="preserve">. </w:t>
      </w:r>
      <w:r>
        <w:rPr>
          <w:rFonts w:cstheme="minorHAnsi"/>
          <w:color w:val="000000"/>
        </w:rPr>
        <w:t>Th</w:t>
      </w:r>
      <w:r w:rsidR="00AF68C7">
        <w:rPr>
          <w:rFonts w:cstheme="minorHAnsi"/>
          <w:color w:val="000000"/>
        </w:rPr>
        <w:t xml:space="preserve">ere is a consequent risk </w:t>
      </w:r>
      <w:r>
        <w:rPr>
          <w:rFonts w:cstheme="minorHAnsi"/>
          <w:color w:val="000000"/>
        </w:rPr>
        <w:t xml:space="preserve">that other countries will </w:t>
      </w:r>
      <w:proofErr w:type="gramStart"/>
      <w:r>
        <w:rPr>
          <w:rFonts w:cstheme="minorHAnsi"/>
          <w:color w:val="000000"/>
        </w:rPr>
        <w:t>take action</w:t>
      </w:r>
      <w:proofErr w:type="gramEnd"/>
      <w:r>
        <w:rPr>
          <w:rFonts w:cstheme="minorHAnsi"/>
          <w:color w:val="000000"/>
        </w:rPr>
        <w:t xml:space="preserve"> against Australia using the dispute-resolution processes of the WTO/GATS and the prospect that such action will be successful</w:t>
      </w:r>
      <w:r w:rsidR="00F91CAA">
        <w:rPr>
          <w:rFonts w:cstheme="minorHAnsi"/>
          <w:color w:val="000000"/>
        </w:rPr>
        <w:t xml:space="preserve">. </w:t>
      </w:r>
    </w:p>
    <w:p w14:paraId="52E00D00" w14:textId="094952F0" w:rsidR="00CB5289" w:rsidRDefault="00CA1784" w:rsidP="00601772">
      <w:pPr>
        <w:spacing w:before="200" w:after="200" w:line="276" w:lineRule="auto"/>
        <w:rPr>
          <w:rFonts w:cstheme="minorHAnsi"/>
          <w:color w:val="000000"/>
        </w:rPr>
      </w:pPr>
      <w:r>
        <w:rPr>
          <w:rFonts w:cstheme="minorHAnsi"/>
          <w:color w:val="000000"/>
        </w:rPr>
        <w:t>From a policy perspective, the fact that the concerns regarding abuses of 457</w:t>
      </w:r>
      <w:r w:rsidR="00F852B3">
        <w:rPr>
          <w:rFonts w:cstheme="minorHAnsi"/>
          <w:color w:val="000000"/>
        </w:rPr>
        <w:t> </w:t>
      </w:r>
      <w:r>
        <w:rPr>
          <w:rFonts w:cstheme="minorHAnsi"/>
          <w:color w:val="000000"/>
        </w:rPr>
        <w:t>visas that appear to have led to the adoption of these provisions have been addressed at an economy-wide level calls their continued relevance into question</w:t>
      </w:r>
      <w:r w:rsidR="00F91CAA">
        <w:rPr>
          <w:rFonts w:cstheme="minorHAnsi"/>
          <w:color w:val="000000"/>
        </w:rPr>
        <w:t xml:space="preserve">. </w:t>
      </w:r>
      <w:r w:rsidR="002F6E3F">
        <w:rPr>
          <w:rFonts w:cstheme="minorHAnsi"/>
          <w:color w:val="000000"/>
        </w:rPr>
        <w:t>T</w:t>
      </w:r>
      <w:r>
        <w:rPr>
          <w:rFonts w:cstheme="minorHAnsi"/>
          <w:color w:val="000000"/>
        </w:rPr>
        <w:t>he apparent inconsistency of these provisions with several of Australia’s international trade obligations creates a risk of adverse action being taken by one or more of Australia’s trading partners</w:t>
      </w:r>
      <w:r w:rsidR="00F91CAA">
        <w:rPr>
          <w:rFonts w:cstheme="minorHAnsi"/>
          <w:color w:val="000000"/>
        </w:rPr>
        <w:t xml:space="preserve">. </w:t>
      </w:r>
    </w:p>
    <w:p w14:paraId="58406253" w14:textId="7D6038A5" w:rsidR="00CA1784" w:rsidRDefault="00CB5289" w:rsidP="00601772">
      <w:pPr>
        <w:spacing w:before="200" w:after="200" w:line="276" w:lineRule="auto"/>
        <w:rPr>
          <w:rFonts w:cstheme="minorHAnsi"/>
          <w:color w:val="000000"/>
        </w:rPr>
      </w:pPr>
      <w:r>
        <w:rPr>
          <w:rFonts w:cstheme="minorHAnsi"/>
          <w:color w:val="000000"/>
        </w:rPr>
        <w:t>These considerations suggest that there is a strong argument for removing subsection 34(2D) from the BCIIP Act and section 11F from the 2016 Code. Code-covered entities would remain subject to the market testing requirements of the Migration</w:t>
      </w:r>
      <w:r w:rsidR="00E9213E" w:rsidRPr="00E732BC">
        <w:rPr>
          <w:rFonts w:cstheme="minorHAnsi"/>
          <w:color w:val="000000"/>
        </w:rPr>
        <w:t> </w:t>
      </w:r>
      <w:r>
        <w:rPr>
          <w:rFonts w:cstheme="minorHAnsi"/>
          <w:color w:val="000000"/>
        </w:rPr>
        <w:t>Act if this approach were adopted.</w:t>
      </w:r>
    </w:p>
    <w:p w14:paraId="6F6A0A0D" w14:textId="6C86068B" w:rsidR="00364CEE" w:rsidRDefault="00364CEE" w:rsidP="00601772">
      <w:pPr>
        <w:spacing w:before="200" w:after="200" w:line="276" w:lineRule="auto"/>
        <w:rPr>
          <w:rFonts w:cstheme="minorHAnsi"/>
          <w:color w:val="000000"/>
        </w:rPr>
      </w:pPr>
      <w:r>
        <w:rPr>
          <w:rFonts w:cstheme="minorHAnsi"/>
          <w:color w:val="000000"/>
        </w:rPr>
        <w:t>A further factor supporting this view is that the relevant provisions of the Migration Act have been amended frequently in recent years.  Indeed, changes have come into effect since the commencement of this review.  Thus, even were the BCIIP Act and the Code to be amended to achieve consistency with the Migration Act at a particular point in time, it is highly likely that differences could again arise in the near future.</w:t>
      </w:r>
    </w:p>
    <w:p w14:paraId="47A6FDA7" w14:textId="77777777" w:rsidR="00181AAC" w:rsidRPr="00C76100" w:rsidRDefault="00181AAC" w:rsidP="00181AAC">
      <w:pPr>
        <w:pStyle w:val="Heading2"/>
        <w:keepNext/>
        <w:keepLines/>
        <w:pBdr>
          <w:top w:val="single" w:sz="4" w:space="1" w:color="auto"/>
          <w:bottom w:val="single" w:sz="4" w:space="1" w:color="auto"/>
        </w:pBdr>
        <w:shd w:val="clear" w:color="auto" w:fill="FBE4D5" w:themeFill="accent2" w:themeFillTint="33"/>
      </w:pPr>
      <w:bookmarkStart w:id="149" w:name="_Toc527633036"/>
      <w:r w:rsidRPr="00C76100">
        <w:t>Findings and recommendations</w:t>
      </w:r>
      <w:bookmarkEnd w:id="149"/>
    </w:p>
    <w:p w14:paraId="6C5DC1F0" w14:textId="77777777" w:rsidR="00181AAC" w:rsidRDefault="00181AAC" w:rsidP="00181AAC">
      <w:pPr>
        <w:keepNext/>
        <w:keepLines/>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w:t>
      </w:r>
      <w:r w:rsidRPr="00F37BD1">
        <w:t>That the available evidence indicates that the provisions of</w:t>
      </w:r>
      <w:r>
        <w:t xml:space="preserve"> subsection 34(2D) of the BCIIP Act and section 11F of the 2016 </w:t>
      </w:r>
      <w:r w:rsidRPr="00F37BD1">
        <w:t>Code are likely to be inconsistent with several of Australia’s international trade obligations.</w:t>
      </w:r>
    </w:p>
    <w:p w14:paraId="63E5FEF5" w14:textId="77777777" w:rsidR="00181AAC" w:rsidRDefault="00181AAC" w:rsidP="00181AAC">
      <w:pPr>
        <w:keepNext/>
        <w:keepLines/>
        <w:pBdr>
          <w:top w:val="single" w:sz="4" w:space="1" w:color="auto"/>
          <w:bottom w:val="single" w:sz="4" w:space="1" w:color="auto"/>
        </w:pBdr>
        <w:shd w:val="clear" w:color="auto" w:fill="FBE4D5" w:themeFill="accent2" w:themeFillTint="33"/>
        <w:spacing w:before="120" w:after="120"/>
      </w:pPr>
      <w:r w:rsidRPr="00F37BD1">
        <w:rPr>
          <w:b/>
        </w:rPr>
        <w:t>Finding:</w:t>
      </w:r>
      <w:r>
        <w:t xml:space="preserve"> </w:t>
      </w:r>
      <w:r w:rsidRPr="00F37BD1">
        <w:t>That the reforms undertaken to visa arrangements for non-resident workers are likely to have addressed the concerns that led to the inclusion o</w:t>
      </w:r>
      <w:r>
        <w:t>f these provisions in the BCIIP Act and 2016 </w:t>
      </w:r>
      <w:r w:rsidRPr="00F37BD1">
        <w:t xml:space="preserve">Code, while </w:t>
      </w:r>
      <w:r>
        <w:t>the provisions of the Migration </w:t>
      </w:r>
      <w:r w:rsidRPr="00F37BD1">
        <w:t>Act provide substantively similar market</w:t>
      </w:r>
      <w:r>
        <w:t xml:space="preserve"> </w:t>
      </w:r>
      <w:r w:rsidRPr="00F37BD1">
        <w:t>testing obligations without contravening Australia’s international trade obligations.</w:t>
      </w:r>
    </w:p>
    <w:p w14:paraId="0972F711" w14:textId="77777777" w:rsidR="00181AAC" w:rsidRDefault="00181AAC" w:rsidP="00181AAC">
      <w:pPr>
        <w:keepNext/>
        <w:keepLines/>
        <w:pBdr>
          <w:top w:val="single" w:sz="4" w:space="1" w:color="auto"/>
          <w:bottom w:val="single" w:sz="4" w:space="1" w:color="auto"/>
        </w:pBdr>
        <w:shd w:val="clear" w:color="auto" w:fill="FBE4D5" w:themeFill="accent2" w:themeFillTint="33"/>
        <w:spacing w:before="120" w:after="120"/>
      </w:pPr>
      <w:r>
        <w:rPr>
          <w:b/>
        </w:rPr>
        <w:t>Recommendation 4</w:t>
      </w:r>
      <w:r w:rsidRPr="00154456">
        <w:rPr>
          <w:b/>
        </w:rPr>
        <w:t>.1:</w:t>
      </w:r>
      <w:r w:rsidRPr="00154456">
        <w:t xml:space="preserve"> </w:t>
      </w:r>
      <w:r w:rsidRPr="00F37BD1">
        <w:t>That the market test</w:t>
      </w:r>
      <w:r>
        <w:t>ing requirements of subsection 34(2D) of the BCIIP </w:t>
      </w:r>
      <w:r w:rsidRPr="00F37BD1">
        <w:t>Act and the asso</w:t>
      </w:r>
      <w:r>
        <w:t>ciated requirements of the 2016 </w:t>
      </w:r>
      <w:r w:rsidRPr="00F37BD1">
        <w:t>Code should be repealed.</w:t>
      </w:r>
    </w:p>
    <w:p w14:paraId="1A7CF688" w14:textId="77777777" w:rsidR="00181AAC" w:rsidRDefault="00181AAC" w:rsidP="00181AAC">
      <w:pPr>
        <w:keepNext/>
        <w:keepLines/>
        <w:pBdr>
          <w:top w:val="single" w:sz="4" w:space="1" w:color="auto"/>
          <w:bottom w:val="single" w:sz="4" w:space="1" w:color="auto"/>
        </w:pBdr>
        <w:shd w:val="clear" w:color="auto" w:fill="FBE4D5" w:themeFill="accent2" w:themeFillTint="33"/>
        <w:spacing w:before="120" w:after="120"/>
      </w:pPr>
      <w:r>
        <w:rPr>
          <w:b/>
        </w:rPr>
        <w:t>Recommendation 4</w:t>
      </w:r>
      <w:r w:rsidRPr="00154456">
        <w:rPr>
          <w:b/>
        </w:rPr>
        <w:t>.2:</w:t>
      </w:r>
      <w:r w:rsidRPr="00154456">
        <w:t xml:space="preserve"> </w:t>
      </w:r>
      <w:r w:rsidRPr="00F37BD1">
        <w:t>That, alter</w:t>
      </w:r>
      <w:r>
        <w:t>natively, should the Australian</w:t>
      </w:r>
      <w:r w:rsidRPr="00F37BD1">
        <w:t xml:space="preserve"> Government wish to retain a market test</w:t>
      </w:r>
      <w:r>
        <w:t>ing requirement under the BCIIP Act and 2016 </w:t>
      </w:r>
      <w:r w:rsidRPr="00F37BD1">
        <w:t>Code, the current provisions should be revised or replaced to ensure consistency between these provisions and Australia’s international treaty obligations.</w:t>
      </w:r>
    </w:p>
    <w:p w14:paraId="52C9152E" w14:textId="470A9174" w:rsidR="00181AAC" w:rsidRDefault="00181AAC" w:rsidP="00181AAC">
      <w:pPr>
        <w:keepNext/>
        <w:keepLines/>
        <w:pBdr>
          <w:top w:val="single" w:sz="4" w:space="1" w:color="auto"/>
          <w:bottom w:val="single" w:sz="4" w:space="1" w:color="auto"/>
        </w:pBdr>
        <w:shd w:val="clear" w:color="auto" w:fill="FBE4D5" w:themeFill="accent2" w:themeFillTint="33"/>
        <w:spacing w:before="200" w:after="200" w:line="276" w:lineRule="auto"/>
        <w:rPr>
          <w:rFonts w:cstheme="minorHAnsi"/>
          <w:color w:val="000000"/>
        </w:rPr>
      </w:pPr>
      <w:r>
        <w:rPr>
          <w:b/>
        </w:rPr>
        <w:t>Recommendation 4.3</w:t>
      </w:r>
      <w:r w:rsidRPr="00154456">
        <w:rPr>
          <w:b/>
        </w:rPr>
        <w:t>:</w:t>
      </w:r>
      <w:r w:rsidRPr="00154456">
        <w:t xml:space="preserve"> </w:t>
      </w:r>
      <w:r>
        <w:t>That, if subsection </w:t>
      </w:r>
      <w:r w:rsidRPr="00F37BD1">
        <w:t>34(2D) is retained, it should be modified to address the apparent inconsistency betwe</w:t>
      </w:r>
      <w:r>
        <w:t>en subsection 34(2D) of the BCIIP Act and section 11F of the 2016 </w:t>
      </w:r>
      <w:r w:rsidRPr="00F37BD1">
        <w:t>Code.</w:t>
      </w:r>
    </w:p>
    <w:p w14:paraId="091BDAA7" w14:textId="09C54D48" w:rsidR="00601772" w:rsidRDefault="00601772" w:rsidP="00763BF5"/>
    <w:p w14:paraId="71326924" w14:textId="77777777" w:rsidR="00181AAC" w:rsidRDefault="00181AAC" w:rsidP="00763BF5">
      <w:pPr>
        <w:sectPr w:rsidR="00181AAC" w:rsidSect="005B385F">
          <w:pgSz w:w="11906" w:h="16838" w:code="9"/>
          <w:pgMar w:top="1440" w:right="1440" w:bottom="1440" w:left="1440" w:header="709" w:footer="1009" w:gutter="0"/>
          <w:cols w:space="708"/>
          <w:docGrid w:linePitch="360"/>
        </w:sectPr>
      </w:pPr>
    </w:p>
    <w:p w14:paraId="5914AAB6" w14:textId="532EFF85" w:rsidR="0011262E" w:rsidRDefault="00DF0877" w:rsidP="001E2D49">
      <w:pPr>
        <w:pStyle w:val="Heading1"/>
        <w:tabs>
          <w:tab w:val="left" w:pos="1843"/>
        </w:tabs>
      </w:pPr>
      <w:bookmarkStart w:id="150" w:name="_Toc523154941"/>
      <w:bookmarkStart w:id="151" w:name="_Toc527633037"/>
      <w:bookmarkStart w:id="152" w:name="_Hlk520392739"/>
      <w:bookmarkStart w:id="153" w:name="_Toc519171483"/>
      <w:r>
        <w:lastRenderedPageBreak/>
        <w:t>Chapter</w:t>
      </w:r>
      <w:r w:rsidRPr="008B186B">
        <w:t xml:space="preserve"> </w:t>
      </w:r>
      <w:r w:rsidR="0011262E" w:rsidRPr="008B186B">
        <w:t>5:</w:t>
      </w:r>
      <w:r w:rsidR="001E2D49">
        <w:tab/>
      </w:r>
      <w:r w:rsidR="0011262E">
        <w:t>Operation of the new provisions of the BCIIP</w:t>
      </w:r>
      <w:r w:rsidR="005523B8">
        <w:t> </w:t>
      </w:r>
      <w:r w:rsidR="0011262E">
        <w:t>Act</w:t>
      </w:r>
      <w:bookmarkEnd w:id="150"/>
      <w:bookmarkEnd w:id="151"/>
    </w:p>
    <w:p w14:paraId="51904F38" w14:textId="77777777" w:rsidR="00181AAC" w:rsidRPr="00601772" w:rsidRDefault="00181AAC" w:rsidP="00181AAC">
      <w:pPr>
        <w:pStyle w:val="Heading2"/>
        <w:pBdr>
          <w:top w:val="single" w:sz="4" w:space="1" w:color="auto"/>
          <w:bottom w:val="single" w:sz="4" w:space="1" w:color="auto"/>
        </w:pBdr>
        <w:shd w:val="clear" w:color="auto" w:fill="DEEAF6" w:themeFill="accent1" w:themeFillTint="33"/>
      </w:pPr>
      <w:bookmarkStart w:id="154" w:name="_Toc525908290"/>
      <w:bookmarkStart w:id="155" w:name="_Toc527633038"/>
      <w:r w:rsidRPr="00601772">
        <w:t>Term of reference 5</w:t>
      </w:r>
      <w:bookmarkEnd w:id="154"/>
      <w:bookmarkEnd w:id="155"/>
    </w:p>
    <w:p w14:paraId="4D0D653C" w14:textId="283C00EB" w:rsidR="00181AAC" w:rsidRPr="00181AAC" w:rsidRDefault="00181AAC" w:rsidP="00181AAC">
      <w:pPr>
        <w:pBdr>
          <w:top w:val="single" w:sz="4" w:space="1" w:color="auto"/>
          <w:bottom w:val="single" w:sz="4" w:space="1" w:color="auto"/>
        </w:pBdr>
        <w:shd w:val="clear" w:color="auto" w:fill="DEEAF6" w:themeFill="accent1" w:themeFillTint="33"/>
      </w:pPr>
      <w:r w:rsidRPr="00887DE0">
        <w:rPr>
          <w:rFonts w:eastAsia="Times New Roman" w:cstheme="minorHAnsi"/>
          <w:lang w:eastAsia="en-AU"/>
        </w:rPr>
        <w:t>The review will examine</w:t>
      </w:r>
      <w:r>
        <w:rPr>
          <w:rFonts w:eastAsia="Times New Roman" w:cstheme="minorHAnsi"/>
          <w:lang w:eastAsia="en-AU"/>
        </w:rPr>
        <w:t xml:space="preserve"> t</w:t>
      </w:r>
      <w:r w:rsidRPr="00AD31DF">
        <w:rPr>
          <w:rFonts w:eastAsia="Times New Roman" w:cstheme="minorHAnsi"/>
          <w:lang w:eastAsia="en-AU"/>
        </w:rPr>
        <w:t xml:space="preserve">he operation of </w:t>
      </w:r>
      <w:r>
        <w:rPr>
          <w:rFonts w:eastAsia="Times New Roman" w:cstheme="minorHAnsi"/>
          <w:lang w:eastAsia="en-AU"/>
        </w:rPr>
        <w:t>the new provisions in the BCIIP </w:t>
      </w:r>
      <w:r w:rsidRPr="00AD31DF">
        <w:rPr>
          <w:rFonts w:eastAsia="Times New Roman" w:cstheme="minorHAnsi"/>
          <w:lang w:eastAsia="en-AU"/>
        </w:rPr>
        <w:t>Act including the provision which requires the Federal Safety Commissioner to audit Commonwealth-funded building work against the National Construction Code's performance requirements in relation to building materials.</w:t>
      </w:r>
    </w:p>
    <w:p w14:paraId="33E0A5A3" w14:textId="1B5C0056" w:rsidR="0011262E" w:rsidRDefault="0011262E" w:rsidP="00601772">
      <w:pPr>
        <w:pStyle w:val="Heading2"/>
      </w:pPr>
      <w:bookmarkStart w:id="156" w:name="_Toc519171484"/>
      <w:bookmarkStart w:id="157" w:name="_Toc523154942"/>
      <w:bookmarkStart w:id="158" w:name="_Toc527633039"/>
      <w:r>
        <w:t>Compliance with NCC performance requirements – building materials</w:t>
      </w:r>
      <w:bookmarkEnd w:id="156"/>
      <w:bookmarkEnd w:id="157"/>
      <w:bookmarkEnd w:id="158"/>
    </w:p>
    <w:p w14:paraId="315BD6FE" w14:textId="21BBADBD" w:rsidR="0011262E" w:rsidRDefault="0011262E" w:rsidP="004F647D">
      <w:pPr>
        <w:pStyle w:val="Heading2"/>
        <w:numPr>
          <w:ilvl w:val="1"/>
          <w:numId w:val="23"/>
        </w:numPr>
      </w:pPr>
      <w:bookmarkStart w:id="159" w:name="_Toc519171485"/>
      <w:bookmarkStart w:id="160" w:name="_Toc523154943"/>
      <w:bookmarkStart w:id="161" w:name="_Toc527633040"/>
      <w:r>
        <w:t>Introduction</w:t>
      </w:r>
      <w:bookmarkEnd w:id="159"/>
      <w:bookmarkEnd w:id="160"/>
      <w:bookmarkEnd w:id="161"/>
    </w:p>
    <w:p w14:paraId="3EDEC653" w14:textId="3BBA93A3" w:rsidR="0011262E" w:rsidRPr="006005C9" w:rsidRDefault="0011262E" w:rsidP="00B423DD">
      <w:pPr>
        <w:spacing w:before="200" w:after="200" w:line="276" w:lineRule="auto"/>
      </w:pPr>
      <w:r>
        <w:t xml:space="preserve">The Federal Safety Commissioner </w:t>
      </w:r>
      <w:r w:rsidR="00484363">
        <w:t xml:space="preserve">(FSC) </w:t>
      </w:r>
      <w:r>
        <w:t>was established in 2005</w:t>
      </w:r>
      <w:r w:rsidR="00B25D7D">
        <w:t>,</w:t>
      </w:r>
      <w:r>
        <w:t xml:space="preserve"> with its primary role being to </w:t>
      </w:r>
      <w:r>
        <w:rPr>
          <w:rFonts w:cstheme="minorHAnsi"/>
        </w:rPr>
        <w:t xml:space="preserve">promote and improve worker safety in the building and construction industry, via administration of the </w:t>
      </w:r>
      <w:r w:rsidR="004D23A2">
        <w:rPr>
          <w:rFonts w:cstheme="minorHAnsi"/>
        </w:rPr>
        <w:t xml:space="preserve">Australian </w:t>
      </w:r>
      <w:r>
        <w:rPr>
          <w:rFonts w:cstheme="minorHAnsi"/>
        </w:rPr>
        <w:t xml:space="preserve">Government’s Work Health and Safety Accreditation Scheme (the </w:t>
      </w:r>
      <w:r w:rsidR="001706DB">
        <w:rPr>
          <w:rFonts w:cstheme="minorHAnsi"/>
        </w:rPr>
        <w:t xml:space="preserve">FSC </w:t>
      </w:r>
      <w:r>
        <w:rPr>
          <w:rFonts w:cstheme="minorHAnsi"/>
        </w:rPr>
        <w:t>Scheme).</w:t>
      </w:r>
    </w:p>
    <w:p w14:paraId="036B42B6" w14:textId="297E39EC" w:rsidR="0011262E" w:rsidRPr="006F46F8" w:rsidRDefault="0011262E" w:rsidP="00B423DD">
      <w:pPr>
        <w:spacing w:before="200" w:after="200" w:line="276" w:lineRule="auto"/>
      </w:pPr>
      <w:r w:rsidRPr="00B423DD">
        <w:rPr>
          <w:rFonts w:cstheme="minorHAnsi"/>
          <w:color w:val="000000"/>
        </w:rPr>
        <w:t xml:space="preserve">The </w:t>
      </w:r>
      <w:r w:rsidR="001706DB" w:rsidRPr="00B423DD">
        <w:rPr>
          <w:rFonts w:cstheme="minorHAnsi"/>
          <w:color w:val="000000"/>
        </w:rPr>
        <w:t xml:space="preserve">FSC </w:t>
      </w:r>
      <w:r w:rsidRPr="00B423DD">
        <w:rPr>
          <w:rFonts w:cstheme="minorHAnsi"/>
          <w:color w:val="000000"/>
        </w:rPr>
        <w:t>Scheme aims to ensure building work is performed safely, as such it focusses on the health</w:t>
      </w:r>
      <w:r>
        <w:t xml:space="preserve"> and safety of the </w:t>
      </w:r>
      <w:r>
        <w:rPr>
          <w:i/>
          <w:iCs/>
        </w:rPr>
        <w:t>people</w:t>
      </w:r>
      <w:r>
        <w:t xml:space="preserve"> undertaking the building work. The FSC is the accrediting authority responsible for ensuring that </w:t>
      </w:r>
      <w:r w:rsidR="00E9213E" w:rsidRPr="00EE0A20">
        <w:t>accredited persons</w:t>
      </w:r>
      <w:r>
        <w:t xml:space="preserve"> meet the systems and safety standards required to achieve and maintain accreditation under the </w:t>
      </w:r>
      <w:r w:rsidR="001706DB">
        <w:t xml:space="preserve">FSC </w:t>
      </w:r>
      <w:r>
        <w:t xml:space="preserve">Scheme, enabling those </w:t>
      </w:r>
      <w:r w:rsidR="00E9213E" w:rsidRPr="00EE0A20">
        <w:t>persons</w:t>
      </w:r>
      <w:r>
        <w:t xml:space="preserve"> to </w:t>
      </w:r>
      <w:r w:rsidR="00E9213E" w:rsidRPr="00EE0A20">
        <w:t>be awarded</w:t>
      </w:r>
      <w:r>
        <w:t xml:space="preserve"> Commonwealth</w:t>
      </w:r>
      <w:r w:rsidR="0012704A">
        <w:t>-funded</w:t>
      </w:r>
      <w:r>
        <w:t xml:space="preserve"> construction contracts.</w:t>
      </w:r>
    </w:p>
    <w:p w14:paraId="44EAEA74" w14:textId="707C50FB" w:rsidR="0011262E" w:rsidRDefault="0011262E" w:rsidP="00B423DD">
      <w:pPr>
        <w:spacing w:before="200" w:after="200" w:line="276" w:lineRule="auto"/>
        <w:rPr>
          <w:rFonts w:cstheme="minorHAnsi"/>
        </w:rPr>
      </w:pPr>
      <w:r>
        <w:rPr>
          <w:rFonts w:cstheme="minorHAnsi"/>
        </w:rPr>
        <w:t xml:space="preserve">The </w:t>
      </w:r>
      <w:r w:rsidR="00B25D7D">
        <w:rPr>
          <w:rFonts w:cstheme="minorHAnsi"/>
        </w:rPr>
        <w:t>BCIIP</w:t>
      </w:r>
      <w:r w:rsidR="005523B8">
        <w:rPr>
          <w:rFonts w:cstheme="minorHAnsi"/>
        </w:rPr>
        <w:t> </w:t>
      </w:r>
      <w:r w:rsidR="00B25D7D">
        <w:rPr>
          <w:rFonts w:cstheme="minorHAnsi"/>
        </w:rPr>
        <w:t xml:space="preserve">Act makes only one significant change to the functions exercised by the </w:t>
      </w:r>
      <w:r>
        <w:rPr>
          <w:rFonts w:cstheme="minorHAnsi"/>
        </w:rPr>
        <w:t>Federal Safety Commissioner</w:t>
      </w:r>
      <w:r w:rsidR="00B25D7D">
        <w:rPr>
          <w:rFonts w:cstheme="minorHAnsi"/>
        </w:rPr>
        <w:t xml:space="preserve"> </w:t>
      </w:r>
      <w:r w:rsidR="005F4CFD">
        <w:rPr>
          <w:rFonts w:cstheme="minorHAnsi"/>
        </w:rPr>
        <w:t>pursuant to section 30 of the former FWBI </w:t>
      </w:r>
      <w:r>
        <w:rPr>
          <w:rFonts w:cstheme="minorHAnsi"/>
        </w:rPr>
        <w:t>Act</w:t>
      </w:r>
      <w:r w:rsidR="00B25D7D">
        <w:rPr>
          <w:rFonts w:cstheme="minorHAnsi"/>
        </w:rPr>
        <w:t>.</w:t>
      </w:r>
      <w:r w:rsidR="00B25D7D">
        <w:rPr>
          <w:rStyle w:val="FootnoteReference"/>
          <w:rFonts w:cstheme="minorHAnsi"/>
        </w:rPr>
        <w:footnoteReference w:id="67"/>
      </w:r>
      <w:r w:rsidR="00B25D7D">
        <w:rPr>
          <w:rFonts w:cstheme="minorHAnsi"/>
        </w:rPr>
        <w:t xml:space="preserve"> </w:t>
      </w:r>
      <w:r>
        <w:rPr>
          <w:rFonts w:cstheme="minorHAnsi"/>
        </w:rPr>
        <w:t>While sec</w:t>
      </w:r>
      <w:r w:rsidR="005F4CFD">
        <w:rPr>
          <w:rFonts w:cstheme="minorHAnsi"/>
        </w:rPr>
        <w:t>tion </w:t>
      </w:r>
      <w:r>
        <w:rPr>
          <w:rFonts w:cstheme="minorHAnsi"/>
        </w:rPr>
        <w:t>38 largely mirrors the provi</w:t>
      </w:r>
      <w:r w:rsidR="005F4CFD">
        <w:rPr>
          <w:rFonts w:cstheme="minorHAnsi"/>
        </w:rPr>
        <w:t>sions of section 30 of the FWBI </w:t>
      </w:r>
      <w:r>
        <w:rPr>
          <w:rFonts w:cstheme="minorHAnsi"/>
        </w:rPr>
        <w:t>Act, a cross-bench amendment to this sectio</w:t>
      </w:r>
      <w:r w:rsidRPr="000A4776">
        <w:rPr>
          <w:rFonts w:cstheme="minorHAnsi"/>
        </w:rPr>
        <w:t xml:space="preserve">n </w:t>
      </w:r>
      <w:r w:rsidR="005F4CFD">
        <w:rPr>
          <w:rFonts w:cstheme="minorHAnsi"/>
        </w:rPr>
        <w:t>inserted subsection </w:t>
      </w:r>
      <w:r>
        <w:rPr>
          <w:rFonts w:cstheme="minorHAnsi"/>
        </w:rPr>
        <w:t>38(ca), which expanded</w:t>
      </w:r>
      <w:r w:rsidRPr="00345690">
        <w:rPr>
          <w:rFonts w:cstheme="minorHAnsi"/>
        </w:rPr>
        <w:t xml:space="preserve"> the </w:t>
      </w:r>
      <w:r>
        <w:rPr>
          <w:rFonts w:cstheme="minorHAnsi"/>
        </w:rPr>
        <w:t xml:space="preserve">FSC’s </w:t>
      </w:r>
      <w:r w:rsidRPr="00345690">
        <w:rPr>
          <w:rFonts w:cstheme="minorHAnsi"/>
        </w:rPr>
        <w:t xml:space="preserve">functions to </w:t>
      </w:r>
      <w:r>
        <w:rPr>
          <w:rFonts w:cstheme="minorHAnsi"/>
        </w:rPr>
        <w:t>include:</w:t>
      </w:r>
    </w:p>
    <w:p w14:paraId="10FE908F" w14:textId="68DB0E88" w:rsidR="0011262E" w:rsidRPr="005517CE" w:rsidRDefault="00B423DD" w:rsidP="00B423DD">
      <w:pPr>
        <w:spacing w:after="200" w:line="276" w:lineRule="auto"/>
        <w:ind w:left="426"/>
      </w:pPr>
      <w:r>
        <w:t>[A]</w:t>
      </w:r>
      <w:proofErr w:type="spellStart"/>
      <w:r w:rsidR="0011262E" w:rsidRPr="00117F1F">
        <w:t>uditing</w:t>
      </w:r>
      <w:proofErr w:type="spellEnd"/>
      <w:r w:rsidR="0011262E" w:rsidRPr="00117F1F">
        <w:t xml:space="preserve"> compliance with National Construction Code performance requirements in relation to building materials</w:t>
      </w:r>
      <w:r w:rsidR="0011262E">
        <w:t>.</w:t>
      </w:r>
    </w:p>
    <w:p w14:paraId="4280C9C7" w14:textId="7EACA7EE" w:rsidR="0011262E" w:rsidRDefault="0011262E" w:rsidP="00B423DD">
      <w:pPr>
        <w:spacing w:before="200" w:after="200" w:line="276" w:lineRule="auto"/>
      </w:pPr>
      <w:r>
        <w:t>This new function differs markedly from</w:t>
      </w:r>
      <w:r w:rsidR="00E9213E" w:rsidRPr="00EE0A20">
        <w:t xml:space="preserve"> the</w:t>
      </w:r>
      <w:r>
        <w:t xml:space="preserve"> FSC’s existing functions, in that it </w:t>
      </w:r>
      <w:r>
        <w:rPr>
          <w:rFonts w:cstheme="minorHAnsi"/>
        </w:rPr>
        <w:t xml:space="preserve">extends </w:t>
      </w:r>
      <w:r w:rsidR="004C4E6D">
        <w:rPr>
          <w:rFonts w:cstheme="minorHAnsi"/>
        </w:rPr>
        <w:t xml:space="preserve">the </w:t>
      </w:r>
      <w:r>
        <w:rPr>
          <w:rFonts w:cstheme="minorHAnsi"/>
        </w:rPr>
        <w:t xml:space="preserve">FSC’s role beyond worker safety to include a regulatory function focussed on the built environment. </w:t>
      </w:r>
      <w:r>
        <w:t xml:space="preserve">The </w:t>
      </w:r>
      <w:r w:rsidR="006D26B4">
        <w:t>National Construction Code (</w:t>
      </w:r>
      <w:r>
        <w:t>NCC</w:t>
      </w:r>
      <w:r w:rsidR="006D26B4">
        <w:t>)</w:t>
      </w:r>
      <w:r>
        <w:t xml:space="preserve"> sets minimum regulatory requirements for safety, health and sustainability in the design, materials and construction methods of a building. The NCC is performance-based, meaning </w:t>
      </w:r>
      <w:r w:rsidR="00C80988">
        <w:t xml:space="preserve">that it generally prescribes the outcomes to be achieved, rather than the </w:t>
      </w:r>
      <w:r>
        <w:t>particular material</w:t>
      </w:r>
      <w:r w:rsidR="00C80988">
        <w:t>s</w:t>
      </w:r>
      <w:r>
        <w:t>, design</w:t>
      </w:r>
      <w:r w:rsidR="00C80988">
        <w:t>s</w:t>
      </w:r>
      <w:r>
        <w:t xml:space="preserve"> or construction method</w:t>
      </w:r>
      <w:r w:rsidR="00C80988">
        <w:t>s to be used</w:t>
      </w:r>
      <w:r w:rsidR="00B423DD">
        <w:t>.</w:t>
      </w:r>
    </w:p>
    <w:p w14:paraId="1135BBAF" w14:textId="3D7629C4" w:rsidR="0011262E" w:rsidRDefault="0011262E" w:rsidP="00B423DD">
      <w:pPr>
        <w:spacing w:before="200" w:after="200" w:line="276" w:lineRule="auto"/>
      </w:pPr>
      <w:r>
        <w:t>T</w:t>
      </w:r>
      <w:r>
        <w:rPr>
          <w:rFonts w:cstheme="minorHAnsi"/>
        </w:rPr>
        <w:t xml:space="preserve">he </w:t>
      </w:r>
      <w:r>
        <w:t>administration of the NCC, including the evolution of its regulatory standards and the role of ensuring compliance with them, is the responsibility of the states and territories</w:t>
      </w:r>
      <w:r w:rsidR="00F91CAA">
        <w:t xml:space="preserve">. </w:t>
      </w:r>
      <w:r>
        <w:t>Each has adopted the NCC within their building legislation</w:t>
      </w:r>
      <w:r w:rsidR="00F91CAA">
        <w:t xml:space="preserve">. </w:t>
      </w:r>
      <w:r>
        <w:t xml:space="preserve">The </w:t>
      </w:r>
      <w:r w:rsidR="004C4E6D">
        <w:t xml:space="preserve">Australian </w:t>
      </w:r>
      <w:r>
        <w:t>Government does not have a role in certifying the compliance of building materials with the NCC</w:t>
      </w:r>
      <w:r w:rsidR="00F91CAA">
        <w:t xml:space="preserve">. </w:t>
      </w:r>
      <w:r>
        <w:t>As such, t</w:t>
      </w:r>
      <w:r w:rsidRPr="00554562">
        <w:t xml:space="preserve">he new function </w:t>
      </w:r>
      <w:r>
        <w:t xml:space="preserve">accorded to </w:t>
      </w:r>
      <w:r w:rsidR="00AE77F2">
        <w:t xml:space="preserve">the </w:t>
      </w:r>
      <w:r>
        <w:t xml:space="preserve">FSC effectively </w:t>
      </w:r>
      <w:r w:rsidRPr="00554562">
        <w:t>requires</w:t>
      </w:r>
      <w:r>
        <w:t xml:space="preserve"> it to adopt</w:t>
      </w:r>
      <w:r w:rsidRPr="00554562">
        <w:t xml:space="preserve"> a</w:t>
      </w:r>
      <w:r>
        <w:t xml:space="preserve"> new and</w:t>
      </w:r>
      <w:r w:rsidRPr="00554562">
        <w:t xml:space="preserve"> distinct implementation approach</w:t>
      </w:r>
      <w:r w:rsidR="00F91CAA">
        <w:t xml:space="preserve">. </w:t>
      </w:r>
      <w:r>
        <w:t>That is, i</w:t>
      </w:r>
      <w:r w:rsidRPr="00554562">
        <w:t>t is not possible to simply add</w:t>
      </w:r>
      <w:r>
        <w:t xml:space="preserve"> ensuring</w:t>
      </w:r>
      <w:r w:rsidRPr="00554562">
        <w:t xml:space="preserve"> ‘compliance with National Construction Code performance </w:t>
      </w:r>
      <w:r w:rsidRPr="00554562">
        <w:lastRenderedPageBreak/>
        <w:t>requirements in relation to building materials’ to the</w:t>
      </w:r>
      <w:r>
        <w:t xml:space="preserve"> scope of</w:t>
      </w:r>
      <w:r w:rsidRPr="00554562">
        <w:t xml:space="preserve"> </w:t>
      </w:r>
      <w:r w:rsidR="004C4E6D">
        <w:t xml:space="preserve">the </w:t>
      </w:r>
      <w:r w:rsidRPr="00554562">
        <w:t>FSC’s existing audit activities in administ</w:t>
      </w:r>
      <w:r>
        <w:t>ering t</w:t>
      </w:r>
      <w:r w:rsidRPr="00554562">
        <w:t xml:space="preserve">he </w:t>
      </w:r>
      <w:r w:rsidR="001706DB">
        <w:t>FSC</w:t>
      </w:r>
      <w:r w:rsidRPr="00554562">
        <w:t xml:space="preserve"> Scheme.</w:t>
      </w:r>
    </w:p>
    <w:p w14:paraId="71CAF9F6" w14:textId="528AB1CF" w:rsidR="0011262E" w:rsidRPr="0020123A" w:rsidRDefault="0011262E" w:rsidP="004F647D">
      <w:pPr>
        <w:pStyle w:val="Heading3"/>
        <w:numPr>
          <w:ilvl w:val="0"/>
          <w:numId w:val="24"/>
        </w:numPr>
        <w:ind w:left="426" w:hanging="426"/>
      </w:pPr>
      <w:bookmarkStart w:id="162" w:name="_Toc523154944"/>
      <w:bookmarkStart w:id="163" w:name="_Toc527633041"/>
      <w:r w:rsidRPr="0020123A">
        <w:t xml:space="preserve">Context for the </w:t>
      </w:r>
      <w:r w:rsidR="00AE77F2">
        <w:t>NCC</w:t>
      </w:r>
      <w:r>
        <w:t xml:space="preserve"> requirements</w:t>
      </w:r>
      <w:bookmarkEnd w:id="162"/>
      <w:bookmarkEnd w:id="163"/>
    </w:p>
    <w:p w14:paraId="5BE480EC" w14:textId="1F2E6636" w:rsidR="0011262E" w:rsidRDefault="0011262E" w:rsidP="00B423DD">
      <w:pPr>
        <w:spacing w:before="200" w:after="200" w:line="276" w:lineRule="auto"/>
        <w:rPr>
          <w:rFonts w:cstheme="minorHAnsi"/>
        </w:rPr>
      </w:pPr>
      <w:r>
        <w:rPr>
          <w:rFonts w:cstheme="minorHAnsi"/>
        </w:rPr>
        <w:t>The context for the broadening of the FSC’s role to</w:t>
      </w:r>
      <w:r w:rsidR="00C80988">
        <w:rPr>
          <w:rFonts w:cstheme="minorHAnsi"/>
        </w:rPr>
        <w:t xml:space="preserve"> include</w:t>
      </w:r>
      <w:r>
        <w:rPr>
          <w:rFonts w:cstheme="minorHAnsi"/>
        </w:rPr>
        <w:t xml:space="preserve"> audit</w:t>
      </w:r>
      <w:r w:rsidR="00C80988">
        <w:rPr>
          <w:rFonts w:cstheme="minorHAnsi"/>
        </w:rPr>
        <w:t>ing</w:t>
      </w:r>
      <w:r>
        <w:rPr>
          <w:rFonts w:cstheme="minorHAnsi"/>
        </w:rPr>
        <w:t xml:space="preserve"> compliance with NCC performance requirements is one in which the fire safety issues arising from the use of flammable cladding materials has very rapidly become an issue of major public concern. This initially arose following the discovery of the significant contribution of non-compliant aluminium composite cladding to the rapid spread of the fire in the Lacrosse building in Melbourne’s Docklands in November 2014</w:t>
      </w:r>
      <w:r w:rsidR="00F91CAA">
        <w:rPr>
          <w:rFonts w:cstheme="minorHAnsi"/>
        </w:rPr>
        <w:t>.</w:t>
      </w:r>
      <w:r w:rsidR="00D44970">
        <w:rPr>
          <w:rFonts w:cstheme="minorHAnsi"/>
        </w:rPr>
        <w:t xml:space="preserve"> </w:t>
      </w:r>
      <w:r w:rsidR="00C80988">
        <w:rPr>
          <w:rFonts w:cstheme="minorHAnsi"/>
        </w:rPr>
        <w:t>It</w:t>
      </w:r>
      <w:r>
        <w:rPr>
          <w:rFonts w:cstheme="minorHAnsi"/>
        </w:rPr>
        <w:t xml:space="preserve"> was underlined by the results of subsequent investigations which found that similar, non-compliant cladding material has been installed in a wide range of buildings throughout Australia. </w:t>
      </w:r>
      <w:r w:rsidR="0053202A">
        <w:rPr>
          <w:rFonts w:cstheme="minorHAnsi"/>
        </w:rPr>
        <w:t>Moreover, while the Lacrosse fire did not result in any fatalities or serious injuries, the safety risks posed by non-compliant cladding were demonstrated clearly via t</w:t>
      </w:r>
      <w:r>
        <w:rPr>
          <w:rFonts w:cstheme="minorHAnsi"/>
        </w:rPr>
        <w:t>he tragic consequences of the Grenfell tower fire in London in June</w:t>
      </w:r>
      <w:r w:rsidR="00E12823">
        <w:rPr>
          <w:rFonts w:cstheme="minorHAnsi"/>
        </w:rPr>
        <w:t> </w:t>
      </w:r>
      <w:r>
        <w:rPr>
          <w:rFonts w:cstheme="minorHAnsi"/>
        </w:rPr>
        <w:t>2017, which was also substantially attributable to the use of flammable cladding materials</w:t>
      </w:r>
      <w:r w:rsidR="0053202A">
        <w:rPr>
          <w:rFonts w:cstheme="minorHAnsi"/>
        </w:rPr>
        <w:t>.</w:t>
      </w:r>
    </w:p>
    <w:p w14:paraId="00374BDC" w14:textId="2EBF03C7" w:rsidR="0011262E" w:rsidRDefault="0011262E" w:rsidP="00B423DD">
      <w:pPr>
        <w:spacing w:before="200" w:after="200" w:line="276" w:lineRule="auto"/>
      </w:pPr>
      <w:r>
        <w:rPr>
          <w:rFonts w:cstheme="minorHAnsi"/>
        </w:rPr>
        <w:t xml:space="preserve">Reviews of the use of </w:t>
      </w:r>
      <w:r w:rsidR="00BA4D78">
        <w:rPr>
          <w:rFonts w:cstheme="minorHAnsi"/>
        </w:rPr>
        <w:t>non-compliant products (</w:t>
      </w:r>
      <w:r>
        <w:rPr>
          <w:rFonts w:cstheme="minorHAnsi"/>
        </w:rPr>
        <w:t>NCPs</w:t>
      </w:r>
      <w:r w:rsidR="00BA4D78">
        <w:rPr>
          <w:rFonts w:cstheme="minorHAnsi"/>
        </w:rPr>
        <w:t>)</w:t>
      </w:r>
      <w:r>
        <w:rPr>
          <w:rFonts w:cstheme="minorHAnsi"/>
        </w:rPr>
        <w:t xml:space="preserve"> have concluded </w:t>
      </w:r>
      <w:r w:rsidRPr="00832FA4">
        <w:t>that action address</w:t>
      </w:r>
      <w:r>
        <w:t>ing</w:t>
      </w:r>
      <w:r w:rsidRPr="00832FA4">
        <w:t xml:space="preserve"> these issues </w:t>
      </w:r>
      <w:r>
        <w:t>will</w:t>
      </w:r>
      <w:r w:rsidRPr="00832FA4">
        <w:t xml:space="preserve"> be complex and take significant time to implement</w:t>
      </w:r>
      <w:r w:rsidR="00C80988">
        <w:t>,</w:t>
      </w:r>
      <w:r>
        <w:rPr>
          <w:rFonts w:cstheme="minorHAnsi"/>
        </w:rPr>
        <w:t xml:space="preserve"> due to </w:t>
      </w:r>
      <w:r w:rsidRPr="00832FA4">
        <w:t>the complexities of</w:t>
      </w:r>
      <w:r>
        <w:t xml:space="preserve"> Australia’s </w:t>
      </w:r>
      <w:r w:rsidRPr="00832FA4">
        <w:t xml:space="preserve">system of building regulation. </w:t>
      </w:r>
      <w:r>
        <w:t xml:space="preserve">For example, the Interim Report of the Victorian Cladding Taskforce highlights system failures that have led to </w:t>
      </w:r>
      <w:r w:rsidR="00842BFA">
        <w:t>the</w:t>
      </w:r>
      <w:r>
        <w:t xml:space="preserve"> widespread non-compliant use of combustible cladding </w:t>
      </w:r>
      <w:r w:rsidR="00842BFA">
        <w:t>and</w:t>
      </w:r>
      <w:r>
        <w:t xml:space="preserve"> ‘</w:t>
      </w:r>
      <w:r w:rsidRPr="00117F1F">
        <w:t>are symptomatic of broader non-compliance across a range of areas within the industry</w:t>
      </w:r>
      <w:r w:rsidRPr="005E3BDE">
        <w:t>.</w:t>
      </w:r>
      <w:r>
        <w:t>’</w:t>
      </w:r>
      <w:r>
        <w:rPr>
          <w:rStyle w:val="FootnoteReference"/>
        </w:rPr>
        <w:footnoteReference w:id="68"/>
      </w:r>
      <w:r w:rsidRPr="005E3BDE">
        <w:t xml:space="preserve"> </w:t>
      </w:r>
      <w:r>
        <w:t>It notes that:</w:t>
      </w:r>
    </w:p>
    <w:p w14:paraId="32741889" w14:textId="0BC16E87" w:rsidR="0011262E" w:rsidRPr="0079636E" w:rsidRDefault="0011262E" w:rsidP="00B423DD">
      <w:pPr>
        <w:spacing w:after="200" w:line="276" w:lineRule="auto"/>
        <w:ind w:left="426"/>
        <w:rPr>
          <w:sz w:val="20"/>
        </w:rPr>
      </w:pPr>
      <w:r w:rsidRPr="0079636E">
        <w:rPr>
          <w:sz w:val="20"/>
        </w:rPr>
        <w:t>Ultimately, it appears that there have been system failures at three levels: Firstly, in the product supply chain from manufacturing, marketing, import, supply, sale and purchase</w:t>
      </w:r>
    </w:p>
    <w:p w14:paraId="2ADE04DB" w14:textId="77777777" w:rsidR="0011262E" w:rsidRPr="0079636E" w:rsidRDefault="0011262E" w:rsidP="00B423DD">
      <w:pPr>
        <w:spacing w:after="200" w:line="276" w:lineRule="auto"/>
        <w:ind w:left="426"/>
        <w:rPr>
          <w:sz w:val="20"/>
        </w:rPr>
      </w:pPr>
      <w:r w:rsidRPr="0079636E">
        <w:rPr>
          <w:sz w:val="20"/>
        </w:rPr>
        <w:t>Secondly, in the building and construction process from design, specification, procurement, installation, building and construction and maintenance and</w:t>
      </w:r>
    </w:p>
    <w:p w14:paraId="226D0B2B" w14:textId="0205EABA" w:rsidR="0011262E" w:rsidRPr="00DA7DC9" w:rsidRDefault="0011262E" w:rsidP="00B423DD">
      <w:pPr>
        <w:spacing w:after="200" w:line="276" w:lineRule="auto"/>
        <w:ind w:left="426"/>
        <w:rPr>
          <w:sz w:val="20"/>
        </w:rPr>
      </w:pPr>
      <w:r w:rsidRPr="0079636E">
        <w:rPr>
          <w:sz w:val="20"/>
        </w:rPr>
        <w:t>Thirdly, in regulation itself, particularly in compliance and enforcement.</w:t>
      </w:r>
      <w:r w:rsidRPr="00DA7DC9">
        <w:rPr>
          <w:rStyle w:val="FootnoteReference"/>
          <w:sz w:val="20"/>
        </w:rPr>
        <w:footnoteReference w:id="69"/>
      </w:r>
    </w:p>
    <w:p w14:paraId="716BF1D8" w14:textId="494EFAB8" w:rsidR="0011262E" w:rsidRDefault="0011262E" w:rsidP="00B423DD">
      <w:pPr>
        <w:spacing w:before="200" w:after="200" w:line="276" w:lineRule="auto"/>
      </w:pPr>
      <w:r>
        <w:t>The interim report makes recommendations for short, medium and long-term action to address the widespread use of NCPs in existing buildings</w:t>
      </w:r>
      <w:r w:rsidR="00F91CAA">
        <w:t xml:space="preserve">. </w:t>
      </w:r>
      <w:r>
        <w:t>The recommendations also address the need for systemic improvements, both at state level and through nationally coordinated action, to minimise the risks of NCPs being used in newly constructed buildings. In doing so, it references</w:t>
      </w:r>
      <w:r w:rsidRPr="00117F1F">
        <w:rPr>
          <w:rStyle w:val="CommentReference"/>
        </w:rPr>
        <w:t xml:space="preserve"> </w:t>
      </w:r>
      <w:r>
        <w:rPr>
          <w:i/>
        </w:rPr>
        <w:t>inter alia</w:t>
      </w:r>
      <w:r>
        <w:t xml:space="preserve"> work currently being undertaken by </w:t>
      </w:r>
      <w:r w:rsidR="0053202A">
        <w:t xml:space="preserve">Building Ministers’ Forum and by </w:t>
      </w:r>
      <w:r>
        <w:t xml:space="preserve">the Queensland </w:t>
      </w:r>
      <w:r w:rsidR="00E12823">
        <w:t>G</w:t>
      </w:r>
      <w:r w:rsidR="00E9213E" w:rsidRPr="00E732BC">
        <w:t>overnment</w:t>
      </w:r>
      <w:r>
        <w:t xml:space="preserve"> to address this issue</w:t>
      </w:r>
      <w:r w:rsidR="00B423DD">
        <w:t>.</w:t>
      </w:r>
    </w:p>
    <w:p w14:paraId="2652436D" w14:textId="2F28B320" w:rsidR="0011262E" w:rsidRDefault="0011262E" w:rsidP="00B423DD">
      <w:pPr>
        <w:spacing w:before="200" w:after="200" w:line="276" w:lineRule="auto"/>
      </w:pPr>
      <w:r>
        <w:t xml:space="preserve">Although this is an interim report, it is clear that significant review and reform activity </w:t>
      </w:r>
      <w:r w:rsidR="00031783">
        <w:t xml:space="preserve">is </w:t>
      </w:r>
      <w:r>
        <w:t xml:space="preserve">in train. However, while the Lacrosse fire occurred in late 2014, government regulatory responses remain very much under development, </w:t>
      </w:r>
      <w:r w:rsidR="00842BFA">
        <w:t>almost four y</w:t>
      </w:r>
      <w:r>
        <w:t>ears later.</w:t>
      </w:r>
      <w:r w:rsidR="0053202A">
        <w:t xml:space="preserve"> This reflects the complexity of the issue and the regulatory environment within which it has arisen. </w:t>
      </w:r>
      <w:r>
        <w:t xml:space="preserve">Importantly, reviews undertaken in this area have highlighted the fact that the concerns regarding widespread non-compliance with the NCC are </w:t>
      </w:r>
      <w:r>
        <w:lastRenderedPageBreak/>
        <w:t xml:space="preserve">much broader than the cladding issue. The report of the </w:t>
      </w:r>
      <w:proofErr w:type="spellStart"/>
      <w:r>
        <w:t>Shergold</w:t>
      </w:r>
      <w:proofErr w:type="spellEnd"/>
      <w:r>
        <w:t xml:space="preserve"> and Weir inquiry summarised the ma</w:t>
      </w:r>
      <w:r w:rsidR="00B423DD">
        <w:t>in areas of concern as follows:</w:t>
      </w:r>
    </w:p>
    <w:p w14:paraId="3CF18670" w14:textId="736AC471" w:rsidR="0011262E" w:rsidRPr="00985374" w:rsidRDefault="0011262E" w:rsidP="00B423DD">
      <w:pPr>
        <w:spacing w:after="200" w:line="276" w:lineRule="auto"/>
        <w:ind w:left="426"/>
        <w:rPr>
          <w:sz w:val="20"/>
        </w:rPr>
      </w:pPr>
      <w:r w:rsidRPr="0079636E">
        <w:rPr>
          <w:sz w:val="20"/>
        </w:rPr>
        <w:t>We have read numerous reports which identify the prevalence of serious compliance failures in recently constructed buildings. These include non-compliant cladding, water ingress leading to mould and structural compromise, structurally unsound roof construction and poorly constructed fire resisting elements.</w:t>
      </w:r>
      <w:r w:rsidRPr="00DA7DC9">
        <w:rPr>
          <w:rStyle w:val="FootnoteReference"/>
          <w:sz w:val="20"/>
        </w:rPr>
        <w:footnoteReference w:id="70"/>
      </w:r>
    </w:p>
    <w:p w14:paraId="7D47CACF" w14:textId="77777777" w:rsidR="0011262E" w:rsidRPr="00821E58" w:rsidRDefault="0011262E" w:rsidP="00B423DD">
      <w:pPr>
        <w:spacing w:before="200" w:after="200" w:line="276" w:lineRule="auto"/>
      </w:pPr>
      <w:r>
        <w:t xml:space="preserve">Consistent with this broader view of the problem, the recommendations made by </w:t>
      </w:r>
      <w:proofErr w:type="spellStart"/>
      <w:r>
        <w:t>Shergold</w:t>
      </w:r>
      <w:proofErr w:type="spellEnd"/>
      <w:r>
        <w:t xml:space="preserve"> and Weir cover a wide range of issues, including the registration and training of practitioners, cooperation between state and local governments, the role of fire authorities in relation to performance-based solutions, the integrity of private building surveyors, improved inspection arrangements and building product safety and certification.</w:t>
      </w:r>
    </w:p>
    <w:p w14:paraId="149A2023" w14:textId="5F31E42E" w:rsidR="0011262E" w:rsidRPr="004B3A25" w:rsidRDefault="00A172C0" w:rsidP="004F647D">
      <w:pPr>
        <w:pStyle w:val="Heading3"/>
        <w:numPr>
          <w:ilvl w:val="0"/>
          <w:numId w:val="24"/>
        </w:numPr>
        <w:ind w:left="426" w:hanging="426"/>
      </w:pPr>
      <w:bookmarkStart w:id="164" w:name="_Toc519171486"/>
      <w:bookmarkStart w:id="165" w:name="_Toc523154945"/>
      <w:bookmarkStart w:id="166" w:name="_Toc527633042"/>
      <w:r>
        <w:t xml:space="preserve">The </w:t>
      </w:r>
      <w:r w:rsidR="0011262E">
        <w:t>FSC’s approach to carrying out its NCC function</w:t>
      </w:r>
      <w:bookmarkEnd w:id="164"/>
      <w:bookmarkEnd w:id="165"/>
      <w:bookmarkEnd w:id="166"/>
    </w:p>
    <w:p w14:paraId="74D4292E" w14:textId="77777777" w:rsidR="0011262E" w:rsidRDefault="0011262E" w:rsidP="00B423DD">
      <w:pPr>
        <w:spacing w:before="200" w:after="200" w:line="276" w:lineRule="auto"/>
      </w:pPr>
      <w:r>
        <w:t xml:space="preserve">As </w:t>
      </w:r>
      <w:r w:rsidR="00842BFA">
        <w:t>discussed</w:t>
      </w:r>
      <w:r>
        <w:t xml:space="preserve"> above, the fact that the new FSC </w:t>
      </w:r>
      <w:r w:rsidR="00842BFA">
        <w:t>role</w:t>
      </w:r>
      <w:r>
        <w:t xml:space="preserve"> </w:t>
      </w:r>
      <w:r>
        <w:rPr>
          <w:rFonts w:cstheme="minorHAnsi"/>
        </w:rPr>
        <w:t>involves carrying out</w:t>
      </w:r>
      <w:r>
        <w:t xml:space="preserve"> a regulatory function focuse</w:t>
      </w:r>
      <w:r w:rsidR="00842BFA">
        <w:t>d</w:t>
      </w:r>
      <w:r>
        <w:t xml:space="preserve"> on the built environment,</w:t>
      </w:r>
      <w:r>
        <w:rPr>
          <w:rFonts w:cstheme="minorHAnsi"/>
        </w:rPr>
        <w:t xml:space="preserve"> </w:t>
      </w:r>
      <w:r>
        <w:t>as opposed to worker safety, implies that</w:t>
      </w:r>
      <w:r w:rsidR="00842BFA">
        <w:t xml:space="preserve"> it</w:t>
      </w:r>
      <w:r>
        <w:t xml:space="preserve"> has been required to develop an </w:t>
      </w:r>
      <w:r w:rsidR="00842BFA">
        <w:t xml:space="preserve">implementation </w:t>
      </w:r>
      <w:r>
        <w:t>approach that is separate and distinct from its existing auditing practices.</w:t>
      </w:r>
    </w:p>
    <w:p w14:paraId="0A3CC4AC" w14:textId="016A32A5" w:rsidR="0011262E" w:rsidRPr="00345690" w:rsidRDefault="0011262E" w:rsidP="00B423DD">
      <w:pPr>
        <w:spacing w:before="200" w:after="200" w:line="276" w:lineRule="auto"/>
        <w:rPr>
          <w:rFonts w:cstheme="minorHAnsi"/>
        </w:rPr>
      </w:pPr>
      <w:r w:rsidRPr="00B423DD">
        <w:t>Importantly</w:t>
      </w:r>
      <w:r>
        <w:rPr>
          <w:rFonts w:cstheme="minorHAnsi"/>
        </w:rPr>
        <w:t>, the FSC’s power to undertake audits is limited to the approximately 450 companies accredited to undertake Commonwealth-funded building work and</w:t>
      </w:r>
      <w:r w:rsidR="00842BFA">
        <w:rPr>
          <w:rFonts w:cstheme="minorHAnsi"/>
        </w:rPr>
        <w:t>,</w:t>
      </w:r>
      <w:r>
        <w:rPr>
          <w:rFonts w:cstheme="minorHAnsi"/>
        </w:rPr>
        <w:t xml:space="preserve"> within this group, only the 200-300 companies undertaking non-civil work</w:t>
      </w:r>
      <w:r w:rsidR="00E12823">
        <w:rPr>
          <w:rFonts w:cstheme="minorHAnsi"/>
        </w:rPr>
        <w:t>.</w:t>
      </w:r>
      <w:r w:rsidR="0053202A">
        <w:rPr>
          <w:rStyle w:val="FootnoteReference"/>
          <w:rFonts w:cstheme="minorHAnsi"/>
        </w:rPr>
        <w:footnoteReference w:id="71"/>
      </w:r>
      <w:r w:rsidRPr="005B553D">
        <w:rPr>
          <w:rFonts w:cstheme="minorHAnsi"/>
        </w:rPr>
        <w:t xml:space="preserve"> </w:t>
      </w:r>
      <w:r>
        <w:rPr>
          <w:rFonts w:cstheme="minorHAnsi"/>
        </w:rPr>
        <w:t xml:space="preserve">Moreover, </w:t>
      </w:r>
      <w:r w:rsidR="00842BFA">
        <w:rPr>
          <w:rFonts w:cstheme="minorHAnsi"/>
        </w:rPr>
        <w:t xml:space="preserve">given that </w:t>
      </w:r>
      <w:r>
        <w:rPr>
          <w:rFonts w:cstheme="minorHAnsi"/>
        </w:rPr>
        <w:t>the regulation of Australia’s built environment is essentially the responsibility of state and territory governments</w:t>
      </w:r>
      <w:r w:rsidR="00842BFA">
        <w:rPr>
          <w:rFonts w:cstheme="minorHAnsi"/>
        </w:rPr>
        <w:t>, t</w:t>
      </w:r>
      <w:r>
        <w:rPr>
          <w:rFonts w:cstheme="minorHAnsi"/>
        </w:rPr>
        <w:t>he FSC has been cognisant of the need to avoid duplication of state and territory efforts as far as possible when developing its approach to auditing.</w:t>
      </w:r>
    </w:p>
    <w:p w14:paraId="5851B0CE" w14:textId="77777777" w:rsidR="0011262E" w:rsidRDefault="0011262E" w:rsidP="00B423DD">
      <w:pPr>
        <w:spacing w:before="200" w:after="200" w:line="276" w:lineRule="auto"/>
        <w:rPr>
          <w:rFonts w:cstheme="minorHAnsi"/>
        </w:rPr>
      </w:pPr>
      <w:r>
        <w:rPr>
          <w:rFonts w:cstheme="minorHAnsi"/>
        </w:rPr>
        <w:t>T</w:t>
      </w:r>
      <w:r w:rsidRPr="00345690">
        <w:rPr>
          <w:rFonts w:cstheme="minorHAnsi"/>
        </w:rPr>
        <w:t xml:space="preserve">he </w:t>
      </w:r>
      <w:r>
        <w:rPr>
          <w:rFonts w:cstheme="minorHAnsi"/>
        </w:rPr>
        <w:t xml:space="preserve">FSC’s initial </w:t>
      </w:r>
      <w:r w:rsidRPr="00345690">
        <w:rPr>
          <w:rFonts w:cstheme="minorHAnsi"/>
        </w:rPr>
        <w:t>approach to</w:t>
      </w:r>
      <w:r>
        <w:rPr>
          <w:rFonts w:cstheme="minorHAnsi"/>
        </w:rPr>
        <w:t xml:space="preserve"> carrying out </w:t>
      </w:r>
      <w:r w:rsidR="00842BFA">
        <w:rPr>
          <w:rFonts w:cstheme="minorHAnsi"/>
        </w:rPr>
        <w:t>this</w:t>
      </w:r>
      <w:r w:rsidRPr="00345690">
        <w:rPr>
          <w:rFonts w:cstheme="minorHAnsi"/>
        </w:rPr>
        <w:t xml:space="preserve"> new </w:t>
      </w:r>
      <w:r>
        <w:rPr>
          <w:rFonts w:cstheme="minorHAnsi"/>
        </w:rPr>
        <w:t>responsibility has included:</w:t>
      </w:r>
    </w:p>
    <w:p w14:paraId="50F8C320" w14:textId="72198BD7" w:rsidR="0011262E" w:rsidRPr="00062661" w:rsidRDefault="00E12823" w:rsidP="004F647D">
      <w:pPr>
        <w:pStyle w:val="ListBullet"/>
        <w:numPr>
          <w:ilvl w:val="0"/>
          <w:numId w:val="9"/>
        </w:numPr>
        <w:ind w:left="360"/>
        <w:rPr>
          <w:rFonts w:cstheme="minorHAnsi"/>
        </w:rPr>
      </w:pPr>
      <w:r>
        <w:rPr>
          <w:rFonts w:cstheme="minorHAnsi"/>
        </w:rPr>
        <w:t>i</w:t>
      </w:r>
      <w:r w:rsidR="00E9213E" w:rsidRPr="00E45E66">
        <w:rPr>
          <w:rFonts w:cstheme="minorHAnsi"/>
        </w:rPr>
        <w:t>ntroducing</w:t>
      </w:r>
      <w:r w:rsidR="0011262E">
        <w:rPr>
          <w:rFonts w:cstheme="minorHAnsi"/>
        </w:rPr>
        <w:t xml:space="preserve"> </w:t>
      </w:r>
      <w:r w:rsidR="0011262E" w:rsidRPr="00062661">
        <w:rPr>
          <w:rFonts w:cstheme="minorHAnsi"/>
        </w:rPr>
        <w:t>a new condition of accreditation for all FSC accredited companies, requiring them to comply with NCC performance requirements in</w:t>
      </w:r>
      <w:r w:rsidR="00236A3B">
        <w:rPr>
          <w:rFonts w:cstheme="minorHAnsi"/>
        </w:rPr>
        <w:t xml:space="preserve"> relation to building materials</w:t>
      </w:r>
    </w:p>
    <w:p w14:paraId="726278DD" w14:textId="3F23ED42" w:rsidR="0011262E" w:rsidRDefault="00E12823" w:rsidP="004F647D">
      <w:pPr>
        <w:pStyle w:val="ListBullet"/>
        <w:numPr>
          <w:ilvl w:val="0"/>
          <w:numId w:val="9"/>
        </w:numPr>
        <w:ind w:left="360"/>
        <w:rPr>
          <w:rFonts w:cstheme="minorHAnsi"/>
        </w:rPr>
      </w:pPr>
      <w:r>
        <w:rPr>
          <w:rFonts w:cstheme="minorHAnsi"/>
        </w:rPr>
        <w:t>i</w:t>
      </w:r>
      <w:r w:rsidR="00E9213E" w:rsidRPr="00EE0A20">
        <w:rPr>
          <w:rFonts w:cstheme="minorHAnsi"/>
        </w:rPr>
        <w:t>ssuing</w:t>
      </w:r>
      <w:r w:rsidR="0011262E">
        <w:rPr>
          <w:rFonts w:cstheme="minorHAnsi"/>
        </w:rPr>
        <w:t xml:space="preserve"> n</w:t>
      </w:r>
      <w:r w:rsidR="0011262E" w:rsidRPr="00345690">
        <w:rPr>
          <w:rFonts w:cstheme="minorHAnsi"/>
        </w:rPr>
        <w:t xml:space="preserve">ew </w:t>
      </w:r>
      <w:r w:rsidR="0011262E">
        <w:rPr>
          <w:rFonts w:cstheme="minorHAnsi"/>
        </w:rPr>
        <w:t>m</w:t>
      </w:r>
      <w:r w:rsidR="0011262E" w:rsidRPr="00345690">
        <w:rPr>
          <w:rFonts w:cstheme="minorHAnsi"/>
        </w:rPr>
        <w:t xml:space="preserve">odel </w:t>
      </w:r>
      <w:r w:rsidR="0011262E">
        <w:rPr>
          <w:rFonts w:cstheme="minorHAnsi"/>
        </w:rPr>
        <w:t>c</w:t>
      </w:r>
      <w:r w:rsidR="0011262E" w:rsidRPr="00345690">
        <w:rPr>
          <w:rFonts w:cstheme="minorHAnsi"/>
        </w:rPr>
        <w:t>lauses for use in tenders and funding agreements for all</w:t>
      </w:r>
      <w:r w:rsidR="009B75AF">
        <w:rPr>
          <w:rFonts w:cstheme="minorHAnsi"/>
        </w:rPr>
        <w:t xml:space="preserve"> Commonwealth-</w:t>
      </w:r>
      <w:r w:rsidR="0011262E" w:rsidRPr="00345690">
        <w:rPr>
          <w:rFonts w:cstheme="minorHAnsi"/>
        </w:rPr>
        <w:t>funded building work covered by the</w:t>
      </w:r>
      <w:r w:rsidR="001706DB">
        <w:rPr>
          <w:rFonts w:cstheme="minorHAnsi"/>
        </w:rPr>
        <w:t xml:space="preserve"> FSC</w:t>
      </w:r>
      <w:r w:rsidR="0011262E" w:rsidRPr="00345690">
        <w:rPr>
          <w:rFonts w:cstheme="minorHAnsi"/>
        </w:rPr>
        <w:t xml:space="preserve"> Scheme, requiring contractor compliance with NCC performance requirements</w:t>
      </w:r>
    </w:p>
    <w:p w14:paraId="46C3B91C" w14:textId="5422927A" w:rsidR="0011262E" w:rsidRDefault="00E12823" w:rsidP="004F647D">
      <w:pPr>
        <w:pStyle w:val="ListBullet"/>
        <w:numPr>
          <w:ilvl w:val="0"/>
          <w:numId w:val="9"/>
        </w:numPr>
        <w:ind w:left="360"/>
        <w:rPr>
          <w:rFonts w:cstheme="minorHAnsi"/>
        </w:rPr>
      </w:pPr>
      <w:r>
        <w:rPr>
          <w:rFonts w:cstheme="minorHAnsi"/>
        </w:rPr>
        <w:t>c</w:t>
      </w:r>
      <w:r w:rsidR="00E9213E" w:rsidRPr="00EE0A20">
        <w:rPr>
          <w:rFonts w:cstheme="minorHAnsi"/>
        </w:rPr>
        <w:t>onducting</w:t>
      </w:r>
      <w:r w:rsidR="0011262E">
        <w:rPr>
          <w:rFonts w:cstheme="minorHAnsi"/>
        </w:rPr>
        <w:t xml:space="preserve"> a pilot audit program focussing on a</w:t>
      </w:r>
      <w:r w:rsidR="00842BFA">
        <w:rPr>
          <w:rFonts w:cstheme="minorHAnsi"/>
        </w:rPr>
        <w:t>n ex</w:t>
      </w:r>
      <w:r w:rsidR="0011262E">
        <w:rPr>
          <w:rFonts w:cstheme="minorHAnsi"/>
        </w:rPr>
        <w:t>ample high-risk product (aluminium composite cladding) to ascertain how the FSC may implement the requirements of this new function without duplicating the role and work of state and territory regulators</w:t>
      </w:r>
    </w:p>
    <w:p w14:paraId="5DA146B4" w14:textId="5849264F" w:rsidR="0011262E" w:rsidRPr="00C27362" w:rsidRDefault="00E12823" w:rsidP="004F647D">
      <w:pPr>
        <w:pStyle w:val="ListBullet"/>
        <w:numPr>
          <w:ilvl w:val="0"/>
          <w:numId w:val="9"/>
        </w:numPr>
        <w:ind w:left="360"/>
        <w:rPr>
          <w:rFonts w:cstheme="minorHAnsi"/>
        </w:rPr>
      </w:pPr>
      <w:r>
        <w:rPr>
          <w:rFonts w:cstheme="minorHAnsi"/>
        </w:rPr>
        <w:t>e</w:t>
      </w:r>
      <w:r w:rsidR="00E9213E" w:rsidRPr="00EE0A20">
        <w:rPr>
          <w:rFonts w:cstheme="minorHAnsi"/>
        </w:rPr>
        <w:t>ngaging</w:t>
      </w:r>
      <w:r w:rsidR="0011262E">
        <w:rPr>
          <w:rFonts w:cstheme="minorHAnsi"/>
        </w:rPr>
        <w:t xml:space="preserve"> with the Building Ministers’ Forum and Building Regulators’ Forum to identify </w:t>
      </w:r>
      <w:r w:rsidR="00842BFA">
        <w:rPr>
          <w:rFonts w:cstheme="minorHAnsi"/>
        </w:rPr>
        <w:t xml:space="preserve">how </w:t>
      </w:r>
      <w:r w:rsidR="0011262E">
        <w:rPr>
          <w:rFonts w:cstheme="minorHAnsi"/>
        </w:rPr>
        <w:t xml:space="preserve">the FSC’s approach to NCC auditing can </w:t>
      </w:r>
      <w:r w:rsidR="00842BFA">
        <w:rPr>
          <w:rFonts w:cstheme="minorHAnsi"/>
        </w:rPr>
        <w:t>best be accommodated</w:t>
      </w:r>
      <w:r w:rsidR="0011262E">
        <w:rPr>
          <w:rFonts w:cstheme="minorHAnsi"/>
        </w:rPr>
        <w:t xml:space="preserve"> within the broader regulatory framework.</w:t>
      </w:r>
    </w:p>
    <w:p w14:paraId="0F2257F0" w14:textId="2FCF7EBE" w:rsidR="0011262E" w:rsidRDefault="0011262E" w:rsidP="005B385F">
      <w:pPr>
        <w:pStyle w:val="Heading3"/>
        <w:keepNext/>
        <w:numPr>
          <w:ilvl w:val="0"/>
          <w:numId w:val="24"/>
        </w:numPr>
        <w:ind w:left="426" w:hanging="426"/>
      </w:pPr>
      <w:bookmarkStart w:id="167" w:name="_Toc519171487"/>
      <w:bookmarkStart w:id="168" w:name="_Toc523154946"/>
      <w:bookmarkStart w:id="169" w:name="_Toc527633043"/>
      <w:r>
        <w:lastRenderedPageBreak/>
        <w:t>Pilot audit program</w:t>
      </w:r>
      <w:bookmarkEnd w:id="167"/>
      <w:bookmarkEnd w:id="168"/>
      <w:bookmarkEnd w:id="169"/>
    </w:p>
    <w:p w14:paraId="593EA811" w14:textId="4135F32D" w:rsidR="0011262E" w:rsidRDefault="0011262E" w:rsidP="005B385F">
      <w:pPr>
        <w:keepNext/>
        <w:spacing w:before="200" w:after="200" w:line="276" w:lineRule="auto"/>
      </w:pPr>
      <w:r>
        <w:t>The FSC provided documents to the review which summarised key aspects of the pilot audit program that it conducted between July</w:t>
      </w:r>
      <w:r w:rsidR="00E12823">
        <w:t> </w:t>
      </w:r>
      <w:r>
        <w:t>2017 and February</w:t>
      </w:r>
      <w:r w:rsidR="00E12823">
        <w:t> </w:t>
      </w:r>
      <w:r>
        <w:t>2018. The program was based on a combination of on-site and desktop audits, with the following four systems-based audit criteria developed and reviewed by the FSC:</w:t>
      </w:r>
    </w:p>
    <w:p w14:paraId="68C935AB" w14:textId="52EFA2BB" w:rsidR="0011262E" w:rsidRDefault="0011262E" w:rsidP="004F647D">
      <w:pPr>
        <w:pStyle w:val="ListNumber"/>
        <w:numPr>
          <w:ilvl w:val="0"/>
          <w:numId w:val="7"/>
        </w:numPr>
        <w:ind w:left="360"/>
      </w:pPr>
      <w:r w:rsidRPr="002F6EF8">
        <w:t>There is a documented process to</w:t>
      </w:r>
      <w:r>
        <w:t xml:space="preserve"> </w:t>
      </w:r>
      <w:r w:rsidRPr="0014751F">
        <w:t>ensure a competent person</w:t>
      </w:r>
      <w:r w:rsidRPr="002F6EF8">
        <w:t xml:space="preserve"> identif</w:t>
      </w:r>
      <w:r>
        <w:t>ies</w:t>
      </w:r>
      <w:r w:rsidRPr="002F6EF8">
        <w:t xml:space="preserve"> all building materials required for the project that have performance requirements specified in</w:t>
      </w:r>
      <w:r>
        <w:t xml:space="preserve"> the NCC</w:t>
      </w:r>
      <w:r w:rsidR="003D0ABD">
        <w:t>.</w:t>
      </w:r>
    </w:p>
    <w:p w14:paraId="0A1CDD48" w14:textId="3FE66A69" w:rsidR="0011262E" w:rsidRDefault="0011262E" w:rsidP="004F647D">
      <w:pPr>
        <w:pStyle w:val="ListNumber"/>
        <w:numPr>
          <w:ilvl w:val="0"/>
          <w:numId w:val="7"/>
        </w:numPr>
        <w:ind w:left="360"/>
      </w:pPr>
      <w:r w:rsidRPr="00DD0787">
        <w:t xml:space="preserve">There is a documented process to ensure the procurement of building materials </w:t>
      </w:r>
      <w:r>
        <w:t xml:space="preserve">(as </w:t>
      </w:r>
      <w:r w:rsidRPr="00DD0787">
        <w:t xml:space="preserve">identified </w:t>
      </w:r>
      <w:r>
        <w:t xml:space="preserve">via criterion 1) that </w:t>
      </w:r>
      <w:r w:rsidRPr="00DD0787">
        <w:t xml:space="preserve">meet the </w:t>
      </w:r>
      <w:r>
        <w:t>NCC</w:t>
      </w:r>
      <w:r w:rsidRPr="00DD0787">
        <w:t xml:space="preserve"> performance requirements</w:t>
      </w:r>
      <w:r w:rsidR="003D0ABD">
        <w:t>.</w:t>
      </w:r>
    </w:p>
    <w:p w14:paraId="1061C5D0" w14:textId="1ED1B161" w:rsidR="0011262E" w:rsidRDefault="0011262E" w:rsidP="004F647D">
      <w:pPr>
        <w:pStyle w:val="ListNumber"/>
        <w:numPr>
          <w:ilvl w:val="0"/>
          <w:numId w:val="7"/>
        </w:numPr>
        <w:ind w:left="360"/>
      </w:pPr>
      <w:r w:rsidRPr="002F6EF8">
        <w:t xml:space="preserve">There is a documented process to ensure that building </w:t>
      </w:r>
      <w:r>
        <w:t>materials delivered to site are compliant with the NCC</w:t>
      </w:r>
      <w:r w:rsidR="003D0ABD">
        <w:t>.</w:t>
      </w:r>
    </w:p>
    <w:p w14:paraId="11EE67F3" w14:textId="77777777" w:rsidR="0011262E" w:rsidRDefault="0011262E" w:rsidP="004F647D">
      <w:pPr>
        <w:pStyle w:val="ListNumber"/>
        <w:numPr>
          <w:ilvl w:val="0"/>
          <w:numId w:val="7"/>
        </w:numPr>
        <w:ind w:left="360"/>
      </w:pPr>
      <w:r w:rsidRPr="00DD0787">
        <w:t xml:space="preserve">There is a documented process to ensure that the building materials identified </w:t>
      </w:r>
      <w:r>
        <w:t>via criterion 1 and procured in accordance with criterion 2 ar</w:t>
      </w:r>
      <w:r w:rsidRPr="00DD0787">
        <w:t xml:space="preserve">e used </w:t>
      </w:r>
      <w:r>
        <w:t>in accordance</w:t>
      </w:r>
      <w:r w:rsidRPr="00DD0787">
        <w:t xml:space="preserve"> with the N</w:t>
      </w:r>
      <w:r>
        <w:t>CC.</w:t>
      </w:r>
    </w:p>
    <w:p w14:paraId="36833A89" w14:textId="77777777" w:rsidR="0011262E" w:rsidRDefault="0011262E" w:rsidP="00CD0C92">
      <w:pPr>
        <w:spacing w:before="200" w:after="200" w:line="276" w:lineRule="auto"/>
        <w:rPr>
          <w:rFonts w:cstheme="minorHAnsi"/>
        </w:rPr>
      </w:pPr>
      <w:r w:rsidRPr="0025432F">
        <w:rPr>
          <w:rFonts w:cstheme="minorHAnsi"/>
        </w:rPr>
        <w:t>The</w:t>
      </w:r>
      <w:r>
        <w:rPr>
          <w:rFonts w:cstheme="minorHAnsi"/>
        </w:rPr>
        <w:t xml:space="preserve"> </w:t>
      </w:r>
      <w:r w:rsidR="00B72923">
        <w:rPr>
          <w:rFonts w:cstheme="minorHAnsi"/>
        </w:rPr>
        <w:t>p</w:t>
      </w:r>
      <w:r>
        <w:rPr>
          <w:rFonts w:cstheme="minorHAnsi"/>
        </w:rPr>
        <w:t>ilot</w:t>
      </w:r>
      <w:r w:rsidRPr="0025432F">
        <w:rPr>
          <w:rFonts w:cstheme="minorHAnsi"/>
        </w:rPr>
        <w:t xml:space="preserve"> audit design also include</w:t>
      </w:r>
      <w:r>
        <w:rPr>
          <w:rFonts w:cstheme="minorHAnsi"/>
        </w:rPr>
        <w:t>d</w:t>
      </w:r>
      <w:r w:rsidRPr="0025432F">
        <w:rPr>
          <w:rFonts w:cstheme="minorHAnsi"/>
        </w:rPr>
        <w:t xml:space="preserve"> the identification of</w:t>
      </w:r>
      <w:r>
        <w:rPr>
          <w:rFonts w:cstheme="minorHAnsi"/>
        </w:rPr>
        <w:t xml:space="preserve"> acceptable sources of evidence of compliance with the criteria. The results of the pilot audit will be utilised to develop audit criteria and processes related to building materials covered by the NCC.</w:t>
      </w:r>
    </w:p>
    <w:p w14:paraId="5D770803" w14:textId="0C962169" w:rsidR="0011262E" w:rsidRPr="005472B8" w:rsidRDefault="0011262E" w:rsidP="004F647D">
      <w:pPr>
        <w:pStyle w:val="Heading3"/>
        <w:numPr>
          <w:ilvl w:val="0"/>
          <w:numId w:val="24"/>
        </w:numPr>
        <w:ind w:left="426" w:hanging="426"/>
      </w:pPr>
      <w:bookmarkStart w:id="170" w:name="_Toc523154947"/>
      <w:bookmarkStart w:id="171" w:name="_Toc527633044"/>
      <w:r w:rsidRPr="005472B8">
        <w:t>Progress and key issues identified by the FSC</w:t>
      </w:r>
      <w:r w:rsidR="0076259F">
        <w:rPr>
          <w:rStyle w:val="FootnoteReference"/>
        </w:rPr>
        <w:footnoteReference w:id="72"/>
      </w:r>
      <w:bookmarkEnd w:id="170"/>
      <w:bookmarkEnd w:id="171"/>
    </w:p>
    <w:p w14:paraId="260604FA" w14:textId="197DA0E0" w:rsidR="0011262E" w:rsidRDefault="00FB4187" w:rsidP="00CD0C92">
      <w:pPr>
        <w:spacing w:before="200" w:after="200" w:line="276" w:lineRule="auto"/>
        <w:rPr>
          <w:rFonts w:cstheme="minorHAnsi"/>
        </w:rPr>
      </w:pPr>
      <w:r w:rsidRPr="00CD0C92">
        <w:t>The</w:t>
      </w:r>
      <w:r>
        <w:rPr>
          <w:rFonts w:cstheme="minorHAnsi"/>
        </w:rPr>
        <w:t xml:space="preserve"> FSC stated that the pilot audits have, overall, given rise to a substantial number of questions and issue</w:t>
      </w:r>
      <w:r w:rsidR="00B72923">
        <w:rPr>
          <w:rFonts w:cstheme="minorHAnsi"/>
        </w:rPr>
        <w:t>s</w:t>
      </w:r>
      <w:r>
        <w:rPr>
          <w:rFonts w:cstheme="minorHAnsi"/>
        </w:rPr>
        <w:t xml:space="preserve"> regarding the design and implementation of a full audit program for NCC compliance</w:t>
      </w:r>
      <w:r w:rsidR="00F91CAA">
        <w:rPr>
          <w:rFonts w:cstheme="minorHAnsi"/>
        </w:rPr>
        <w:t xml:space="preserve">. </w:t>
      </w:r>
      <w:r w:rsidR="00B72923">
        <w:rPr>
          <w:rFonts w:cstheme="minorHAnsi"/>
        </w:rPr>
        <w:t>Consequently, it</w:t>
      </w:r>
      <w:r>
        <w:rPr>
          <w:rFonts w:cstheme="minorHAnsi"/>
        </w:rPr>
        <w:t xml:space="preserve"> intends to undertake considerable further engagement with industry, via its reference group, to assist it in addressing outstanding issues</w:t>
      </w:r>
      <w:r w:rsidR="00F91CAA">
        <w:rPr>
          <w:rFonts w:cstheme="minorHAnsi"/>
        </w:rPr>
        <w:t xml:space="preserve">. </w:t>
      </w:r>
      <w:r>
        <w:rPr>
          <w:rFonts w:cstheme="minorHAnsi"/>
        </w:rPr>
        <w:t xml:space="preserve">It has </w:t>
      </w:r>
      <w:r w:rsidR="0011262E">
        <w:rPr>
          <w:rFonts w:cstheme="minorHAnsi"/>
        </w:rPr>
        <w:t>identified four key challenges in developing its audit framework regarding building materials covered by the NCC performance</w:t>
      </w:r>
      <w:r w:rsidR="00E9213E" w:rsidRPr="00E732BC">
        <w:rPr>
          <w:rFonts w:cstheme="minorHAnsi"/>
        </w:rPr>
        <w:t xml:space="preserve"> requirements</w:t>
      </w:r>
      <w:r w:rsidR="00B72923">
        <w:rPr>
          <w:rFonts w:cstheme="minorHAnsi"/>
        </w:rPr>
        <w:t>:</w:t>
      </w:r>
    </w:p>
    <w:p w14:paraId="38B2FED5" w14:textId="48C6C0B1" w:rsidR="0011262E" w:rsidRDefault="0011262E" w:rsidP="004F647D">
      <w:pPr>
        <w:pStyle w:val="ListBullet"/>
        <w:numPr>
          <w:ilvl w:val="0"/>
          <w:numId w:val="9"/>
        </w:numPr>
        <w:ind w:left="360"/>
        <w:rPr>
          <w:rFonts w:cstheme="minorHAnsi"/>
        </w:rPr>
      </w:pPr>
      <w:r>
        <w:rPr>
          <w:rFonts w:cstheme="minorHAnsi"/>
        </w:rPr>
        <w:t>The need to avoid duplication of existing regulatory requirements</w:t>
      </w:r>
      <w:r w:rsidR="003D0ABD">
        <w:rPr>
          <w:rFonts w:cstheme="minorHAnsi"/>
        </w:rPr>
        <w:t>.</w:t>
      </w:r>
    </w:p>
    <w:p w14:paraId="45E6F27E" w14:textId="61265421" w:rsidR="0011262E" w:rsidRDefault="0011262E" w:rsidP="004F647D">
      <w:pPr>
        <w:pStyle w:val="ListBullet"/>
        <w:numPr>
          <w:ilvl w:val="0"/>
          <w:numId w:val="9"/>
        </w:numPr>
        <w:ind w:left="360"/>
        <w:rPr>
          <w:rFonts w:cstheme="minorHAnsi"/>
        </w:rPr>
      </w:pPr>
      <w:r>
        <w:rPr>
          <w:rFonts w:cstheme="minorHAnsi"/>
        </w:rPr>
        <w:t xml:space="preserve">Ensuring the availability of adequate technical expertise within </w:t>
      </w:r>
      <w:r w:rsidR="00A172C0">
        <w:rPr>
          <w:rFonts w:cstheme="minorHAnsi"/>
        </w:rPr>
        <w:t xml:space="preserve">the </w:t>
      </w:r>
      <w:r>
        <w:rPr>
          <w:rFonts w:cstheme="minorHAnsi"/>
        </w:rPr>
        <w:t>FSC to carry out its new role</w:t>
      </w:r>
      <w:r w:rsidR="003D0ABD">
        <w:rPr>
          <w:rFonts w:cstheme="minorHAnsi"/>
        </w:rPr>
        <w:t>.</w:t>
      </w:r>
    </w:p>
    <w:p w14:paraId="47F19FB1" w14:textId="01979C9B" w:rsidR="0011262E" w:rsidRDefault="0011262E" w:rsidP="004F647D">
      <w:pPr>
        <w:pStyle w:val="ListBullet"/>
        <w:numPr>
          <w:ilvl w:val="0"/>
          <w:numId w:val="9"/>
        </w:numPr>
        <w:ind w:left="360"/>
        <w:rPr>
          <w:rFonts w:cstheme="minorHAnsi"/>
        </w:rPr>
      </w:pPr>
      <w:r>
        <w:rPr>
          <w:rFonts w:cstheme="minorHAnsi"/>
        </w:rPr>
        <w:t>The resource implications of the requirements, for both the FSC and accredited companies</w:t>
      </w:r>
      <w:r w:rsidR="003D0ABD">
        <w:rPr>
          <w:rFonts w:cstheme="minorHAnsi"/>
        </w:rPr>
        <w:t>.</w:t>
      </w:r>
    </w:p>
    <w:p w14:paraId="1B8833ED" w14:textId="77777777" w:rsidR="0011262E" w:rsidRPr="00492475" w:rsidRDefault="0011262E" w:rsidP="004F647D">
      <w:pPr>
        <w:pStyle w:val="ListBullet"/>
        <w:numPr>
          <w:ilvl w:val="0"/>
          <w:numId w:val="9"/>
        </w:numPr>
        <w:ind w:left="360"/>
        <w:rPr>
          <w:rFonts w:cstheme="minorHAnsi"/>
        </w:rPr>
      </w:pPr>
      <w:r>
        <w:rPr>
          <w:rFonts w:cstheme="minorHAnsi"/>
        </w:rPr>
        <w:t>Equity issues in the accreditation context.</w:t>
      </w:r>
    </w:p>
    <w:p w14:paraId="5F225FA5" w14:textId="77777777" w:rsidR="0011262E" w:rsidRDefault="0011262E" w:rsidP="00CD0C92">
      <w:pPr>
        <w:spacing w:before="200" w:after="200" w:line="276" w:lineRule="auto"/>
        <w:rPr>
          <w:rFonts w:cstheme="minorHAnsi"/>
        </w:rPr>
      </w:pPr>
      <w:r>
        <w:rPr>
          <w:rFonts w:cstheme="minorHAnsi"/>
        </w:rPr>
        <w:t>These are discussed briefly below.</w:t>
      </w:r>
    </w:p>
    <w:p w14:paraId="03D8EDBF" w14:textId="77777777" w:rsidR="0011262E" w:rsidRPr="000218CE" w:rsidRDefault="0011262E" w:rsidP="000218CE">
      <w:pPr>
        <w:pStyle w:val="Heading4"/>
      </w:pPr>
      <w:r w:rsidRPr="000218CE">
        <w:t>Avoiding duplication of existing regulatory requirements</w:t>
      </w:r>
    </w:p>
    <w:p w14:paraId="1C87D95D" w14:textId="240D27A9" w:rsidR="0011262E" w:rsidRDefault="0011262E" w:rsidP="00316530">
      <w:pPr>
        <w:keepNext/>
        <w:spacing w:before="200" w:after="200" w:line="276" w:lineRule="auto"/>
      </w:pPr>
      <w:r>
        <w:t>As noted, the primary responsibility for ensuring NCC compliance in respect of building materials lies with state and territory building regulators</w:t>
      </w:r>
      <w:r w:rsidR="00F91CAA">
        <w:t xml:space="preserve">. </w:t>
      </w:r>
      <w:r>
        <w:t xml:space="preserve">State and territory legislation </w:t>
      </w:r>
      <w:proofErr w:type="gramStart"/>
      <w:r>
        <w:t>sets</w:t>
      </w:r>
      <w:proofErr w:type="gramEnd"/>
      <w:r>
        <w:t xml:space="preserve"> out detailed processes for the verification of compliance, which cover the key stages of the building process</w:t>
      </w:r>
      <w:r w:rsidR="00F91CAA">
        <w:t xml:space="preserve">. </w:t>
      </w:r>
    </w:p>
    <w:p w14:paraId="22AA7A23" w14:textId="77777777" w:rsidR="0011262E" w:rsidRDefault="0011262E" w:rsidP="00CD0C92">
      <w:pPr>
        <w:spacing w:before="200" w:after="200" w:line="276" w:lineRule="auto"/>
      </w:pPr>
      <w:r>
        <w:t>Consequently, t</w:t>
      </w:r>
      <w:r w:rsidRPr="000A4664">
        <w:t>he FSC has taken a number of steps to minimise regulatory duplication, overlap and/or inconsistency</w:t>
      </w:r>
      <w:r>
        <w:t xml:space="preserve"> arising from its involvement in this area, including:</w:t>
      </w:r>
    </w:p>
    <w:p w14:paraId="011C50C8" w14:textId="0CEDD222" w:rsidR="0011262E" w:rsidRDefault="003D0ABD" w:rsidP="004F647D">
      <w:pPr>
        <w:pStyle w:val="ListBullet"/>
        <w:numPr>
          <w:ilvl w:val="0"/>
          <w:numId w:val="9"/>
        </w:numPr>
        <w:ind w:left="360"/>
      </w:pPr>
      <w:r>
        <w:lastRenderedPageBreak/>
        <w:t>a</w:t>
      </w:r>
      <w:r w:rsidR="0011262E" w:rsidRPr="000A4664">
        <w:t xml:space="preserve"> preference for a systems-based approach to the audit task</w:t>
      </w:r>
      <w:r w:rsidR="0011262E">
        <w:t xml:space="preserve"> and a stated intention to develop this approach in consultation with state and territory building regulators</w:t>
      </w:r>
    </w:p>
    <w:p w14:paraId="3653C7BF" w14:textId="6DF43462" w:rsidR="0011262E" w:rsidRDefault="003D0ABD" w:rsidP="004F647D">
      <w:pPr>
        <w:pStyle w:val="ListBullet"/>
        <w:numPr>
          <w:ilvl w:val="0"/>
          <w:numId w:val="9"/>
        </w:numPr>
        <w:ind w:left="360"/>
      </w:pPr>
      <w:r>
        <w:t>e</w:t>
      </w:r>
      <w:r w:rsidR="00E9213E" w:rsidRPr="00EE0A20">
        <w:t>ngaging</w:t>
      </w:r>
      <w:r w:rsidR="0011262E" w:rsidRPr="000A4664">
        <w:t xml:space="preserve"> in </w:t>
      </w:r>
      <w:r w:rsidR="0011262E">
        <w:t>broader</w:t>
      </w:r>
      <w:r w:rsidR="0011262E" w:rsidRPr="000A4664">
        <w:t xml:space="preserve"> consultation and interactions with </w:t>
      </w:r>
      <w:r w:rsidR="0011262E">
        <w:t>state and territory</w:t>
      </w:r>
      <w:r w:rsidR="0011262E" w:rsidRPr="000A4664">
        <w:t xml:space="preserve"> building regulators</w:t>
      </w:r>
      <w:r w:rsidR="0011262E">
        <w:t xml:space="preserve"> on issues related to NCC compliance, including through the Building Regulators Forum</w:t>
      </w:r>
      <w:r w:rsidR="00E9213E" w:rsidRPr="00EE0A20">
        <w:t>.</w:t>
      </w:r>
      <w:r w:rsidR="0011262E" w:rsidRPr="000A4664">
        <w:rPr>
          <w:rStyle w:val="FootnoteReference"/>
        </w:rPr>
        <w:footnoteReference w:id="73"/>
      </w:r>
    </w:p>
    <w:p w14:paraId="1B788617" w14:textId="77777777" w:rsidR="0011262E" w:rsidRPr="000218CE" w:rsidRDefault="0011262E" w:rsidP="000218CE">
      <w:pPr>
        <w:pStyle w:val="Heading4"/>
      </w:pPr>
      <w:r w:rsidRPr="000218CE">
        <w:t>Ensuring the availability of adequate technical expertise</w:t>
      </w:r>
    </w:p>
    <w:p w14:paraId="4B773753" w14:textId="33291E18" w:rsidR="00C27579" w:rsidRDefault="00E9213E" w:rsidP="00CD0C92">
      <w:pPr>
        <w:spacing w:before="200" w:after="200" w:line="276" w:lineRule="auto"/>
      </w:pPr>
      <w:r w:rsidRPr="00C67D1D">
        <w:t xml:space="preserve">The </w:t>
      </w:r>
      <w:r w:rsidR="0011262E">
        <w:t xml:space="preserve">FSC has </w:t>
      </w:r>
      <w:r w:rsidR="00C27579">
        <w:t xml:space="preserve">sought to ensure that the audit approach it is developing is not overly complex and demanding and that, as a corollary, its administration will not require </w:t>
      </w:r>
      <w:r w:rsidRPr="00E732BC">
        <w:t xml:space="preserve">the </w:t>
      </w:r>
      <w:r w:rsidR="00C27579">
        <w:t xml:space="preserve">FSC itself to develop substantial technical expertise in this area. However, </w:t>
      </w:r>
      <w:r w:rsidR="0011262E">
        <w:t>the nature of the NCC and the legislative context in which it operates</w:t>
      </w:r>
      <w:r w:rsidR="00C27579">
        <w:t xml:space="preserve"> itself gives rise to difficulties in this regard</w:t>
      </w:r>
      <w:r w:rsidR="00F91CAA">
        <w:t xml:space="preserve">. </w:t>
      </w:r>
    </w:p>
    <w:p w14:paraId="0D72E6C8" w14:textId="0BADF8A0" w:rsidR="00D03C95" w:rsidRPr="006D1B7F" w:rsidRDefault="0011262E" w:rsidP="00CD0C92">
      <w:pPr>
        <w:spacing w:before="200" w:after="200" w:line="276" w:lineRule="auto"/>
        <w:rPr>
          <w:rFonts w:ascii="Times New Roman" w:hAnsi="Times New Roman" w:cs="Times New Roman"/>
          <w:sz w:val="24"/>
          <w:szCs w:val="24"/>
          <w:lang w:eastAsia="en-AU"/>
        </w:rPr>
      </w:pPr>
      <w:r>
        <w:t>In particular, the performance-based nature of the NCC implies that determinations as to whether building materials are compliant require consideration of the broader design context within which they are specified</w:t>
      </w:r>
      <w:r w:rsidR="00F91CAA">
        <w:t xml:space="preserve">. </w:t>
      </w:r>
      <w:r>
        <w:t xml:space="preserve">For example, in the case of polyethylene core aluminium cladding, assessments of whether the use of the material is compliant in a particular context can involve consideration of the backing material employed with it and whether a sprinkler system is present, as well as </w:t>
      </w:r>
      <w:r w:rsidR="00B72923">
        <w:t>considering</w:t>
      </w:r>
      <w:r>
        <w:t xml:space="preserve"> the fire engineering assessment</w:t>
      </w:r>
      <w:r w:rsidR="00F91CAA">
        <w:t xml:space="preserve">. </w:t>
      </w:r>
      <w:r>
        <w:t>Also relevant is the fact that the building regulatory system includes approval requirements at both design and construction stages</w:t>
      </w:r>
      <w:r w:rsidR="00F91CAA">
        <w:t xml:space="preserve">. </w:t>
      </w:r>
      <w:r w:rsidR="00B72923">
        <w:t xml:space="preserve">The audit process will need to be broad and detailed </w:t>
      </w:r>
      <w:r w:rsidR="00031783">
        <w:t xml:space="preserve">enough </w:t>
      </w:r>
      <w:r w:rsidR="00B72923">
        <w:t xml:space="preserve">to encompass the full scope of </w:t>
      </w:r>
      <w:r w:rsidR="009335A2">
        <w:t xml:space="preserve">the </w:t>
      </w:r>
      <w:r>
        <w:t>FSC</w:t>
      </w:r>
      <w:r w:rsidR="00B72923">
        <w:t>’s</w:t>
      </w:r>
      <w:r>
        <w:t xml:space="preserve"> responsibility </w:t>
      </w:r>
      <w:r w:rsidR="00B72923">
        <w:t xml:space="preserve">to </w:t>
      </w:r>
      <w:r w:rsidR="00031783">
        <w:t xml:space="preserve">audit </w:t>
      </w:r>
      <w:r w:rsidR="00806E01" w:rsidRPr="00895D85">
        <w:t xml:space="preserve">accredited </w:t>
      </w:r>
      <w:r w:rsidR="00E9213E" w:rsidRPr="0056479C">
        <w:t>persons’</w:t>
      </w:r>
      <w:r w:rsidR="000A6AD3">
        <w:t xml:space="preserve"> </w:t>
      </w:r>
      <w:r w:rsidR="00031783" w:rsidRPr="00E10B97">
        <w:rPr>
          <w:bCs/>
          <w:iCs/>
        </w:rPr>
        <w:t xml:space="preserve">compliance with </w:t>
      </w:r>
      <w:r w:rsidR="00031783">
        <w:rPr>
          <w:bCs/>
          <w:iCs/>
        </w:rPr>
        <w:t>NCC</w:t>
      </w:r>
      <w:r w:rsidR="00031783" w:rsidRPr="00E10B97">
        <w:rPr>
          <w:bCs/>
          <w:iCs/>
        </w:rPr>
        <w:t xml:space="preserve"> performance requirements in relation to building materials</w:t>
      </w:r>
      <w:r>
        <w:t>.</w:t>
      </w:r>
      <w:r w:rsidR="00FB4187">
        <w:t xml:space="preserve"> </w:t>
      </w:r>
      <w:r w:rsidR="00B72923">
        <w:t xml:space="preserve">Moreover, </w:t>
      </w:r>
      <w:r w:rsidR="00641053">
        <w:t xml:space="preserve">the </w:t>
      </w:r>
      <w:r w:rsidR="00FB4187">
        <w:t xml:space="preserve">FSC noted that its staff typically have a </w:t>
      </w:r>
      <w:r w:rsidR="00FB4187" w:rsidRPr="006D1B7F">
        <w:t>workplace health and safety background and lack substantial expertise in building materials issues and systems.</w:t>
      </w:r>
    </w:p>
    <w:p w14:paraId="76AC8A13" w14:textId="77777777" w:rsidR="0011262E" w:rsidRPr="000218CE" w:rsidRDefault="0011262E" w:rsidP="000218CE">
      <w:pPr>
        <w:pStyle w:val="Heading4"/>
      </w:pPr>
      <w:r w:rsidRPr="000218CE">
        <w:t>Resource implications</w:t>
      </w:r>
    </w:p>
    <w:p w14:paraId="5439F6D5" w14:textId="27E43132" w:rsidR="0011262E" w:rsidRDefault="0011262E" w:rsidP="00CD0C92">
      <w:pPr>
        <w:spacing w:before="200" w:after="200" w:line="276" w:lineRule="auto"/>
      </w:pPr>
      <w:r>
        <w:t>T</w:t>
      </w:r>
      <w:r w:rsidRPr="00895D85">
        <w:t xml:space="preserve">he FSC </w:t>
      </w:r>
      <w:r>
        <w:t>is working towards an</w:t>
      </w:r>
      <w:r w:rsidRPr="00895D85">
        <w:t xml:space="preserve"> estimate </w:t>
      </w:r>
      <w:r>
        <w:t xml:space="preserve">of </w:t>
      </w:r>
      <w:r w:rsidRPr="00895D85">
        <w:t>the likely compliance cost</w:t>
      </w:r>
      <w:r w:rsidR="00B72923">
        <w:t>s</w:t>
      </w:r>
      <w:r w:rsidRPr="00895D85">
        <w:t xml:space="preserve"> to accredited building companies of expanding the accreditation process to include verification of NCC compliance. </w:t>
      </w:r>
      <w:r w:rsidR="00B72923">
        <w:t xml:space="preserve">It believes </w:t>
      </w:r>
      <w:r w:rsidRPr="00895D85">
        <w:t>that larger companies are likely to have systems in place that can be adapted to serve as the basis for meeting the expanded accreditation arrangements it expects to adopt. However, the 20</w:t>
      </w:r>
      <w:r w:rsidR="001D426E">
        <w:t> </w:t>
      </w:r>
      <w:r>
        <w:t>per</w:t>
      </w:r>
      <w:r w:rsidR="001D426E">
        <w:t> </w:t>
      </w:r>
      <w:r>
        <w:t>cent</w:t>
      </w:r>
      <w:r w:rsidRPr="00895D85">
        <w:t xml:space="preserve"> of accredited building companies that are classified as small businesses are much less likely to have such systems and, as a result, </w:t>
      </w:r>
      <w:r w:rsidR="00B72923" w:rsidRPr="00895D85">
        <w:t xml:space="preserve">are </w:t>
      </w:r>
      <w:r w:rsidRPr="00895D85">
        <w:t>likely to face higher compliance costs.</w:t>
      </w:r>
    </w:p>
    <w:p w14:paraId="64F2224D" w14:textId="03A46A7B" w:rsidR="0064008A" w:rsidRDefault="0064008A" w:rsidP="00CD0C92">
      <w:pPr>
        <w:spacing w:before="200" w:after="200" w:line="276" w:lineRule="auto"/>
      </w:pPr>
      <w:r>
        <w:t xml:space="preserve">The </w:t>
      </w:r>
      <w:r w:rsidRPr="00F173BC">
        <w:t>FSC currently has 25</w:t>
      </w:r>
      <w:r w:rsidR="003D0ABD">
        <w:t> </w:t>
      </w:r>
      <w:r w:rsidRPr="00F173BC">
        <w:t>consultant Federal Safety Officers (FSOs) and about 35</w:t>
      </w:r>
      <w:r w:rsidR="003D0ABD">
        <w:t> </w:t>
      </w:r>
      <w:r w:rsidRPr="00F173BC">
        <w:t>in-house staff</w:t>
      </w:r>
      <w:r>
        <w:t xml:space="preserve"> (including administration and support staff)</w:t>
      </w:r>
      <w:r w:rsidRPr="00F173BC">
        <w:t>, who effectively act as audit managers</w:t>
      </w:r>
      <w:r>
        <w:t xml:space="preserve"> in respect of more than </w:t>
      </w:r>
      <w:r w:rsidRPr="00F173BC">
        <w:t>4</w:t>
      </w:r>
      <w:r>
        <w:t>4</w:t>
      </w:r>
      <w:r w:rsidRPr="00F173BC">
        <w:t>0</w:t>
      </w:r>
      <w:r w:rsidR="003D0ABD">
        <w:t> </w:t>
      </w:r>
      <w:r w:rsidRPr="00F173BC">
        <w:t>accredited companies</w:t>
      </w:r>
      <w:r>
        <w:t xml:space="preserve">, each of which is currently </w:t>
      </w:r>
      <w:r w:rsidRPr="00F173BC">
        <w:t>audited at</w:t>
      </w:r>
      <w:r>
        <w:t xml:space="preserve"> least annually.</w:t>
      </w:r>
    </w:p>
    <w:p w14:paraId="234C335A" w14:textId="57AE3050" w:rsidR="0011262E" w:rsidRDefault="0011262E" w:rsidP="00CD0C92">
      <w:pPr>
        <w:spacing w:before="200" w:after="200" w:line="276" w:lineRule="auto"/>
      </w:pPr>
      <w:r>
        <w:t xml:space="preserve">The </w:t>
      </w:r>
      <w:r w:rsidRPr="00F173BC">
        <w:t xml:space="preserve">FSC </w:t>
      </w:r>
      <w:r>
        <w:t>believes</w:t>
      </w:r>
      <w:r w:rsidRPr="00F173BC">
        <w:t xml:space="preserve"> that the cost implications for its own operations will be significant, albeit </w:t>
      </w:r>
      <w:r>
        <w:t xml:space="preserve">they will be </w:t>
      </w:r>
      <w:r w:rsidRPr="00F173BC">
        <w:t>determined to some extent by the specific design of the accreditation and auditing requirements adopted</w:t>
      </w:r>
      <w:r w:rsidR="00641053">
        <w:t xml:space="preserve"> in relation to the NCC function</w:t>
      </w:r>
      <w:r w:rsidRPr="00F173BC">
        <w:t xml:space="preserve">. As an indicative estimate, </w:t>
      </w:r>
      <w:r w:rsidR="00641053">
        <w:t xml:space="preserve">the </w:t>
      </w:r>
      <w:r w:rsidRPr="00F173BC">
        <w:t>FSC</w:t>
      </w:r>
      <w:r>
        <w:t xml:space="preserve"> believes that it</w:t>
      </w:r>
      <w:r w:rsidRPr="00F173BC">
        <w:t xml:space="preserve">s resource requirements could approximately double over the first two years of implementation of the new arrangements, with some reduction in following years once the new arrangements are fully </w:t>
      </w:r>
      <w:r w:rsidRPr="00F173BC">
        <w:lastRenderedPageBreak/>
        <w:t xml:space="preserve">established and a high level of compliance has been achieved. It also expects </w:t>
      </w:r>
      <w:r>
        <w:t xml:space="preserve">it will need </w:t>
      </w:r>
      <w:r w:rsidRPr="00F173BC">
        <w:t>to draw on external expertise in developing accreditation/auditing crit</w:t>
      </w:r>
      <w:r w:rsidR="00CD0C92">
        <w:t>eria and evidence requirements.</w:t>
      </w:r>
    </w:p>
    <w:p w14:paraId="3D5AD91D" w14:textId="77777777" w:rsidR="0011262E" w:rsidRPr="000218CE" w:rsidRDefault="0011262E" w:rsidP="000218CE">
      <w:pPr>
        <w:pStyle w:val="Heading4"/>
      </w:pPr>
      <w:r w:rsidRPr="000218CE">
        <w:t>Ensuring equity in the auditing context</w:t>
      </w:r>
    </w:p>
    <w:p w14:paraId="61480A12" w14:textId="22700A94" w:rsidR="00C8040C" w:rsidRDefault="0011262E" w:rsidP="00CD0C92">
      <w:pPr>
        <w:spacing w:before="200" w:after="200" w:line="276" w:lineRule="auto"/>
      </w:pPr>
      <w:r>
        <w:t xml:space="preserve">As noted above, </w:t>
      </w:r>
      <w:r w:rsidR="009335A2">
        <w:t xml:space="preserve">the </w:t>
      </w:r>
      <w:r>
        <w:t xml:space="preserve">FSC believes that relatively few smaller </w:t>
      </w:r>
      <w:r w:rsidR="00641053">
        <w:t xml:space="preserve">accredited </w:t>
      </w:r>
      <w:r>
        <w:t xml:space="preserve">entities will have systems in place that can be adapted to form the basis of an audit compliance system and that the burden of compliance of </w:t>
      </w:r>
      <w:r w:rsidR="005F4CFD">
        <w:t>subsection </w:t>
      </w:r>
      <w:r>
        <w:t>38(ca) is likely to be significantly greater</w:t>
      </w:r>
      <w:r w:rsidR="00C8040C" w:rsidRPr="00C8040C">
        <w:t xml:space="preserve"> </w:t>
      </w:r>
      <w:r w:rsidR="00C8040C">
        <w:t>for this group</w:t>
      </w:r>
      <w:r w:rsidR="00F91CAA">
        <w:t xml:space="preserve">. </w:t>
      </w:r>
      <w:r>
        <w:t>It intends to factor this insight into the detailed design of the audit compliance arrangements</w:t>
      </w:r>
      <w:r w:rsidR="00C8040C">
        <w:t>, t</w:t>
      </w:r>
      <w:r>
        <w:t>o minimise any inequity arising</w:t>
      </w:r>
      <w:r w:rsidR="00CD0C92">
        <w:t>.</w:t>
      </w:r>
    </w:p>
    <w:p w14:paraId="1C5984BC" w14:textId="245ED681" w:rsidR="0064008A" w:rsidRDefault="0064008A" w:rsidP="00CD0C92">
      <w:pPr>
        <w:spacing w:before="200" w:after="200" w:line="276" w:lineRule="auto"/>
      </w:pPr>
      <w:r>
        <w:t xml:space="preserve">A second possible equity issue is that </w:t>
      </w:r>
      <w:r w:rsidR="00E9213E" w:rsidRPr="00EE0A20">
        <w:t>accredited persons</w:t>
      </w:r>
      <w:r>
        <w:t xml:space="preserve"> that undertake only civil construction will be unaffected by the expansion of the scope of </w:t>
      </w:r>
      <w:r w:rsidR="000F0D2F">
        <w:t xml:space="preserve">the </w:t>
      </w:r>
      <w:r>
        <w:t>FSC’s audits, while competing companies that also construct buildings will be subject to the broader audit requirements, thus facing a higher regulatory burden.</w:t>
      </w:r>
    </w:p>
    <w:p w14:paraId="475B1B50" w14:textId="1AFCA85A" w:rsidR="0011262E" w:rsidRDefault="009335A2" w:rsidP="00CD0C92">
      <w:pPr>
        <w:spacing w:before="200" w:after="200" w:line="276" w:lineRule="auto"/>
      </w:pPr>
      <w:r>
        <w:t xml:space="preserve">The </w:t>
      </w:r>
      <w:r w:rsidR="0011262E">
        <w:t xml:space="preserve">FSC’s consideration of the issue of equity in relation to the design of the audit process also includes the issue of the relationship between indicators of the risk posed by a company and its audit frequency. This includes consideration of both its compliance history and </w:t>
      </w:r>
      <w:r w:rsidR="0011262E" w:rsidRPr="00F173BC">
        <w:t>the amount of building work being undertaken.</w:t>
      </w:r>
    </w:p>
    <w:p w14:paraId="11B83D5C" w14:textId="77777777" w:rsidR="0011262E" w:rsidRPr="000218CE" w:rsidRDefault="0011262E" w:rsidP="000218CE">
      <w:pPr>
        <w:pStyle w:val="Heading4"/>
      </w:pPr>
      <w:r w:rsidRPr="000218CE">
        <w:t>Broader regulatory context</w:t>
      </w:r>
    </w:p>
    <w:p w14:paraId="6416B182" w14:textId="373C7621" w:rsidR="0011262E" w:rsidRDefault="0011262E" w:rsidP="00CD0C92">
      <w:pPr>
        <w:spacing w:before="200" w:after="200" w:line="276" w:lineRule="auto"/>
      </w:pPr>
      <w:r>
        <w:t>The FSC is clearly cognisant of the broader context within which it is implementing its new obligations. That is, state and territory building regulators</w:t>
      </w:r>
      <w:r w:rsidR="00C8040C">
        <w:t xml:space="preserve">, </w:t>
      </w:r>
      <w:r>
        <w:t>and governments more broadly</w:t>
      </w:r>
      <w:r w:rsidR="00C8040C">
        <w:t xml:space="preserve">, </w:t>
      </w:r>
      <w:r>
        <w:t>are still developing their responses to the issues of flammable cladding materials and the broader question of the adequacy of NCC compliance systems. The FSC has indicated that a range of perspectives appear to exist as to how these issues should be addressed, with some jurisdictions favouring systems-based approaches and others considering more prescriptive approaches</w:t>
      </w:r>
      <w:r w:rsidR="00C8040C">
        <w:t>,</w:t>
      </w:r>
      <w:r>
        <w:t xml:space="preserve"> including possible changes to building certification arrangements. The FSC notes</w:t>
      </w:r>
      <w:r w:rsidR="00C8040C">
        <w:t xml:space="preserve"> that</w:t>
      </w:r>
      <w:r>
        <w:t xml:space="preserve"> a significant degree of coordination and agreement will need to be achieved, both among</w:t>
      </w:r>
      <w:r w:rsidR="00641053">
        <w:t>st</w:t>
      </w:r>
      <w:r>
        <w:t xml:space="preserve"> state and territory building regulators and between these regulators and </w:t>
      </w:r>
      <w:r w:rsidR="007B2D9B">
        <w:t xml:space="preserve">the </w:t>
      </w:r>
      <w:r>
        <w:t>FSC itself, given the closely harmonised nature of much of the building regulatory system</w:t>
      </w:r>
      <w:r w:rsidR="00CD0C92">
        <w:t>.</w:t>
      </w:r>
    </w:p>
    <w:p w14:paraId="55A4C62E" w14:textId="16896659" w:rsidR="0011262E" w:rsidRDefault="0011262E" w:rsidP="00CD0C92">
      <w:pPr>
        <w:spacing w:before="200" w:after="200" w:line="276" w:lineRule="auto"/>
      </w:pPr>
      <w:r>
        <w:t>Given this situation, there are substantial uncertainties as to the broader regulatory environment within which the NCC auditing requirements currently being developed by the FSC will operate</w:t>
      </w:r>
      <w:r w:rsidR="00CD0C92">
        <w:t>.</w:t>
      </w:r>
    </w:p>
    <w:p w14:paraId="36B3AFAB" w14:textId="162DDA67" w:rsidR="0011262E" w:rsidRDefault="0011262E" w:rsidP="004F647D">
      <w:pPr>
        <w:pStyle w:val="Heading2"/>
        <w:numPr>
          <w:ilvl w:val="1"/>
          <w:numId w:val="23"/>
        </w:numPr>
      </w:pPr>
      <w:bookmarkStart w:id="172" w:name="_Toc519171488"/>
      <w:bookmarkStart w:id="173" w:name="_Toc523154948"/>
      <w:bookmarkStart w:id="174" w:name="_Toc527633045"/>
      <w:r>
        <w:t>Stakeholder views</w:t>
      </w:r>
      <w:bookmarkEnd w:id="172"/>
      <w:bookmarkEnd w:id="173"/>
      <w:bookmarkEnd w:id="174"/>
    </w:p>
    <w:p w14:paraId="56E2816F" w14:textId="3F4E255F" w:rsidR="0011262E" w:rsidRPr="001E346A" w:rsidRDefault="0011262E" w:rsidP="00CD0C92">
      <w:pPr>
        <w:spacing w:before="200" w:after="200" w:line="276" w:lineRule="auto"/>
        <w:rPr>
          <w:rFonts w:cstheme="minorHAnsi"/>
        </w:rPr>
      </w:pPr>
      <w:r w:rsidRPr="001E346A">
        <w:rPr>
          <w:rFonts w:cstheme="minorHAnsi"/>
        </w:rPr>
        <w:t xml:space="preserve">A small number of stakeholder submissions addressed the requirement </w:t>
      </w:r>
      <w:r w:rsidR="00C8040C">
        <w:rPr>
          <w:rFonts w:cstheme="minorHAnsi"/>
        </w:rPr>
        <w:t>for</w:t>
      </w:r>
      <w:r w:rsidRPr="001E346A">
        <w:rPr>
          <w:rFonts w:cstheme="minorHAnsi"/>
        </w:rPr>
        <w:t xml:space="preserve"> </w:t>
      </w:r>
      <w:r>
        <w:rPr>
          <w:rFonts w:cstheme="minorHAnsi"/>
        </w:rPr>
        <w:t xml:space="preserve">the </w:t>
      </w:r>
      <w:r w:rsidRPr="001E346A">
        <w:rPr>
          <w:rFonts w:cstheme="minorHAnsi"/>
        </w:rPr>
        <w:t xml:space="preserve">FSC to audit </w:t>
      </w:r>
      <w:r w:rsidR="00C8040C" w:rsidRPr="001E346A">
        <w:rPr>
          <w:rFonts w:cstheme="minorHAnsi"/>
        </w:rPr>
        <w:t xml:space="preserve">accredited building companies’ </w:t>
      </w:r>
      <w:r w:rsidRPr="001E346A">
        <w:rPr>
          <w:rFonts w:cstheme="minorHAnsi"/>
        </w:rPr>
        <w:t>compliance with the NCC</w:t>
      </w:r>
      <w:r w:rsidR="00C8040C">
        <w:rPr>
          <w:rFonts w:cstheme="minorHAnsi"/>
        </w:rPr>
        <w:t>, with a range of views being expressed</w:t>
      </w:r>
      <w:r w:rsidRPr="001E346A">
        <w:rPr>
          <w:rFonts w:cstheme="minorHAnsi"/>
        </w:rPr>
        <w:t xml:space="preserve">. </w:t>
      </w:r>
      <w:r>
        <w:rPr>
          <w:rFonts w:cstheme="minorHAnsi"/>
        </w:rPr>
        <w:t xml:space="preserve">ACCI’s </w:t>
      </w:r>
      <w:r w:rsidRPr="001E346A">
        <w:rPr>
          <w:rFonts w:cstheme="minorHAnsi"/>
        </w:rPr>
        <w:t xml:space="preserve">submission did not directly address the new requirements of </w:t>
      </w:r>
      <w:r w:rsidR="005F4CFD">
        <w:rPr>
          <w:rFonts w:cstheme="minorHAnsi"/>
        </w:rPr>
        <w:t>sub</w:t>
      </w:r>
      <w:r>
        <w:rPr>
          <w:rFonts w:cstheme="minorHAnsi"/>
        </w:rPr>
        <w:t>s</w:t>
      </w:r>
      <w:r w:rsidR="005F4CFD">
        <w:rPr>
          <w:rFonts w:cstheme="minorHAnsi"/>
        </w:rPr>
        <w:t>ection </w:t>
      </w:r>
      <w:r>
        <w:rPr>
          <w:rFonts w:cstheme="minorHAnsi"/>
        </w:rPr>
        <w:t>38</w:t>
      </w:r>
      <w:r w:rsidRPr="001E346A">
        <w:rPr>
          <w:rFonts w:cstheme="minorHAnsi"/>
        </w:rPr>
        <w:t>(ca) of the</w:t>
      </w:r>
      <w:r w:rsidR="00C34423">
        <w:rPr>
          <w:rFonts w:cstheme="minorHAnsi"/>
        </w:rPr>
        <w:t xml:space="preserve"> BCIIP</w:t>
      </w:r>
      <w:r w:rsidR="005F4CFD">
        <w:rPr>
          <w:rFonts w:cstheme="minorHAnsi"/>
        </w:rPr>
        <w:t> </w:t>
      </w:r>
      <w:r w:rsidRPr="001E346A">
        <w:rPr>
          <w:rFonts w:cstheme="minorHAnsi"/>
        </w:rPr>
        <w:t>Act</w:t>
      </w:r>
      <w:r>
        <w:rPr>
          <w:rFonts w:cstheme="minorHAnsi"/>
        </w:rPr>
        <w:t>. However</w:t>
      </w:r>
      <w:r w:rsidRPr="001E346A">
        <w:rPr>
          <w:rFonts w:cstheme="minorHAnsi"/>
        </w:rPr>
        <w:t>,</w:t>
      </w:r>
      <w:r>
        <w:rPr>
          <w:rFonts w:cstheme="minorHAnsi"/>
        </w:rPr>
        <w:t xml:space="preserve"> it </w:t>
      </w:r>
      <w:r w:rsidRPr="001E346A">
        <w:rPr>
          <w:rFonts w:cstheme="minorHAnsi"/>
        </w:rPr>
        <w:t xml:space="preserve">did include a general statement that, while the </w:t>
      </w:r>
      <w:r w:rsidR="00E9213E" w:rsidRPr="00EE0A20">
        <w:rPr>
          <w:rFonts w:cstheme="minorHAnsi"/>
        </w:rPr>
        <w:t xml:space="preserve">FSC Scheme </w:t>
      </w:r>
      <w:r w:rsidRPr="001E346A">
        <w:rPr>
          <w:rFonts w:cstheme="minorHAnsi"/>
        </w:rPr>
        <w:t xml:space="preserve">has the effect of imposing obligations and associated costs on building industry participants, ACCI welcomes the use of the Government purchasing power to drive cultural change in the industry and sees this as an important aspect of </w:t>
      </w:r>
      <w:r w:rsidR="005F4CFD">
        <w:rPr>
          <w:rFonts w:cstheme="minorHAnsi"/>
        </w:rPr>
        <w:t>the regime created by the BCIIP </w:t>
      </w:r>
      <w:r w:rsidRPr="001E346A">
        <w:rPr>
          <w:rFonts w:cstheme="minorHAnsi"/>
        </w:rPr>
        <w:t>Act.</w:t>
      </w:r>
    </w:p>
    <w:p w14:paraId="0614689F" w14:textId="38A279AA" w:rsidR="0011262E" w:rsidRPr="001E346A" w:rsidRDefault="00E9213E" w:rsidP="00CD0C92">
      <w:pPr>
        <w:spacing w:before="200" w:after="200" w:line="276" w:lineRule="auto"/>
        <w:rPr>
          <w:szCs w:val="23"/>
        </w:rPr>
      </w:pPr>
      <w:r w:rsidRPr="00EE0A20">
        <w:rPr>
          <w:rFonts w:cstheme="minorHAnsi"/>
        </w:rPr>
        <w:lastRenderedPageBreak/>
        <w:t xml:space="preserve">The </w:t>
      </w:r>
      <w:r w:rsidR="0011262E" w:rsidRPr="001E346A">
        <w:rPr>
          <w:rFonts w:cstheme="minorHAnsi"/>
        </w:rPr>
        <w:t>Ai</w:t>
      </w:r>
      <w:r w:rsidR="001C1E06">
        <w:rPr>
          <w:rFonts w:cstheme="minorHAnsi"/>
        </w:rPr>
        <w:t> </w:t>
      </w:r>
      <w:r w:rsidR="0011262E" w:rsidRPr="001E346A">
        <w:rPr>
          <w:rFonts w:cstheme="minorHAnsi"/>
        </w:rPr>
        <w:t xml:space="preserve">Group, in its supplementary submission, expressed general support for this addition to </w:t>
      </w:r>
      <w:r w:rsidR="0011262E">
        <w:rPr>
          <w:rFonts w:cstheme="minorHAnsi"/>
        </w:rPr>
        <w:t xml:space="preserve">the </w:t>
      </w:r>
      <w:r w:rsidR="0011262E" w:rsidRPr="001E346A">
        <w:rPr>
          <w:rFonts w:cstheme="minorHAnsi"/>
        </w:rPr>
        <w:t xml:space="preserve">FSC’s responsibilities, stating that the FSC constitutes </w:t>
      </w:r>
      <w:r w:rsidR="0011262E" w:rsidRPr="001E346A">
        <w:rPr>
          <w:szCs w:val="23"/>
        </w:rPr>
        <w:t xml:space="preserve">an appropriate component of the regulatory regime </w:t>
      </w:r>
      <w:r w:rsidR="0083429E">
        <w:rPr>
          <w:szCs w:val="23"/>
        </w:rPr>
        <w:t xml:space="preserve">to </w:t>
      </w:r>
      <w:r w:rsidR="0011262E" w:rsidRPr="001E346A">
        <w:rPr>
          <w:szCs w:val="23"/>
        </w:rPr>
        <w:t xml:space="preserve">address issues relating to non-conforming building products and the non-compliant use of compliant products. </w:t>
      </w:r>
      <w:r w:rsidR="0083429E">
        <w:rPr>
          <w:szCs w:val="23"/>
        </w:rPr>
        <w:t xml:space="preserve">However, it noted that </w:t>
      </w:r>
      <w:r w:rsidR="0011262E" w:rsidRPr="001E346A">
        <w:rPr>
          <w:szCs w:val="23"/>
        </w:rPr>
        <w:t xml:space="preserve">the primary regulatory responsibility in relation to product conformity lies with </w:t>
      </w:r>
      <w:r w:rsidR="0011262E">
        <w:rPr>
          <w:szCs w:val="23"/>
        </w:rPr>
        <w:t>state and territory</w:t>
      </w:r>
      <w:r w:rsidR="0011262E" w:rsidRPr="001E346A">
        <w:rPr>
          <w:szCs w:val="23"/>
        </w:rPr>
        <w:t xml:space="preserve"> governments and, specifically, their building regulatory agencies. It argued that the role of the FSC should not incorporate functions or activities that would duplicate</w:t>
      </w:r>
      <w:r w:rsidR="0083429E">
        <w:rPr>
          <w:szCs w:val="23"/>
        </w:rPr>
        <w:t>,</w:t>
      </w:r>
      <w:r w:rsidR="0011262E" w:rsidRPr="001E346A">
        <w:rPr>
          <w:szCs w:val="23"/>
        </w:rPr>
        <w:t xml:space="preserve"> or </w:t>
      </w:r>
      <w:r w:rsidR="0083429E">
        <w:rPr>
          <w:szCs w:val="23"/>
        </w:rPr>
        <w:t xml:space="preserve">run </w:t>
      </w:r>
      <w:r w:rsidR="0011262E" w:rsidRPr="001E346A">
        <w:rPr>
          <w:szCs w:val="23"/>
        </w:rPr>
        <w:t xml:space="preserve">parallel </w:t>
      </w:r>
      <w:r w:rsidR="0083429E">
        <w:rPr>
          <w:szCs w:val="23"/>
        </w:rPr>
        <w:t xml:space="preserve">to, </w:t>
      </w:r>
      <w:r w:rsidR="0011262E" w:rsidRPr="001E346A">
        <w:rPr>
          <w:szCs w:val="23"/>
        </w:rPr>
        <w:t xml:space="preserve">the activities of </w:t>
      </w:r>
      <w:r w:rsidR="0011262E">
        <w:rPr>
          <w:szCs w:val="23"/>
        </w:rPr>
        <w:t>s</w:t>
      </w:r>
      <w:r w:rsidR="0011262E" w:rsidRPr="001E346A">
        <w:rPr>
          <w:szCs w:val="23"/>
        </w:rPr>
        <w:t>tate</w:t>
      </w:r>
      <w:r w:rsidR="0011262E">
        <w:rPr>
          <w:szCs w:val="23"/>
        </w:rPr>
        <w:t xml:space="preserve"> and territory</w:t>
      </w:r>
      <w:r w:rsidR="0011262E" w:rsidRPr="001E346A">
        <w:rPr>
          <w:szCs w:val="23"/>
        </w:rPr>
        <w:t xml:space="preserve"> regulators</w:t>
      </w:r>
      <w:r w:rsidR="00F91CAA">
        <w:rPr>
          <w:szCs w:val="23"/>
        </w:rPr>
        <w:t xml:space="preserve">. </w:t>
      </w:r>
      <w:r w:rsidR="0083429E">
        <w:rPr>
          <w:szCs w:val="23"/>
        </w:rPr>
        <w:t>Rather, it suggested</w:t>
      </w:r>
      <w:r w:rsidR="0011262E" w:rsidRPr="001E346A">
        <w:rPr>
          <w:szCs w:val="23"/>
        </w:rPr>
        <w:t xml:space="preserve"> that it would be appropriate that the FSC establish and maintain relationships with </w:t>
      </w:r>
      <w:r w:rsidR="0011262E">
        <w:rPr>
          <w:szCs w:val="23"/>
        </w:rPr>
        <w:t>s</w:t>
      </w:r>
      <w:r w:rsidR="0011262E" w:rsidRPr="001E346A">
        <w:rPr>
          <w:szCs w:val="23"/>
        </w:rPr>
        <w:t xml:space="preserve">tate regulators to help to ensure the ongoing compliance of businesses accredited under the </w:t>
      </w:r>
      <w:r w:rsidR="00EA7C53">
        <w:rPr>
          <w:szCs w:val="23"/>
        </w:rPr>
        <w:t>FSC</w:t>
      </w:r>
      <w:r w:rsidRPr="00EE0A20">
        <w:rPr>
          <w:szCs w:val="23"/>
        </w:rPr>
        <w:t> </w:t>
      </w:r>
      <w:r w:rsidR="00EA7C53">
        <w:rPr>
          <w:szCs w:val="23"/>
        </w:rPr>
        <w:t>Scheme</w:t>
      </w:r>
      <w:r w:rsidR="0011262E" w:rsidRPr="001E346A">
        <w:rPr>
          <w:szCs w:val="23"/>
        </w:rPr>
        <w:t>.</w:t>
      </w:r>
    </w:p>
    <w:p w14:paraId="53A85805" w14:textId="1F9522D4" w:rsidR="0011262E" w:rsidRPr="00B94A0D" w:rsidRDefault="0083429E" w:rsidP="00CD0C92">
      <w:pPr>
        <w:spacing w:before="200" w:after="200" w:line="276" w:lineRule="auto"/>
      </w:pPr>
      <w:r>
        <w:t>Conversely</w:t>
      </w:r>
      <w:r w:rsidR="0011262E" w:rsidRPr="00117F1F">
        <w:t>, the MBA submission indicated a clear view that the FSC should not retain the additional functions in respect of compliance with the NCC con</w:t>
      </w:r>
      <w:r w:rsidR="005F4CFD">
        <w:t>ferred upon it by subsection </w:t>
      </w:r>
      <w:r w:rsidR="0011262E" w:rsidRPr="006005C9">
        <w:rPr>
          <w:rFonts w:cstheme="minorHAnsi"/>
        </w:rPr>
        <w:t xml:space="preserve">38(ca). </w:t>
      </w:r>
      <w:r w:rsidR="0011262E">
        <w:rPr>
          <w:rFonts w:cstheme="minorHAnsi"/>
        </w:rPr>
        <w:t>The MBA</w:t>
      </w:r>
      <w:r w:rsidR="0011262E" w:rsidRPr="00291502">
        <w:rPr>
          <w:rFonts w:cstheme="minorHAnsi"/>
        </w:rPr>
        <w:t xml:space="preserve"> is concerned that this additional function will detract from </w:t>
      </w:r>
      <w:r>
        <w:rPr>
          <w:rFonts w:cstheme="minorHAnsi"/>
        </w:rPr>
        <w:t xml:space="preserve">what it sees as </w:t>
      </w:r>
      <w:r w:rsidR="0011262E" w:rsidRPr="00291502">
        <w:rPr>
          <w:rFonts w:cstheme="minorHAnsi"/>
        </w:rPr>
        <w:t>the major role and purpose of the FSC</w:t>
      </w:r>
      <w:r w:rsidR="0011262E">
        <w:rPr>
          <w:rFonts w:cstheme="minorHAnsi"/>
        </w:rPr>
        <w:t xml:space="preserve">, </w:t>
      </w:r>
      <w:r>
        <w:rPr>
          <w:rFonts w:cstheme="minorHAnsi"/>
        </w:rPr>
        <w:t>that</w:t>
      </w:r>
      <w:r w:rsidR="0011262E" w:rsidRPr="00291502">
        <w:rPr>
          <w:rFonts w:cstheme="minorHAnsi"/>
        </w:rPr>
        <w:t xml:space="preserve"> is</w:t>
      </w:r>
      <w:r>
        <w:rPr>
          <w:rFonts w:cstheme="minorHAnsi"/>
        </w:rPr>
        <w:t>,</w:t>
      </w:r>
      <w:r w:rsidR="0011262E" w:rsidRPr="00291502">
        <w:rPr>
          <w:rFonts w:cstheme="minorHAnsi"/>
        </w:rPr>
        <w:t xml:space="preserve"> to work with industry and government stakeholders so the sector can achieve the highest possible occupational health and safety standards. </w:t>
      </w:r>
      <w:r w:rsidR="00E9213E" w:rsidRPr="00EE0A20">
        <w:rPr>
          <w:rFonts w:cstheme="minorHAnsi"/>
        </w:rPr>
        <w:t xml:space="preserve">The </w:t>
      </w:r>
      <w:r w:rsidR="0011262E">
        <w:rPr>
          <w:rFonts w:cstheme="minorHAnsi"/>
        </w:rPr>
        <w:t xml:space="preserve">MBA </w:t>
      </w:r>
      <w:r w:rsidR="00A80C13">
        <w:rPr>
          <w:rFonts w:cstheme="minorHAnsi"/>
        </w:rPr>
        <w:t>argued that</w:t>
      </w:r>
      <w:r w:rsidR="0011262E">
        <w:rPr>
          <w:rFonts w:cstheme="minorHAnsi"/>
        </w:rPr>
        <w:t>:</w:t>
      </w:r>
    </w:p>
    <w:p w14:paraId="14142A27" w14:textId="47DF4852" w:rsidR="0011262E" w:rsidRPr="00DA7DC9" w:rsidRDefault="0011262E" w:rsidP="00CD0C92">
      <w:pPr>
        <w:spacing w:after="200" w:line="276" w:lineRule="auto"/>
        <w:ind w:left="426"/>
        <w:rPr>
          <w:sz w:val="20"/>
        </w:rPr>
      </w:pPr>
      <w:r w:rsidRPr="0079636E">
        <w:rPr>
          <w:sz w:val="20"/>
        </w:rPr>
        <w:t>Not only does the existing function confuse otherwise clear lines between what is a workplace health and safety matter and what is a building regulation matter, we hold the view that it brings no practical benefit on building sites in terms of industry OHS outcomes and, indeed, are concerned to ensure the contrary does not occur.</w:t>
      </w:r>
      <w:r w:rsidRPr="00DA7DC9">
        <w:rPr>
          <w:rStyle w:val="FootnoteReference"/>
          <w:sz w:val="20"/>
        </w:rPr>
        <w:footnoteReference w:id="74"/>
      </w:r>
    </w:p>
    <w:p w14:paraId="3265D60F" w14:textId="06436C40" w:rsidR="0011262E" w:rsidRPr="002A2199" w:rsidRDefault="0046073E" w:rsidP="00CD0C92">
      <w:pPr>
        <w:spacing w:before="200" w:after="200" w:line="276" w:lineRule="auto"/>
        <w:rPr>
          <w:rFonts w:cstheme="minorHAnsi"/>
        </w:rPr>
      </w:pPr>
      <w:r>
        <w:rPr>
          <w:rFonts w:cstheme="minorHAnsi"/>
        </w:rPr>
        <w:t xml:space="preserve">The </w:t>
      </w:r>
      <w:r w:rsidR="0011262E" w:rsidRPr="002A2199">
        <w:rPr>
          <w:rFonts w:cstheme="minorHAnsi"/>
        </w:rPr>
        <w:t>MBA indicated that it was aware of the context, noted above, of substantial community concern regarding non</w:t>
      </w:r>
      <w:r w:rsidR="0011262E">
        <w:rPr>
          <w:rFonts w:cstheme="minorHAnsi"/>
        </w:rPr>
        <w:t>-</w:t>
      </w:r>
      <w:r w:rsidR="0011262E" w:rsidRPr="002A2199">
        <w:rPr>
          <w:rFonts w:cstheme="minorHAnsi"/>
        </w:rPr>
        <w:t>conforming cladding materials and expressed the view that effectively addressing the issue of non</w:t>
      </w:r>
      <w:r w:rsidR="0011262E">
        <w:rPr>
          <w:rFonts w:cstheme="minorHAnsi"/>
        </w:rPr>
        <w:t>-</w:t>
      </w:r>
      <w:r w:rsidR="0011262E" w:rsidRPr="002A2199">
        <w:rPr>
          <w:rFonts w:cstheme="minorHAnsi"/>
        </w:rPr>
        <w:t>conforming building materials</w:t>
      </w:r>
      <w:r w:rsidR="0011262E">
        <w:rPr>
          <w:rFonts w:cstheme="minorHAnsi"/>
        </w:rPr>
        <w:t>, or the use of building products in a non-compliant way</w:t>
      </w:r>
      <w:r w:rsidR="0011262E" w:rsidRPr="002A2199">
        <w:rPr>
          <w:rFonts w:cstheme="minorHAnsi"/>
        </w:rPr>
        <w:t xml:space="preserve"> should be given high priority. </w:t>
      </w:r>
      <w:r w:rsidR="00B01CBA">
        <w:rPr>
          <w:rFonts w:cstheme="minorHAnsi"/>
        </w:rPr>
        <w:t>I</w:t>
      </w:r>
      <w:r w:rsidR="0011262E" w:rsidRPr="002A2199">
        <w:rPr>
          <w:rFonts w:cstheme="minorHAnsi"/>
        </w:rPr>
        <w:t>t</w:t>
      </w:r>
      <w:r w:rsidR="00B01CBA">
        <w:rPr>
          <w:rFonts w:cstheme="minorHAnsi"/>
        </w:rPr>
        <w:t xml:space="preserve"> also</w:t>
      </w:r>
      <w:r w:rsidR="0011262E" w:rsidRPr="002A2199">
        <w:rPr>
          <w:rFonts w:cstheme="minorHAnsi"/>
        </w:rPr>
        <w:t xml:space="preserve"> noted that the use of Government procurement policies to drive outcomes that complement related policy positions is a common practice of all </w:t>
      </w:r>
      <w:r w:rsidR="0011262E">
        <w:rPr>
          <w:rFonts w:cstheme="minorHAnsi"/>
        </w:rPr>
        <w:t>g</w:t>
      </w:r>
      <w:r w:rsidR="0011262E" w:rsidRPr="002A2199">
        <w:rPr>
          <w:rFonts w:cstheme="minorHAnsi"/>
        </w:rPr>
        <w:t>overnments.</w:t>
      </w:r>
    </w:p>
    <w:p w14:paraId="144EF0D2" w14:textId="578F772A" w:rsidR="0011262E" w:rsidRDefault="0011262E" w:rsidP="00CD0C92">
      <w:pPr>
        <w:spacing w:before="200" w:after="200" w:line="276" w:lineRule="auto"/>
        <w:rPr>
          <w:rFonts w:cstheme="minorHAnsi"/>
        </w:rPr>
      </w:pPr>
      <w:r>
        <w:rPr>
          <w:rFonts w:cstheme="minorHAnsi"/>
        </w:rPr>
        <w:t xml:space="preserve">However, notwithstanding these factors, </w:t>
      </w:r>
      <w:r w:rsidR="00223F1E">
        <w:rPr>
          <w:rFonts w:cstheme="minorHAnsi"/>
        </w:rPr>
        <w:t xml:space="preserve">the </w:t>
      </w:r>
      <w:r>
        <w:rPr>
          <w:rFonts w:cstheme="minorHAnsi"/>
        </w:rPr>
        <w:t>MBA believes that the attempt to address this issue through the FSC’s audit function is inappropriate</w:t>
      </w:r>
      <w:r w:rsidR="00B01CBA">
        <w:rPr>
          <w:rFonts w:cstheme="minorHAnsi"/>
        </w:rPr>
        <w:t>,</w:t>
      </w:r>
      <w:r>
        <w:rPr>
          <w:rFonts w:cstheme="minorHAnsi"/>
        </w:rPr>
        <w:t xml:space="preserve"> due to </w:t>
      </w:r>
      <w:r w:rsidR="00B01CBA">
        <w:rPr>
          <w:rFonts w:cstheme="minorHAnsi"/>
        </w:rPr>
        <w:t xml:space="preserve">both </w:t>
      </w:r>
      <w:r>
        <w:rPr>
          <w:rFonts w:cstheme="minorHAnsi"/>
        </w:rPr>
        <w:t xml:space="preserve">the limited jurisdiction of the </w:t>
      </w:r>
      <w:r w:rsidR="00223F1E">
        <w:rPr>
          <w:rFonts w:cstheme="minorHAnsi"/>
        </w:rPr>
        <w:t xml:space="preserve">Australian </w:t>
      </w:r>
      <w:r>
        <w:rPr>
          <w:rFonts w:cstheme="minorHAnsi"/>
        </w:rPr>
        <w:t xml:space="preserve">Government in respect of non-compliant building materials and the fact that the Government lacks regulatory agencies with specific technical expertise in this area. Moreover, </w:t>
      </w:r>
      <w:r w:rsidR="00223F1E">
        <w:rPr>
          <w:rFonts w:cstheme="minorHAnsi"/>
        </w:rPr>
        <w:t xml:space="preserve">the </w:t>
      </w:r>
      <w:r>
        <w:rPr>
          <w:rFonts w:cstheme="minorHAnsi"/>
        </w:rPr>
        <w:t>MBA argued that the genesis of the NCP problem lies, in part, with the varying approaches to the approvals and enforcement processes associated with the NCC, another factor over which the Government has little influence.</w:t>
      </w:r>
    </w:p>
    <w:p w14:paraId="55209914" w14:textId="1DAA39A0" w:rsidR="0011262E" w:rsidRDefault="00B01CBA" w:rsidP="00CD0C92">
      <w:pPr>
        <w:spacing w:before="200" w:after="200" w:line="276" w:lineRule="auto"/>
        <w:rPr>
          <w:rFonts w:cstheme="minorHAnsi"/>
          <w:color w:val="000000"/>
          <w:szCs w:val="20"/>
        </w:rPr>
      </w:pPr>
      <w:r>
        <w:rPr>
          <w:rFonts w:cstheme="minorHAnsi"/>
        </w:rPr>
        <w:t>Therefore</w:t>
      </w:r>
      <w:r w:rsidR="0011262E">
        <w:rPr>
          <w:rFonts w:cstheme="minorHAnsi"/>
        </w:rPr>
        <w:t xml:space="preserve">, </w:t>
      </w:r>
      <w:r w:rsidR="00223F1E">
        <w:rPr>
          <w:rFonts w:cstheme="minorHAnsi"/>
        </w:rPr>
        <w:t xml:space="preserve">the </w:t>
      </w:r>
      <w:r w:rsidR="0011262E">
        <w:rPr>
          <w:rFonts w:cstheme="minorHAnsi"/>
        </w:rPr>
        <w:t xml:space="preserve">MBA believes that attempts to address NCPs should remain the responsibility of state and territory governments, with the </w:t>
      </w:r>
      <w:r w:rsidR="00770B93">
        <w:rPr>
          <w:rFonts w:cstheme="minorHAnsi"/>
        </w:rPr>
        <w:t xml:space="preserve">Australian </w:t>
      </w:r>
      <w:r w:rsidR="00D977C6">
        <w:rPr>
          <w:rFonts w:cstheme="minorHAnsi"/>
        </w:rPr>
        <w:t>G</w:t>
      </w:r>
      <w:r w:rsidR="0011262E">
        <w:rPr>
          <w:rFonts w:cstheme="minorHAnsi"/>
        </w:rPr>
        <w:t>overnment restricting itself to playing an oversight or coordination role.</w:t>
      </w:r>
      <w:r w:rsidR="0011262E">
        <w:rPr>
          <w:rFonts w:cstheme="minorHAnsi"/>
          <w:color w:val="000000"/>
          <w:szCs w:val="20"/>
        </w:rPr>
        <w:t xml:space="preserve"> </w:t>
      </w:r>
      <w:r w:rsidR="00D977C6">
        <w:rPr>
          <w:rFonts w:cstheme="minorHAnsi"/>
          <w:color w:val="000000"/>
          <w:szCs w:val="20"/>
        </w:rPr>
        <w:t xml:space="preserve">The </w:t>
      </w:r>
      <w:r w:rsidR="0011262E">
        <w:rPr>
          <w:rFonts w:cstheme="minorHAnsi"/>
          <w:color w:val="000000"/>
          <w:szCs w:val="20"/>
        </w:rPr>
        <w:t xml:space="preserve">MBA expressed concern at the potential for the FSC’s involvement in this area to have negative overall consequences, by exacerbating what it believes is a pre-existing level of confusion among </w:t>
      </w:r>
      <w:r w:rsidR="0011262E" w:rsidRPr="00612CC0">
        <w:rPr>
          <w:rFonts w:cstheme="minorHAnsi"/>
          <w:color w:val="000000"/>
          <w:szCs w:val="20"/>
        </w:rPr>
        <w:t>regulators, policymakers, industry participants and the community</w:t>
      </w:r>
      <w:r w:rsidR="0011262E">
        <w:rPr>
          <w:rFonts w:cstheme="minorHAnsi"/>
          <w:color w:val="000000"/>
          <w:szCs w:val="20"/>
        </w:rPr>
        <w:t xml:space="preserve"> as to what responsibilities lie with whom in this area.</w:t>
      </w:r>
      <w:r w:rsidR="0011262E">
        <w:rPr>
          <w:rStyle w:val="FootnoteReference"/>
          <w:rFonts w:cstheme="minorHAnsi"/>
          <w:color w:val="000000"/>
          <w:szCs w:val="20"/>
        </w:rPr>
        <w:footnoteReference w:id="75"/>
      </w:r>
    </w:p>
    <w:p w14:paraId="57372342" w14:textId="58992F37" w:rsidR="0011262E" w:rsidRDefault="0011262E" w:rsidP="00CD0C92">
      <w:pPr>
        <w:spacing w:before="200" w:after="200" w:line="276" w:lineRule="auto"/>
        <w:rPr>
          <w:rFonts w:cstheme="minorHAnsi"/>
        </w:rPr>
      </w:pPr>
      <w:r w:rsidRPr="002A2199">
        <w:rPr>
          <w:rFonts w:cstheme="minorHAnsi"/>
        </w:rPr>
        <w:t xml:space="preserve">The ACTU submission expressed general agreement with the concept of the FSC having responsibilities to ensure compliance with the NCC, arguing that it is appropriate for </w:t>
      </w:r>
      <w:r w:rsidRPr="002A2199">
        <w:rPr>
          <w:rFonts w:cstheme="minorHAnsi"/>
          <w:color w:val="000000"/>
          <w:szCs w:val="20"/>
        </w:rPr>
        <w:t>a company</w:t>
      </w:r>
      <w:r>
        <w:rPr>
          <w:rFonts w:cstheme="minorHAnsi"/>
          <w:color w:val="000000"/>
          <w:szCs w:val="20"/>
        </w:rPr>
        <w:t>’</w:t>
      </w:r>
      <w:r w:rsidRPr="002A2199">
        <w:rPr>
          <w:rFonts w:cstheme="minorHAnsi"/>
          <w:color w:val="000000"/>
          <w:szCs w:val="20"/>
        </w:rPr>
        <w:t xml:space="preserve">s </w:t>
      </w:r>
      <w:r w:rsidRPr="002A2199">
        <w:rPr>
          <w:rFonts w:cstheme="minorHAnsi"/>
          <w:color w:val="000000"/>
          <w:szCs w:val="20"/>
        </w:rPr>
        <w:lastRenderedPageBreak/>
        <w:t xml:space="preserve">work health and safety record and compliance with the NCC </w:t>
      </w:r>
      <w:r>
        <w:rPr>
          <w:rFonts w:cstheme="minorHAnsi"/>
          <w:color w:val="000000"/>
          <w:szCs w:val="20"/>
        </w:rPr>
        <w:t xml:space="preserve">to </w:t>
      </w:r>
      <w:r w:rsidRPr="002A2199">
        <w:rPr>
          <w:rFonts w:cstheme="minorHAnsi"/>
          <w:color w:val="000000"/>
          <w:szCs w:val="20"/>
        </w:rPr>
        <w:t xml:space="preserve">be </w:t>
      </w:r>
      <w:proofErr w:type="gramStart"/>
      <w:r w:rsidRPr="002A2199">
        <w:rPr>
          <w:rFonts w:cstheme="minorHAnsi"/>
          <w:color w:val="000000"/>
          <w:szCs w:val="20"/>
        </w:rPr>
        <w:t>taken into account</w:t>
      </w:r>
      <w:proofErr w:type="gramEnd"/>
      <w:r w:rsidRPr="002A2199">
        <w:rPr>
          <w:rFonts w:cstheme="minorHAnsi"/>
          <w:color w:val="000000"/>
          <w:szCs w:val="20"/>
        </w:rPr>
        <w:t xml:space="preserve"> when awarding public contracts. </w:t>
      </w:r>
      <w:r w:rsidRPr="007C60AD">
        <w:rPr>
          <w:rFonts w:cstheme="minorHAnsi"/>
        </w:rPr>
        <w:t xml:space="preserve">However, </w:t>
      </w:r>
      <w:r>
        <w:rPr>
          <w:rFonts w:cstheme="minorHAnsi"/>
        </w:rPr>
        <w:t>it argued</w:t>
      </w:r>
      <w:r w:rsidRPr="007C60AD">
        <w:rPr>
          <w:rFonts w:cstheme="minorHAnsi"/>
        </w:rPr>
        <w:t xml:space="preserve"> that the FSC</w:t>
      </w:r>
      <w:r>
        <w:rPr>
          <w:rFonts w:cstheme="minorHAnsi"/>
        </w:rPr>
        <w:t xml:space="preserve"> has very limited effectiveness in these areas, </w:t>
      </w:r>
      <w:r w:rsidR="007F6D40">
        <w:rPr>
          <w:rFonts w:cstheme="minorHAnsi"/>
        </w:rPr>
        <w:t>as it lacks</w:t>
      </w:r>
      <w:r>
        <w:rPr>
          <w:rFonts w:cstheme="minorHAnsi"/>
        </w:rPr>
        <w:t xml:space="preserve"> adequate resources</w:t>
      </w:r>
      <w:r w:rsidR="007F6D40">
        <w:rPr>
          <w:rFonts w:cstheme="minorHAnsi"/>
        </w:rPr>
        <w:t xml:space="preserve"> and expertise</w:t>
      </w:r>
      <w:r w:rsidR="00F91CAA">
        <w:rPr>
          <w:rFonts w:cstheme="minorHAnsi"/>
        </w:rPr>
        <w:t xml:space="preserve">. </w:t>
      </w:r>
      <w:r>
        <w:rPr>
          <w:rFonts w:cstheme="minorHAnsi"/>
        </w:rPr>
        <w:t>In this context, the ACTU highlighted the September</w:t>
      </w:r>
      <w:r w:rsidR="00E9213E" w:rsidRPr="00EE0A20">
        <w:rPr>
          <w:rFonts w:cstheme="minorHAnsi"/>
        </w:rPr>
        <w:t> </w:t>
      </w:r>
      <w:r>
        <w:rPr>
          <w:rFonts w:cstheme="minorHAnsi"/>
        </w:rPr>
        <w:t xml:space="preserve">2017 interim report of the </w:t>
      </w:r>
      <w:r w:rsidRPr="008E25DD">
        <w:rPr>
          <w:rFonts w:cstheme="minorHAnsi"/>
        </w:rPr>
        <w:t xml:space="preserve">Senate </w:t>
      </w:r>
      <w:r>
        <w:rPr>
          <w:rFonts w:cstheme="minorHAnsi"/>
        </w:rPr>
        <w:t xml:space="preserve">Economics References Committee on non-compliant building materials. This report concludes that the FSC has expertise in workplace health and safety on construction </w:t>
      </w:r>
      <w:r w:rsidR="007F6D40">
        <w:rPr>
          <w:rFonts w:cstheme="minorHAnsi"/>
        </w:rPr>
        <w:t>sites but</w:t>
      </w:r>
      <w:r>
        <w:rPr>
          <w:rFonts w:cstheme="minorHAnsi"/>
        </w:rPr>
        <w:t xml:space="preserve"> has no expertise in the regulation of building design, engineering, planning approval, material procurement processes or certifier processes. Moreover, its powers are limited to those companies that choose to become accredited in order to undertake Commonwealth</w:t>
      </w:r>
      <w:r w:rsidR="009B75AF">
        <w:rPr>
          <w:rFonts w:cstheme="minorHAnsi"/>
        </w:rPr>
        <w:t>-</w:t>
      </w:r>
      <w:r>
        <w:rPr>
          <w:rFonts w:cstheme="minorHAnsi"/>
        </w:rPr>
        <w:t>funded wo</w:t>
      </w:r>
      <w:r w:rsidR="00CD0C92">
        <w:rPr>
          <w:rFonts w:cstheme="minorHAnsi"/>
        </w:rPr>
        <w:t>rk.</w:t>
      </w:r>
    </w:p>
    <w:p w14:paraId="66616CDF" w14:textId="77777777" w:rsidR="0011262E" w:rsidRPr="00CD0C92" w:rsidRDefault="0011262E" w:rsidP="004F647D">
      <w:pPr>
        <w:pStyle w:val="Heading3"/>
        <w:numPr>
          <w:ilvl w:val="0"/>
          <w:numId w:val="25"/>
        </w:numPr>
        <w:ind w:left="426" w:hanging="426"/>
      </w:pPr>
      <w:bookmarkStart w:id="175" w:name="_Toc527633046"/>
      <w:r w:rsidRPr="00CD0C92">
        <w:t>The pilot audits</w:t>
      </w:r>
      <w:bookmarkEnd w:id="175"/>
    </w:p>
    <w:p w14:paraId="3F58F9D2" w14:textId="36487436" w:rsidR="0011262E" w:rsidRDefault="0011262E" w:rsidP="00CD0C92">
      <w:pPr>
        <w:spacing w:before="200" w:after="200" w:line="276" w:lineRule="auto"/>
        <w:rPr>
          <w:rFonts w:cstheme="minorHAnsi"/>
        </w:rPr>
      </w:pPr>
      <w:r>
        <w:rPr>
          <w:rFonts w:cstheme="minorHAnsi"/>
        </w:rPr>
        <w:t xml:space="preserve">The above views were contained in submissions received from peak industry bodies and are based largely on a high-level consideration of the issues involved, including reference to general principles of good regulation. By contrast, the participants in the FSC’s pilot audit program have had a more direct exposure to the likely practical impact of the expansion of the FSC’s functions under </w:t>
      </w:r>
      <w:r w:rsidR="005F4CFD">
        <w:rPr>
          <w:rFonts w:cstheme="minorHAnsi"/>
        </w:rPr>
        <w:t>sub</w:t>
      </w:r>
      <w:r>
        <w:rPr>
          <w:rFonts w:cstheme="minorHAnsi"/>
        </w:rPr>
        <w:t>section</w:t>
      </w:r>
      <w:r w:rsidR="005F4CFD">
        <w:rPr>
          <w:rFonts w:cstheme="minorHAnsi"/>
        </w:rPr>
        <w:t> </w:t>
      </w:r>
      <w:r>
        <w:rPr>
          <w:rFonts w:cstheme="minorHAnsi"/>
        </w:rPr>
        <w:t>38(ca), albeit that the scope of the pilot audit program is substantially narrower than that which will ultimately need to be adopted</w:t>
      </w:r>
      <w:r w:rsidR="00F91CAA">
        <w:rPr>
          <w:rFonts w:cstheme="minorHAnsi"/>
        </w:rPr>
        <w:t xml:space="preserve">. </w:t>
      </w:r>
    </w:p>
    <w:p w14:paraId="4152F6CF" w14:textId="34058568" w:rsidR="007F6D40" w:rsidRDefault="0011262E" w:rsidP="00C76100">
      <w:pPr>
        <w:spacing w:after="200" w:line="276" w:lineRule="auto"/>
        <w:rPr>
          <w:color w:val="000000"/>
        </w:rPr>
      </w:pPr>
      <w:r>
        <w:rPr>
          <w:rFonts w:cstheme="minorHAnsi"/>
        </w:rPr>
        <w:t xml:space="preserve">The FSC </w:t>
      </w:r>
      <w:r w:rsidR="007F6D40">
        <w:rPr>
          <w:rFonts w:cstheme="minorHAnsi"/>
        </w:rPr>
        <w:t xml:space="preserve">provided high-level feedback on the views of this group to the review, indicating that </w:t>
      </w:r>
      <w:r w:rsidR="007F6D40">
        <w:rPr>
          <w:color w:val="000000"/>
        </w:rPr>
        <w:t>there is already some concern among accredited building companies about the likely compliance cost impact of these provisions, given the breadth of the NCC</w:t>
      </w:r>
      <w:r w:rsidR="00F91CAA">
        <w:rPr>
          <w:color w:val="000000"/>
        </w:rPr>
        <w:t xml:space="preserve">. </w:t>
      </w:r>
      <w:r w:rsidR="007F6D40">
        <w:rPr>
          <w:color w:val="000000"/>
        </w:rPr>
        <w:t xml:space="preserve">It noted that </w:t>
      </w:r>
      <w:r w:rsidR="007F6D40">
        <w:rPr>
          <w:rFonts w:cstheme="minorHAnsi"/>
        </w:rPr>
        <w:t>it</w:t>
      </w:r>
      <w:r>
        <w:rPr>
          <w:rFonts w:cstheme="minorHAnsi"/>
        </w:rPr>
        <w:t xml:space="preserve"> has not yet </w:t>
      </w:r>
      <w:r>
        <w:rPr>
          <w:color w:val="000000"/>
        </w:rPr>
        <w:t>published a proposed approach to auditing NCC compliance</w:t>
      </w:r>
      <w:r w:rsidR="007F6D40">
        <w:rPr>
          <w:color w:val="000000"/>
        </w:rPr>
        <w:t xml:space="preserve"> and that, a</w:t>
      </w:r>
      <w:r>
        <w:rPr>
          <w:color w:val="000000"/>
        </w:rPr>
        <w:t xml:space="preserve">s a result, </w:t>
      </w:r>
      <w:r w:rsidR="007F6D40">
        <w:rPr>
          <w:color w:val="000000"/>
        </w:rPr>
        <w:t>it</w:t>
      </w:r>
      <w:r>
        <w:rPr>
          <w:color w:val="000000"/>
        </w:rPr>
        <w:t xml:space="preserve"> believes that even those businesses who participated in the pilot audit program have given relatively little consideration to the size of the compliance costs they are likely to face</w:t>
      </w:r>
      <w:r w:rsidR="00F91CAA">
        <w:rPr>
          <w:color w:val="000000"/>
        </w:rPr>
        <w:t xml:space="preserve">. </w:t>
      </w:r>
      <w:r w:rsidR="007F6D40">
        <w:rPr>
          <w:color w:val="000000"/>
        </w:rPr>
        <w:t>Thus, the level of concern about this issue among code-covered entities was considered likely to increase as the compliance program is further developed</w:t>
      </w:r>
      <w:r w:rsidR="00F91CAA">
        <w:rPr>
          <w:color w:val="000000"/>
        </w:rPr>
        <w:t xml:space="preserve">. </w:t>
      </w:r>
    </w:p>
    <w:p w14:paraId="0F722A79" w14:textId="539EC3C0" w:rsidR="0011262E" w:rsidRDefault="007F6D40" w:rsidP="00C76100">
      <w:pPr>
        <w:spacing w:after="200" w:line="276" w:lineRule="auto"/>
        <w:rPr>
          <w:color w:val="000000"/>
        </w:rPr>
      </w:pPr>
      <w:r>
        <w:rPr>
          <w:color w:val="000000"/>
        </w:rPr>
        <w:t>Given this, t</w:t>
      </w:r>
      <w:r w:rsidR="0011262E">
        <w:rPr>
          <w:color w:val="000000"/>
        </w:rPr>
        <w:t xml:space="preserve">he FSC </w:t>
      </w:r>
      <w:r>
        <w:rPr>
          <w:color w:val="000000"/>
        </w:rPr>
        <w:t xml:space="preserve">highlighted its intent to </w:t>
      </w:r>
      <w:r w:rsidR="0011262E">
        <w:rPr>
          <w:color w:val="000000"/>
        </w:rPr>
        <w:t>adopt a consultative approach when it initially publishes its proposals in relation to the expanded audit program</w:t>
      </w:r>
      <w:r w:rsidR="00F91CAA">
        <w:rPr>
          <w:color w:val="000000"/>
        </w:rPr>
        <w:t xml:space="preserve">. </w:t>
      </w:r>
    </w:p>
    <w:p w14:paraId="4AF81373" w14:textId="1D9AB956" w:rsidR="0011262E" w:rsidRDefault="0011262E" w:rsidP="004F647D">
      <w:pPr>
        <w:pStyle w:val="Heading2"/>
        <w:numPr>
          <w:ilvl w:val="1"/>
          <w:numId w:val="23"/>
        </w:numPr>
      </w:pPr>
      <w:bookmarkStart w:id="176" w:name="_Toc519171489"/>
      <w:bookmarkStart w:id="177" w:name="_Toc523154949"/>
      <w:bookmarkStart w:id="178" w:name="_Toc527633047"/>
      <w:r>
        <w:t>Analysis</w:t>
      </w:r>
      <w:bookmarkEnd w:id="176"/>
      <w:bookmarkEnd w:id="177"/>
      <w:bookmarkEnd w:id="178"/>
    </w:p>
    <w:p w14:paraId="1C9C23F6" w14:textId="77777777" w:rsidR="0011262E" w:rsidRDefault="0011262E" w:rsidP="00C76100">
      <w:pPr>
        <w:spacing w:before="200" w:after="200" w:line="276" w:lineRule="auto"/>
        <w:rPr>
          <w:rFonts w:cstheme="minorHAnsi"/>
        </w:rPr>
      </w:pPr>
      <w:r>
        <w:rPr>
          <w:rFonts w:cstheme="minorHAnsi"/>
        </w:rPr>
        <w:t>The submissions that address the issues of NCC compliance raise two distinct issues, which are:</w:t>
      </w:r>
    </w:p>
    <w:p w14:paraId="3172D5D7" w14:textId="37FB76E2" w:rsidR="0011262E" w:rsidRDefault="007F6D40" w:rsidP="004F647D">
      <w:pPr>
        <w:pStyle w:val="ListBullet"/>
        <w:numPr>
          <w:ilvl w:val="0"/>
          <w:numId w:val="9"/>
        </w:numPr>
        <w:ind w:left="360"/>
        <w:rPr>
          <w:rFonts w:cstheme="minorHAnsi"/>
        </w:rPr>
      </w:pPr>
      <w:r>
        <w:rPr>
          <w:rFonts w:cstheme="minorHAnsi"/>
        </w:rPr>
        <w:t>whether</w:t>
      </w:r>
      <w:r w:rsidR="0011262E">
        <w:rPr>
          <w:rFonts w:cstheme="minorHAnsi"/>
        </w:rPr>
        <w:t xml:space="preserve"> </w:t>
      </w:r>
      <w:r w:rsidR="0011262E" w:rsidRPr="00742AEB">
        <w:rPr>
          <w:rFonts w:cstheme="minorHAnsi"/>
        </w:rPr>
        <w:t xml:space="preserve">seeking to ensure </w:t>
      </w:r>
      <w:r w:rsidR="00071922">
        <w:rPr>
          <w:rFonts w:cstheme="minorHAnsi"/>
        </w:rPr>
        <w:t xml:space="preserve">the compliant use of building products </w:t>
      </w:r>
      <w:r w:rsidR="0011262E">
        <w:rPr>
          <w:rFonts w:cstheme="minorHAnsi"/>
        </w:rPr>
        <w:t xml:space="preserve">by accredited companies </w:t>
      </w:r>
      <w:r w:rsidR="00EC7CAD">
        <w:rPr>
          <w:rFonts w:cstheme="minorHAnsi"/>
        </w:rPr>
        <w:t xml:space="preserve">is </w:t>
      </w:r>
      <w:r w:rsidR="0011262E">
        <w:rPr>
          <w:rFonts w:cstheme="minorHAnsi"/>
        </w:rPr>
        <w:t>an appropriate accreditation requirement</w:t>
      </w:r>
    </w:p>
    <w:p w14:paraId="1D8262FD" w14:textId="1C955E7B" w:rsidR="0011262E" w:rsidRDefault="007F6D40" w:rsidP="004F647D">
      <w:pPr>
        <w:pStyle w:val="ListBullet"/>
        <w:numPr>
          <w:ilvl w:val="0"/>
          <w:numId w:val="9"/>
        </w:numPr>
        <w:ind w:left="360"/>
        <w:rPr>
          <w:rFonts w:cstheme="minorHAnsi"/>
        </w:rPr>
      </w:pPr>
      <w:r>
        <w:rPr>
          <w:rFonts w:cstheme="minorHAnsi"/>
        </w:rPr>
        <w:t>whether</w:t>
      </w:r>
      <w:r w:rsidR="0011262E">
        <w:rPr>
          <w:rFonts w:cstheme="minorHAnsi"/>
        </w:rPr>
        <w:t xml:space="preserve"> the FSC </w:t>
      </w:r>
      <w:r w:rsidR="00EC7CAD">
        <w:rPr>
          <w:rFonts w:cstheme="minorHAnsi"/>
        </w:rPr>
        <w:t xml:space="preserve">is the </w:t>
      </w:r>
      <w:r w:rsidR="0011262E">
        <w:rPr>
          <w:rFonts w:cstheme="minorHAnsi"/>
        </w:rPr>
        <w:t>appropriate body to carry out this function</w:t>
      </w:r>
      <w:r w:rsidR="001A6B47">
        <w:rPr>
          <w:rFonts w:cstheme="minorHAnsi"/>
        </w:rPr>
        <w:t>, including</w:t>
      </w:r>
      <w:r w:rsidR="0011262E">
        <w:rPr>
          <w:rFonts w:cstheme="minorHAnsi"/>
        </w:rPr>
        <w:t xml:space="preserve"> </w:t>
      </w:r>
      <w:r w:rsidR="001A6B47">
        <w:rPr>
          <w:rFonts w:cstheme="minorHAnsi"/>
        </w:rPr>
        <w:t xml:space="preserve">whether it </w:t>
      </w:r>
      <w:r w:rsidR="0011262E">
        <w:rPr>
          <w:rFonts w:cstheme="minorHAnsi"/>
        </w:rPr>
        <w:t>can do so in a cost-effective manner.</w:t>
      </w:r>
    </w:p>
    <w:p w14:paraId="0C155C2D" w14:textId="77777777" w:rsidR="0011262E" w:rsidRDefault="0011262E" w:rsidP="00C76100">
      <w:pPr>
        <w:spacing w:after="200" w:line="276" w:lineRule="auto"/>
        <w:rPr>
          <w:rFonts w:cstheme="minorHAnsi"/>
        </w:rPr>
      </w:pPr>
      <w:r>
        <w:rPr>
          <w:rFonts w:cstheme="minorHAnsi"/>
        </w:rPr>
        <w:t>While there are clear connections between these issues, they should be assessed separately.</w:t>
      </w:r>
    </w:p>
    <w:p w14:paraId="378052AC" w14:textId="779F2728" w:rsidR="0011262E" w:rsidRPr="00C76100" w:rsidRDefault="0011262E" w:rsidP="00316530">
      <w:pPr>
        <w:pStyle w:val="Heading3"/>
      </w:pPr>
      <w:bookmarkStart w:id="179" w:name="_Toc527633048"/>
      <w:r w:rsidRPr="00C76100">
        <w:t>Appropriateness of the</w:t>
      </w:r>
      <w:r w:rsidR="00071922" w:rsidRPr="00C76100">
        <w:t xml:space="preserve"> accreditation requirement</w:t>
      </w:r>
      <w:bookmarkEnd w:id="179"/>
    </w:p>
    <w:p w14:paraId="326B00FB" w14:textId="6E2BDC9D" w:rsidR="0011262E" w:rsidRDefault="0011262E" w:rsidP="00C76100">
      <w:pPr>
        <w:spacing w:before="200" w:after="200" w:line="276" w:lineRule="auto"/>
        <w:rPr>
          <w:rFonts w:cstheme="minorHAnsi"/>
        </w:rPr>
      </w:pPr>
      <w:r>
        <w:rPr>
          <w:rFonts w:cstheme="minorHAnsi"/>
        </w:rPr>
        <w:t>In addressing th</w:t>
      </w:r>
      <w:r w:rsidR="001A6B47">
        <w:rPr>
          <w:rFonts w:cstheme="minorHAnsi"/>
        </w:rPr>
        <w:t xml:space="preserve">is </w:t>
      </w:r>
      <w:r>
        <w:rPr>
          <w:rFonts w:cstheme="minorHAnsi"/>
        </w:rPr>
        <w:t xml:space="preserve">question, the MBA submission highlighted the fact that the </w:t>
      </w:r>
      <w:r w:rsidR="00D977C6">
        <w:rPr>
          <w:rFonts w:cstheme="minorHAnsi"/>
        </w:rPr>
        <w:t xml:space="preserve">Australian </w:t>
      </w:r>
      <w:r>
        <w:rPr>
          <w:rFonts w:cstheme="minorHAnsi"/>
        </w:rPr>
        <w:t>Government has very limited jurisdiction in relation to the regulation of building products, implicitly suggesting that it is therefore inappropriate that Commonwealth laws should address the question of compliance with s</w:t>
      </w:r>
      <w:r w:rsidR="00C76100">
        <w:rPr>
          <w:rFonts w:cstheme="minorHAnsi"/>
        </w:rPr>
        <w:t>tate and territory legislation.</w:t>
      </w:r>
    </w:p>
    <w:p w14:paraId="0CE80BAF" w14:textId="2943AF65" w:rsidR="0011262E" w:rsidRDefault="001A6B47" w:rsidP="00C76100">
      <w:pPr>
        <w:spacing w:after="200" w:line="276" w:lineRule="auto"/>
        <w:rPr>
          <w:rFonts w:cstheme="minorHAnsi"/>
        </w:rPr>
      </w:pPr>
      <w:r>
        <w:rPr>
          <w:rFonts w:cstheme="minorHAnsi"/>
        </w:rPr>
        <w:lastRenderedPageBreak/>
        <w:t>Conversely</w:t>
      </w:r>
      <w:r w:rsidR="0011262E">
        <w:rPr>
          <w:rFonts w:cstheme="minorHAnsi"/>
        </w:rPr>
        <w:t xml:space="preserve">, it was seen by both </w:t>
      </w:r>
      <w:r w:rsidR="00E9213E" w:rsidRPr="00EE0A20">
        <w:rPr>
          <w:rFonts w:cstheme="minorHAnsi"/>
        </w:rPr>
        <w:t xml:space="preserve">the </w:t>
      </w:r>
      <w:r w:rsidR="0011262E">
        <w:rPr>
          <w:rFonts w:cstheme="minorHAnsi"/>
        </w:rPr>
        <w:t>Ai</w:t>
      </w:r>
      <w:r w:rsidR="001C1E06">
        <w:rPr>
          <w:rFonts w:cstheme="minorHAnsi"/>
        </w:rPr>
        <w:t> </w:t>
      </w:r>
      <w:r w:rsidR="0011262E">
        <w:rPr>
          <w:rFonts w:cstheme="minorHAnsi"/>
        </w:rPr>
        <w:t>Group and the ACTU as entirely appropriate that the Government should seek, via its own institutions, to verify compliance with certain legal requirements</w:t>
      </w:r>
      <w:r>
        <w:rPr>
          <w:rFonts w:cstheme="minorHAnsi"/>
        </w:rPr>
        <w:t xml:space="preserve">, </w:t>
      </w:r>
      <w:r w:rsidR="0011262E">
        <w:rPr>
          <w:rFonts w:cstheme="minorHAnsi"/>
        </w:rPr>
        <w:t>albeit that they are established by another level of government</w:t>
      </w:r>
      <w:r>
        <w:rPr>
          <w:rFonts w:cstheme="minorHAnsi"/>
        </w:rPr>
        <w:t xml:space="preserve">, </w:t>
      </w:r>
      <w:r w:rsidR="0011262E">
        <w:rPr>
          <w:rFonts w:cstheme="minorHAnsi"/>
        </w:rPr>
        <w:t xml:space="preserve">as a condition of businesses being able to supply it with goods and services. </w:t>
      </w:r>
      <w:r w:rsidR="00E9213E" w:rsidRPr="00EE0A20">
        <w:rPr>
          <w:rFonts w:cstheme="minorHAnsi"/>
        </w:rPr>
        <w:t xml:space="preserve">The </w:t>
      </w:r>
      <w:r w:rsidR="0011262E">
        <w:rPr>
          <w:rFonts w:cstheme="minorHAnsi"/>
        </w:rPr>
        <w:t xml:space="preserve">ACCI regarded this dynamic positively, in that they saw potential for the exercise of the Commonwealth’s large-scale purchasing power in this way to help drive </w:t>
      </w:r>
      <w:r w:rsidR="00E9213E" w:rsidRPr="00EE0A20">
        <w:rPr>
          <w:rFonts w:cstheme="minorHAnsi"/>
        </w:rPr>
        <w:t>‘</w:t>
      </w:r>
      <w:r w:rsidR="0011262E">
        <w:rPr>
          <w:rFonts w:cstheme="minorHAnsi"/>
        </w:rPr>
        <w:t xml:space="preserve">cultural </w:t>
      </w:r>
      <w:r w:rsidR="00E9213E" w:rsidRPr="00EE0A20">
        <w:rPr>
          <w:rFonts w:cstheme="minorHAnsi"/>
        </w:rPr>
        <w:t>change’</w:t>
      </w:r>
      <w:r w:rsidR="0011262E">
        <w:rPr>
          <w:rFonts w:cstheme="minorHAnsi"/>
        </w:rPr>
        <w:t xml:space="preserve"> within the building and construction industry.</w:t>
      </w:r>
    </w:p>
    <w:p w14:paraId="6A3717C9" w14:textId="3EA15B1D" w:rsidR="0011262E" w:rsidRDefault="0011262E" w:rsidP="00C76100">
      <w:pPr>
        <w:spacing w:after="200" w:line="276" w:lineRule="auto"/>
        <w:rPr>
          <w:rFonts w:cstheme="minorHAnsi"/>
        </w:rPr>
      </w:pPr>
      <w:r>
        <w:rPr>
          <w:rFonts w:cstheme="minorHAnsi"/>
        </w:rPr>
        <w:t>This identified dynamic, of a purchaser seeking commitments from a supplier that they will continue to behave in a certain way, and will verify that they have met these</w:t>
      </w:r>
      <w:r w:rsidR="001A6B47">
        <w:rPr>
          <w:rFonts w:cstheme="minorHAnsi"/>
        </w:rPr>
        <w:t xml:space="preserve"> commitments, is a common one. Indeed, t</w:t>
      </w:r>
      <w:r>
        <w:rPr>
          <w:rFonts w:cstheme="minorHAnsi"/>
        </w:rPr>
        <w:t>he clearest example of this is the core</w:t>
      </w:r>
      <w:r w:rsidR="000879CC">
        <w:rPr>
          <w:rFonts w:cstheme="minorHAnsi"/>
        </w:rPr>
        <w:t xml:space="preserve"> requirement of the accreditation process established</w:t>
      </w:r>
      <w:r w:rsidR="004E3FCB">
        <w:rPr>
          <w:rFonts w:cstheme="minorHAnsi"/>
        </w:rPr>
        <w:t xml:space="preserve"> </w:t>
      </w:r>
      <w:r>
        <w:rPr>
          <w:rFonts w:cstheme="minorHAnsi"/>
        </w:rPr>
        <w:t>under the BCIIP</w:t>
      </w:r>
      <w:r w:rsidR="005523B8">
        <w:rPr>
          <w:rFonts w:cstheme="minorHAnsi"/>
        </w:rPr>
        <w:t> </w:t>
      </w:r>
      <w:r>
        <w:rPr>
          <w:rFonts w:cstheme="minorHAnsi"/>
        </w:rPr>
        <w:t>Act and the former FWBI</w:t>
      </w:r>
      <w:r w:rsidR="005523B8">
        <w:rPr>
          <w:rFonts w:cstheme="minorHAnsi"/>
        </w:rPr>
        <w:t> </w:t>
      </w:r>
      <w:r>
        <w:rPr>
          <w:rFonts w:cstheme="minorHAnsi"/>
        </w:rPr>
        <w:t xml:space="preserve">Act, </w:t>
      </w:r>
      <w:r w:rsidR="000879CC">
        <w:rPr>
          <w:rFonts w:cstheme="minorHAnsi"/>
        </w:rPr>
        <w:t xml:space="preserve">to </w:t>
      </w:r>
      <w:r>
        <w:rPr>
          <w:rFonts w:cstheme="minorHAnsi"/>
        </w:rPr>
        <w:t xml:space="preserve">achieve the higher </w:t>
      </w:r>
      <w:r w:rsidR="001A6B47">
        <w:rPr>
          <w:rFonts w:cstheme="minorHAnsi"/>
        </w:rPr>
        <w:t xml:space="preserve">WHS </w:t>
      </w:r>
      <w:r>
        <w:rPr>
          <w:rFonts w:cstheme="minorHAnsi"/>
        </w:rPr>
        <w:t>standards set by the FSC, moving beyond the specific requirements of state and territory legislation, via the accreditation process.</w:t>
      </w:r>
      <w:r w:rsidR="001A6B47">
        <w:rPr>
          <w:rStyle w:val="FootnoteReference"/>
          <w:rFonts w:cstheme="minorHAnsi"/>
        </w:rPr>
        <w:footnoteReference w:id="76"/>
      </w:r>
    </w:p>
    <w:p w14:paraId="525819A9" w14:textId="24F2C96C" w:rsidR="0011262E" w:rsidRDefault="001A6B47" w:rsidP="00C76100">
      <w:pPr>
        <w:spacing w:after="200" w:line="276" w:lineRule="auto"/>
        <w:rPr>
          <w:rFonts w:cstheme="minorHAnsi"/>
        </w:rPr>
      </w:pPr>
      <w:r>
        <w:rPr>
          <w:rFonts w:cstheme="minorHAnsi"/>
        </w:rPr>
        <w:t>W</w:t>
      </w:r>
      <w:r w:rsidR="0011262E">
        <w:rPr>
          <w:rFonts w:cstheme="minorHAnsi"/>
        </w:rPr>
        <w:t xml:space="preserve">hile a relatively small number of submissions explicitly addressed the NCC issue, all accepted, at least in principle, the legitimacy of the </w:t>
      </w:r>
      <w:r w:rsidR="009B75AF">
        <w:rPr>
          <w:rFonts w:cstheme="minorHAnsi"/>
        </w:rPr>
        <w:t xml:space="preserve">Australian </w:t>
      </w:r>
      <w:r w:rsidR="0011262E">
        <w:rPr>
          <w:rFonts w:cstheme="minorHAnsi"/>
        </w:rPr>
        <w:t xml:space="preserve">Government using its purchasing power in this way. Thus, the central issue is arguably that of the likely effectiveness of seeking to pursue goals related to </w:t>
      </w:r>
      <w:r w:rsidR="00E9213E" w:rsidRPr="00E732BC">
        <w:rPr>
          <w:rFonts w:cstheme="minorHAnsi"/>
        </w:rPr>
        <w:t xml:space="preserve">the </w:t>
      </w:r>
      <w:r w:rsidR="0011262E">
        <w:rPr>
          <w:rFonts w:cstheme="minorHAnsi"/>
        </w:rPr>
        <w:t xml:space="preserve">NCC by giving the FSC the legislative obligations set out in </w:t>
      </w:r>
      <w:r w:rsidR="005F4CFD">
        <w:rPr>
          <w:rFonts w:cstheme="minorHAnsi"/>
        </w:rPr>
        <w:t>sub</w:t>
      </w:r>
      <w:r w:rsidR="0011262E">
        <w:rPr>
          <w:rFonts w:cstheme="minorHAnsi"/>
        </w:rPr>
        <w:t>section</w:t>
      </w:r>
      <w:r w:rsidR="005F4CFD">
        <w:rPr>
          <w:rFonts w:cstheme="minorHAnsi"/>
        </w:rPr>
        <w:t> </w:t>
      </w:r>
      <w:r w:rsidR="0011262E">
        <w:rPr>
          <w:rFonts w:cstheme="minorHAnsi"/>
        </w:rPr>
        <w:t>38(ca).</w:t>
      </w:r>
    </w:p>
    <w:p w14:paraId="7E39A753" w14:textId="1A2D80E4" w:rsidR="0011262E" w:rsidRPr="00C76100" w:rsidRDefault="001C6B20" w:rsidP="00316530">
      <w:pPr>
        <w:pStyle w:val="Heading3"/>
      </w:pPr>
      <w:bookmarkStart w:id="180" w:name="_Toc527633049"/>
      <w:r w:rsidRPr="00C76100">
        <w:t xml:space="preserve">Appropriateness of auditing by </w:t>
      </w:r>
      <w:r w:rsidR="003733FB" w:rsidRPr="00C76100">
        <w:t xml:space="preserve">the </w:t>
      </w:r>
      <w:r w:rsidR="0011262E" w:rsidRPr="00C76100">
        <w:t>FSC</w:t>
      </w:r>
      <w:bookmarkEnd w:id="180"/>
    </w:p>
    <w:p w14:paraId="7C651C60" w14:textId="2656B0C5" w:rsidR="0011262E" w:rsidRPr="00CF01E4" w:rsidRDefault="0011262E" w:rsidP="00CF01E4">
      <w:r w:rsidRPr="00CF01E4">
        <w:t xml:space="preserve">As noted above, </w:t>
      </w:r>
      <w:r w:rsidR="001A6B47" w:rsidRPr="00CF01E4">
        <w:t xml:space="preserve">the </w:t>
      </w:r>
      <w:r w:rsidRPr="00CF01E4">
        <w:t xml:space="preserve">MBA saw </w:t>
      </w:r>
      <w:r w:rsidR="00A668CC" w:rsidRPr="00CF01E4">
        <w:t xml:space="preserve">the </w:t>
      </w:r>
      <w:r w:rsidR="001C6B20" w:rsidRPr="00CF01E4">
        <w:t xml:space="preserve">FSC’s </w:t>
      </w:r>
      <w:r w:rsidRPr="00CF01E4">
        <w:t xml:space="preserve">lack of technical </w:t>
      </w:r>
      <w:r w:rsidR="001A6B47" w:rsidRPr="00CF01E4">
        <w:t>expertise in relation to building products</w:t>
      </w:r>
      <w:r w:rsidRPr="00CF01E4">
        <w:t xml:space="preserve"> as being likely to considerably limit </w:t>
      </w:r>
      <w:r w:rsidR="001C6B20" w:rsidRPr="00CF01E4">
        <w:t>its</w:t>
      </w:r>
      <w:r w:rsidRPr="00CF01E4">
        <w:t xml:space="preserve"> ability to add significant value, given that state and territory governments have more specialised and technically competent regulatory agencies with mandates to address these issues</w:t>
      </w:r>
      <w:r w:rsidR="00C76100" w:rsidRPr="00CF01E4">
        <w:t>.</w:t>
      </w:r>
    </w:p>
    <w:p w14:paraId="3759BFBE" w14:textId="77777777" w:rsidR="0011262E" w:rsidRDefault="0011262E" w:rsidP="00C76100">
      <w:pPr>
        <w:spacing w:after="200" w:line="276" w:lineRule="auto"/>
        <w:rPr>
          <w:rFonts w:cstheme="minorHAnsi"/>
        </w:rPr>
      </w:pPr>
      <w:r>
        <w:rPr>
          <w:rFonts w:cstheme="minorHAnsi"/>
        </w:rPr>
        <w:t xml:space="preserve">The context is one in which the current building regulatory system is widely regarded as having performed unsatisfactorily in ensuring NCC compliance, at least with respect to flammable cladding, with significant public safety concerns resulting. However, significant review and reform </w:t>
      </w:r>
      <w:r w:rsidR="00425E6C">
        <w:rPr>
          <w:rFonts w:cstheme="minorHAnsi"/>
        </w:rPr>
        <w:t>action</w:t>
      </w:r>
      <w:r>
        <w:rPr>
          <w:rFonts w:cstheme="minorHAnsi"/>
        </w:rPr>
        <w:t xml:space="preserve"> is being taken by the states and territories. This poses challenges for the FSC </w:t>
      </w:r>
      <w:r w:rsidR="00425E6C">
        <w:rPr>
          <w:rFonts w:cstheme="minorHAnsi"/>
        </w:rPr>
        <w:t>in</w:t>
      </w:r>
      <w:r>
        <w:rPr>
          <w:rFonts w:cstheme="minorHAnsi"/>
        </w:rPr>
        <w:t xml:space="preserve"> carry</w:t>
      </w:r>
      <w:r w:rsidR="00425E6C">
        <w:rPr>
          <w:rFonts w:cstheme="minorHAnsi"/>
        </w:rPr>
        <w:t>ing</w:t>
      </w:r>
      <w:r>
        <w:rPr>
          <w:rFonts w:cstheme="minorHAnsi"/>
        </w:rPr>
        <w:t xml:space="preserve"> out its legislat</w:t>
      </w:r>
      <w:r w:rsidR="00425E6C">
        <w:rPr>
          <w:rFonts w:cstheme="minorHAnsi"/>
        </w:rPr>
        <w:t>ed role</w:t>
      </w:r>
      <w:r>
        <w:rPr>
          <w:rFonts w:cstheme="minorHAnsi"/>
        </w:rPr>
        <w:t xml:space="preserve"> while avoiding regulatory duplication and overlap. That is, it is foreseeable that future actions taken either through the Building Ministers’ Forum or at the level of individual states and territories could overlap significantly with the audit program that the FSC is currently seeking to develop. More generally, while the states and territories may adopt different regulatory approaches to that which the FSC is developing, it is plausible that these regulatory responses will largely obviate the need for</w:t>
      </w:r>
      <w:r w:rsidR="00425E6C">
        <w:rPr>
          <w:rFonts w:cstheme="minorHAnsi"/>
        </w:rPr>
        <w:t xml:space="preserve">, </w:t>
      </w:r>
      <w:r>
        <w:rPr>
          <w:rFonts w:cstheme="minorHAnsi"/>
        </w:rPr>
        <w:t>and undercut the potential benefits of</w:t>
      </w:r>
      <w:r w:rsidR="00425E6C">
        <w:rPr>
          <w:rFonts w:cstheme="minorHAnsi"/>
        </w:rPr>
        <w:t>,</w:t>
      </w:r>
      <w:r>
        <w:rPr>
          <w:rFonts w:cstheme="minorHAnsi"/>
        </w:rPr>
        <w:t xml:space="preserve"> action by the FSC.</w:t>
      </w:r>
    </w:p>
    <w:p w14:paraId="54524B65" w14:textId="52C6F430" w:rsidR="0011262E" w:rsidRDefault="00425E6C" w:rsidP="00C76100">
      <w:pPr>
        <w:spacing w:after="200" w:line="276" w:lineRule="auto"/>
      </w:pPr>
      <w:r>
        <w:t>A</w:t>
      </w:r>
      <w:r w:rsidR="0011262E">
        <w:t xml:space="preserve"> key question</w:t>
      </w:r>
      <w:r>
        <w:t xml:space="preserve"> is</w:t>
      </w:r>
      <w:r w:rsidR="0011262E">
        <w:t xml:space="preserve"> whether the FSC can perform a complementary function, in the light of the </w:t>
      </w:r>
      <w:r>
        <w:t>changes</w:t>
      </w:r>
      <w:r w:rsidR="0011262E">
        <w:t xml:space="preserve"> taking place at state and territory government levels, or whether the FSC’s involvement in this area </w:t>
      </w:r>
      <w:r>
        <w:t xml:space="preserve">will </w:t>
      </w:r>
      <w:r w:rsidR="0011262E">
        <w:t xml:space="preserve">add little value. </w:t>
      </w:r>
      <w:r>
        <w:t>Indeed</w:t>
      </w:r>
      <w:r w:rsidR="0011262E">
        <w:t>, it may impose costs in terms of confusion and overlap as to responsibilities and requirements</w:t>
      </w:r>
      <w:r w:rsidR="00F91CAA">
        <w:t xml:space="preserve">. </w:t>
      </w:r>
      <w:r>
        <w:t xml:space="preserve">Further costs could arise from the </w:t>
      </w:r>
      <w:r w:rsidR="0011262E">
        <w:t xml:space="preserve">diversion of the FSC’s resources from its WHS related activities, </w:t>
      </w:r>
      <w:r>
        <w:t>which are widely regarded as highly effective</w:t>
      </w:r>
      <w:r w:rsidR="00C76100">
        <w:t>.</w:t>
      </w:r>
    </w:p>
    <w:p w14:paraId="08CEE9A4" w14:textId="77777777" w:rsidR="0011262E" w:rsidRDefault="0011262E" w:rsidP="00C76100">
      <w:pPr>
        <w:spacing w:after="200" w:line="276" w:lineRule="auto"/>
        <w:rPr>
          <w:rFonts w:cstheme="minorHAnsi"/>
        </w:rPr>
      </w:pPr>
      <w:r>
        <w:rPr>
          <w:rFonts w:cstheme="minorHAnsi"/>
        </w:rPr>
        <w:t>As noted, further work</w:t>
      </w:r>
      <w:r w:rsidR="00425E6C">
        <w:rPr>
          <w:rFonts w:cstheme="minorHAnsi"/>
        </w:rPr>
        <w:t xml:space="preserve"> is needed to </w:t>
      </w:r>
      <w:r>
        <w:rPr>
          <w:rFonts w:cstheme="minorHAnsi"/>
        </w:rPr>
        <w:t xml:space="preserve">identify the potential additional costs to accredited building companies of complying with a </w:t>
      </w:r>
      <w:r w:rsidR="00425E6C">
        <w:rPr>
          <w:rFonts w:cstheme="minorHAnsi"/>
        </w:rPr>
        <w:t>broader</w:t>
      </w:r>
      <w:r>
        <w:rPr>
          <w:rFonts w:cstheme="minorHAnsi"/>
        </w:rPr>
        <w:t xml:space="preserve"> audit program embracing NCC compliance. Nonetheless, the </w:t>
      </w:r>
      <w:r>
        <w:rPr>
          <w:rFonts w:cstheme="minorHAnsi"/>
        </w:rPr>
        <w:lastRenderedPageBreak/>
        <w:t xml:space="preserve">FSC has identified a degree of concern among affected parties. The likely adoption of a systems-based approach by the FSC implies that these additional costs will be incurred via a need to be able to </w:t>
      </w:r>
      <w:r>
        <w:rPr>
          <w:rFonts w:cstheme="minorHAnsi"/>
          <w:i/>
        </w:rPr>
        <w:t xml:space="preserve">demonstrate </w:t>
      </w:r>
      <w:r>
        <w:rPr>
          <w:rFonts w:cstheme="minorHAnsi"/>
        </w:rPr>
        <w:t>compliance</w:t>
      </w:r>
      <w:r w:rsidR="00425E6C">
        <w:rPr>
          <w:rFonts w:cstheme="minorHAnsi"/>
        </w:rPr>
        <w:t xml:space="preserve">, </w:t>
      </w:r>
      <w:r>
        <w:rPr>
          <w:rFonts w:cstheme="minorHAnsi"/>
        </w:rPr>
        <w:t xml:space="preserve">rather than </w:t>
      </w:r>
      <w:r w:rsidR="00425E6C">
        <w:rPr>
          <w:rFonts w:cstheme="minorHAnsi"/>
        </w:rPr>
        <w:t>being</w:t>
      </w:r>
      <w:r>
        <w:rPr>
          <w:rFonts w:cstheme="minorHAnsi"/>
        </w:rPr>
        <w:t xml:space="preserve"> a result of increased compliance </w:t>
      </w:r>
      <w:r w:rsidR="00425E6C">
        <w:rPr>
          <w:rFonts w:cstheme="minorHAnsi"/>
        </w:rPr>
        <w:t>as such</w:t>
      </w:r>
      <w:r>
        <w:rPr>
          <w:rFonts w:cstheme="minorHAnsi"/>
        </w:rPr>
        <w:t xml:space="preserve">. </w:t>
      </w:r>
    </w:p>
    <w:p w14:paraId="01D1BB74" w14:textId="105E4057" w:rsidR="0011262E" w:rsidRDefault="0011262E" w:rsidP="00C76100">
      <w:pPr>
        <w:spacing w:after="200" w:line="276" w:lineRule="auto"/>
        <w:rPr>
          <w:rFonts w:cstheme="minorHAnsi"/>
        </w:rPr>
      </w:pPr>
      <w:r>
        <w:rPr>
          <w:rFonts w:cstheme="minorHAnsi"/>
        </w:rPr>
        <w:t>To the extent that significant compliance costs do follow from the FSC’s implementation</w:t>
      </w:r>
      <w:r w:rsidR="005F4CFD">
        <w:rPr>
          <w:rFonts w:cstheme="minorHAnsi"/>
        </w:rPr>
        <w:t xml:space="preserve"> of the requirements of subsection </w:t>
      </w:r>
      <w:r>
        <w:rPr>
          <w:rFonts w:cstheme="minorHAnsi"/>
        </w:rPr>
        <w:t xml:space="preserve">38(ca), the fact that these additional regulatory obligations </w:t>
      </w:r>
      <w:r w:rsidR="00E9213E" w:rsidRPr="00EE0A20">
        <w:rPr>
          <w:rFonts w:cstheme="minorHAnsi"/>
        </w:rPr>
        <w:t>are performed</w:t>
      </w:r>
      <w:r>
        <w:rPr>
          <w:rFonts w:cstheme="minorHAnsi"/>
        </w:rPr>
        <w:t xml:space="preserve"> only</w:t>
      </w:r>
      <w:r w:rsidR="00E9213E" w:rsidRPr="00EE0A20">
        <w:rPr>
          <w:rFonts w:cstheme="minorHAnsi"/>
        </w:rPr>
        <w:t xml:space="preserve"> in relation</w:t>
      </w:r>
      <w:r>
        <w:rPr>
          <w:rFonts w:cstheme="minorHAnsi"/>
        </w:rPr>
        <w:t xml:space="preserve"> to accredited building companies has </w:t>
      </w:r>
      <w:r w:rsidR="00425E6C">
        <w:rPr>
          <w:rFonts w:cstheme="minorHAnsi"/>
        </w:rPr>
        <w:t>two</w:t>
      </w:r>
      <w:r>
        <w:rPr>
          <w:rFonts w:cstheme="minorHAnsi"/>
        </w:rPr>
        <w:t xml:space="preserve"> implications:</w:t>
      </w:r>
    </w:p>
    <w:p w14:paraId="36EDA76F" w14:textId="3C9E818C" w:rsidR="00425E6C" w:rsidRPr="009D5529" w:rsidRDefault="0011262E" w:rsidP="004F647D">
      <w:pPr>
        <w:pStyle w:val="ListNumber"/>
        <w:numPr>
          <w:ilvl w:val="0"/>
          <w:numId w:val="26"/>
        </w:numPr>
        <w:ind w:left="360"/>
      </w:pPr>
      <w:r w:rsidRPr="00F778B0">
        <w:rPr>
          <w:rFonts w:cstheme="minorHAnsi"/>
        </w:rPr>
        <w:t xml:space="preserve">The costs will be confined to companies undertaking </w:t>
      </w:r>
      <w:r>
        <w:rPr>
          <w:rFonts w:cstheme="minorHAnsi"/>
        </w:rPr>
        <w:t xml:space="preserve">non-civil </w:t>
      </w:r>
      <w:r w:rsidRPr="00F778B0">
        <w:rPr>
          <w:rFonts w:cstheme="minorHAnsi"/>
        </w:rPr>
        <w:t>Commonwealth-funded building work. At present, this group</w:t>
      </w:r>
      <w:r>
        <w:rPr>
          <w:rFonts w:cstheme="minorHAnsi"/>
        </w:rPr>
        <w:t xml:space="preserve"> is estimated to </w:t>
      </w:r>
      <w:r w:rsidR="00425E6C">
        <w:rPr>
          <w:rFonts w:cstheme="minorHAnsi"/>
        </w:rPr>
        <w:t xml:space="preserve">comprise </w:t>
      </w:r>
      <w:r>
        <w:rPr>
          <w:rFonts w:cstheme="minorHAnsi"/>
        </w:rPr>
        <w:t>200</w:t>
      </w:r>
      <w:r w:rsidR="003733FB">
        <w:rPr>
          <w:rFonts w:cstheme="minorHAnsi"/>
        </w:rPr>
        <w:noBreakHyphen/>
      </w:r>
      <w:r>
        <w:rPr>
          <w:rFonts w:cstheme="minorHAnsi"/>
        </w:rPr>
        <w:t>300</w:t>
      </w:r>
      <w:r w:rsidRPr="00F778B0">
        <w:rPr>
          <w:rFonts w:cstheme="minorHAnsi"/>
        </w:rPr>
        <w:t xml:space="preserve"> companies. This is, numerically, a small subset of the Australian building </w:t>
      </w:r>
      <w:r w:rsidR="00425E6C">
        <w:rPr>
          <w:rFonts w:cstheme="minorHAnsi"/>
        </w:rPr>
        <w:t>industry</w:t>
      </w:r>
      <w:r w:rsidRPr="00F778B0">
        <w:rPr>
          <w:rFonts w:cstheme="minorHAnsi"/>
        </w:rPr>
        <w:t>, albeit that it necessarily includes a high proportion of the largest companies</w:t>
      </w:r>
      <w:r>
        <w:rPr>
          <w:rFonts w:cstheme="minorHAnsi"/>
        </w:rPr>
        <w:t xml:space="preserve">. </w:t>
      </w:r>
    </w:p>
    <w:p w14:paraId="563D2417" w14:textId="77777777" w:rsidR="0011262E" w:rsidRDefault="00425E6C" w:rsidP="004F647D">
      <w:pPr>
        <w:pStyle w:val="ListNumber"/>
        <w:numPr>
          <w:ilvl w:val="0"/>
          <w:numId w:val="26"/>
        </w:numPr>
        <w:ind w:left="360"/>
      </w:pPr>
      <w:r>
        <w:rPr>
          <w:rFonts w:cstheme="minorHAnsi"/>
        </w:rPr>
        <w:t>A</w:t>
      </w:r>
      <w:r w:rsidR="0011262E">
        <w:t xml:space="preserve">ny additional regulatory costs will necessarily be reflected in the cost of Commonwealth-funded building work. That is, the additional regulatory costs imposed will </w:t>
      </w:r>
      <w:r>
        <w:t>largely</w:t>
      </w:r>
      <w:r w:rsidR="0011262E">
        <w:t xml:space="preserve"> be borne by the taxpayer.</w:t>
      </w:r>
    </w:p>
    <w:p w14:paraId="12D15956" w14:textId="798F25CF" w:rsidR="0011262E" w:rsidRDefault="00425E6C" w:rsidP="00C76100">
      <w:pPr>
        <w:spacing w:after="200" w:line="276" w:lineRule="auto"/>
      </w:pPr>
      <w:r>
        <w:t>Importantly, t</w:t>
      </w:r>
      <w:r w:rsidR="0011262E">
        <w:t>he approach taken by the FSC in developing its pilot audit program is a systems</w:t>
      </w:r>
      <w:r>
        <w:t>-</w:t>
      </w:r>
      <w:r w:rsidR="0011262E">
        <w:t xml:space="preserve">based one, predicated on the concept of </w:t>
      </w:r>
      <w:r w:rsidR="00E9213E" w:rsidRPr="00EE0A20">
        <w:t>‘</w:t>
      </w:r>
      <w:r w:rsidR="0011262E">
        <w:t xml:space="preserve">process-based </w:t>
      </w:r>
      <w:r w:rsidR="00E9213E" w:rsidRPr="00EE0A20">
        <w:t>regulation’.</w:t>
      </w:r>
      <w:r w:rsidR="0011262E">
        <w:t xml:space="preserve"> This is consistent with the FSC’s approach to implementing its</w:t>
      </w:r>
      <w:r>
        <w:t xml:space="preserve"> WHS-related </w:t>
      </w:r>
      <w:r w:rsidR="0011262E">
        <w:t>responsibilities</w:t>
      </w:r>
      <w:r w:rsidR="00F91CAA">
        <w:t xml:space="preserve">. </w:t>
      </w:r>
      <w:r>
        <w:t>I</w:t>
      </w:r>
      <w:r w:rsidR="0011262E">
        <w:t xml:space="preserve">n terms of general principle, </w:t>
      </w:r>
      <w:r>
        <w:t xml:space="preserve">process-based regulation is </w:t>
      </w:r>
      <w:r w:rsidR="0011262E">
        <w:t xml:space="preserve">likely to constitute a best practice approach in situations in which there are both multiple risk sources and multiple potential means of addressing them. </w:t>
      </w:r>
      <w:r w:rsidR="0041201E">
        <w:t>Moreover</w:t>
      </w:r>
      <w:r w:rsidR="0011262E">
        <w:t xml:space="preserve">, adopting such an approach also significantly reduces the level of technical expertise required to effectively oversee this requirement. That is, process-based regulation focuses (as the name suggests) on ensuring that processes are in place to systematically ensure that risks are identified and appropriately managed, rather than on verification of technical standards </w:t>
      </w:r>
      <w:r w:rsidR="0011262E" w:rsidRPr="009D5529">
        <w:rPr>
          <w:i/>
        </w:rPr>
        <w:t>per se</w:t>
      </w:r>
      <w:r w:rsidR="00F91CAA">
        <w:t xml:space="preserve">. </w:t>
      </w:r>
      <w:r w:rsidR="0041201E">
        <w:t xml:space="preserve">This approach seems likely to minimise the </w:t>
      </w:r>
      <w:r w:rsidR="0011262E">
        <w:t xml:space="preserve">impediment </w:t>
      </w:r>
      <w:r w:rsidR="0041201E">
        <w:t xml:space="preserve">to achieving effective outcomes </w:t>
      </w:r>
      <w:r w:rsidR="0011262E">
        <w:t xml:space="preserve">created by </w:t>
      </w:r>
      <w:r w:rsidR="00380906">
        <w:t xml:space="preserve">the </w:t>
      </w:r>
      <w:r w:rsidR="0041201E">
        <w:t>FSC’s</w:t>
      </w:r>
      <w:r w:rsidR="0011262E">
        <w:t xml:space="preserve"> lack of technical expertise in this field.</w:t>
      </w:r>
    </w:p>
    <w:p w14:paraId="7D80C6DC" w14:textId="1BD62EDA" w:rsidR="0011262E" w:rsidRDefault="0041201E" w:rsidP="00C76100">
      <w:pPr>
        <w:spacing w:after="200" w:line="276" w:lineRule="auto"/>
      </w:pPr>
      <w:r>
        <w:t>T</w:t>
      </w:r>
      <w:r w:rsidR="0011262E">
        <w:t xml:space="preserve">he design of </w:t>
      </w:r>
      <w:r w:rsidR="00380906">
        <w:t xml:space="preserve">the </w:t>
      </w:r>
      <w:r>
        <w:t>F</w:t>
      </w:r>
      <w:r w:rsidR="00380906">
        <w:t>S</w:t>
      </w:r>
      <w:r>
        <w:t xml:space="preserve">C’s </w:t>
      </w:r>
      <w:r w:rsidR="0011262E">
        <w:t xml:space="preserve">pilot audit program appears to be a sound one. However, </w:t>
      </w:r>
      <w:r>
        <w:t>as</w:t>
      </w:r>
      <w:r w:rsidR="0011262E">
        <w:t xml:space="preserve"> relatively little information is currently available to the review as to the results of the pilot audit program, it is difficult to draw clear conclusions as to </w:t>
      </w:r>
      <w:r w:rsidR="00380906">
        <w:t xml:space="preserve">the </w:t>
      </w:r>
      <w:r w:rsidR="0011262E">
        <w:t>FSC’s likely effectiveness in relation to the NCC</w:t>
      </w:r>
      <w:r w:rsidR="00F91CAA">
        <w:t xml:space="preserve">. </w:t>
      </w:r>
      <w:r w:rsidR="0011262E">
        <w:t>Ensuring effective coordination between relevant state and territory government authorities and the FSC will be a key requirement if the benefits of the FSC’s involvement in this area are to be maximised and the associated costs minimised.</w:t>
      </w:r>
      <w:r w:rsidRPr="0041201E">
        <w:t xml:space="preserve"> </w:t>
      </w:r>
      <w:r>
        <w:t xml:space="preserve">The fact that </w:t>
      </w:r>
      <w:r w:rsidR="00380906">
        <w:t xml:space="preserve">the </w:t>
      </w:r>
      <w:r>
        <w:t xml:space="preserve">FSC has deliberately sought to avoid duplication of, and overlap with, </w:t>
      </w:r>
      <w:r w:rsidR="00380906">
        <w:t>s</w:t>
      </w:r>
      <w:r>
        <w:t xml:space="preserve">tate and </w:t>
      </w:r>
      <w:r w:rsidR="00380906">
        <w:t>t</w:t>
      </w:r>
      <w:r>
        <w:t>erritory government initiatives is a positive indicator in this respect, indicating a focus on ensuring that its involvement in this area adds value</w:t>
      </w:r>
      <w:r w:rsidR="00C76100">
        <w:t>.</w:t>
      </w:r>
    </w:p>
    <w:p w14:paraId="208E3173" w14:textId="2AA3D094" w:rsidR="0011262E" w:rsidRDefault="0011262E" w:rsidP="00C76100">
      <w:pPr>
        <w:spacing w:after="200" w:line="276" w:lineRule="auto"/>
        <w:rPr>
          <w:rFonts w:cstheme="minorHAnsi"/>
        </w:rPr>
      </w:pPr>
      <w:r>
        <w:rPr>
          <w:rFonts w:cstheme="minorHAnsi"/>
        </w:rPr>
        <w:t xml:space="preserve">The question of the likely benefit of the FSC undertaking this function must also be considered more broadly. As several submissions noted, the FSC has been given a significant additional legislative responsibility without, to date, receiving a commensurate increase in resourcing. A recent Senate Standing Committee on Economics </w:t>
      </w:r>
      <w:r w:rsidR="004D3AB2">
        <w:rPr>
          <w:rFonts w:cstheme="minorHAnsi"/>
        </w:rPr>
        <w:t>i</w:t>
      </w:r>
      <w:r>
        <w:rPr>
          <w:rFonts w:cstheme="minorHAnsi"/>
        </w:rPr>
        <w:t>nquiry concluded that the FSC does not have adequate resources to carry out this new function</w:t>
      </w:r>
      <w:r w:rsidR="00E9213E" w:rsidRPr="00EE0A20">
        <w:rPr>
          <w:rFonts w:cstheme="minorHAnsi"/>
        </w:rPr>
        <w:t>.</w:t>
      </w:r>
      <w:r>
        <w:rPr>
          <w:rStyle w:val="FootnoteReference"/>
          <w:rFonts w:cstheme="minorHAnsi"/>
        </w:rPr>
        <w:footnoteReference w:id="77"/>
      </w:r>
      <w:r>
        <w:rPr>
          <w:rFonts w:cstheme="minorHAnsi"/>
        </w:rPr>
        <w:t xml:space="preserve"> Consistent with this view, several submissions to the review argued that the FSC will be unable to divert existing resources to this new responsibility without compromising its ability to carry out its pre-existing WHS-related functions</w:t>
      </w:r>
      <w:r w:rsidR="00C76100">
        <w:rPr>
          <w:rFonts w:cstheme="minorHAnsi"/>
        </w:rPr>
        <w:t>.</w:t>
      </w:r>
    </w:p>
    <w:p w14:paraId="03274E6A" w14:textId="02A34C18" w:rsidR="0011262E" w:rsidRDefault="0011262E" w:rsidP="00C76100">
      <w:pPr>
        <w:spacing w:after="200" w:line="276" w:lineRule="auto"/>
        <w:rPr>
          <w:rFonts w:cstheme="minorHAnsi"/>
        </w:rPr>
      </w:pPr>
      <w:r>
        <w:rPr>
          <w:rFonts w:cstheme="minorHAnsi"/>
        </w:rPr>
        <w:lastRenderedPageBreak/>
        <w:t xml:space="preserve">Importantly, while the ability of the FSC to add value through its new role in relation to the NCC remains uncertain, there is good evidence that the </w:t>
      </w:r>
      <w:r w:rsidR="001706DB">
        <w:rPr>
          <w:rFonts w:cstheme="minorHAnsi"/>
        </w:rPr>
        <w:t>FSC</w:t>
      </w:r>
      <w:r>
        <w:rPr>
          <w:rFonts w:cstheme="minorHAnsi"/>
        </w:rPr>
        <w:t xml:space="preserve"> Scheme, for which it has long been responsible, has been effective in improving the per</w:t>
      </w:r>
      <w:r w:rsidR="0041201E">
        <w:rPr>
          <w:rFonts w:cstheme="minorHAnsi"/>
        </w:rPr>
        <w:t>formance of accredited entities</w:t>
      </w:r>
      <w:r>
        <w:rPr>
          <w:rFonts w:cstheme="minorHAnsi"/>
        </w:rPr>
        <w:t>. In particular:</w:t>
      </w:r>
    </w:p>
    <w:p w14:paraId="617E673B" w14:textId="4FB70BD0" w:rsidR="0011262E" w:rsidRPr="004D2F37" w:rsidRDefault="0011262E" w:rsidP="004F647D">
      <w:pPr>
        <w:pStyle w:val="ListBullet"/>
        <w:numPr>
          <w:ilvl w:val="0"/>
          <w:numId w:val="9"/>
        </w:numPr>
        <w:ind w:left="360"/>
        <w:rPr>
          <w:rFonts w:cstheme="minorHAnsi"/>
        </w:rPr>
      </w:pPr>
      <w:r w:rsidRPr="004D2F37">
        <w:rPr>
          <w:bCs/>
        </w:rPr>
        <w:t xml:space="preserve">In 2016, only </w:t>
      </w:r>
      <w:r>
        <w:rPr>
          <w:bCs/>
        </w:rPr>
        <w:t>four</w:t>
      </w:r>
      <w:r w:rsidRPr="004D2F37">
        <w:rPr>
          <w:bCs/>
        </w:rPr>
        <w:t xml:space="preserve"> of the 35 industry fatalities were associated with accredited companies</w:t>
      </w:r>
      <w:r w:rsidR="0041201E">
        <w:rPr>
          <w:bCs/>
        </w:rPr>
        <w:t>, while i</w:t>
      </w:r>
      <w:r w:rsidRPr="004D2F37">
        <w:t xml:space="preserve">n 2015 only </w:t>
      </w:r>
      <w:r>
        <w:t>three</w:t>
      </w:r>
      <w:r w:rsidRPr="004D2F37">
        <w:t xml:space="preserve"> of the </w:t>
      </w:r>
      <w:r w:rsidR="0051062D" w:rsidRPr="004D2F37">
        <w:t>3</w:t>
      </w:r>
      <w:r w:rsidR="0051062D">
        <w:t>4</w:t>
      </w:r>
      <w:r w:rsidR="0051062D" w:rsidRPr="004D2F37">
        <w:t xml:space="preserve"> </w:t>
      </w:r>
      <w:r w:rsidRPr="004D2F37">
        <w:t>industry fatalities were associated with accredited companies. This represents a substantially lower fatality rate than the industry average, given that it is estimated that accredited companies account for 40</w:t>
      </w:r>
      <w:r>
        <w:t>-</w:t>
      </w:r>
      <w:r w:rsidR="001D426E">
        <w:t>50 per </w:t>
      </w:r>
      <w:r w:rsidRPr="004D2F37">
        <w:t>cent of construction industry turnover</w:t>
      </w:r>
      <w:r w:rsidR="00BC4E49">
        <w:t>.</w:t>
      </w:r>
      <w:r w:rsidRPr="004D2F37">
        <w:rPr>
          <w:rStyle w:val="FootnoteReference"/>
        </w:rPr>
        <w:footnoteReference w:id="78"/>
      </w:r>
    </w:p>
    <w:p w14:paraId="494B2ACF" w14:textId="650BE339" w:rsidR="0011262E" w:rsidRPr="004D2F37" w:rsidRDefault="0011262E" w:rsidP="004F647D">
      <w:pPr>
        <w:pStyle w:val="ListBullet"/>
        <w:numPr>
          <w:ilvl w:val="0"/>
          <w:numId w:val="9"/>
        </w:numPr>
        <w:ind w:left="360"/>
        <w:rPr>
          <w:rFonts w:cstheme="minorHAnsi"/>
        </w:rPr>
      </w:pPr>
      <w:r w:rsidRPr="004D2F37">
        <w:t xml:space="preserve">Accredited companies have </w:t>
      </w:r>
      <w:r w:rsidR="0041201E">
        <w:t>wo</w:t>
      </w:r>
      <w:r w:rsidR="0041201E" w:rsidRPr="004D2F37">
        <w:rPr>
          <w:bCs/>
        </w:rPr>
        <w:t>rkers</w:t>
      </w:r>
      <w:r w:rsidR="0041201E">
        <w:rPr>
          <w:bCs/>
        </w:rPr>
        <w:t>’</w:t>
      </w:r>
      <w:r w:rsidR="0041201E" w:rsidRPr="004D2F37">
        <w:rPr>
          <w:bCs/>
        </w:rPr>
        <w:t xml:space="preserve"> compensation premium rates </w:t>
      </w:r>
      <w:r w:rsidRPr="004D2F37">
        <w:rPr>
          <w:bCs/>
        </w:rPr>
        <w:t xml:space="preserve">that are </w:t>
      </w:r>
      <w:r w:rsidRPr="004D2F37">
        <w:t xml:space="preserve">approximately </w:t>
      </w:r>
      <w:r w:rsidRPr="004D2F37">
        <w:rPr>
          <w:bCs/>
        </w:rPr>
        <w:t>25</w:t>
      </w:r>
      <w:r w:rsidR="001D426E">
        <w:rPr>
          <w:bCs/>
        </w:rPr>
        <w:t> per </w:t>
      </w:r>
      <w:r>
        <w:rPr>
          <w:bCs/>
        </w:rPr>
        <w:t>cent</w:t>
      </w:r>
      <w:r w:rsidRPr="004D2F37">
        <w:rPr>
          <w:bCs/>
        </w:rPr>
        <w:t xml:space="preserve"> lower </w:t>
      </w:r>
      <w:r w:rsidRPr="004D2F37">
        <w:t>than the industry average</w:t>
      </w:r>
      <w:r w:rsidR="00BC4E49">
        <w:t>.</w:t>
      </w:r>
      <w:r w:rsidRPr="004D2F37">
        <w:rPr>
          <w:rStyle w:val="FootnoteReference"/>
        </w:rPr>
        <w:footnoteReference w:id="79"/>
      </w:r>
    </w:p>
    <w:p w14:paraId="63B62203" w14:textId="792BC5F0" w:rsidR="0011262E" w:rsidRDefault="00BC4E49" w:rsidP="004F647D">
      <w:pPr>
        <w:pStyle w:val="ListBullet"/>
        <w:numPr>
          <w:ilvl w:val="0"/>
          <w:numId w:val="9"/>
        </w:numPr>
        <w:ind w:left="360"/>
      </w:pPr>
      <w:proofErr w:type="gramStart"/>
      <w:r>
        <w:rPr>
          <w:bCs/>
        </w:rPr>
        <w:t>Sixty five</w:t>
      </w:r>
      <w:proofErr w:type="gramEnd"/>
      <w:r w:rsidR="001D426E">
        <w:rPr>
          <w:bCs/>
        </w:rPr>
        <w:t> per </w:t>
      </w:r>
      <w:r w:rsidR="0011262E">
        <w:rPr>
          <w:bCs/>
        </w:rPr>
        <w:t>cent</w:t>
      </w:r>
      <w:r w:rsidR="0011262E" w:rsidRPr="004D2F37">
        <w:rPr>
          <w:bCs/>
        </w:rPr>
        <w:t xml:space="preserve"> of accredited companies have reduced their </w:t>
      </w:r>
      <w:r w:rsidR="001D426E">
        <w:rPr>
          <w:bCs/>
        </w:rPr>
        <w:t>l</w:t>
      </w:r>
      <w:r w:rsidR="0011262E">
        <w:rPr>
          <w:bCs/>
        </w:rPr>
        <w:t xml:space="preserve">ost </w:t>
      </w:r>
      <w:r w:rsidR="001D426E">
        <w:rPr>
          <w:bCs/>
        </w:rPr>
        <w:t>t</w:t>
      </w:r>
      <w:r w:rsidR="0011262E">
        <w:rPr>
          <w:bCs/>
        </w:rPr>
        <w:t xml:space="preserve">ime </w:t>
      </w:r>
      <w:r w:rsidR="001D426E">
        <w:rPr>
          <w:bCs/>
        </w:rPr>
        <w:t>i</w:t>
      </w:r>
      <w:r w:rsidR="0011262E">
        <w:rPr>
          <w:bCs/>
        </w:rPr>
        <w:t xml:space="preserve">njury </w:t>
      </w:r>
      <w:r w:rsidR="001D426E">
        <w:rPr>
          <w:bCs/>
        </w:rPr>
        <w:t>f</w:t>
      </w:r>
      <w:r w:rsidR="0011262E">
        <w:rPr>
          <w:bCs/>
        </w:rPr>
        <w:t xml:space="preserve">requency </w:t>
      </w:r>
      <w:r w:rsidR="001D426E">
        <w:rPr>
          <w:bCs/>
        </w:rPr>
        <w:t>r</w:t>
      </w:r>
      <w:r w:rsidR="0011262E">
        <w:rPr>
          <w:bCs/>
        </w:rPr>
        <w:t xml:space="preserve">ates </w:t>
      </w:r>
      <w:r w:rsidR="0011262E" w:rsidRPr="004D2F37">
        <w:t xml:space="preserve">after </w:t>
      </w:r>
      <w:r w:rsidR="0011262E">
        <w:t>six</w:t>
      </w:r>
      <w:r w:rsidR="0011262E" w:rsidRPr="004D2F37">
        <w:t xml:space="preserve"> years of accreditation</w:t>
      </w:r>
      <w:r>
        <w:t>.</w:t>
      </w:r>
      <w:r w:rsidR="0011262E">
        <w:rPr>
          <w:rStyle w:val="FootnoteReference"/>
        </w:rPr>
        <w:footnoteReference w:id="80"/>
      </w:r>
    </w:p>
    <w:p w14:paraId="5D43AC9F" w14:textId="77777777" w:rsidR="0011262E" w:rsidRPr="00F73B1E" w:rsidRDefault="0011262E" w:rsidP="004F647D">
      <w:pPr>
        <w:pStyle w:val="ListBullet"/>
        <w:numPr>
          <w:ilvl w:val="0"/>
          <w:numId w:val="9"/>
        </w:numPr>
        <w:ind w:left="360"/>
      </w:pPr>
      <w:r>
        <w:t xml:space="preserve">Companies seeking accreditation must meet over 100 criteria covering WHS Management, construction specific hazards and senior management responsibilities and commitment. On average, companies seeking accreditation for the first time are required to take around </w:t>
      </w:r>
      <w:r w:rsidRPr="00F73B1E">
        <w:rPr>
          <w:bCs/>
        </w:rPr>
        <w:t>33 corrective actions</w:t>
      </w:r>
      <w:r w:rsidRPr="00F73B1E">
        <w:t>.</w:t>
      </w:r>
    </w:p>
    <w:p w14:paraId="0842404F" w14:textId="6788EE02" w:rsidR="0011262E" w:rsidRDefault="0011262E" w:rsidP="00C76100">
      <w:pPr>
        <w:spacing w:after="200" w:line="276" w:lineRule="auto"/>
        <w:rPr>
          <w:rFonts w:cstheme="minorHAnsi"/>
        </w:rPr>
      </w:pPr>
      <w:r>
        <w:rPr>
          <w:rFonts w:cstheme="minorHAnsi"/>
        </w:rPr>
        <w:t>The apparent effectiveness of FSC accreditation in improving the WHS performance of building companies could be taken as evidence of the likely benefit of adopting a similar, systems-based audit approach in relation to NCC compliance. However, to the extent that broadening the FSC’s role to include NCC reduces the focus on WHS issues, there is a</w:t>
      </w:r>
      <w:r w:rsidR="0041201E">
        <w:rPr>
          <w:rFonts w:cstheme="minorHAnsi"/>
        </w:rPr>
        <w:t xml:space="preserve"> clear risk</w:t>
      </w:r>
      <w:r>
        <w:rPr>
          <w:rFonts w:cstheme="minorHAnsi"/>
        </w:rPr>
        <w:t xml:space="preserve"> that a reduction in net benefits would result.</w:t>
      </w:r>
      <w:r w:rsidR="001C6B20">
        <w:rPr>
          <w:rFonts w:cstheme="minorHAnsi"/>
        </w:rPr>
        <w:t xml:space="preserve"> </w:t>
      </w:r>
      <w:r>
        <w:rPr>
          <w:rFonts w:cstheme="minorHAnsi"/>
        </w:rPr>
        <w:t>This is a particular risk if additional resourcing is not provided to the FSC commensurate with its new responsibilities.</w:t>
      </w:r>
      <w:r w:rsidR="001C6B20">
        <w:rPr>
          <w:rFonts w:cstheme="minorHAnsi"/>
        </w:rPr>
        <w:t xml:space="preserve"> </w:t>
      </w:r>
      <w:bookmarkStart w:id="181" w:name="_Hlk522712637"/>
      <w:r w:rsidR="001C6B20">
        <w:rPr>
          <w:rFonts w:cstheme="minorHAnsi"/>
        </w:rPr>
        <w:t xml:space="preserve">That is, it is </w:t>
      </w:r>
      <w:r w:rsidR="0046266D">
        <w:rPr>
          <w:rFonts w:cstheme="minorHAnsi"/>
        </w:rPr>
        <w:t xml:space="preserve">likely that, if resources had to be diverted </w:t>
      </w:r>
      <w:r w:rsidR="00E9213E" w:rsidRPr="00E45E66">
        <w:rPr>
          <w:rFonts w:cstheme="minorHAnsi"/>
        </w:rPr>
        <w:t>fr</w:t>
      </w:r>
      <w:r w:rsidR="008B3ADB">
        <w:rPr>
          <w:rFonts w:cstheme="minorHAnsi"/>
        </w:rPr>
        <w:t>o</w:t>
      </w:r>
      <w:r w:rsidR="00E9213E" w:rsidRPr="00E45E66">
        <w:rPr>
          <w:rFonts w:cstheme="minorHAnsi"/>
        </w:rPr>
        <w:t>m</w:t>
      </w:r>
      <w:r w:rsidR="0046266D">
        <w:rPr>
          <w:rFonts w:cstheme="minorHAnsi"/>
        </w:rPr>
        <w:t xml:space="preserve"> WHS-related functions to NCC-related functions, their overall productivity would be reduced.</w:t>
      </w:r>
    </w:p>
    <w:p w14:paraId="79CC8C79" w14:textId="77777777" w:rsidR="00181AAC" w:rsidRPr="00C76100" w:rsidRDefault="00181AAC" w:rsidP="004706A4">
      <w:pPr>
        <w:pStyle w:val="Heading2"/>
        <w:keepNext/>
        <w:pBdr>
          <w:top w:val="single" w:sz="4" w:space="1" w:color="auto"/>
          <w:bottom w:val="single" w:sz="4" w:space="1" w:color="auto"/>
        </w:pBdr>
        <w:shd w:val="clear" w:color="auto" w:fill="FBE4D5" w:themeFill="accent2" w:themeFillTint="33"/>
      </w:pPr>
      <w:bookmarkStart w:id="182" w:name="_Toc527633050"/>
      <w:r w:rsidRPr="00C76100">
        <w:t>Recommendations</w:t>
      </w:r>
      <w:bookmarkEnd w:id="182"/>
    </w:p>
    <w:p w14:paraId="3735E44F" w14:textId="77777777" w:rsidR="00181AAC" w:rsidRDefault="00181AAC" w:rsidP="009577D3">
      <w:pPr>
        <w:pBdr>
          <w:top w:val="single" w:sz="4" w:space="1" w:color="auto"/>
          <w:bottom w:val="single" w:sz="4" w:space="1" w:color="auto"/>
        </w:pBdr>
        <w:shd w:val="clear" w:color="auto" w:fill="FBE4D5" w:themeFill="accent2" w:themeFillTint="33"/>
        <w:spacing w:before="120" w:after="120"/>
      </w:pPr>
      <w:r>
        <w:rPr>
          <w:b/>
        </w:rPr>
        <w:t>Recommendation 5</w:t>
      </w:r>
      <w:r w:rsidRPr="00154456">
        <w:rPr>
          <w:b/>
        </w:rPr>
        <w:t>.1:</w:t>
      </w:r>
      <w:r w:rsidRPr="00154456">
        <w:t xml:space="preserve"> </w:t>
      </w:r>
      <w:r w:rsidRPr="00F37BD1">
        <w:t>That the Australian Government should keep the requirement for the FSC to address NCC issues under review as state and territory government responses to this issue evolve in the short to medium-term.</w:t>
      </w:r>
    </w:p>
    <w:p w14:paraId="29848956" w14:textId="77777777" w:rsidR="00181AAC" w:rsidRDefault="00181AAC" w:rsidP="009577D3">
      <w:pPr>
        <w:pBdr>
          <w:top w:val="single" w:sz="4" w:space="1" w:color="auto"/>
          <w:bottom w:val="single" w:sz="4" w:space="1" w:color="auto"/>
        </w:pBdr>
        <w:shd w:val="clear" w:color="auto" w:fill="FBE4D5" w:themeFill="accent2" w:themeFillTint="33"/>
        <w:spacing w:before="120" w:after="120"/>
      </w:pPr>
      <w:r>
        <w:rPr>
          <w:b/>
        </w:rPr>
        <w:t>Recommendation 5</w:t>
      </w:r>
      <w:r w:rsidRPr="00154456">
        <w:rPr>
          <w:b/>
        </w:rPr>
        <w:t>.2:</w:t>
      </w:r>
      <w:r w:rsidRPr="00154456">
        <w:t xml:space="preserve"> </w:t>
      </w:r>
      <w:r w:rsidRPr="00F37BD1">
        <w:t>That there should be a presumption in favour of repealing</w:t>
      </w:r>
      <w:r>
        <w:t xml:space="preserve"> subsection 38(ca) of the BCIIP </w:t>
      </w:r>
      <w:r w:rsidRPr="00F37BD1">
        <w:t>Act</w:t>
      </w:r>
      <w:r>
        <w:t xml:space="preserve">, provided that the Australian </w:t>
      </w:r>
      <w:r w:rsidRPr="00F37BD1">
        <w:t>Government is satisfied with the state and territory government reforms in this area.</w:t>
      </w:r>
    </w:p>
    <w:p w14:paraId="0B1FAF14" w14:textId="5C956B87" w:rsidR="00181AAC" w:rsidRDefault="00181AAC" w:rsidP="009577D3">
      <w:pPr>
        <w:pBdr>
          <w:top w:val="single" w:sz="4" w:space="1" w:color="auto"/>
          <w:bottom w:val="single" w:sz="4" w:space="1" w:color="auto"/>
        </w:pBdr>
        <w:shd w:val="clear" w:color="auto" w:fill="FBE4D5" w:themeFill="accent2" w:themeFillTint="33"/>
        <w:spacing w:after="200" w:line="276" w:lineRule="auto"/>
        <w:rPr>
          <w:rFonts w:cstheme="minorHAnsi"/>
        </w:rPr>
      </w:pPr>
      <w:r>
        <w:rPr>
          <w:b/>
        </w:rPr>
        <w:t>Recommendation 5.3</w:t>
      </w:r>
      <w:r w:rsidRPr="00154456">
        <w:rPr>
          <w:b/>
        </w:rPr>
        <w:t>:</w:t>
      </w:r>
      <w:r w:rsidRPr="00154456">
        <w:t xml:space="preserve"> </w:t>
      </w:r>
      <w:r>
        <w:t>That</w:t>
      </w:r>
      <w:r w:rsidRPr="00F37BD1">
        <w:t xml:space="preserve"> the Government should ensure the FSC is adequately funded to undertake NCC-related activities to avoid compromising the effectiveness of its core functions in relation to workplace health and safety.</w:t>
      </w:r>
    </w:p>
    <w:p w14:paraId="1D4887C5" w14:textId="77777777" w:rsidR="009577D3" w:rsidRPr="00C50FFB" w:rsidRDefault="009577D3" w:rsidP="008C2C88">
      <w:bookmarkStart w:id="183" w:name="_Toc519171490"/>
      <w:bookmarkStart w:id="184" w:name="_Toc523154950"/>
      <w:bookmarkStart w:id="185" w:name="_Toc527633051"/>
      <w:bookmarkEnd w:id="181"/>
    </w:p>
    <w:p w14:paraId="45EC8156" w14:textId="4A1EDE72" w:rsidR="0011262E" w:rsidRDefault="0011262E" w:rsidP="009577D3">
      <w:pPr>
        <w:pStyle w:val="Heading2"/>
      </w:pPr>
      <w:r>
        <w:lastRenderedPageBreak/>
        <w:t>Security of payments</w:t>
      </w:r>
      <w:bookmarkEnd w:id="183"/>
      <w:bookmarkEnd w:id="184"/>
      <w:bookmarkEnd w:id="185"/>
    </w:p>
    <w:p w14:paraId="059132E0" w14:textId="460AA506" w:rsidR="0011262E" w:rsidRDefault="0011262E" w:rsidP="009577D3">
      <w:pPr>
        <w:pStyle w:val="Heading2"/>
        <w:keepNext/>
        <w:keepLines/>
        <w:numPr>
          <w:ilvl w:val="1"/>
          <w:numId w:val="23"/>
        </w:numPr>
      </w:pPr>
      <w:bookmarkStart w:id="186" w:name="_Toc519171491"/>
      <w:bookmarkStart w:id="187" w:name="_Toc523154951"/>
      <w:bookmarkStart w:id="188" w:name="_Toc527633052"/>
      <w:r>
        <w:t>Introduction</w:t>
      </w:r>
      <w:bookmarkEnd w:id="186"/>
      <w:bookmarkEnd w:id="187"/>
      <w:bookmarkEnd w:id="188"/>
    </w:p>
    <w:p w14:paraId="37A27702" w14:textId="77777777" w:rsidR="0011262E" w:rsidRDefault="0011262E" w:rsidP="009577D3">
      <w:pPr>
        <w:keepNext/>
        <w:keepLines/>
        <w:spacing w:before="200" w:after="200" w:line="276" w:lineRule="auto"/>
      </w:pPr>
      <w:r w:rsidRPr="002D6D70">
        <w:t xml:space="preserve">‘Security of payment’ refers to </w:t>
      </w:r>
      <w:r>
        <w:t xml:space="preserve">a system that entitles </w:t>
      </w:r>
      <w:r w:rsidRPr="002D6D70">
        <w:t xml:space="preserve">contractors, </w:t>
      </w:r>
      <w:r>
        <w:t>subcontractors, consultants and</w:t>
      </w:r>
      <w:r w:rsidRPr="002D6D70">
        <w:t xml:space="preserve"> suppliers in the </w:t>
      </w:r>
      <w:r>
        <w:t xml:space="preserve">construction industry </w:t>
      </w:r>
      <w:r w:rsidRPr="002D6D70">
        <w:t xml:space="preserve">contractual chain to </w:t>
      </w:r>
      <w:r>
        <w:t>receive p</w:t>
      </w:r>
      <w:r w:rsidRPr="002D6D70">
        <w:t>rogress payments for construction work undertaken under a construction contract.</w:t>
      </w:r>
      <w:r>
        <w:t xml:space="preserve"> </w:t>
      </w:r>
    </w:p>
    <w:p w14:paraId="6EBC4B89" w14:textId="22AC53B3" w:rsidR="0011262E" w:rsidRDefault="00126F35" w:rsidP="00C76100">
      <w:pPr>
        <w:spacing w:after="200" w:line="276" w:lineRule="auto"/>
      </w:pPr>
      <w:r>
        <w:t>S</w:t>
      </w:r>
      <w:r w:rsidR="0011262E">
        <w:t>tate and territor</w:t>
      </w:r>
      <w:r>
        <w:t>y government</w:t>
      </w:r>
      <w:r w:rsidR="0011262E">
        <w:t xml:space="preserve">s </w:t>
      </w:r>
      <w:r w:rsidR="00E0627E">
        <w:t>are</w:t>
      </w:r>
      <w:r w:rsidR="0011262E">
        <w:t xml:space="preserve"> responsib</w:t>
      </w:r>
      <w:r w:rsidR="00E0627E">
        <w:t>le</w:t>
      </w:r>
      <w:r w:rsidR="0011262E">
        <w:t xml:space="preserve"> for regulating payment arrangements in the building industry</w:t>
      </w:r>
      <w:r w:rsidR="00F91CAA">
        <w:t xml:space="preserve">. </w:t>
      </w:r>
      <w:r w:rsidR="00E0627E">
        <w:t>Between 1999 and 2009 all</w:t>
      </w:r>
      <w:r w:rsidR="00E9213E" w:rsidRPr="00EE0A20">
        <w:t xml:space="preserve"> jurisdictions</w:t>
      </w:r>
      <w:r w:rsidR="00E0627E">
        <w:t xml:space="preserve"> </w:t>
      </w:r>
      <w:r w:rsidR="0011262E">
        <w:t xml:space="preserve">enacted specific security of payment legislation </w:t>
      </w:r>
      <w:r w:rsidR="00E0627E">
        <w:t>to address poor payment practices in the construction industry</w:t>
      </w:r>
      <w:r w:rsidR="00F91CAA">
        <w:t xml:space="preserve">. </w:t>
      </w:r>
      <w:r w:rsidR="00E0627E">
        <w:t>These laws all pr</w:t>
      </w:r>
      <w:r w:rsidR="0011262E">
        <w:t>ovide a statutory entitlement t</w:t>
      </w:r>
      <w:r w:rsidR="00E0627E">
        <w:t xml:space="preserve">o progress payments and a rapid, low-cost </w:t>
      </w:r>
      <w:r w:rsidR="0011262E">
        <w:t>adjudication process where parties dispute payments</w:t>
      </w:r>
      <w:r w:rsidR="00E0627E">
        <w:t xml:space="preserve">, intended to </w:t>
      </w:r>
      <w:r w:rsidR="0011262E">
        <w:t xml:space="preserve">help to preserve the cash flow of small business contractors and subcontractors. </w:t>
      </w:r>
    </w:p>
    <w:p w14:paraId="48AAAF5F" w14:textId="77777777" w:rsidR="0011262E" w:rsidRPr="00C76100" w:rsidRDefault="0011262E" w:rsidP="00316530">
      <w:pPr>
        <w:pStyle w:val="Heading3"/>
      </w:pPr>
      <w:bookmarkStart w:id="189" w:name="_Toc527633053"/>
      <w:r w:rsidRPr="00C76100">
        <w:t>Security of Payments Working Group</w:t>
      </w:r>
      <w:bookmarkEnd w:id="189"/>
    </w:p>
    <w:p w14:paraId="571698DE" w14:textId="3F2B74B3" w:rsidR="0011262E" w:rsidRDefault="00E0627E" w:rsidP="00C76100">
      <w:pPr>
        <w:spacing w:before="200" w:after="200" w:line="276" w:lineRule="auto"/>
      </w:pPr>
      <w:r>
        <w:t>Section</w:t>
      </w:r>
      <w:r w:rsidR="005523B8">
        <w:t> </w:t>
      </w:r>
      <w:r>
        <w:t>32A of t</w:t>
      </w:r>
      <w:r w:rsidR="0011262E">
        <w:t>he BCIIP</w:t>
      </w:r>
      <w:r w:rsidR="005523B8">
        <w:t> </w:t>
      </w:r>
      <w:r w:rsidR="0011262E">
        <w:t xml:space="preserve">Act </w:t>
      </w:r>
      <w:r>
        <w:t>establishes</w:t>
      </w:r>
      <w:r w:rsidR="0011262E">
        <w:t xml:space="preserve"> a Security of Payment</w:t>
      </w:r>
      <w:r w:rsidR="00380906">
        <w:t>s</w:t>
      </w:r>
      <w:r w:rsidR="0011262E">
        <w:t xml:space="preserve"> Working Group to advise the ABC</w:t>
      </w:r>
      <w:r w:rsidR="00E9213E" w:rsidRPr="00EE0A20">
        <w:t> </w:t>
      </w:r>
      <w:r w:rsidR="0011262E">
        <w:t>Commissioner and monitor the ABCC’s effectiveness in exercising its powers in relation to security of payment. This was not a requirement of the FWBI</w:t>
      </w:r>
      <w:r w:rsidR="005523B8">
        <w:t> </w:t>
      </w:r>
      <w:r w:rsidR="0011262E">
        <w:t>Act.</w:t>
      </w:r>
    </w:p>
    <w:p w14:paraId="18F34FD2" w14:textId="77777777" w:rsidR="0011262E" w:rsidRDefault="0011262E" w:rsidP="00C76100">
      <w:pPr>
        <w:spacing w:after="200" w:line="276" w:lineRule="auto"/>
      </w:pPr>
      <w:r>
        <w:t>The Security of Payments Working Group has responsibilities to:</w:t>
      </w:r>
    </w:p>
    <w:p w14:paraId="4949F697" w14:textId="79B3FF53" w:rsidR="0011262E" w:rsidRDefault="0011262E" w:rsidP="004F647D">
      <w:pPr>
        <w:pStyle w:val="ListBullet"/>
        <w:numPr>
          <w:ilvl w:val="0"/>
          <w:numId w:val="9"/>
        </w:numPr>
        <w:ind w:left="360"/>
      </w:pPr>
      <w:r>
        <w:t xml:space="preserve">monitor the impact of the ABCC’s activities on the conduct and practices of building industry participants in relation to </w:t>
      </w:r>
      <w:r w:rsidR="009B75AF">
        <w:t>the</w:t>
      </w:r>
      <w:r w:rsidR="00BD6E79">
        <w:t xml:space="preserve"> Australian Government</w:t>
      </w:r>
      <w:r>
        <w:t xml:space="preserve"> </w:t>
      </w:r>
      <w:r w:rsidR="009B75AF">
        <w:t>and s</w:t>
      </w:r>
      <w:r>
        <w:t xml:space="preserve">tate and </w:t>
      </w:r>
      <w:r w:rsidR="009B75AF">
        <w:t>t</w:t>
      </w:r>
      <w:r>
        <w:t>erritory governments’ security of payment laws</w:t>
      </w:r>
    </w:p>
    <w:p w14:paraId="3585EDC0" w14:textId="09E561BF" w:rsidR="0011262E" w:rsidRDefault="0011262E" w:rsidP="004F647D">
      <w:pPr>
        <w:pStyle w:val="ListBullet"/>
        <w:numPr>
          <w:ilvl w:val="0"/>
          <w:numId w:val="9"/>
        </w:numPr>
        <w:ind w:left="360"/>
      </w:pPr>
      <w:r>
        <w:t>make recommendations to the ABC</w:t>
      </w:r>
      <w:r w:rsidR="00E9213E" w:rsidRPr="00EE0A20">
        <w:t> </w:t>
      </w:r>
      <w:r>
        <w:t>Commissioner about policies, procedures and programs that could be implemented to improve compliance with security of payment laws</w:t>
      </w:r>
    </w:p>
    <w:p w14:paraId="6DFEB1FE" w14:textId="77777777" w:rsidR="0011262E" w:rsidRDefault="0011262E" w:rsidP="004F647D">
      <w:pPr>
        <w:pStyle w:val="ListBullet"/>
        <w:numPr>
          <w:ilvl w:val="0"/>
          <w:numId w:val="9"/>
        </w:numPr>
        <w:ind w:left="360"/>
      </w:pPr>
      <w:r>
        <w:t>make recommendations to the Minister about any matter the Minister requests the Working Group to consider.</w:t>
      </w:r>
    </w:p>
    <w:p w14:paraId="048F9035" w14:textId="59E444E7" w:rsidR="0011262E" w:rsidRPr="00C76100" w:rsidRDefault="0011262E" w:rsidP="005B385F">
      <w:pPr>
        <w:pStyle w:val="Heading3"/>
        <w:keepNext/>
      </w:pPr>
      <w:bookmarkStart w:id="190" w:name="_Toc527633054"/>
      <w:r w:rsidRPr="00C76100">
        <w:t xml:space="preserve">The </w:t>
      </w:r>
      <w:r w:rsidR="00EA7C53" w:rsidRPr="00C76100">
        <w:t>2016 </w:t>
      </w:r>
      <w:r w:rsidRPr="00C76100">
        <w:t>Code</w:t>
      </w:r>
      <w:r w:rsidR="00BD6E79" w:rsidRPr="00C76100">
        <w:t xml:space="preserve"> </w:t>
      </w:r>
      <w:r w:rsidRPr="00C76100">
        <w:t>– Security of Payment obligations</w:t>
      </w:r>
      <w:bookmarkEnd w:id="190"/>
    </w:p>
    <w:p w14:paraId="129BFC73" w14:textId="4380DB2F" w:rsidR="0011262E" w:rsidRDefault="0011262E" w:rsidP="005B385F">
      <w:pPr>
        <w:keepNext/>
        <w:spacing w:before="200" w:after="200" w:line="276" w:lineRule="auto"/>
        <w:rPr>
          <w:rFonts w:cstheme="minorHAnsi"/>
          <w:color w:val="000000"/>
          <w:szCs w:val="16"/>
        </w:rPr>
      </w:pPr>
      <w:r>
        <w:rPr>
          <w:rFonts w:cstheme="minorHAnsi"/>
          <w:color w:val="000000"/>
          <w:szCs w:val="16"/>
        </w:rPr>
        <w:t>Section</w:t>
      </w:r>
      <w:r w:rsidR="005523B8">
        <w:rPr>
          <w:rFonts w:cstheme="minorHAnsi"/>
          <w:color w:val="000000"/>
          <w:szCs w:val="16"/>
        </w:rPr>
        <w:t> </w:t>
      </w:r>
      <w:r>
        <w:rPr>
          <w:rFonts w:cstheme="minorHAnsi"/>
          <w:color w:val="000000"/>
          <w:szCs w:val="16"/>
        </w:rPr>
        <w:t xml:space="preserve">21 of the </w:t>
      </w:r>
      <w:r w:rsidR="00EA7C53">
        <w:rPr>
          <w:rFonts w:cstheme="minorHAnsi"/>
          <w:color w:val="000000"/>
          <w:szCs w:val="16"/>
        </w:rPr>
        <w:t>2013 </w:t>
      </w:r>
      <w:r>
        <w:rPr>
          <w:rFonts w:cstheme="minorHAnsi"/>
          <w:color w:val="000000"/>
          <w:szCs w:val="16"/>
        </w:rPr>
        <w:t>Code placed specific obligations in relation to compliance with state and territory security of payment laws on those building contractors or building industry participants to which it applied, namely:</w:t>
      </w:r>
    </w:p>
    <w:p w14:paraId="05308E4A" w14:textId="5E1C5B8B" w:rsidR="0011262E" w:rsidRPr="009800AA" w:rsidRDefault="0011262E" w:rsidP="00C76100">
      <w:pPr>
        <w:spacing w:after="200" w:line="276" w:lineRule="auto"/>
        <w:ind w:left="426"/>
        <w:rPr>
          <w:sz w:val="20"/>
        </w:rPr>
      </w:pPr>
      <w:r w:rsidRPr="009800AA">
        <w:rPr>
          <w:sz w:val="20"/>
        </w:rPr>
        <w:t>A building contractor or building industry participant must:</w:t>
      </w:r>
    </w:p>
    <w:p w14:paraId="58406023" w14:textId="77777777" w:rsidR="0011262E" w:rsidRPr="0079636E" w:rsidRDefault="0011262E" w:rsidP="004F647D">
      <w:pPr>
        <w:pStyle w:val="CommentText"/>
        <w:numPr>
          <w:ilvl w:val="0"/>
          <w:numId w:val="8"/>
        </w:numPr>
        <w:spacing w:after="0" w:line="276" w:lineRule="auto"/>
        <w:ind w:left="851"/>
      </w:pPr>
      <w:r w:rsidRPr="0079636E">
        <w:t xml:space="preserve">Comply with all applicable laws and other requirements relating to the security of payments that are due to persons; </w:t>
      </w:r>
    </w:p>
    <w:p w14:paraId="38B4FF60" w14:textId="77777777" w:rsidR="0011262E" w:rsidRPr="0079636E" w:rsidRDefault="0011262E" w:rsidP="004F647D">
      <w:pPr>
        <w:pStyle w:val="CommentText"/>
        <w:numPr>
          <w:ilvl w:val="0"/>
          <w:numId w:val="8"/>
        </w:numPr>
        <w:spacing w:after="0" w:line="276" w:lineRule="auto"/>
        <w:ind w:left="851"/>
      </w:pPr>
      <w:r w:rsidRPr="0079636E">
        <w:t>Ensure that payments made by the contractor or building industry participant are made in a timely manner; and</w:t>
      </w:r>
    </w:p>
    <w:p w14:paraId="12B5C57E" w14:textId="77777777" w:rsidR="0011262E" w:rsidRPr="0079636E" w:rsidRDefault="0011262E" w:rsidP="004F647D">
      <w:pPr>
        <w:pStyle w:val="CommentText"/>
        <w:numPr>
          <w:ilvl w:val="0"/>
          <w:numId w:val="8"/>
        </w:numPr>
        <w:spacing w:after="200" w:line="276" w:lineRule="auto"/>
        <w:ind w:left="851"/>
      </w:pPr>
      <w:r w:rsidRPr="0079636E">
        <w:t>As far as practicable, ensure that disputes about payments are resolved in a reasonable, timely and cooperative way.</w:t>
      </w:r>
    </w:p>
    <w:p w14:paraId="050F88D4" w14:textId="7CD17BC2" w:rsidR="0011262E" w:rsidRDefault="00EA7C53" w:rsidP="009800AA">
      <w:pPr>
        <w:spacing w:after="200" w:line="276" w:lineRule="auto"/>
      </w:pPr>
      <w:r>
        <w:t>The 2016 </w:t>
      </w:r>
      <w:r w:rsidR="0011262E" w:rsidRPr="00117F1F">
        <w:t xml:space="preserve">Code </w:t>
      </w:r>
      <w:r w:rsidR="0011262E">
        <w:t xml:space="preserve">replicates these obligations in </w:t>
      </w:r>
      <w:r w:rsidR="00151A78">
        <w:t>s</w:t>
      </w:r>
      <w:r w:rsidR="00BD6E79">
        <w:t>ubsection</w:t>
      </w:r>
      <w:r w:rsidR="00151A78">
        <w:t> </w:t>
      </w:r>
      <w:r w:rsidR="0011262E">
        <w:t>11</w:t>
      </w:r>
      <w:proofErr w:type="gramStart"/>
      <w:r w:rsidR="0011262E">
        <w:t>D(</w:t>
      </w:r>
      <w:proofErr w:type="gramEnd"/>
      <w:r w:rsidR="0011262E">
        <w:t xml:space="preserve">1) and </w:t>
      </w:r>
      <w:r w:rsidR="00BD6E79">
        <w:t>subsection</w:t>
      </w:r>
      <w:r w:rsidR="00151A78">
        <w:t> </w:t>
      </w:r>
      <w:r w:rsidR="0011262E">
        <w:t>11E and also requires code</w:t>
      </w:r>
      <w:r>
        <w:t>-</w:t>
      </w:r>
      <w:r w:rsidR="0011262E" w:rsidRPr="00117F1F">
        <w:t xml:space="preserve">covered entities </w:t>
      </w:r>
      <w:r w:rsidR="0011262E">
        <w:t>to:</w:t>
      </w:r>
    </w:p>
    <w:p w14:paraId="4000EB35" w14:textId="286F9DC8" w:rsidR="0011262E" w:rsidRDefault="00E9213E" w:rsidP="004F647D">
      <w:pPr>
        <w:pStyle w:val="ListBullet"/>
        <w:numPr>
          <w:ilvl w:val="0"/>
          <w:numId w:val="9"/>
        </w:numPr>
        <w:ind w:left="360"/>
      </w:pPr>
      <w:r w:rsidRPr="00EE0A20">
        <w:lastRenderedPageBreak/>
        <w:t>ensure</w:t>
      </w:r>
      <w:r w:rsidR="0011262E">
        <w:t xml:space="preserve"> that</w:t>
      </w:r>
      <w:r w:rsidR="0011262E" w:rsidRPr="00117F1F">
        <w:t xml:space="preserve"> payments </w:t>
      </w:r>
      <w:r w:rsidR="0011262E">
        <w:t xml:space="preserve">that </w:t>
      </w:r>
      <w:r w:rsidR="00EA7C53">
        <w:t>are due and payable by the code-</w:t>
      </w:r>
      <w:r w:rsidR="0011262E">
        <w:t>covered entity are not unreasonably withheld</w:t>
      </w:r>
    </w:p>
    <w:p w14:paraId="7E4C20F3" w14:textId="770FCCC6" w:rsidR="0011262E" w:rsidRPr="00634EAF" w:rsidRDefault="00E9213E" w:rsidP="004F647D">
      <w:pPr>
        <w:pStyle w:val="ListBullet"/>
        <w:numPr>
          <w:ilvl w:val="0"/>
          <w:numId w:val="9"/>
        </w:numPr>
        <w:ind w:left="360"/>
      </w:pPr>
      <w:r w:rsidRPr="00EE0A20">
        <w:t>have</w:t>
      </w:r>
      <w:r w:rsidR="0011262E" w:rsidRPr="00634EAF">
        <w:t xml:space="preserve"> a documented dispute settlement process that details how disputes about payments to </w:t>
      </w:r>
      <w:r w:rsidR="0011262E" w:rsidRPr="00CA5C0A">
        <w:t>subcontractors will be resolved, including a referral process to an i</w:t>
      </w:r>
      <w:r w:rsidR="0011262E" w:rsidRPr="00B70B68">
        <w:t>ndependent adjudi</w:t>
      </w:r>
      <w:r w:rsidR="0011262E" w:rsidRPr="00634EAF">
        <w:t xml:space="preserve">cator for </w:t>
      </w:r>
      <w:r w:rsidR="0011262E" w:rsidRPr="00117F1F">
        <w:t>determination</w:t>
      </w:r>
      <w:r w:rsidR="0011262E" w:rsidRPr="00634EAF">
        <w:t xml:space="preserve"> if the dispute cannot be resolved between the parties, and to </w:t>
      </w:r>
      <w:r w:rsidR="0011262E">
        <w:t>c</w:t>
      </w:r>
      <w:r w:rsidR="0011262E" w:rsidRPr="00634EAF">
        <w:t>omply with that process and any determination of the independent adjudicator</w:t>
      </w:r>
    </w:p>
    <w:p w14:paraId="4998FC2B" w14:textId="706296F5" w:rsidR="0011262E" w:rsidRDefault="00E9213E" w:rsidP="004F647D">
      <w:pPr>
        <w:pStyle w:val="ListBullet"/>
        <w:numPr>
          <w:ilvl w:val="0"/>
          <w:numId w:val="9"/>
        </w:numPr>
        <w:ind w:left="360"/>
      </w:pPr>
      <w:r w:rsidRPr="00EE0A20">
        <w:t>comply</w:t>
      </w:r>
      <w:r w:rsidR="0011262E">
        <w:t xml:space="preserve"> with any requirements relating to the operation of any project bank account or trust arr</w:t>
      </w:r>
      <w:r w:rsidR="00EA7C53">
        <w:t>angement that apply to the code-</w:t>
      </w:r>
      <w:r w:rsidR="0011262E">
        <w:t>covered entity in relation</w:t>
      </w:r>
      <w:r w:rsidR="0011262E" w:rsidRPr="00117F1F">
        <w:t xml:space="preserve"> to </w:t>
      </w:r>
      <w:r w:rsidR="0011262E">
        <w:t>Commonwealth</w:t>
      </w:r>
      <w:r w:rsidR="009B75AF">
        <w:t>-</w:t>
      </w:r>
      <w:r w:rsidR="0011262E">
        <w:t>funded building work</w:t>
      </w:r>
    </w:p>
    <w:p w14:paraId="0D0EDB0F" w14:textId="0014E87A" w:rsidR="0011262E" w:rsidRDefault="00E9213E" w:rsidP="004F647D">
      <w:pPr>
        <w:pStyle w:val="ListBullet"/>
        <w:numPr>
          <w:ilvl w:val="0"/>
          <w:numId w:val="9"/>
        </w:numPr>
        <w:ind w:left="360"/>
      </w:pPr>
      <w:r w:rsidRPr="00EE0A20">
        <w:t>report</w:t>
      </w:r>
      <w:r w:rsidR="0011262E">
        <w:t xml:space="preserve"> any disputed or delayed progress payment to the ABC</w:t>
      </w:r>
      <w:r w:rsidRPr="00EE0A20">
        <w:t> </w:t>
      </w:r>
      <w:r w:rsidR="0011262E">
        <w:t>Commissioner and the relevant funding entity as soon as practicable after the date on which the payment falls due.</w:t>
      </w:r>
    </w:p>
    <w:p w14:paraId="47CBB146" w14:textId="00CF884B" w:rsidR="0011262E" w:rsidRDefault="0011262E" w:rsidP="009800AA">
      <w:pPr>
        <w:spacing w:after="200" w:line="276" w:lineRule="auto"/>
        <w:rPr>
          <w:rFonts w:cstheme="minorHAnsi"/>
          <w:color w:val="000000"/>
          <w:szCs w:val="16"/>
        </w:rPr>
      </w:pPr>
      <w:r>
        <w:rPr>
          <w:rFonts w:cstheme="minorHAnsi"/>
          <w:color w:val="000000"/>
          <w:szCs w:val="16"/>
        </w:rPr>
        <w:t>Subsections</w:t>
      </w:r>
      <w:r w:rsidR="0099154A">
        <w:rPr>
          <w:rFonts w:cstheme="minorHAnsi"/>
          <w:color w:val="000000"/>
          <w:szCs w:val="16"/>
        </w:rPr>
        <w:t> </w:t>
      </w:r>
      <w:r>
        <w:rPr>
          <w:rFonts w:cstheme="minorHAnsi"/>
          <w:color w:val="000000"/>
          <w:szCs w:val="16"/>
        </w:rPr>
        <w:t>11</w:t>
      </w:r>
      <w:proofErr w:type="gramStart"/>
      <w:r w:rsidR="00EA7C53">
        <w:rPr>
          <w:rFonts w:cstheme="minorHAnsi"/>
          <w:color w:val="000000"/>
          <w:szCs w:val="16"/>
        </w:rPr>
        <w:t>D(</w:t>
      </w:r>
      <w:proofErr w:type="gramEnd"/>
      <w:r w:rsidR="00EA7C53">
        <w:rPr>
          <w:rFonts w:cstheme="minorHAnsi"/>
          <w:color w:val="000000"/>
          <w:szCs w:val="16"/>
        </w:rPr>
        <w:t>2)</w:t>
      </w:r>
      <w:r w:rsidR="0099154A">
        <w:rPr>
          <w:rFonts w:cstheme="minorHAnsi"/>
          <w:color w:val="000000"/>
          <w:szCs w:val="16"/>
        </w:rPr>
        <w:t> </w:t>
      </w:r>
      <w:r w:rsidR="00EA7C53">
        <w:rPr>
          <w:rFonts w:cstheme="minorHAnsi"/>
          <w:color w:val="000000"/>
          <w:szCs w:val="16"/>
        </w:rPr>
        <w:t>and</w:t>
      </w:r>
      <w:r w:rsidR="0099154A">
        <w:rPr>
          <w:rFonts w:cstheme="minorHAnsi"/>
          <w:color w:val="000000"/>
          <w:szCs w:val="16"/>
        </w:rPr>
        <w:t> </w:t>
      </w:r>
      <w:r w:rsidR="00EA7C53">
        <w:rPr>
          <w:rFonts w:cstheme="minorHAnsi"/>
          <w:color w:val="000000"/>
          <w:szCs w:val="16"/>
        </w:rPr>
        <w:t>(3) also prohibit code-</w:t>
      </w:r>
      <w:r>
        <w:rPr>
          <w:rFonts w:cstheme="minorHAnsi"/>
          <w:color w:val="000000"/>
          <w:szCs w:val="16"/>
        </w:rPr>
        <w:t>covered entities from engaging in illegal or fraudulent phoenix activities to avoid making payments that are due, and from taking action</w:t>
      </w:r>
      <w:r w:rsidRPr="00117F1F">
        <w:rPr>
          <w:color w:val="000000"/>
        </w:rPr>
        <w:t xml:space="preserve"> with </w:t>
      </w:r>
      <w:r>
        <w:rPr>
          <w:rFonts w:cstheme="minorHAnsi"/>
          <w:color w:val="000000"/>
          <w:szCs w:val="16"/>
        </w:rPr>
        <w:t xml:space="preserve">intent to coerce a contractor, subcontractor or consultant, or apply undue influence or pressure on them in relation to the exercise of their rights under </w:t>
      </w:r>
      <w:r w:rsidRPr="00117F1F">
        <w:rPr>
          <w:color w:val="000000"/>
        </w:rPr>
        <w:t>security of payment laws</w:t>
      </w:r>
      <w:r w:rsidR="009800AA">
        <w:rPr>
          <w:rFonts w:cstheme="minorHAnsi"/>
          <w:color w:val="000000"/>
          <w:szCs w:val="16"/>
        </w:rPr>
        <w:t>.</w:t>
      </w:r>
    </w:p>
    <w:p w14:paraId="3A0B11BF" w14:textId="0B262CD2" w:rsidR="0011262E" w:rsidRDefault="0011262E" w:rsidP="009800AA">
      <w:pPr>
        <w:spacing w:after="200" w:line="276" w:lineRule="auto"/>
        <w:rPr>
          <w:color w:val="000000"/>
        </w:rPr>
      </w:pPr>
      <w:r>
        <w:rPr>
          <w:rFonts w:cstheme="minorHAnsi"/>
          <w:color w:val="000000"/>
          <w:szCs w:val="16"/>
        </w:rPr>
        <w:t>If the ABC</w:t>
      </w:r>
      <w:r w:rsidR="00E9213E" w:rsidRPr="00EE0A20">
        <w:rPr>
          <w:rFonts w:cstheme="minorHAnsi"/>
          <w:color w:val="000000"/>
          <w:szCs w:val="16"/>
        </w:rPr>
        <w:t> </w:t>
      </w:r>
      <w:r>
        <w:rPr>
          <w:rFonts w:cstheme="minorHAnsi"/>
          <w:color w:val="000000"/>
          <w:szCs w:val="16"/>
        </w:rPr>
        <w:t>Commissioner is satisfied that</w:t>
      </w:r>
      <w:r w:rsidRPr="00117F1F">
        <w:rPr>
          <w:color w:val="000000"/>
        </w:rPr>
        <w:t xml:space="preserve"> a </w:t>
      </w:r>
      <w:r>
        <w:rPr>
          <w:rFonts w:cstheme="minorHAnsi"/>
          <w:color w:val="000000"/>
          <w:szCs w:val="16"/>
        </w:rPr>
        <w:t>code</w:t>
      </w:r>
      <w:r w:rsidR="00E0627E">
        <w:rPr>
          <w:rFonts w:cstheme="minorHAnsi"/>
          <w:color w:val="000000"/>
          <w:szCs w:val="16"/>
        </w:rPr>
        <w:t>-</w:t>
      </w:r>
      <w:r>
        <w:rPr>
          <w:rFonts w:cstheme="minorHAnsi"/>
          <w:color w:val="000000"/>
          <w:szCs w:val="16"/>
        </w:rPr>
        <w:t>covered entity has</w:t>
      </w:r>
      <w:r w:rsidRPr="00680157">
        <w:rPr>
          <w:rFonts w:cstheme="minorHAnsi"/>
          <w:color w:val="000000"/>
          <w:szCs w:val="16"/>
        </w:rPr>
        <w:t xml:space="preserve"> fail</w:t>
      </w:r>
      <w:r>
        <w:rPr>
          <w:rFonts w:cstheme="minorHAnsi"/>
          <w:color w:val="000000"/>
          <w:szCs w:val="16"/>
        </w:rPr>
        <w:t>ed</w:t>
      </w:r>
      <w:r w:rsidRPr="00680157">
        <w:rPr>
          <w:rFonts w:cstheme="minorHAnsi"/>
          <w:color w:val="000000"/>
          <w:szCs w:val="16"/>
        </w:rPr>
        <w:t xml:space="preserve"> to comply with </w:t>
      </w:r>
      <w:r w:rsidR="00770B93">
        <w:rPr>
          <w:rFonts w:cstheme="minorHAnsi"/>
          <w:color w:val="000000"/>
          <w:szCs w:val="16"/>
        </w:rPr>
        <w:t>s</w:t>
      </w:r>
      <w:r>
        <w:rPr>
          <w:rFonts w:cstheme="minorHAnsi"/>
          <w:color w:val="000000"/>
          <w:szCs w:val="16"/>
        </w:rPr>
        <w:t xml:space="preserve">tate and </w:t>
      </w:r>
      <w:r w:rsidR="00770B93">
        <w:rPr>
          <w:rFonts w:cstheme="minorHAnsi"/>
          <w:color w:val="000000"/>
          <w:szCs w:val="16"/>
        </w:rPr>
        <w:t>t</w:t>
      </w:r>
      <w:r>
        <w:rPr>
          <w:rFonts w:cstheme="minorHAnsi"/>
          <w:color w:val="000000"/>
          <w:szCs w:val="16"/>
        </w:rPr>
        <w:t xml:space="preserve">erritory </w:t>
      </w:r>
      <w:r w:rsidRPr="00680157">
        <w:rPr>
          <w:rFonts w:cstheme="minorHAnsi"/>
          <w:color w:val="000000"/>
          <w:szCs w:val="16"/>
        </w:rPr>
        <w:t xml:space="preserve">security of payment laws </w:t>
      </w:r>
      <w:r>
        <w:rPr>
          <w:rFonts w:cstheme="minorHAnsi"/>
          <w:color w:val="000000"/>
          <w:szCs w:val="16"/>
        </w:rPr>
        <w:t>or with</w:t>
      </w:r>
      <w:r w:rsidRPr="00117F1F">
        <w:rPr>
          <w:color w:val="000000"/>
        </w:rPr>
        <w:t xml:space="preserve"> the </w:t>
      </w:r>
      <w:r>
        <w:rPr>
          <w:rFonts w:cstheme="minorHAnsi"/>
          <w:color w:val="000000"/>
          <w:szCs w:val="16"/>
        </w:rPr>
        <w:t xml:space="preserve">additional requirements in </w:t>
      </w:r>
      <w:r w:rsidR="00E9213E" w:rsidRPr="00EE0A20">
        <w:rPr>
          <w:rFonts w:cstheme="minorHAnsi"/>
          <w:color w:val="000000"/>
          <w:szCs w:val="16"/>
        </w:rPr>
        <w:t>section 11D</w:t>
      </w:r>
      <w:r>
        <w:rPr>
          <w:rFonts w:cstheme="minorHAnsi"/>
          <w:color w:val="000000"/>
          <w:szCs w:val="16"/>
        </w:rPr>
        <w:t xml:space="preserve"> and </w:t>
      </w:r>
      <w:r w:rsidR="00E9213E" w:rsidRPr="00EE0A20">
        <w:rPr>
          <w:rFonts w:cstheme="minorHAnsi"/>
          <w:color w:val="000000"/>
          <w:szCs w:val="16"/>
        </w:rPr>
        <w:t>section 11E</w:t>
      </w:r>
      <w:r>
        <w:rPr>
          <w:rFonts w:cstheme="minorHAnsi"/>
          <w:color w:val="000000"/>
          <w:szCs w:val="16"/>
        </w:rPr>
        <w:t>, he or she may refer the matter to the Minister and may include recommendations as to the imposition of sanctions with that reference</w:t>
      </w:r>
      <w:r w:rsidR="00F91CAA">
        <w:rPr>
          <w:rFonts w:cstheme="minorHAnsi"/>
          <w:color w:val="000000"/>
          <w:szCs w:val="16"/>
        </w:rPr>
        <w:t xml:space="preserve">. </w:t>
      </w:r>
    </w:p>
    <w:p w14:paraId="0D8ADA0F" w14:textId="66075089" w:rsidR="0011262E" w:rsidRDefault="0011262E" w:rsidP="009800AA">
      <w:pPr>
        <w:spacing w:after="200" w:line="276" w:lineRule="auto"/>
      </w:pPr>
      <w:r>
        <w:t>The ABCC</w:t>
      </w:r>
      <w:r w:rsidR="00E0627E">
        <w:t xml:space="preserve">’s </w:t>
      </w:r>
      <w:r>
        <w:t>2016</w:t>
      </w:r>
      <w:r w:rsidR="00076AF2">
        <w:noBreakHyphen/>
      </w:r>
      <w:r>
        <w:t xml:space="preserve">17 Annual Report indicates that its approach to dealing with security of payments under the </w:t>
      </w:r>
      <w:r w:rsidR="00EA7C53">
        <w:t>2016 </w:t>
      </w:r>
      <w:r>
        <w:t xml:space="preserve">Code was developed following extensive consultation with the responsible </w:t>
      </w:r>
      <w:r w:rsidR="00770B93">
        <w:t>s</w:t>
      </w:r>
      <w:r>
        <w:t xml:space="preserve">tate and </w:t>
      </w:r>
      <w:r w:rsidR="00770B93">
        <w:t>t</w:t>
      </w:r>
      <w:r>
        <w:t>erritory government agencies. The ABCC has also been in regular dialogue with Mr</w:t>
      </w:r>
      <w:r w:rsidR="00E9213E" w:rsidRPr="00EE0A20">
        <w:t> </w:t>
      </w:r>
      <w:r>
        <w:t>John Murray</w:t>
      </w:r>
      <w:r w:rsidR="00E9213E" w:rsidRPr="00EE0A20">
        <w:t> </w:t>
      </w:r>
      <w:r>
        <w:t xml:space="preserve">AM, who recently completed a review of the </w:t>
      </w:r>
      <w:r w:rsidR="00770B93">
        <w:t>s</w:t>
      </w:r>
      <w:r>
        <w:t xml:space="preserve">tate and </w:t>
      </w:r>
      <w:r w:rsidR="00770B93">
        <w:t>t</w:t>
      </w:r>
      <w:r>
        <w:t>erritory security of payments laws in the building and construction industry.</w:t>
      </w:r>
    </w:p>
    <w:p w14:paraId="70E93C22" w14:textId="75685EDD" w:rsidR="0011262E" w:rsidRDefault="0011262E" w:rsidP="009800AA">
      <w:pPr>
        <w:spacing w:after="200" w:line="276" w:lineRule="auto"/>
      </w:pPr>
      <w:r>
        <w:t>The ABC</w:t>
      </w:r>
      <w:r w:rsidR="00E9213E" w:rsidRPr="00EE0A20">
        <w:t> </w:t>
      </w:r>
      <w:r>
        <w:t>Commissioner has advised the review that the Security of Payments Working Group is an important ABCC priority and that the ABCC has been ‘</w:t>
      </w:r>
      <w:r w:rsidRPr="00117F1F">
        <w:t xml:space="preserve">greatly assisted by the input and feedback of all members of the working </w:t>
      </w:r>
      <w:r w:rsidRPr="00680157">
        <w:t>party</w:t>
      </w:r>
      <w:r>
        <w:t xml:space="preserve">’. </w:t>
      </w:r>
      <w:r w:rsidR="00F21A3F">
        <w:t xml:space="preserve">Following consultation with </w:t>
      </w:r>
      <w:r w:rsidR="000F0887">
        <w:t>t</w:t>
      </w:r>
      <w:r>
        <w:t xml:space="preserve">he Working Group </w:t>
      </w:r>
      <w:r w:rsidR="000F0887">
        <w:t xml:space="preserve">the ABCC </w:t>
      </w:r>
      <w:r w:rsidR="006918E5">
        <w:t xml:space="preserve">launched </w:t>
      </w:r>
      <w:r>
        <w:t>an education campaign</w:t>
      </w:r>
      <w:r w:rsidR="00F21A3F" w:rsidRPr="00F21A3F">
        <w:t xml:space="preserve"> </w:t>
      </w:r>
      <w:r w:rsidR="00F21A3F">
        <w:t>in July 2018</w:t>
      </w:r>
      <w:r w:rsidR="00E9213E" w:rsidRPr="00EE0A20">
        <w:t>,</w:t>
      </w:r>
      <w:r w:rsidR="003F4BEA">
        <w:rPr>
          <w:rStyle w:val="FootnoteReference"/>
        </w:rPr>
        <w:footnoteReference w:id="81"/>
      </w:r>
      <w:r>
        <w:t xml:space="preserve"> which seek</w:t>
      </w:r>
      <w:r w:rsidR="00F21A3F">
        <w:t>s</w:t>
      </w:r>
      <w:r>
        <w:t xml:space="preserve"> to increase the current, relatively low level of awareness among industry participants of their rights under </w:t>
      </w:r>
      <w:r w:rsidR="00770B93">
        <w:t>s</w:t>
      </w:r>
      <w:r>
        <w:t xml:space="preserve">tate and </w:t>
      </w:r>
      <w:r w:rsidR="00770B93">
        <w:t>t</w:t>
      </w:r>
      <w:r>
        <w:t>erritory security of payments laws and the specific means of redress available to them.</w:t>
      </w:r>
      <w:r>
        <w:rPr>
          <w:rStyle w:val="FootnoteReference"/>
        </w:rPr>
        <w:footnoteReference w:id="82"/>
      </w:r>
    </w:p>
    <w:p w14:paraId="3EB4C77B" w14:textId="5C9CC8B7" w:rsidR="0011262E" w:rsidRDefault="0011262E" w:rsidP="009800AA">
      <w:pPr>
        <w:spacing w:after="200" w:line="276" w:lineRule="auto"/>
      </w:pPr>
      <w:r>
        <w:t>Data provided by the ABCC</w:t>
      </w:r>
      <w:r>
        <w:rPr>
          <w:rStyle w:val="FootnoteReference"/>
        </w:rPr>
        <w:footnoteReference w:id="83"/>
      </w:r>
      <w:r>
        <w:t xml:space="preserve"> indicates that it received a total of 43 enquiries and notifications related to security of payment matters in the first half of 2017</w:t>
      </w:r>
      <w:r w:rsidR="00076AF2">
        <w:noBreakHyphen/>
      </w:r>
      <w:r>
        <w:t>18. This represented only 0.</w:t>
      </w:r>
      <w:r w:rsidR="00514F72">
        <w:t>8 </w:t>
      </w:r>
      <w:r>
        <w:t>per</w:t>
      </w:r>
      <w:r w:rsidR="00514F72">
        <w:t> </w:t>
      </w:r>
      <w:r>
        <w:t>cent of the 2</w:t>
      </w:r>
      <w:r w:rsidR="00E0627E">
        <w:t>,</w:t>
      </w:r>
      <w:r>
        <w:t xml:space="preserve">901 </w:t>
      </w:r>
      <w:r w:rsidR="00EA7C53">
        <w:t>c</w:t>
      </w:r>
      <w:r>
        <w:t xml:space="preserve">ode-related enquiries received during this period. However, given the relatively recent </w:t>
      </w:r>
      <w:r>
        <w:lastRenderedPageBreak/>
        <w:t>addition of the requirement that code-covered entities notify funding entities and the ABCC of late payments (even prior to undertaking any action</w:t>
      </w:r>
      <w:r w:rsidR="00E0627E">
        <w:t xml:space="preserve"> or </w:t>
      </w:r>
      <w:r>
        <w:t xml:space="preserve">receiving an adjudication for late payment under </w:t>
      </w:r>
      <w:r w:rsidR="00770B93">
        <w:t>s</w:t>
      </w:r>
      <w:r>
        <w:t xml:space="preserve">tate and </w:t>
      </w:r>
      <w:r w:rsidR="00770B93">
        <w:t>t</w:t>
      </w:r>
      <w:r>
        <w:t>erritory legislation) this proportion is likely to increase in the future.</w:t>
      </w:r>
    </w:p>
    <w:p w14:paraId="47D538A9" w14:textId="67DE3E29" w:rsidR="0011262E" w:rsidRPr="002665D8" w:rsidRDefault="00CB412C" w:rsidP="004F647D">
      <w:pPr>
        <w:pStyle w:val="Heading2"/>
        <w:numPr>
          <w:ilvl w:val="1"/>
          <w:numId w:val="23"/>
        </w:numPr>
      </w:pPr>
      <w:bookmarkStart w:id="191" w:name="_Toc519171492"/>
      <w:bookmarkStart w:id="192" w:name="_Toc523154952"/>
      <w:bookmarkStart w:id="193" w:name="_Toc527633055"/>
      <w:r>
        <w:t>Stakeholder views</w:t>
      </w:r>
      <w:bookmarkEnd w:id="191"/>
      <w:bookmarkEnd w:id="192"/>
      <w:bookmarkEnd w:id="193"/>
    </w:p>
    <w:p w14:paraId="7ED5A107" w14:textId="54E954AC" w:rsidR="0079636E" w:rsidRPr="00E91971" w:rsidRDefault="0011262E" w:rsidP="00E91971">
      <w:r w:rsidRPr="00E91971">
        <w:t>Three submissions addressed security of payments issues. The most extensive discussion is contained in the MBA submission</w:t>
      </w:r>
      <w:r w:rsidR="00F91CAA" w:rsidRPr="00E91971">
        <w:t xml:space="preserve">. </w:t>
      </w:r>
      <w:r w:rsidRPr="00E91971">
        <w:t>The MBA’s general view is that many of the additional functions conferred upon the ABCC by the BCIIP</w:t>
      </w:r>
      <w:r w:rsidR="005523B8" w:rsidRPr="00E91971">
        <w:t> </w:t>
      </w:r>
      <w:r w:rsidRPr="00E91971">
        <w:t>Act, including security of payments</w:t>
      </w:r>
      <w:r w:rsidR="00E9213E" w:rsidRPr="00E91971">
        <w:t>,</w:t>
      </w:r>
      <w:r w:rsidR="003F4BEA" w:rsidRPr="00CF01E4">
        <w:rPr>
          <w:vertAlign w:val="superscript"/>
        </w:rPr>
        <w:footnoteReference w:id="84"/>
      </w:r>
      <w:r w:rsidRPr="00E91971">
        <w:t xml:space="preserve"> </w:t>
      </w:r>
      <w:r w:rsidR="00B4424D" w:rsidRPr="00E91971">
        <w:t>should</w:t>
      </w:r>
      <w:r w:rsidRPr="00E91971">
        <w:t xml:space="preserve"> be reconsidered, </w:t>
      </w:r>
      <w:r w:rsidR="00B4424D" w:rsidRPr="00E91971">
        <w:t>as</w:t>
      </w:r>
      <w:r w:rsidRPr="00E91971">
        <w:t xml:space="preserve"> they could detract from the ABCC’s ability to carry out what </w:t>
      </w:r>
      <w:r w:rsidR="00514F72" w:rsidRPr="00E91971">
        <w:t xml:space="preserve">the </w:t>
      </w:r>
      <w:r w:rsidRPr="00E91971">
        <w:t>MBA sees as its core role. The submission states:</w:t>
      </w:r>
    </w:p>
    <w:p w14:paraId="67E9C116" w14:textId="5BDDA468" w:rsidR="0011262E" w:rsidRPr="00117F1F" w:rsidRDefault="0011262E" w:rsidP="009800AA">
      <w:pPr>
        <w:spacing w:after="200" w:line="276" w:lineRule="auto"/>
        <w:ind w:left="426"/>
        <w:rPr>
          <w:color w:val="000000"/>
        </w:rPr>
      </w:pPr>
      <w:r w:rsidRPr="0079636E">
        <w:rPr>
          <w:color w:val="000000"/>
          <w:sz w:val="20"/>
        </w:rPr>
        <w:t>It follows that the remaining additional policy outcomes sought via amendments made to the Act and 2016</w:t>
      </w:r>
      <w:r w:rsidR="00AC328B" w:rsidRPr="0079636E">
        <w:rPr>
          <w:color w:val="000000"/>
          <w:sz w:val="20"/>
        </w:rPr>
        <w:t> </w:t>
      </w:r>
      <w:r w:rsidRPr="0079636E">
        <w:rPr>
          <w:color w:val="000000"/>
          <w:sz w:val="20"/>
        </w:rPr>
        <w:t>Code pertaining to any matter other than workplace industrial or safety issues should be actively reconsidered. These include the functions that relate to (a) security of payment laws, (b) use of non-citizen labour and (c) building regulation (as mentioned above).</w:t>
      </w:r>
    </w:p>
    <w:p w14:paraId="044D74D7" w14:textId="717BFCF9" w:rsidR="0011262E" w:rsidRPr="00CF01E4" w:rsidRDefault="00514F72" w:rsidP="00CF01E4">
      <w:r w:rsidRPr="00CF01E4">
        <w:t xml:space="preserve">The </w:t>
      </w:r>
      <w:r w:rsidR="0011262E" w:rsidRPr="00CF01E4">
        <w:t>MBA states that, while these issues are important, they can be more effectively addressed in contexts other than the BCIIP</w:t>
      </w:r>
      <w:r w:rsidR="005523B8" w:rsidRPr="00CF01E4">
        <w:t> </w:t>
      </w:r>
      <w:r w:rsidR="0011262E" w:rsidRPr="00CF01E4">
        <w:t>Act.</w:t>
      </w:r>
      <w:r w:rsidR="00B25D7D" w:rsidRPr="00CF01E4">
        <w:t xml:space="preserve"> </w:t>
      </w:r>
      <w:r w:rsidR="0011262E" w:rsidRPr="00CF01E4">
        <w:t xml:space="preserve">The submission highlights the fact that all eight </w:t>
      </w:r>
      <w:r w:rsidR="00770B93" w:rsidRPr="00CF01E4">
        <w:t>s</w:t>
      </w:r>
      <w:r w:rsidR="0011262E" w:rsidRPr="00CF01E4">
        <w:t xml:space="preserve">tates and </w:t>
      </w:r>
      <w:r w:rsidR="00770B93" w:rsidRPr="00CF01E4">
        <w:t>t</w:t>
      </w:r>
      <w:r w:rsidR="0011262E" w:rsidRPr="00CF01E4">
        <w:t>erritories adopted security of payments legislation between 1999 and 2009 and that the major elements of these laws are common across all jurisdictions</w:t>
      </w:r>
      <w:r w:rsidR="00F91CAA" w:rsidRPr="00CF01E4">
        <w:t xml:space="preserve">. </w:t>
      </w:r>
      <w:r w:rsidR="0011262E" w:rsidRPr="00CF01E4">
        <w:t>These include a right to progress payments, a right to interest on late payments, a right to suspend work in cases of non-payment and rapid interim adjudication of disputed claims by an independent adjudicator.</w:t>
      </w:r>
    </w:p>
    <w:p w14:paraId="40B95994" w14:textId="17FC172D" w:rsidR="0011262E" w:rsidRPr="00CF01E4" w:rsidRDefault="0011262E" w:rsidP="00CF01E4">
      <w:r w:rsidRPr="00CF01E4">
        <w:t xml:space="preserve">Despite this substantial degree of commonality, </w:t>
      </w:r>
      <w:r w:rsidR="00514F72" w:rsidRPr="00CF01E4">
        <w:t xml:space="preserve">the </w:t>
      </w:r>
      <w:r w:rsidRPr="00CF01E4">
        <w:t xml:space="preserve">MBA argues that there are important differences between the state and territory laws </w:t>
      </w:r>
      <w:r w:rsidR="00B4424D" w:rsidRPr="00CF01E4">
        <w:t>that</w:t>
      </w:r>
      <w:r w:rsidRPr="00CF01E4">
        <w:t xml:space="preserve"> can cause contractors and subcontractors considerable confusion</w:t>
      </w:r>
      <w:r w:rsidR="00F91CAA" w:rsidRPr="00CF01E4">
        <w:t xml:space="preserve">. </w:t>
      </w:r>
      <w:r w:rsidRPr="00CF01E4">
        <w:t>Moreover, security of payment legislation has been more or less constantly under review, in one or another jurisdiction, over the last 5 to 6 years and, in this context, the utility of a further level of regulation is questionable</w:t>
      </w:r>
      <w:r w:rsidR="00F91CAA" w:rsidRPr="00CF01E4">
        <w:t xml:space="preserve">. </w:t>
      </w:r>
      <w:r w:rsidRPr="00CF01E4">
        <w:t>This posi</w:t>
      </w:r>
      <w:r w:rsidR="00B4424D" w:rsidRPr="00CF01E4">
        <w:t xml:space="preserve">tion reflects </w:t>
      </w:r>
      <w:r w:rsidR="00421775" w:rsidRPr="00CF01E4">
        <w:t xml:space="preserve">the </w:t>
      </w:r>
      <w:r w:rsidR="00B4424D" w:rsidRPr="00CF01E4">
        <w:t xml:space="preserve">MBA’s view that </w:t>
      </w:r>
      <w:r w:rsidRPr="00CF01E4">
        <w:t>the various moves taken to strengthen the regulatory regimes in place have frequently proven ineffective a</w:t>
      </w:r>
      <w:r w:rsidR="009800AA" w:rsidRPr="00CF01E4">
        <w:t>nd possibly counter-productive.</w:t>
      </w:r>
    </w:p>
    <w:p w14:paraId="3707104B" w14:textId="6560BEA7" w:rsidR="0011262E" w:rsidRDefault="0011262E" w:rsidP="009800AA">
      <w:pPr>
        <w:spacing w:after="200" w:line="276" w:lineRule="auto"/>
        <w:rPr>
          <w:rFonts w:cstheme="minorHAnsi"/>
          <w:color w:val="000000"/>
          <w:szCs w:val="24"/>
        </w:rPr>
      </w:pPr>
      <w:r>
        <w:rPr>
          <w:rFonts w:cstheme="minorHAnsi"/>
          <w:bCs/>
          <w:szCs w:val="20"/>
        </w:rPr>
        <w:t xml:space="preserve">Given the context of complex, </w:t>
      </w:r>
      <w:r w:rsidR="00BF016F">
        <w:rPr>
          <w:rFonts w:cstheme="minorHAnsi"/>
          <w:bCs/>
          <w:szCs w:val="20"/>
        </w:rPr>
        <w:t xml:space="preserve">sometimes </w:t>
      </w:r>
      <w:r>
        <w:rPr>
          <w:rFonts w:cstheme="minorHAnsi"/>
          <w:bCs/>
          <w:szCs w:val="20"/>
        </w:rPr>
        <w:t xml:space="preserve">inconsistent and frequently changing legislation, </w:t>
      </w:r>
      <w:r w:rsidR="00922266">
        <w:rPr>
          <w:rFonts w:cstheme="minorHAnsi"/>
          <w:bCs/>
          <w:szCs w:val="20"/>
        </w:rPr>
        <w:t xml:space="preserve">the </w:t>
      </w:r>
      <w:r>
        <w:rPr>
          <w:rFonts w:cstheme="minorHAnsi"/>
          <w:bCs/>
          <w:szCs w:val="20"/>
        </w:rPr>
        <w:t xml:space="preserve">MBA also questions the ABCC’s knowledge and understanding of the relevant issues and its capacity to ensure compliance with the security of payment laws </w:t>
      </w:r>
      <w:r w:rsidR="00B4424D">
        <w:rPr>
          <w:rFonts w:cstheme="minorHAnsi"/>
          <w:bCs/>
          <w:szCs w:val="20"/>
        </w:rPr>
        <w:t>of</w:t>
      </w:r>
      <w:r>
        <w:rPr>
          <w:rFonts w:cstheme="minorHAnsi"/>
          <w:bCs/>
          <w:szCs w:val="20"/>
        </w:rPr>
        <w:t xml:space="preserve"> each jurisdiction. This leads them to question whether the compliance obligations established under the </w:t>
      </w:r>
      <w:r w:rsidR="009C70CC">
        <w:rPr>
          <w:rFonts w:cstheme="minorHAnsi"/>
          <w:bCs/>
          <w:szCs w:val="20"/>
        </w:rPr>
        <w:t>BCIIP</w:t>
      </w:r>
      <w:r w:rsidR="00AC328B">
        <w:rPr>
          <w:rFonts w:cstheme="minorHAnsi"/>
          <w:bCs/>
          <w:szCs w:val="20"/>
        </w:rPr>
        <w:t> </w:t>
      </w:r>
      <w:r>
        <w:rPr>
          <w:rFonts w:cstheme="minorHAnsi"/>
          <w:bCs/>
          <w:szCs w:val="20"/>
        </w:rPr>
        <w:t xml:space="preserve">Act and </w:t>
      </w:r>
      <w:r w:rsidR="00AC328B">
        <w:rPr>
          <w:rFonts w:cstheme="minorHAnsi"/>
          <w:bCs/>
          <w:szCs w:val="20"/>
        </w:rPr>
        <w:t>2016 </w:t>
      </w:r>
      <w:r>
        <w:rPr>
          <w:rFonts w:cstheme="minorHAnsi"/>
          <w:bCs/>
          <w:szCs w:val="20"/>
        </w:rPr>
        <w:t xml:space="preserve">Code </w:t>
      </w:r>
      <w:r w:rsidR="00B4424D">
        <w:rPr>
          <w:rFonts w:cstheme="minorHAnsi"/>
          <w:bCs/>
          <w:szCs w:val="20"/>
        </w:rPr>
        <w:t>will</w:t>
      </w:r>
      <w:r>
        <w:rPr>
          <w:rFonts w:cstheme="minorHAnsi"/>
          <w:bCs/>
          <w:szCs w:val="20"/>
        </w:rPr>
        <w:t xml:space="preserve"> deliver the desired policy outcome or </w:t>
      </w:r>
      <w:r w:rsidRPr="00B27045">
        <w:rPr>
          <w:rFonts w:cstheme="minorHAnsi"/>
          <w:bCs/>
          <w:szCs w:val="20"/>
        </w:rPr>
        <w:t>simply</w:t>
      </w:r>
      <w:r w:rsidRPr="00B27045">
        <w:rPr>
          <w:rFonts w:ascii="Verdana" w:hAnsi="Verdana" w:cs="Verdana"/>
          <w:color w:val="000000"/>
          <w:sz w:val="20"/>
          <w:szCs w:val="20"/>
        </w:rPr>
        <w:t xml:space="preserve"> </w:t>
      </w:r>
      <w:r w:rsidRPr="00B27045">
        <w:rPr>
          <w:rFonts w:cstheme="minorHAnsi"/>
          <w:color w:val="000000"/>
          <w:szCs w:val="20"/>
        </w:rPr>
        <w:t xml:space="preserve">add confusion and cost to an already complex </w:t>
      </w:r>
      <w:r w:rsidR="00BF016F">
        <w:rPr>
          <w:rFonts w:cstheme="minorHAnsi"/>
          <w:color w:val="000000"/>
          <w:szCs w:val="20"/>
        </w:rPr>
        <w:t>regulatory environment</w:t>
      </w:r>
      <w:r w:rsidR="00F91CAA">
        <w:rPr>
          <w:rFonts w:cstheme="minorHAnsi"/>
          <w:bCs/>
          <w:szCs w:val="20"/>
        </w:rPr>
        <w:t xml:space="preserve">. </w:t>
      </w:r>
      <w:r w:rsidR="00076AF2">
        <w:rPr>
          <w:rFonts w:cstheme="minorHAnsi"/>
          <w:bCs/>
          <w:szCs w:val="20"/>
        </w:rPr>
        <w:t xml:space="preserve">The </w:t>
      </w:r>
      <w:r>
        <w:rPr>
          <w:rFonts w:cstheme="minorHAnsi"/>
          <w:bCs/>
          <w:szCs w:val="20"/>
        </w:rPr>
        <w:t xml:space="preserve">MBA </w:t>
      </w:r>
      <w:r w:rsidRPr="00B27045">
        <w:rPr>
          <w:rFonts w:cstheme="minorHAnsi"/>
          <w:color w:val="000000"/>
          <w:szCs w:val="24"/>
        </w:rPr>
        <w:t xml:space="preserve">recommends </w:t>
      </w:r>
      <w:r w:rsidRPr="00B27045">
        <w:rPr>
          <w:szCs w:val="20"/>
        </w:rPr>
        <w:t xml:space="preserve">consideration should be given to shifting the additional </w:t>
      </w:r>
      <w:r w:rsidR="00922266">
        <w:rPr>
          <w:szCs w:val="20"/>
        </w:rPr>
        <w:t>security of payments</w:t>
      </w:r>
      <w:r w:rsidR="00922266" w:rsidRPr="00B27045">
        <w:rPr>
          <w:szCs w:val="20"/>
        </w:rPr>
        <w:t xml:space="preserve"> </w:t>
      </w:r>
      <w:r w:rsidR="00AC328B">
        <w:rPr>
          <w:szCs w:val="20"/>
        </w:rPr>
        <w:t>function from the 2016 </w:t>
      </w:r>
      <w:r w:rsidRPr="00B27045">
        <w:rPr>
          <w:szCs w:val="20"/>
        </w:rPr>
        <w:t>Code to more appropriate regulators with greater expertise and capacity to achieve that outcome</w:t>
      </w:r>
      <w:r w:rsidR="00076AF2">
        <w:rPr>
          <w:szCs w:val="20"/>
        </w:rPr>
        <w:t>.</w:t>
      </w:r>
      <w:r w:rsidR="0059028A">
        <w:rPr>
          <w:rStyle w:val="FootnoteReference"/>
          <w:szCs w:val="20"/>
        </w:rPr>
        <w:footnoteReference w:id="85"/>
      </w:r>
      <w:r w:rsidR="00F91CAA">
        <w:rPr>
          <w:szCs w:val="20"/>
        </w:rPr>
        <w:t xml:space="preserve"> </w:t>
      </w:r>
      <w:r w:rsidR="00BF016F">
        <w:rPr>
          <w:rFonts w:cstheme="minorHAnsi"/>
          <w:color w:val="000000"/>
          <w:szCs w:val="24"/>
        </w:rPr>
        <w:t>However, no</w:t>
      </w:r>
      <w:r>
        <w:rPr>
          <w:rFonts w:cstheme="minorHAnsi"/>
          <w:color w:val="000000"/>
          <w:szCs w:val="24"/>
        </w:rPr>
        <w:t xml:space="preserve"> specific suggestions were made as to what regulatory agencies might more appropriately take on this role.</w:t>
      </w:r>
    </w:p>
    <w:p w14:paraId="62A43C81" w14:textId="77777777" w:rsidR="0011262E" w:rsidRDefault="0011262E" w:rsidP="009800AA">
      <w:pPr>
        <w:spacing w:after="200" w:line="276" w:lineRule="auto"/>
        <w:rPr>
          <w:rFonts w:cstheme="minorHAnsi"/>
          <w:bCs/>
        </w:rPr>
      </w:pPr>
      <w:r>
        <w:rPr>
          <w:rFonts w:cstheme="minorHAnsi"/>
          <w:color w:val="000000"/>
          <w:szCs w:val="24"/>
        </w:rPr>
        <w:t>The ACTU’s submission also addresses security of payment at some length. It quotes t</w:t>
      </w:r>
      <w:r>
        <w:rPr>
          <w:rFonts w:cstheme="minorHAnsi"/>
          <w:bCs/>
        </w:rPr>
        <w:t>he report of the 2015 Senate Economic References Committee inquiry that repeated the recommendations of several previous inquiries:</w:t>
      </w:r>
    </w:p>
    <w:p w14:paraId="390A6217" w14:textId="73D85281" w:rsidR="0011262E" w:rsidRPr="00D0080B" w:rsidRDefault="00076AF2" w:rsidP="009800AA">
      <w:pPr>
        <w:spacing w:after="200" w:line="276" w:lineRule="auto"/>
        <w:ind w:left="426"/>
        <w:rPr>
          <w:sz w:val="20"/>
        </w:rPr>
      </w:pPr>
      <w:r w:rsidRPr="007130A7">
        <w:rPr>
          <w:sz w:val="20"/>
          <w:szCs w:val="20"/>
        </w:rPr>
        <w:lastRenderedPageBreak/>
        <w:t>[T]</w:t>
      </w:r>
      <w:r w:rsidR="00E9213E" w:rsidRPr="007130A7">
        <w:rPr>
          <w:sz w:val="20"/>
          <w:szCs w:val="20"/>
        </w:rPr>
        <w:t>he</w:t>
      </w:r>
      <w:r w:rsidR="0011262E" w:rsidRPr="00D0080B">
        <w:rPr>
          <w:sz w:val="20"/>
        </w:rPr>
        <w:t xml:space="preserve"> completely unacceptable payment practices in the construction [industry] has to end. The continued viability of the industry in its current structure requires Commonwealth intervention to ensure that businesses, suppliers and employees that work in the industry’s subcontracting chain get paid for the work they do.</w:t>
      </w:r>
      <w:r w:rsidR="0011262E" w:rsidRPr="00D0080B">
        <w:rPr>
          <w:rStyle w:val="FootnoteReference"/>
          <w:sz w:val="20"/>
        </w:rPr>
        <w:footnoteReference w:id="86"/>
      </w:r>
    </w:p>
    <w:p w14:paraId="6CCE9D93" w14:textId="4F344828" w:rsidR="0011262E" w:rsidRDefault="0011262E" w:rsidP="009800AA">
      <w:pPr>
        <w:spacing w:after="200" w:line="276" w:lineRule="auto"/>
        <w:rPr>
          <w:rFonts w:cstheme="minorHAnsi"/>
          <w:bCs/>
        </w:rPr>
      </w:pPr>
      <w:r>
        <w:rPr>
          <w:rFonts w:cstheme="minorHAnsi"/>
          <w:bCs/>
        </w:rPr>
        <w:t>The ACTU criticises the structure of the current Working Group, noting that there is only one employee representative among the 11 members of the working party</w:t>
      </w:r>
      <w:r w:rsidR="00F91CAA">
        <w:rPr>
          <w:rFonts w:cstheme="minorHAnsi"/>
          <w:bCs/>
        </w:rPr>
        <w:t xml:space="preserve">. </w:t>
      </w:r>
      <w:r w:rsidR="00BF016F">
        <w:rPr>
          <w:rFonts w:cstheme="minorHAnsi"/>
          <w:bCs/>
        </w:rPr>
        <w:t xml:space="preserve">It </w:t>
      </w:r>
      <w:r>
        <w:rPr>
          <w:rFonts w:cstheme="minorHAnsi"/>
          <w:bCs/>
        </w:rPr>
        <w:t>notes that the Working Group ha</w:t>
      </w:r>
      <w:r w:rsidR="00BF016F">
        <w:rPr>
          <w:rFonts w:cstheme="minorHAnsi"/>
          <w:bCs/>
        </w:rPr>
        <w:t>d</w:t>
      </w:r>
      <w:r>
        <w:rPr>
          <w:rFonts w:cstheme="minorHAnsi"/>
          <w:bCs/>
        </w:rPr>
        <w:t>, as of April</w:t>
      </w:r>
      <w:r w:rsidR="00076AF2">
        <w:rPr>
          <w:rFonts w:cstheme="minorHAnsi"/>
          <w:bCs/>
        </w:rPr>
        <w:t> </w:t>
      </w:r>
      <w:r>
        <w:rPr>
          <w:rFonts w:cstheme="minorHAnsi"/>
          <w:bCs/>
        </w:rPr>
        <w:t xml:space="preserve">2018, only met three times, and </w:t>
      </w:r>
      <w:r w:rsidR="00BF016F">
        <w:rPr>
          <w:rFonts w:cstheme="minorHAnsi"/>
          <w:bCs/>
        </w:rPr>
        <w:t>states</w:t>
      </w:r>
      <w:r>
        <w:rPr>
          <w:rFonts w:cstheme="minorHAnsi"/>
          <w:bCs/>
        </w:rPr>
        <w:t xml:space="preserve"> that its representative and the representative of the Subcontractors’ Alliance have raised concerns that the ABCC is not doing nearly enough to address the widespread problem of security of payments</w:t>
      </w:r>
      <w:r w:rsidR="00F91CAA">
        <w:rPr>
          <w:rFonts w:cstheme="minorHAnsi"/>
          <w:bCs/>
        </w:rPr>
        <w:t xml:space="preserve">. </w:t>
      </w:r>
    </w:p>
    <w:p w14:paraId="43BC6B0F" w14:textId="462B3122" w:rsidR="0011262E" w:rsidRDefault="0011262E" w:rsidP="009800AA">
      <w:pPr>
        <w:spacing w:after="200" w:line="276" w:lineRule="auto"/>
        <w:rPr>
          <w:rFonts w:cstheme="minorHAnsi"/>
        </w:rPr>
      </w:pPr>
      <w:r>
        <w:rPr>
          <w:rFonts w:cstheme="minorHAnsi"/>
          <w:bCs/>
        </w:rPr>
        <w:t xml:space="preserve">The ACTU specifically criticised the definition of </w:t>
      </w:r>
      <w:r w:rsidR="009F7A07">
        <w:rPr>
          <w:rFonts w:cstheme="minorHAnsi"/>
          <w:bCs/>
        </w:rPr>
        <w:t>‘</w:t>
      </w:r>
      <w:r>
        <w:rPr>
          <w:rFonts w:cstheme="minorHAnsi"/>
          <w:bCs/>
        </w:rPr>
        <w:t>disputed or delayed progress payment’ adopted by the ABCC.</w:t>
      </w:r>
      <w:r>
        <w:rPr>
          <w:rFonts w:cstheme="minorHAnsi"/>
        </w:rPr>
        <w:t xml:space="preserve"> The term ‘disputed or delayed progress payment’ is not defined in the </w:t>
      </w:r>
      <w:r w:rsidR="00AC328B">
        <w:rPr>
          <w:rFonts w:cstheme="minorHAnsi"/>
        </w:rPr>
        <w:t>2016 </w:t>
      </w:r>
      <w:r>
        <w:rPr>
          <w:rFonts w:cstheme="minorHAnsi"/>
        </w:rPr>
        <w:t xml:space="preserve">Code. </w:t>
      </w:r>
      <w:r w:rsidR="00E9213E" w:rsidRPr="0056479C">
        <w:rPr>
          <w:rFonts w:cstheme="minorHAnsi"/>
        </w:rPr>
        <w:t>Initially</w:t>
      </w:r>
      <w:r>
        <w:rPr>
          <w:rFonts w:cstheme="minorHAnsi"/>
        </w:rPr>
        <w:t>, the ABCC</w:t>
      </w:r>
      <w:r w:rsidR="00EB6CC6">
        <w:rPr>
          <w:rFonts w:cstheme="minorHAnsi"/>
        </w:rPr>
        <w:t xml:space="preserve"> </w:t>
      </w:r>
      <w:r>
        <w:rPr>
          <w:rFonts w:cstheme="minorHAnsi"/>
        </w:rPr>
        <w:t>define</w:t>
      </w:r>
      <w:r w:rsidR="00F92251">
        <w:rPr>
          <w:rFonts w:cstheme="minorHAnsi"/>
        </w:rPr>
        <w:t>d</w:t>
      </w:r>
      <w:r>
        <w:rPr>
          <w:rFonts w:cstheme="minorHAnsi"/>
        </w:rPr>
        <w:t xml:space="preserve"> a ‘disputed payment’ as a payment that has been referred to adjudication, and a ‘delayed payment’ as a payment not paid in accordance with the timeline determined by the adjudicator. </w:t>
      </w:r>
      <w:r w:rsidR="00F92251">
        <w:rPr>
          <w:rFonts w:cstheme="minorHAnsi"/>
        </w:rPr>
        <w:t>However, the ABCC has since revised its approach and has put in place a process to require mandatory reporting of disputed or delayed payments to the ABCC, and any relevant funding entity, directly by code covered contractors and suppliers as soon as this problem arises</w:t>
      </w:r>
      <w:r w:rsidR="009F7A07">
        <w:rPr>
          <w:rFonts w:cstheme="minorHAnsi"/>
        </w:rPr>
        <w:t xml:space="preserve"> </w:t>
      </w:r>
      <w:r w:rsidR="00F92251">
        <w:rPr>
          <w:rFonts w:cstheme="minorHAnsi"/>
        </w:rPr>
        <w:t>– well in advance of when a state/territory legislator is involved</w:t>
      </w:r>
      <w:r w:rsidR="00042019">
        <w:rPr>
          <w:rFonts w:cstheme="minorHAnsi"/>
        </w:rPr>
        <w:t>.</w:t>
      </w:r>
      <w:r w:rsidR="00F92251">
        <w:rPr>
          <w:rStyle w:val="FootnoteReference"/>
          <w:rFonts w:cstheme="minorHAnsi"/>
        </w:rPr>
        <w:footnoteReference w:id="87"/>
      </w:r>
    </w:p>
    <w:p w14:paraId="530BC432" w14:textId="73F0E77E" w:rsidR="0011262E" w:rsidRDefault="0011262E" w:rsidP="009800AA">
      <w:pPr>
        <w:spacing w:after="200" w:line="276" w:lineRule="auto"/>
        <w:rPr>
          <w:rFonts w:cstheme="minorHAnsi"/>
          <w:color w:val="000000"/>
          <w:szCs w:val="24"/>
        </w:rPr>
      </w:pPr>
      <w:r>
        <w:rPr>
          <w:rFonts w:cstheme="minorHAnsi"/>
          <w:color w:val="000000"/>
          <w:szCs w:val="24"/>
        </w:rPr>
        <w:t>Comments from the Civil Contractors Federation (CCF)</w:t>
      </w:r>
      <w:r w:rsidR="000516C1">
        <w:rPr>
          <w:rStyle w:val="FootnoteReference"/>
          <w:rFonts w:cstheme="minorHAnsi"/>
          <w:color w:val="000000"/>
          <w:szCs w:val="24"/>
        </w:rPr>
        <w:footnoteReference w:id="88"/>
      </w:r>
      <w:r>
        <w:rPr>
          <w:rFonts w:cstheme="minorHAnsi"/>
          <w:color w:val="000000"/>
          <w:szCs w:val="24"/>
        </w:rPr>
        <w:t xml:space="preserve"> also </w:t>
      </w:r>
      <w:r w:rsidR="000516C1">
        <w:rPr>
          <w:rFonts w:cstheme="minorHAnsi"/>
          <w:color w:val="000000"/>
          <w:szCs w:val="24"/>
        </w:rPr>
        <w:t xml:space="preserve">argue that </w:t>
      </w:r>
      <w:r w:rsidR="004F73F7">
        <w:rPr>
          <w:rFonts w:cstheme="minorHAnsi"/>
          <w:color w:val="000000"/>
          <w:szCs w:val="24"/>
        </w:rPr>
        <w:t>the</w:t>
      </w:r>
      <w:r w:rsidR="00E9213E" w:rsidRPr="00EE0A20">
        <w:rPr>
          <w:rFonts w:cstheme="minorHAnsi"/>
          <w:color w:val="000000"/>
          <w:szCs w:val="24"/>
        </w:rPr>
        <w:t xml:space="preserve"> </w:t>
      </w:r>
      <w:r>
        <w:rPr>
          <w:rFonts w:cstheme="minorHAnsi"/>
          <w:color w:val="000000"/>
          <w:szCs w:val="24"/>
        </w:rPr>
        <w:t xml:space="preserve">ABCC </w:t>
      </w:r>
      <w:r w:rsidR="000516C1">
        <w:rPr>
          <w:rFonts w:cstheme="minorHAnsi"/>
          <w:color w:val="000000"/>
          <w:szCs w:val="24"/>
        </w:rPr>
        <w:t>should</w:t>
      </w:r>
      <w:r>
        <w:rPr>
          <w:rFonts w:cstheme="minorHAnsi"/>
          <w:color w:val="000000"/>
          <w:szCs w:val="24"/>
        </w:rPr>
        <w:t xml:space="preserve"> become engaged with security of payments disputes prior to the adjudication process commenc</w:t>
      </w:r>
      <w:r w:rsidR="000516C1">
        <w:rPr>
          <w:rFonts w:cstheme="minorHAnsi"/>
          <w:color w:val="000000"/>
          <w:szCs w:val="24"/>
        </w:rPr>
        <w:t>ing</w:t>
      </w:r>
      <w:r>
        <w:rPr>
          <w:rFonts w:cstheme="minorHAnsi"/>
          <w:color w:val="000000"/>
          <w:szCs w:val="24"/>
        </w:rPr>
        <w:t xml:space="preserve">. </w:t>
      </w:r>
      <w:r w:rsidR="00922266">
        <w:rPr>
          <w:rFonts w:cstheme="minorHAnsi"/>
          <w:color w:val="000000"/>
          <w:szCs w:val="24"/>
        </w:rPr>
        <w:t xml:space="preserve">The </w:t>
      </w:r>
      <w:r w:rsidR="000516C1">
        <w:rPr>
          <w:rFonts w:cstheme="minorHAnsi"/>
          <w:color w:val="000000"/>
          <w:szCs w:val="24"/>
        </w:rPr>
        <w:t>CCF</w:t>
      </w:r>
      <w:r>
        <w:rPr>
          <w:rFonts w:cstheme="minorHAnsi"/>
          <w:color w:val="000000"/>
          <w:szCs w:val="24"/>
        </w:rPr>
        <w:t xml:space="preserve"> suggested that, at a minimum, coordination between the ABCC and relevant </w:t>
      </w:r>
      <w:r w:rsidR="00922266">
        <w:rPr>
          <w:rFonts w:cstheme="minorHAnsi"/>
          <w:color w:val="000000"/>
          <w:szCs w:val="24"/>
        </w:rPr>
        <w:t>s</w:t>
      </w:r>
      <w:r>
        <w:rPr>
          <w:rFonts w:cstheme="minorHAnsi"/>
          <w:color w:val="000000"/>
          <w:szCs w:val="24"/>
        </w:rPr>
        <w:t xml:space="preserve">tate and </w:t>
      </w:r>
      <w:r w:rsidR="00922266">
        <w:rPr>
          <w:rFonts w:cstheme="minorHAnsi"/>
          <w:color w:val="000000"/>
          <w:szCs w:val="24"/>
        </w:rPr>
        <w:t>t</w:t>
      </w:r>
      <w:r>
        <w:rPr>
          <w:rFonts w:cstheme="minorHAnsi"/>
          <w:color w:val="000000"/>
          <w:szCs w:val="24"/>
        </w:rPr>
        <w:t xml:space="preserve">erritory regulators could lead to the development of a protocol whereby the ABCC was notified of all disputes brought to them. </w:t>
      </w:r>
      <w:r w:rsidR="000516C1">
        <w:rPr>
          <w:rFonts w:cstheme="minorHAnsi"/>
          <w:color w:val="000000"/>
          <w:szCs w:val="24"/>
        </w:rPr>
        <w:t>Th</w:t>
      </w:r>
      <w:r>
        <w:rPr>
          <w:rFonts w:cstheme="minorHAnsi"/>
          <w:color w:val="000000"/>
          <w:szCs w:val="24"/>
        </w:rPr>
        <w:t>is would give the ABCC a better understanding of the scale of security of payments disputes</w:t>
      </w:r>
      <w:r w:rsidR="000516C1">
        <w:rPr>
          <w:rFonts w:cstheme="minorHAnsi"/>
          <w:color w:val="000000"/>
          <w:szCs w:val="24"/>
        </w:rPr>
        <w:t xml:space="preserve"> and the ability </w:t>
      </w:r>
      <w:r>
        <w:rPr>
          <w:rFonts w:cstheme="minorHAnsi"/>
          <w:color w:val="000000"/>
          <w:szCs w:val="24"/>
        </w:rPr>
        <w:t>to monitor</w:t>
      </w:r>
      <w:r w:rsidR="000516C1">
        <w:rPr>
          <w:rFonts w:cstheme="minorHAnsi"/>
          <w:color w:val="000000"/>
          <w:szCs w:val="24"/>
        </w:rPr>
        <w:t xml:space="preserve"> both</w:t>
      </w:r>
      <w:r>
        <w:rPr>
          <w:rFonts w:cstheme="minorHAnsi"/>
          <w:color w:val="000000"/>
          <w:szCs w:val="24"/>
        </w:rPr>
        <w:t xml:space="preserve"> the time taken to resolve them and the outcomes reached</w:t>
      </w:r>
      <w:r w:rsidR="00474824">
        <w:rPr>
          <w:rFonts w:cstheme="minorHAnsi"/>
          <w:color w:val="000000"/>
          <w:szCs w:val="24"/>
        </w:rPr>
        <w:t>.</w:t>
      </w:r>
      <w:r w:rsidR="006469E9">
        <w:rPr>
          <w:rStyle w:val="FootnoteReference"/>
          <w:rFonts w:cstheme="minorHAnsi"/>
          <w:color w:val="000000"/>
          <w:szCs w:val="24"/>
        </w:rPr>
        <w:footnoteReference w:id="89"/>
      </w:r>
    </w:p>
    <w:p w14:paraId="163296E2" w14:textId="039F21D6" w:rsidR="0011262E" w:rsidRDefault="0011262E" w:rsidP="009800AA">
      <w:pPr>
        <w:spacing w:after="200" w:line="276" w:lineRule="auto"/>
        <w:rPr>
          <w:rFonts w:cstheme="minorHAnsi"/>
          <w:color w:val="000000"/>
          <w:szCs w:val="24"/>
        </w:rPr>
      </w:pPr>
      <w:r>
        <w:rPr>
          <w:rFonts w:cstheme="minorHAnsi"/>
          <w:color w:val="000000"/>
          <w:szCs w:val="24"/>
        </w:rPr>
        <w:t xml:space="preserve">The CCF believes that a key issue is a continued low level of awareness among industry participants of the relevant </w:t>
      </w:r>
      <w:r w:rsidR="00922266">
        <w:rPr>
          <w:rFonts w:cstheme="minorHAnsi"/>
          <w:color w:val="000000"/>
          <w:szCs w:val="24"/>
        </w:rPr>
        <w:t>s</w:t>
      </w:r>
      <w:r>
        <w:rPr>
          <w:rFonts w:cstheme="minorHAnsi"/>
          <w:color w:val="000000"/>
          <w:szCs w:val="24"/>
        </w:rPr>
        <w:t xml:space="preserve">tate and </w:t>
      </w:r>
      <w:r w:rsidR="00922266">
        <w:rPr>
          <w:rFonts w:cstheme="minorHAnsi"/>
          <w:color w:val="000000"/>
          <w:szCs w:val="24"/>
        </w:rPr>
        <w:t>t</w:t>
      </w:r>
      <w:r>
        <w:rPr>
          <w:rFonts w:cstheme="minorHAnsi"/>
          <w:color w:val="000000"/>
          <w:szCs w:val="24"/>
        </w:rPr>
        <w:t xml:space="preserve">erritory security of payment laws and their benefits. Consequently, they anticipate that the education campaign to be </w:t>
      </w:r>
      <w:r w:rsidRPr="009D5529">
        <w:rPr>
          <w:rFonts w:cstheme="minorHAnsi"/>
          <w:color w:val="000000"/>
          <w:szCs w:val="24"/>
        </w:rPr>
        <w:t xml:space="preserve">launched </w:t>
      </w:r>
      <w:r>
        <w:rPr>
          <w:rFonts w:cstheme="minorHAnsi"/>
          <w:color w:val="000000"/>
          <w:szCs w:val="24"/>
        </w:rPr>
        <w:t xml:space="preserve">by the Working Group </w:t>
      </w:r>
      <w:r w:rsidR="006469E9">
        <w:rPr>
          <w:rFonts w:cstheme="minorHAnsi"/>
          <w:color w:val="000000"/>
          <w:szCs w:val="24"/>
        </w:rPr>
        <w:t>during</w:t>
      </w:r>
      <w:r w:rsidR="00D1577D">
        <w:rPr>
          <w:rFonts w:cstheme="minorHAnsi"/>
          <w:color w:val="000000"/>
          <w:szCs w:val="24"/>
        </w:rPr>
        <w:t> </w:t>
      </w:r>
      <w:r w:rsidR="006469E9">
        <w:rPr>
          <w:rFonts w:cstheme="minorHAnsi"/>
          <w:color w:val="000000"/>
          <w:szCs w:val="24"/>
        </w:rPr>
        <w:t xml:space="preserve">2018 </w:t>
      </w:r>
      <w:r>
        <w:rPr>
          <w:rFonts w:cstheme="minorHAnsi"/>
          <w:color w:val="000000"/>
          <w:szCs w:val="24"/>
        </w:rPr>
        <w:t xml:space="preserve">will yield a significant increase in the number of disputes notified to </w:t>
      </w:r>
      <w:r w:rsidR="00770B93">
        <w:rPr>
          <w:rFonts w:cstheme="minorHAnsi"/>
          <w:color w:val="000000"/>
          <w:szCs w:val="24"/>
        </w:rPr>
        <w:t>s</w:t>
      </w:r>
      <w:r>
        <w:rPr>
          <w:rFonts w:cstheme="minorHAnsi"/>
          <w:color w:val="000000"/>
          <w:szCs w:val="24"/>
        </w:rPr>
        <w:t xml:space="preserve">tate and </w:t>
      </w:r>
      <w:r w:rsidR="00770B93">
        <w:rPr>
          <w:rFonts w:cstheme="minorHAnsi"/>
          <w:color w:val="000000"/>
          <w:szCs w:val="24"/>
        </w:rPr>
        <w:t>t</w:t>
      </w:r>
      <w:r>
        <w:rPr>
          <w:rFonts w:cstheme="minorHAnsi"/>
          <w:color w:val="000000"/>
          <w:szCs w:val="24"/>
        </w:rPr>
        <w:t>erritory regulators.</w:t>
      </w:r>
    </w:p>
    <w:p w14:paraId="170EDB29" w14:textId="19BF064C" w:rsidR="0011262E" w:rsidRDefault="0011262E" w:rsidP="009800AA">
      <w:pPr>
        <w:spacing w:after="200" w:line="276" w:lineRule="auto"/>
        <w:rPr>
          <w:rFonts w:cstheme="minorHAnsi"/>
          <w:color w:val="000000"/>
          <w:szCs w:val="24"/>
        </w:rPr>
      </w:pPr>
      <w:r>
        <w:rPr>
          <w:rFonts w:cstheme="minorHAnsi"/>
          <w:color w:val="000000"/>
          <w:szCs w:val="24"/>
        </w:rPr>
        <w:t xml:space="preserve">In common with the MBA, the CCF expressed concern about the considerable review and reform activity occurring with </w:t>
      </w:r>
      <w:r w:rsidR="00922266">
        <w:rPr>
          <w:rFonts w:cstheme="minorHAnsi"/>
          <w:color w:val="000000"/>
          <w:szCs w:val="24"/>
        </w:rPr>
        <w:t>s</w:t>
      </w:r>
      <w:r>
        <w:rPr>
          <w:rFonts w:cstheme="minorHAnsi"/>
          <w:color w:val="000000"/>
          <w:szCs w:val="24"/>
        </w:rPr>
        <w:t xml:space="preserve">tate and </w:t>
      </w:r>
      <w:r w:rsidR="00922266">
        <w:rPr>
          <w:rFonts w:cstheme="minorHAnsi"/>
          <w:color w:val="000000"/>
          <w:szCs w:val="24"/>
        </w:rPr>
        <w:t>t</w:t>
      </w:r>
      <w:r>
        <w:rPr>
          <w:rFonts w:cstheme="minorHAnsi"/>
          <w:color w:val="000000"/>
          <w:szCs w:val="24"/>
        </w:rPr>
        <w:t>erritory legislation in this area</w:t>
      </w:r>
      <w:r w:rsidR="006469E9">
        <w:rPr>
          <w:rFonts w:cstheme="minorHAnsi"/>
          <w:color w:val="000000"/>
          <w:szCs w:val="24"/>
        </w:rPr>
        <w:t xml:space="preserve"> and its potential to increase </w:t>
      </w:r>
      <w:r>
        <w:rPr>
          <w:rFonts w:cstheme="minorHAnsi"/>
          <w:color w:val="000000"/>
          <w:szCs w:val="24"/>
        </w:rPr>
        <w:t>confusion and uncertainty in the industry. A particular concern was that such activity ha</w:t>
      </w:r>
      <w:r w:rsidR="006469E9">
        <w:rPr>
          <w:rFonts w:cstheme="minorHAnsi"/>
          <w:color w:val="000000"/>
          <w:szCs w:val="24"/>
        </w:rPr>
        <w:t xml:space="preserve">d continued </w:t>
      </w:r>
      <w:r>
        <w:rPr>
          <w:rFonts w:cstheme="minorHAnsi"/>
          <w:color w:val="000000"/>
          <w:szCs w:val="24"/>
        </w:rPr>
        <w:t xml:space="preserve">in at least one jurisdiction </w:t>
      </w:r>
      <w:r w:rsidR="006469E9">
        <w:rPr>
          <w:rFonts w:cstheme="minorHAnsi"/>
          <w:color w:val="000000"/>
          <w:szCs w:val="24"/>
        </w:rPr>
        <w:t>while</w:t>
      </w:r>
      <w:r>
        <w:rPr>
          <w:rFonts w:cstheme="minorHAnsi"/>
          <w:color w:val="000000"/>
          <w:szCs w:val="24"/>
        </w:rPr>
        <w:t xml:space="preserve"> the </w:t>
      </w:r>
      <w:r w:rsidR="00922266">
        <w:rPr>
          <w:rFonts w:cstheme="minorHAnsi"/>
          <w:color w:val="000000"/>
          <w:szCs w:val="24"/>
        </w:rPr>
        <w:t xml:space="preserve">Australian </w:t>
      </w:r>
      <w:r>
        <w:rPr>
          <w:rFonts w:cstheme="minorHAnsi"/>
          <w:color w:val="000000"/>
          <w:szCs w:val="24"/>
        </w:rPr>
        <w:t xml:space="preserve">Government’s Murray </w:t>
      </w:r>
      <w:r w:rsidR="009B75AF">
        <w:rPr>
          <w:rFonts w:cstheme="minorHAnsi"/>
          <w:color w:val="000000"/>
          <w:szCs w:val="24"/>
        </w:rPr>
        <w:t>R</w:t>
      </w:r>
      <w:r>
        <w:rPr>
          <w:rFonts w:cstheme="minorHAnsi"/>
          <w:color w:val="000000"/>
          <w:szCs w:val="24"/>
        </w:rPr>
        <w:t xml:space="preserve">eview was being undertaken. The CCF argued that there is a high degree of anticipation of the report of the Murray </w:t>
      </w:r>
      <w:r w:rsidR="00770B93">
        <w:rPr>
          <w:rFonts w:cstheme="minorHAnsi"/>
          <w:color w:val="000000"/>
          <w:szCs w:val="24"/>
        </w:rPr>
        <w:t>R</w:t>
      </w:r>
      <w:r>
        <w:rPr>
          <w:rFonts w:cstheme="minorHAnsi"/>
          <w:color w:val="000000"/>
          <w:szCs w:val="24"/>
        </w:rPr>
        <w:t xml:space="preserve">eview being released and acted upon by the Government. </w:t>
      </w:r>
    </w:p>
    <w:p w14:paraId="381C8DFD" w14:textId="73953CBA" w:rsidR="006469E9" w:rsidRDefault="0011262E" w:rsidP="009800AA">
      <w:pPr>
        <w:spacing w:after="200" w:line="276" w:lineRule="auto"/>
        <w:rPr>
          <w:rFonts w:cstheme="minorHAnsi"/>
          <w:color w:val="000000"/>
          <w:szCs w:val="20"/>
        </w:rPr>
      </w:pPr>
      <w:r>
        <w:rPr>
          <w:rFonts w:cstheme="minorHAnsi"/>
          <w:color w:val="000000"/>
          <w:szCs w:val="24"/>
        </w:rPr>
        <w:lastRenderedPageBreak/>
        <w:t xml:space="preserve">The ACTU submission similarly states its expectation that the Murray </w:t>
      </w:r>
      <w:r w:rsidR="00770B93">
        <w:rPr>
          <w:rFonts w:cstheme="minorHAnsi"/>
          <w:color w:val="000000"/>
          <w:szCs w:val="24"/>
        </w:rPr>
        <w:t>R</w:t>
      </w:r>
      <w:r>
        <w:rPr>
          <w:rFonts w:cstheme="minorHAnsi"/>
          <w:color w:val="000000"/>
          <w:szCs w:val="24"/>
        </w:rPr>
        <w:t>eview will recommend wide-ranging reforms to better harmonise</w:t>
      </w:r>
      <w:r>
        <w:rPr>
          <w:rFonts w:cstheme="minorHAnsi"/>
          <w:color w:val="000000"/>
          <w:szCs w:val="20"/>
        </w:rPr>
        <w:t xml:space="preserve"> national security of payments laws and improve compliance and that the government will implement these recommendations. </w:t>
      </w:r>
    </w:p>
    <w:p w14:paraId="5BB11C2E" w14:textId="199C2566" w:rsidR="0011262E" w:rsidRDefault="006469E9" w:rsidP="009800AA">
      <w:pPr>
        <w:spacing w:after="200" w:line="276" w:lineRule="auto"/>
        <w:rPr>
          <w:rFonts w:cstheme="minorHAnsi"/>
          <w:color w:val="000000"/>
          <w:szCs w:val="20"/>
        </w:rPr>
      </w:pPr>
      <w:r>
        <w:rPr>
          <w:rFonts w:cstheme="minorHAnsi"/>
          <w:color w:val="000000"/>
          <w:szCs w:val="20"/>
        </w:rPr>
        <w:t xml:space="preserve">The </w:t>
      </w:r>
      <w:r w:rsidR="0011262E">
        <w:rPr>
          <w:rFonts w:cstheme="minorHAnsi"/>
          <w:color w:val="000000"/>
          <w:szCs w:val="20"/>
        </w:rPr>
        <w:t xml:space="preserve">Murray </w:t>
      </w:r>
      <w:r w:rsidR="00770B93">
        <w:rPr>
          <w:rFonts w:cstheme="minorHAnsi"/>
          <w:color w:val="000000"/>
          <w:szCs w:val="20"/>
        </w:rPr>
        <w:t>R</w:t>
      </w:r>
      <w:r w:rsidR="0011262E">
        <w:rPr>
          <w:rFonts w:cstheme="minorHAnsi"/>
          <w:color w:val="000000"/>
          <w:szCs w:val="20"/>
        </w:rPr>
        <w:t xml:space="preserve">eview </w:t>
      </w:r>
      <w:r>
        <w:rPr>
          <w:rFonts w:cstheme="minorHAnsi"/>
          <w:color w:val="000000"/>
          <w:szCs w:val="20"/>
        </w:rPr>
        <w:t>was</w:t>
      </w:r>
      <w:r w:rsidR="0011262E">
        <w:rPr>
          <w:rFonts w:cstheme="minorHAnsi"/>
          <w:color w:val="000000"/>
          <w:szCs w:val="20"/>
        </w:rPr>
        <w:t xml:space="preserve"> released</w:t>
      </w:r>
      <w:r>
        <w:rPr>
          <w:rFonts w:cstheme="minorHAnsi"/>
          <w:color w:val="000000"/>
          <w:szCs w:val="20"/>
        </w:rPr>
        <w:t xml:space="preserve"> after the receipt of these submissions and does, in fact, recommend a range of harmonisation options</w:t>
      </w:r>
      <w:r w:rsidR="0011262E">
        <w:rPr>
          <w:rFonts w:cstheme="minorHAnsi"/>
          <w:color w:val="000000"/>
          <w:szCs w:val="20"/>
        </w:rPr>
        <w:t>.</w:t>
      </w:r>
    </w:p>
    <w:p w14:paraId="0314B6B6" w14:textId="30B47681" w:rsidR="0011262E" w:rsidRDefault="0011262E" w:rsidP="004F647D">
      <w:pPr>
        <w:pStyle w:val="Heading2"/>
        <w:numPr>
          <w:ilvl w:val="1"/>
          <w:numId w:val="23"/>
        </w:numPr>
      </w:pPr>
      <w:bookmarkStart w:id="194" w:name="_Toc519171493"/>
      <w:bookmarkStart w:id="195" w:name="_Toc523154953"/>
      <w:bookmarkStart w:id="196" w:name="_Toc527633056"/>
      <w:r>
        <w:t>Analysis</w:t>
      </w:r>
      <w:bookmarkEnd w:id="194"/>
      <w:bookmarkEnd w:id="195"/>
      <w:bookmarkEnd w:id="196"/>
    </w:p>
    <w:p w14:paraId="64549584" w14:textId="6CC3ACDD" w:rsidR="0011262E" w:rsidRDefault="0011262E" w:rsidP="009800AA">
      <w:pPr>
        <w:spacing w:before="200" w:after="200" w:line="276" w:lineRule="auto"/>
      </w:pPr>
      <w:r>
        <w:t xml:space="preserve">The focus of the Security of Payments Working Group on increasing awareness of the existing </w:t>
      </w:r>
      <w:r w:rsidR="00922266">
        <w:t>s</w:t>
      </w:r>
      <w:r>
        <w:t xml:space="preserve">tate and </w:t>
      </w:r>
      <w:r w:rsidR="00922266">
        <w:t>t</w:t>
      </w:r>
      <w:r>
        <w:t>erritory security of payments legislation is clearly an appropriate response to the low level of awareness of this legislation among indu</w:t>
      </w:r>
      <w:r w:rsidR="006469E9">
        <w:t>stry participants,</w:t>
      </w:r>
      <w:r>
        <w:t xml:space="preserve"> highlighted in the Murray </w:t>
      </w:r>
      <w:r w:rsidR="00770B93">
        <w:t>R</w:t>
      </w:r>
      <w:r>
        <w:t>eview</w:t>
      </w:r>
      <w:r w:rsidR="00F91CAA">
        <w:t xml:space="preserve">. </w:t>
      </w:r>
      <w:r>
        <w:t xml:space="preserve">There may also be unexplored potential for better cooperation and data flows between the relevant </w:t>
      </w:r>
      <w:r w:rsidR="00922266">
        <w:t>s</w:t>
      </w:r>
      <w:r>
        <w:t xml:space="preserve">tate and </w:t>
      </w:r>
      <w:r w:rsidR="00922266">
        <w:t>t</w:t>
      </w:r>
      <w:r>
        <w:t xml:space="preserve">erritory government bodies and the ABCC in relation to security of payments issues. As suggested in the submissions discussed above, provision of relevant information by </w:t>
      </w:r>
      <w:r w:rsidR="00922266">
        <w:t>s</w:t>
      </w:r>
      <w:r>
        <w:t xml:space="preserve">tate and </w:t>
      </w:r>
      <w:r w:rsidR="00922266">
        <w:t>t</w:t>
      </w:r>
      <w:r>
        <w:t xml:space="preserve">erritory regulatory bodies could have the potential to improve the </w:t>
      </w:r>
      <w:r w:rsidR="00F72198">
        <w:t xml:space="preserve">ABCC’s </w:t>
      </w:r>
      <w:r>
        <w:t xml:space="preserve">effectiveness in this area by improving the market intelligence available to it and enabling it </w:t>
      </w:r>
      <w:r w:rsidR="009800AA">
        <w:t>to undertake relevant analysis.</w:t>
      </w:r>
    </w:p>
    <w:p w14:paraId="344F7526" w14:textId="26E618E4" w:rsidR="0011262E" w:rsidRDefault="0011262E" w:rsidP="009800AA">
      <w:pPr>
        <w:spacing w:after="200" w:line="276" w:lineRule="auto"/>
      </w:pPr>
      <w:r>
        <w:t>That said,</w:t>
      </w:r>
      <w:r w:rsidR="00F72198">
        <w:t xml:space="preserve"> </w:t>
      </w:r>
      <w:r>
        <w:t>security of payments is a further area in which the provisions of the BCIIP</w:t>
      </w:r>
      <w:r w:rsidR="005523B8">
        <w:t> </w:t>
      </w:r>
      <w:r>
        <w:t xml:space="preserve">Act extend to issues that are fundamentally the regulatory responsibility of </w:t>
      </w:r>
      <w:r w:rsidR="00922266">
        <w:t>s</w:t>
      </w:r>
      <w:r>
        <w:t xml:space="preserve">tate and </w:t>
      </w:r>
      <w:r w:rsidR="00922266">
        <w:t>t</w:t>
      </w:r>
      <w:r>
        <w:t xml:space="preserve">erritory governments. The fact that all </w:t>
      </w:r>
      <w:r w:rsidR="00922266">
        <w:t>s</w:t>
      </w:r>
      <w:r>
        <w:t xml:space="preserve">tates and </w:t>
      </w:r>
      <w:r w:rsidR="00922266">
        <w:t>t</w:t>
      </w:r>
      <w:r>
        <w:t xml:space="preserve">erritories adopted legislation specifically addressing security of payments in the decade </w:t>
      </w:r>
      <w:r w:rsidR="00F72198">
        <w:t>to</w:t>
      </w:r>
      <w:r>
        <w:t xml:space="preserve"> 2009 clearly indicates a general acceptance that this is an issue of major concern. Given this, it is unsurprising that the </w:t>
      </w:r>
      <w:r w:rsidR="00922266">
        <w:t xml:space="preserve">Australian </w:t>
      </w:r>
      <w:r>
        <w:t xml:space="preserve">Government should seek to extend its influence as a major purchaser by adopting mechanisms </w:t>
      </w:r>
      <w:r w:rsidR="007A3E27">
        <w:t>in the 2016</w:t>
      </w:r>
      <w:r w:rsidR="00CC177F">
        <w:t xml:space="preserve"> Code </w:t>
      </w:r>
      <w:r>
        <w:t xml:space="preserve">that aim to ensure a high level of compliance with the laws in this area by </w:t>
      </w:r>
      <w:r w:rsidR="00042019">
        <w:t>those</w:t>
      </w:r>
      <w:r w:rsidR="000879CC">
        <w:t xml:space="preserve"> with whom</w:t>
      </w:r>
      <w:r w:rsidR="00042019">
        <w:t xml:space="preserve"> it contracts</w:t>
      </w:r>
      <w:r>
        <w:t>.</w:t>
      </w:r>
    </w:p>
    <w:p w14:paraId="3587A74D" w14:textId="7B70A08D" w:rsidR="0011262E" w:rsidRDefault="00F72198" w:rsidP="009800AA">
      <w:pPr>
        <w:spacing w:after="200" w:line="276" w:lineRule="auto"/>
      </w:pPr>
      <w:r>
        <w:t>T</w:t>
      </w:r>
      <w:r w:rsidR="0011262E">
        <w:t>he ABC</w:t>
      </w:r>
      <w:r w:rsidR="00D1577D">
        <w:t> </w:t>
      </w:r>
      <w:r w:rsidR="009D2459">
        <w:t>Commissioner indicated to the r</w:t>
      </w:r>
      <w:r w:rsidR="0011262E">
        <w:t xml:space="preserve">eview his belief that the </w:t>
      </w:r>
      <w:r w:rsidR="007A1A03">
        <w:t xml:space="preserve">Security of Payments </w:t>
      </w:r>
      <w:r w:rsidR="0011262E">
        <w:t xml:space="preserve">Working Group has functioned effectively in practice and provided significant assistance to the ABCC in acquitting its responsibilities. He noted, in particular, the positive engagement in the work of the </w:t>
      </w:r>
      <w:r w:rsidR="00922266">
        <w:t xml:space="preserve">ABCC </w:t>
      </w:r>
      <w:r w:rsidR="0011262E">
        <w:t>by the ACTU representative. This dynamic may be particularly significant in a context in which the ABCC is seeking acceptance by all industry participants as an impartial and apoli</w:t>
      </w:r>
      <w:r w:rsidR="009800AA">
        <w:t>tical ‘full service regulator’.</w:t>
      </w:r>
    </w:p>
    <w:p w14:paraId="548AA125" w14:textId="162B0FE2" w:rsidR="0011262E" w:rsidRDefault="0011262E" w:rsidP="009800AA">
      <w:pPr>
        <w:spacing w:after="200" w:line="276" w:lineRule="auto"/>
      </w:pPr>
      <w:r>
        <w:t xml:space="preserve">As a practical matter, the need to fulfil its responsibilities in this area could lead to a diversion of ABCC resources to </w:t>
      </w:r>
      <w:r w:rsidR="00F72198">
        <w:t>from other tasks, as noted by t</w:t>
      </w:r>
      <w:r>
        <w:t>he MBA</w:t>
      </w:r>
      <w:r w:rsidR="00F91CAA">
        <w:t xml:space="preserve">. </w:t>
      </w:r>
      <w:r w:rsidR="00F72198">
        <w:t xml:space="preserve">If the ABCC’s </w:t>
      </w:r>
      <w:r>
        <w:t>education campaign succe</w:t>
      </w:r>
      <w:r w:rsidR="00F72198">
        <w:t>eds</w:t>
      </w:r>
      <w:r>
        <w:t xml:space="preserve"> in raising awareness, a further increase in the number of delayed and disputed payments reported to</w:t>
      </w:r>
      <w:r w:rsidR="00F72198">
        <w:t xml:space="preserve"> it can</w:t>
      </w:r>
      <w:r>
        <w:t xml:space="preserve"> also be expected. </w:t>
      </w:r>
      <w:r w:rsidR="00F72198">
        <w:t>T</w:t>
      </w:r>
      <w:r>
        <w:t>his</w:t>
      </w:r>
      <w:r w:rsidR="00F72198">
        <w:t xml:space="preserve"> underlines the resource question.</w:t>
      </w:r>
    </w:p>
    <w:p w14:paraId="052ECDAF" w14:textId="4E6374CB" w:rsidR="0011262E" w:rsidRDefault="0011262E" w:rsidP="009800AA">
      <w:pPr>
        <w:spacing w:after="200" w:line="276" w:lineRule="auto"/>
        <w:rPr>
          <w:rFonts w:cstheme="minorHAnsi"/>
          <w:szCs w:val="24"/>
        </w:rPr>
      </w:pPr>
      <w:r w:rsidRPr="009800AA">
        <w:t>The</w:t>
      </w:r>
      <w:r>
        <w:rPr>
          <w:rFonts w:cstheme="minorHAnsi"/>
          <w:szCs w:val="24"/>
        </w:rPr>
        <w:t xml:space="preserve"> Murray Review has addressed the issue of security of payments in detail. Its recommendations focus on the need for greater harmonisation of </w:t>
      </w:r>
      <w:r w:rsidR="00770B93">
        <w:rPr>
          <w:rFonts w:cstheme="minorHAnsi"/>
          <w:szCs w:val="24"/>
        </w:rPr>
        <w:t>s</w:t>
      </w:r>
      <w:r>
        <w:rPr>
          <w:rFonts w:cstheme="minorHAnsi"/>
          <w:szCs w:val="24"/>
        </w:rPr>
        <w:t xml:space="preserve">tate and </w:t>
      </w:r>
      <w:r w:rsidR="00770B93">
        <w:rPr>
          <w:rFonts w:cstheme="minorHAnsi"/>
          <w:szCs w:val="24"/>
        </w:rPr>
        <w:t>t</w:t>
      </w:r>
      <w:r>
        <w:rPr>
          <w:rFonts w:cstheme="minorHAnsi"/>
          <w:szCs w:val="24"/>
        </w:rPr>
        <w:t xml:space="preserve">erritory laws and on identifying the preferred characteristics of security of payments legislation around which harmonisation should occur. It identifies a range of harmonisation models, including the use of Commonwealth legislation, drawing on the </w:t>
      </w:r>
      <w:proofErr w:type="gramStart"/>
      <w:r>
        <w:rPr>
          <w:rFonts w:cstheme="minorHAnsi"/>
          <w:szCs w:val="24"/>
        </w:rPr>
        <w:t>corporations</w:t>
      </w:r>
      <w:proofErr w:type="gramEnd"/>
      <w:r>
        <w:rPr>
          <w:rFonts w:cstheme="minorHAnsi"/>
          <w:szCs w:val="24"/>
        </w:rPr>
        <w:t xml:space="preserve"> power, mirror legislation and referral of powers. Mr</w:t>
      </w:r>
      <w:r w:rsidR="00D1577D">
        <w:rPr>
          <w:rFonts w:cstheme="minorHAnsi"/>
          <w:szCs w:val="24"/>
        </w:rPr>
        <w:t> </w:t>
      </w:r>
      <w:r>
        <w:rPr>
          <w:rFonts w:cstheme="minorHAnsi"/>
          <w:szCs w:val="24"/>
        </w:rPr>
        <w:t xml:space="preserve">Murray argues that the merits and disadvantages of each option require further consideration, as </w:t>
      </w:r>
      <w:r w:rsidR="00F72198">
        <w:rPr>
          <w:rFonts w:cstheme="minorHAnsi"/>
          <w:szCs w:val="24"/>
        </w:rPr>
        <w:t>does</w:t>
      </w:r>
      <w:r>
        <w:rPr>
          <w:rFonts w:cstheme="minorHAnsi"/>
          <w:szCs w:val="24"/>
        </w:rPr>
        <w:t xml:space="preserve"> the question of </w:t>
      </w:r>
      <w:r>
        <w:rPr>
          <w:rFonts w:cstheme="minorHAnsi"/>
          <w:szCs w:val="24"/>
        </w:rPr>
        <w:lastRenderedPageBreak/>
        <w:t>the potential for cooperation</w:t>
      </w:r>
      <w:r w:rsidR="00770B93">
        <w:rPr>
          <w:rFonts w:cstheme="minorHAnsi"/>
          <w:szCs w:val="24"/>
        </w:rPr>
        <w:t xml:space="preserve"> between the Australian Government and state and territory governments</w:t>
      </w:r>
      <w:r w:rsidR="00D1577D">
        <w:rPr>
          <w:rFonts w:cstheme="minorHAnsi"/>
          <w:szCs w:val="24"/>
        </w:rPr>
        <w:t>.</w:t>
      </w:r>
      <w:r>
        <w:rPr>
          <w:rStyle w:val="FootnoteReference"/>
          <w:rFonts w:cstheme="minorHAnsi"/>
          <w:szCs w:val="24"/>
        </w:rPr>
        <w:footnoteReference w:id="90"/>
      </w:r>
    </w:p>
    <w:p w14:paraId="52BDA3C8" w14:textId="7BBB80D8" w:rsidR="0011262E" w:rsidRDefault="0011262E" w:rsidP="009800AA">
      <w:pPr>
        <w:spacing w:after="200" w:line="276" w:lineRule="auto"/>
        <w:rPr>
          <w:rFonts w:cstheme="minorHAnsi"/>
          <w:szCs w:val="24"/>
        </w:rPr>
      </w:pPr>
      <w:r>
        <w:rPr>
          <w:rFonts w:cstheme="minorHAnsi"/>
          <w:szCs w:val="24"/>
        </w:rPr>
        <w:t xml:space="preserve">The </w:t>
      </w:r>
      <w:r w:rsidR="00F72198">
        <w:rPr>
          <w:rFonts w:cstheme="minorHAnsi"/>
          <w:szCs w:val="24"/>
        </w:rPr>
        <w:t>Australian</w:t>
      </w:r>
      <w:r>
        <w:rPr>
          <w:rFonts w:cstheme="minorHAnsi"/>
          <w:szCs w:val="24"/>
        </w:rPr>
        <w:t xml:space="preserve"> Government is, at the time of writing, yet to provide its formal response to the Murray Review recommendations</w:t>
      </w:r>
      <w:r w:rsidR="00F91CAA">
        <w:rPr>
          <w:rFonts w:cstheme="minorHAnsi"/>
          <w:szCs w:val="24"/>
        </w:rPr>
        <w:t xml:space="preserve">. </w:t>
      </w:r>
      <w:r>
        <w:rPr>
          <w:rFonts w:cstheme="minorHAnsi"/>
          <w:szCs w:val="24"/>
        </w:rPr>
        <w:t xml:space="preserve">This response could be delayed for some time, pending consultation with </w:t>
      </w:r>
      <w:r w:rsidR="009B75AF">
        <w:rPr>
          <w:rFonts w:cstheme="minorHAnsi"/>
          <w:szCs w:val="24"/>
        </w:rPr>
        <w:t>s</w:t>
      </w:r>
      <w:r>
        <w:rPr>
          <w:rFonts w:cstheme="minorHAnsi"/>
          <w:szCs w:val="24"/>
        </w:rPr>
        <w:t xml:space="preserve">tate and </w:t>
      </w:r>
      <w:r w:rsidR="009B75AF">
        <w:rPr>
          <w:rFonts w:cstheme="minorHAnsi"/>
          <w:szCs w:val="24"/>
        </w:rPr>
        <w:t>t</w:t>
      </w:r>
      <w:r>
        <w:rPr>
          <w:rFonts w:cstheme="minorHAnsi"/>
          <w:szCs w:val="24"/>
        </w:rPr>
        <w:t xml:space="preserve">erritory governments </w:t>
      </w:r>
      <w:r w:rsidR="00F72198">
        <w:rPr>
          <w:rFonts w:cstheme="minorHAnsi"/>
          <w:szCs w:val="24"/>
        </w:rPr>
        <w:t>on</w:t>
      </w:r>
      <w:r>
        <w:rPr>
          <w:rFonts w:cstheme="minorHAnsi"/>
          <w:szCs w:val="24"/>
        </w:rPr>
        <w:t xml:space="preserve"> the nature and extent of any harmonisation initiatives</w:t>
      </w:r>
      <w:r w:rsidR="00F91CAA">
        <w:rPr>
          <w:rFonts w:cstheme="minorHAnsi"/>
          <w:szCs w:val="24"/>
        </w:rPr>
        <w:t xml:space="preserve">. </w:t>
      </w:r>
      <w:r w:rsidR="00F72198">
        <w:rPr>
          <w:rFonts w:cstheme="minorHAnsi"/>
          <w:szCs w:val="24"/>
        </w:rPr>
        <w:t xml:space="preserve">Given </w:t>
      </w:r>
      <w:r>
        <w:rPr>
          <w:rFonts w:cstheme="minorHAnsi"/>
          <w:szCs w:val="24"/>
        </w:rPr>
        <w:t xml:space="preserve">this context, changes </w:t>
      </w:r>
      <w:r w:rsidR="00F72198">
        <w:rPr>
          <w:rFonts w:cstheme="minorHAnsi"/>
          <w:szCs w:val="24"/>
        </w:rPr>
        <w:t>to</w:t>
      </w:r>
      <w:r>
        <w:rPr>
          <w:rFonts w:cstheme="minorHAnsi"/>
          <w:szCs w:val="24"/>
        </w:rPr>
        <w:t xml:space="preserve"> the BCIIP</w:t>
      </w:r>
      <w:r w:rsidR="005523B8">
        <w:rPr>
          <w:rFonts w:cstheme="minorHAnsi"/>
          <w:szCs w:val="24"/>
        </w:rPr>
        <w:t> </w:t>
      </w:r>
      <w:r>
        <w:rPr>
          <w:rFonts w:cstheme="minorHAnsi"/>
          <w:szCs w:val="24"/>
        </w:rPr>
        <w:t xml:space="preserve">Act </w:t>
      </w:r>
      <w:r w:rsidR="00474824">
        <w:rPr>
          <w:rFonts w:cstheme="minorHAnsi"/>
          <w:szCs w:val="24"/>
        </w:rPr>
        <w:t>and 2016 Code</w:t>
      </w:r>
      <w:r w:rsidR="00E9213E" w:rsidRPr="00E732BC">
        <w:rPr>
          <w:rFonts w:cstheme="minorHAnsi"/>
          <w:szCs w:val="24"/>
        </w:rPr>
        <w:t xml:space="preserve"> </w:t>
      </w:r>
      <w:r w:rsidR="00F72198">
        <w:rPr>
          <w:rFonts w:cstheme="minorHAnsi"/>
          <w:szCs w:val="24"/>
        </w:rPr>
        <w:t xml:space="preserve">in this area </w:t>
      </w:r>
      <w:r>
        <w:rPr>
          <w:rFonts w:cstheme="minorHAnsi"/>
          <w:szCs w:val="24"/>
        </w:rPr>
        <w:t xml:space="preserve">should await clarification of the expected outcomes </w:t>
      </w:r>
      <w:r w:rsidR="00F72198">
        <w:rPr>
          <w:rFonts w:cstheme="minorHAnsi"/>
          <w:szCs w:val="24"/>
        </w:rPr>
        <w:t>of these discussions</w:t>
      </w:r>
      <w:r w:rsidR="009800AA">
        <w:rPr>
          <w:rFonts w:cstheme="minorHAnsi"/>
          <w:szCs w:val="24"/>
        </w:rPr>
        <w:t>.</w:t>
      </w:r>
    </w:p>
    <w:p w14:paraId="536D4F8F" w14:textId="77777777" w:rsidR="00181AAC" w:rsidRPr="009800AA" w:rsidRDefault="00181AAC" w:rsidP="00181AAC">
      <w:pPr>
        <w:pStyle w:val="Heading2"/>
        <w:keepNext/>
        <w:keepLines/>
        <w:pBdr>
          <w:top w:val="single" w:sz="4" w:space="1" w:color="auto"/>
          <w:bottom w:val="single" w:sz="4" w:space="1" w:color="auto"/>
        </w:pBdr>
        <w:shd w:val="clear" w:color="auto" w:fill="FBE4D5" w:themeFill="accent2" w:themeFillTint="33"/>
      </w:pPr>
      <w:bookmarkStart w:id="197" w:name="_Toc527633057"/>
      <w:r w:rsidRPr="009800AA">
        <w:t>Finding and recommendations</w:t>
      </w:r>
      <w:bookmarkEnd w:id="197"/>
    </w:p>
    <w:p w14:paraId="2391F878" w14:textId="77777777" w:rsidR="00181AAC" w:rsidRDefault="00181AAC" w:rsidP="00181AAC">
      <w:pPr>
        <w:keepNext/>
        <w:keepLines/>
        <w:pBdr>
          <w:top w:val="single" w:sz="4" w:space="1" w:color="auto"/>
          <w:bottom w:val="single" w:sz="4" w:space="1" w:color="auto"/>
        </w:pBdr>
        <w:shd w:val="clear" w:color="auto" w:fill="FBE4D5" w:themeFill="accent2" w:themeFillTint="33"/>
        <w:spacing w:before="120" w:after="120"/>
      </w:pPr>
      <w:r w:rsidRPr="00154456">
        <w:rPr>
          <w:b/>
        </w:rPr>
        <w:t>Finding:</w:t>
      </w:r>
      <w:r w:rsidRPr="00154456">
        <w:t xml:space="preserve"> </w:t>
      </w:r>
      <w:r w:rsidRPr="003B5987">
        <w:t>There is relatively limited support among stakeholders for the role of the ABCC in relation to security of pa</w:t>
      </w:r>
      <w:r>
        <w:t>yment matters. However, the ABC </w:t>
      </w:r>
      <w:r w:rsidRPr="003B5987">
        <w:t>Commissioner believes that the Security of Payments Working Group has, to date, worked effectively and achieved significant outcomes.</w:t>
      </w:r>
    </w:p>
    <w:p w14:paraId="31F5CD11" w14:textId="77777777" w:rsidR="00181AAC" w:rsidRDefault="00181AAC" w:rsidP="00181AAC">
      <w:pPr>
        <w:keepNext/>
        <w:keepLines/>
        <w:pBdr>
          <w:top w:val="single" w:sz="4" w:space="1" w:color="auto"/>
          <w:bottom w:val="single" w:sz="4" w:space="1" w:color="auto"/>
        </w:pBdr>
        <w:shd w:val="clear" w:color="auto" w:fill="FBE4D5" w:themeFill="accent2" w:themeFillTint="33"/>
        <w:spacing w:before="120" w:after="120"/>
      </w:pPr>
      <w:r>
        <w:rPr>
          <w:b/>
        </w:rPr>
        <w:t>Recommendation 5.4</w:t>
      </w:r>
      <w:r w:rsidRPr="00154456">
        <w:rPr>
          <w:b/>
        </w:rPr>
        <w:t>:</w:t>
      </w:r>
      <w:r w:rsidRPr="00154456">
        <w:t xml:space="preserve"> </w:t>
      </w:r>
      <w:r w:rsidRPr="003B5987">
        <w:t>That the ABCC should continue to cooperate systematically with state and territory government bodies responsible for administering and enforcing security of payments laws, particularly in terms of data and intelligence sharing.</w:t>
      </w:r>
    </w:p>
    <w:p w14:paraId="634AC5CB" w14:textId="3DC8C4DE" w:rsidR="00181AAC" w:rsidRDefault="00181AAC" w:rsidP="00181AAC">
      <w:pPr>
        <w:keepNext/>
        <w:keepLines/>
        <w:pBdr>
          <w:top w:val="single" w:sz="4" w:space="1" w:color="auto"/>
          <w:bottom w:val="single" w:sz="4" w:space="1" w:color="auto"/>
        </w:pBdr>
        <w:shd w:val="clear" w:color="auto" w:fill="FBE4D5" w:themeFill="accent2" w:themeFillTint="33"/>
        <w:spacing w:after="200" w:line="276" w:lineRule="auto"/>
        <w:rPr>
          <w:rFonts w:cstheme="minorHAnsi"/>
          <w:szCs w:val="24"/>
        </w:rPr>
      </w:pPr>
      <w:r>
        <w:rPr>
          <w:b/>
        </w:rPr>
        <w:t>Recommendation 5.5</w:t>
      </w:r>
      <w:r w:rsidRPr="00154456">
        <w:rPr>
          <w:b/>
        </w:rPr>
        <w:t>:</w:t>
      </w:r>
      <w:r w:rsidRPr="00154456">
        <w:t xml:space="preserve"> </w:t>
      </w:r>
      <w:r w:rsidRPr="003B5987">
        <w:t>That the Australian Government further consider the nature of the ABCC’s role in relation to any changes to security of payment arrangements, including in the context of its response to the Murray Review into this issue.</w:t>
      </w:r>
    </w:p>
    <w:bookmarkEnd w:id="152"/>
    <w:bookmarkEnd w:id="153"/>
    <w:p w14:paraId="48F8166A" w14:textId="3AFC3BC6" w:rsidR="009800AA" w:rsidRDefault="009800AA" w:rsidP="00C538AE"/>
    <w:p w14:paraId="798DDF69" w14:textId="77777777" w:rsidR="00181AAC" w:rsidRDefault="00181AAC" w:rsidP="00C538AE">
      <w:pPr>
        <w:sectPr w:rsidR="00181AAC" w:rsidSect="005B385F">
          <w:pgSz w:w="11906" w:h="16838" w:code="9"/>
          <w:pgMar w:top="1440" w:right="1440" w:bottom="1440" w:left="1440" w:header="709" w:footer="1009" w:gutter="0"/>
          <w:cols w:space="708"/>
          <w:docGrid w:linePitch="360"/>
        </w:sectPr>
      </w:pPr>
    </w:p>
    <w:p w14:paraId="7E18AB85" w14:textId="5F69F4EA" w:rsidR="008B186B" w:rsidRDefault="00DF0877" w:rsidP="00EF2A83">
      <w:pPr>
        <w:pStyle w:val="Heading1"/>
        <w:tabs>
          <w:tab w:val="left" w:pos="1843"/>
        </w:tabs>
      </w:pPr>
      <w:bookmarkStart w:id="198" w:name="_Toc523154954"/>
      <w:bookmarkStart w:id="199" w:name="_Toc527633058"/>
      <w:r>
        <w:lastRenderedPageBreak/>
        <w:t xml:space="preserve">Chapter </w:t>
      </w:r>
      <w:r w:rsidR="00EF2A83">
        <w:t>6:</w:t>
      </w:r>
      <w:r w:rsidR="00EF2A83">
        <w:tab/>
      </w:r>
      <w:r w:rsidR="004C6881">
        <w:t>Conclusions</w:t>
      </w:r>
      <w:bookmarkEnd w:id="198"/>
      <w:bookmarkEnd w:id="199"/>
    </w:p>
    <w:p w14:paraId="23ACD439" w14:textId="7D25E3D5" w:rsidR="00C43550" w:rsidRDefault="00916419" w:rsidP="009800AA">
      <w:pPr>
        <w:spacing w:before="200" w:after="200" w:line="276" w:lineRule="auto"/>
      </w:pPr>
      <w:r>
        <w:t xml:space="preserve">As </w:t>
      </w:r>
      <w:r w:rsidR="00F72198">
        <w:t>discussed above</w:t>
      </w:r>
      <w:r>
        <w:t>, both the requirement for the current review and its timing are mandated by Section</w:t>
      </w:r>
      <w:r w:rsidR="0099154A">
        <w:t> </w:t>
      </w:r>
      <w:r>
        <w:t>119A of the BCIIP</w:t>
      </w:r>
      <w:r w:rsidR="005523B8">
        <w:t> </w:t>
      </w:r>
      <w:r>
        <w:t>Act</w:t>
      </w:r>
      <w:r w:rsidR="00F91CAA">
        <w:t xml:space="preserve">. </w:t>
      </w:r>
      <w:r>
        <w:t xml:space="preserve">However, several stakeholders </w:t>
      </w:r>
      <w:r w:rsidR="00F72198">
        <w:t>argued</w:t>
      </w:r>
      <w:r>
        <w:t xml:space="preserve"> that the review </w:t>
      </w:r>
      <w:r w:rsidR="00F72198">
        <w:t xml:space="preserve">has been undertaken </w:t>
      </w:r>
      <w:r>
        <w:t xml:space="preserve">too soon after the commencement of the </w:t>
      </w:r>
      <w:r w:rsidR="009C70CC">
        <w:t>BCIIP</w:t>
      </w:r>
      <w:r w:rsidR="005523B8">
        <w:t> </w:t>
      </w:r>
      <w:r>
        <w:t>Act</w:t>
      </w:r>
      <w:r w:rsidR="00F91CAA">
        <w:t xml:space="preserve">. </w:t>
      </w:r>
      <w:r w:rsidR="00C43550">
        <w:t>T</w:t>
      </w:r>
      <w:r>
        <w:t>he ACCI argued that there have been few pieces of legislation that have been subject to such intense and protracted scrutiny as the BCIIP</w:t>
      </w:r>
      <w:r w:rsidR="005523B8">
        <w:t> </w:t>
      </w:r>
      <w:r>
        <w:t>Act and that only 18</w:t>
      </w:r>
      <w:r w:rsidR="00D1577D">
        <w:t> </w:t>
      </w:r>
      <w:r>
        <w:t>months have elapsed since the Senate Education and Employment Legislation Committee published the report of its inquiry i</w:t>
      </w:r>
      <w:r w:rsidR="00C43550">
        <w:t xml:space="preserve">nto the </w:t>
      </w:r>
      <w:r w:rsidR="00D1577D">
        <w:t>BCIIP </w:t>
      </w:r>
      <w:r w:rsidR="00C43550">
        <w:t>Bill</w:t>
      </w:r>
      <w:r w:rsidR="00F91CAA">
        <w:t xml:space="preserve">. </w:t>
      </w:r>
      <w:r w:rsidR="00C43550">
        <w:t>I</w:t>
      </w:r>
      <w:r w:rsidR="00F72198">
        <w:t xml:space="preserve">n this context, there is </w:t>
      </w:r>
      <w:r w:rsidR="00C43550">
        <w:t>no reason to modify the</w:t>
      </w:r>
      <w:r w:rsidR="009C70CC">
        <w:t xml:space="preserve"> BCIIP</w:t>
      </w:r>
      <w:r w:rsidR="005523B8">
        <w:t> </w:t>
      </w:r>
      <w:r w:rsidR="00C43550">
        <w:t>Act’s provisions at present.</w:t>
      </w:r>
    </w:p>
    <w:p w14:paraId="38565E22" w14:textId="069A1EF1" w:rsidR="00916419" w:rsidRDefault="00916419" w:rsidP="009800AA">
      <w:pPr>
        <w:spacing w:after="200" w:line="276" w:lineRule="auto"/>
        <w:rPr>
          <w:rFonts w:cstheme="minorHAnsi"/>
        </w:rPr>
      </w:pPr>
      <w:r w:rsidRPr="00916419">
        <w:rPr>
          <w:rFonts w:cstheme="minorHAnsi"/>
        </w:rPr>
        <w:t xml:space="preserve">A similar view was expressed </w:t>
      </w:r>
      <w:r w:rsidR="00F72198">
        <w:rPr>
          <w:rFonts w:cstheme="minorHAnsi"/>
        </w:rPr>
        <w:t>by the</w:t>
      </w:r>
      <w:r w:rsidRPr="00916419">
        <w:rPr>
          <w:rFonts w:cstheme="minorHAnsi"/>
        </w:rPr>
        <w:t xml:space="preserve"> MBA</w:t>
      </w:r>
      <w:r w:rsidR="00F91CAA">
        <w:rPr>
          <w:rFonts w:cstheme="minorHAnsi"/>
        </w:rPr>
        <w:t xml:space="preserve">. </w:t>
      </w:r>
      <w:r w:rsidR="00A57D05">
        <w:rPr>
          <w:rFonts w:cstheme="minorHAnsi"/>
        </w:rPr>
        <w:t>It</w:t>
      </w:r>
      <w:r w:rsidR="007C7BC1">
        <w:rPr>
          <w:rFonts w:cstheme="minorHAnsi"/>
        </w:rPr>
        <w:t xml:space="preserve"> noted that the </w:t>
      </w:r>
      <w:r w:rsidR="00921484">
        <w:rPr>
          <w:rFonts w:cstheme="minorHAnsi"/>
        </w:rPr>
        <w:t>t</w:t>
      </w:r>
      <w:r w:rsidR="007C7BC1">
        <w:rPr>
          <w:rFonts w:cstheme="minorHAnsi"/>
        </w:rPr>
        <w:t xml:space="preserve">erms of </w:t>
      </w:r>
      <w:r w:rsidR="00921484">
        <w:rPr>
          <w:rFonts w:cstheme="minorHAnsi"/>
        </w:rPr>
        <w:t>r</w:t>
      </w:r>
      <w:r w:rsidR="007C7BC1">
        <w:rPr>
          <w:rFonts w:cstheme="minorHAnsi"/>
        </w:rPr>
        <w:t xml:space="preserve">eference deal with matters about which there </w:t>
      </w:r>
      <w:r w:rsidR="009471F2">
        <w:rPr>
          <w:rFonts w:cstheme="minorHAnsi"/>
        </w:rPr>
        <w:t xml:space="preserve">is </w:t>
      </w:r>
      <w:r w:rsidR="007C7BC1">
        <w:rPr>
          <w:rFonts w:cstheme="minorHAnsi"/>
        </w:rPr>
        <w:t>likely to be limited eviden</w:t>
      </w:r>
      <w:r w:rsidR="00A57D05">
        <w:rPr>
          <w:rFonts w:cstheme="minorHAnsi"/>
        </w:rPr>
        <w:t>ce</w:t>
      </w:r>
      <w:r w:rsidR="007C7BC1">
        <w:rPr>
          <w:rFonts w:cstheme="minorHAnsi"/>
        </w:rPr>
        <w:t xml:space="preserve"> at present</w:t>
      </w:r>
      <w:r w:rsidR="00A57D05">
        <w:rPr>
          <w:rFonts w:cstheme="minorHAnsi"/>
        </w:rPr>
        <w:t xml:space="preserve"> and </w:t>
      </w:r>
      <w:r w:rsidR="007C7BC1">
        <w:rPr>
          <w:rFonts w:cstheme="minorHAnsi"/>
        </w:rPr>
        <w:t>counselled against the review forming firm conclusions on many of these matters</w:t>
      </w:r>
      <w:r w:rsidR="00F91CAA">
        <w:rPr>
          <w:rFonts w:cstheme="minorHAnsi"/>
        </w:rPr>
        <w:t xml:space="preserve">. </w:t>
      </w:r>
      <w:r w:rsidR="007C7BC1">
        <w:rPr>
          <w:rFonts w:cstheme="minorHAnsi"/>
        </w:rPr>
        <w:t>I</w:t>
      </w:r>
      <w:r w:rsidR="00A57D05">
        <w:rPr>
          <w:rFonts w:cstheme="minorHAnsi"/>
        </w:rPr>
        <w:t>nstead, it</w:t>
      </w:r>
      <w:r w:rsidR="007C7BC1">
        <w:rPr>
          <w:rFonts w:cstheme="minorHAnsi"/>
        </w:rPr>
        <w:t xml:space="preserve"> </w:t>
      </w:r>
      <w:r w:rsidRPr="00916419">
        <w:rPr>
          <w:rFonts w:cstheme="minorHAnsi"/>
        </w:rPr>
        <w:t xml:space="preserve">recommended that a review </w:t>
      </w:r>
      <w:r w:rsidR="007C7BC1">
        <w:rPr>
          <w:rFonts w:cstheme="minorHAnsi"/>
        </w:rPr>
        <w:t xml:space="preserve">with similar terms of reference should be undertaken </w:t>
      </w:r>
      <w:r w:rsidR="00A57D05">
        <w:rPr>
          <w:rFonts w:cstheme="minorHAnsi"/>
        </w:rPr>
        <w:t>in the future</w:t>
      </w:r>
      <w:r w:rsidR="007C7BC1">
        <w:rPr>
          <w:rFonts w:cstheme="minorHAnsi"/>
        </w:rPr>
        <w:t>,</w:t>
      </w:r>
      <w:r w:rsidRPr="00916419">
        <w:rPr>
          <w:rFonts w:cstheme="minorHAnsi"/>
        </w:rPr>
        <w:t xml:space="preserve"> when more data and experience with </w:t>
      </w:r>
      <w:r w:rsidR="007C7BC1">
        <w:rPr>
          <w:rFonts w:cstheme="minorHAnsi"/>
        </w:rPr>
        <w:t xml:space="preserve">the </w:t>
      </w:r>
      <w:r w:rsidR="009C70CC">
        <w:rPr>
          <w:rFonts w:cstheme="minorHAnsi"/>
        </w:rPr>
        <w:t>BCIIP</w:t>
      </w:r>
      <w:r w:rsidR="005523B8">
        <w:rPr>
          <w:rFonts w:cstheme="minorHAnsi"/>
        </w:rPr>
        <w:t> </w:t>
      </w:r>
      <w:r w:rsidR="007C7BC1">
        <w:rPr>
          <w:rFonts w:cstheme="minorHAnsi"/>
        </w:rPr>
        <w:t xml:space="preserve">Act, including the exercise by </w:t>
      </w:r>
      <w:r w:rsidR="005F7741">
        <w:rPr>
          <w:rFonts w:cstheme="minorHAnsi"/>
        </w:rPr>
        <w:t xml:space="preserve">the </w:t>
      </w:r>
      <w:r w:rsidR="007C7BC1">
        <w:rPr>
          <w:rFonts w:cstheme="minorHAnsi"/>
        </w:rPr>
        <w:t xml:space="preserve">ABCC and </w:t>
      </w:r>
      <w:r w:rsidR="009471F2">
        <w:rPr>
          <w:rFonts w:cstheme="minorHAnsi"/>
        </w:rPr>
        <w:t xml:space="preserve">the </w:t>
      </w:r>
      <w:r w:rsidR="007C7BC1">
        <w:rPr>
          <w:rFonts w:cstheme="minorHAnsi"/>
        </w:rPr>
        <w:t xml:space="preserve">FSC of their </w:t>
      </w:r>
      <w:r w:rsidRPr="00916419">
        <w:rPr>
          <w:rFonts w:cstheme="minorHAnsi"/>
        </w:rPr>
        <w:t>additional functions</w:t>
      </w:r>
      <w:r w:rsidR="007C7BC1">
        <w:rPr>
          <w:rFonts w:cstheme="minorHAnsi"/>
        </w:rPr>
        <w:t>, had become available.</w:t>
      </w:r>
    </w:p>
    <w:p w14:paraId="39147FFF" w14:textId="0F65589A" w:rsidR="007C7BC1" w:rsidRDefault="000F63D7" w:rsidP="009800AA">
      <w:pPr>
        <w:spacing w:after="200" w:line="276" w:lineRule="auto"/>
        <w:rPr>
          <w:rFonts w:cstheme="minorHAnsi"/>
        </w:rPr>
      </w:pPr>
      <w:r>
        <w:rPr>
          <w:rFonts w:cstheme="minorHAnsi"/>
        </w:rPr>
        <w:t xml:space="preserve">The </w:t>
      </w:r>
      <w:r w:rsidR="00921484">
        <w:rPr>
          <w:rFonts w:cstheme="minorHAnsi"/>
        </w:rPr>
        <w:t>t</w:t>
      </w:r>
      <w:r>
        <w:rPr>
          <w:rFonts w:cstheme="minorHAnsi"/>
        </w:rPr>
        <w:t xml:space="preserve">erms of </w:t>
      </w:r>
      <w:r w:rsidR="00921484">
        <w:rPr>
          <w:rFonts w:cstheme="minorHAnsi"/>
        </w:rPr>
        <w:t>r</w:t>
      </w:r>
      <w:r>
        <w:rPr>
          <w:rFonts w:cstheme="minorHAnsi"/>
        </w:rPr>
        <w:t xml:space="preserve">eference for the review are relatively narrow and specific; </w:t>
      </w:r>
      <w:r w:rsidR="00A57D05">
        <w:rPr>
          <w:rFonts w:cstheme="minorHAnsi"/>
        </w:rPr>
        <w:t>indeed,</w:t>
      </w:r>
      <w:r>
        <w:rPr>
          <w:rFonts w:cstheme="minorHAnsi"/>
        </w:rPr>
        <w:t xml:space="preserve"> </w:t>
      </w:r>
      <w:r w:rsidR="00DC423D">
        <w:rPr>
          <w:rFonts w:cstheme="minorHAnsi"/>
        </w:rPr>
        <w:t xml:space="preserve">both </w:t>
      </w:r>
      <w:r>
        <w:rPr>
          <w:rFonts w:cstheme="minorHAnsi"/>
        </w:rPr>
        <w:t xml:space="preserve">the AWU submission </w:t>
      </w:r>
      <w:r w:rsidR="00DC423D">
        <w:rPr>
          <w:rFonts w:cstheme="minorHAnsi"/>
        </w:rPr>
        <w:t xml:space="preserve">and the correspondence received from the </w:t>
      </w:r>
      <w:r w:rsidR="00BF12EF" w:rsidRPr="00BF12EF">
        <w:rPr>
          <w:rFonts w:cstheme="minorHAnsi"/>
        </w:rPr>
        <w:t>Construction, Forestry, Maritime, Mining and Energy Union (CFMMEU)</w:t>
      </w:r>
      <w:r w:rsidR="00DC423D">
        <w:rPr>
          <w:rStyle w:val="FootnoteReference"/>
          <w:rFonts w:cstheme="minorHAnsi"/>
        </w:rPr>
        <w:footnoteReference w:id="91"/>
      </w:r>
      <w:r w:rsidR="00DC423D">
        <w:rPr>
          <w:rFonts w:cstheme="minorHAnsi"/>
        </w:rPr>
        <w:t xml:space="preserve"> </w:t>
      </w:r>
      <w:r>
        <w:rPr>
          <w:rFonts w:cstheme="minorHAnsi"/>
        </w:rPr>
        <w:t xml:space="preserve">argue that they are narrower than </w:t>
      </w:r>
      <w:r w:rsidR="00A57D05">
        <w:rPr>
          <w:rFonts w:cstheme="minorHAnsi"/>
        </w:rPr>
        <w:t>what is</w:t>
      </w:r>
      <w:r>
        <w:rPr>
          <w:rFonts w:cstheme="minorHAnsi"/>
        </w:rPr>
        <w:t xml:space="preserve"> required by </w:t>
      </w:r>
      <w:r w:rsidR="005F4CFD">
        <w:rPr>
          <w:rFonts w:cstheme="minorHAnsi"/>
        </w:rPr>
        <w:t>s</w:t>
      </w:r>
      <w:r>
        <w:rPr>
          <w:rFonts w:cstheme="minorHAnsi"/>
        </w:rPr>
        <w:t>ection</w:t>
      </w:r>
      <w:r w:rsidR="0099154A">
        <w:rPr>
          <w:rFonts w:cstheme="minorHAnsi"/>
        </w:rPr>
        <w:t> </w:t>
      </w:r>
      <w:r>
        <w:rPr>
          <w:rFonts w:cstheme="minorHAnsi"/>
        </w:rPr>
        <w:t xml:space="preserve">119A of the </w:t>
      </w:r>
      <w:r w:rsidR="009C70CC">
        <w:rPr>
          <w:rFonts w:cstheme="minorHAnsi"/>
        </w:rPr>
        <w:t>BCIIP</w:t>
      </w:r>
      <w:r w:rsidR="005523B8">
        <w:rPr>
          <w:rFonts w:cstheme="minorHAnsi"/>
        </w:rPr>
        <w:t> </w:t>
      </w:r>
      <w:r>
        <w:rPr>
          <w:rFonts w:cstheme="minorHAnsi"/>
        </w:rPr>
        <w:t>Act</w:t>
      </w:r>
      <w:r w:rsidR="00F91CAA">
        <w:rPr>
          <w:rFonts w:cstheme="minorHAnsi"/>
        </w:rPr>
        <w:t xml:space="preserve">. </w:t>
      </w:r>
      <w:r>
        <w:rPr>
          <w:rFonts w:cstheme="minorHAnsi"/>
        </w:rPr>
        <w:t>Th</w:t>
      </w:r>
      <w:r w:rsidR="00A57D05">
        <w:rPr>
          <w:rFonts w:cstheme="minorHAnsi"/>
        </w:rPr>
        <w:t>e formulation of the terms of reference</w:t>
      </w:r>
      <w:r w:rsidR="002A261D">
        <w:rPr>
          <w:rFonts w:cstheme="minorHAnsi"/>
        </w:rPr>
        <w:t xml:space="preserve"> may reflect recognition that the review is being undertaken at an early stage of the</w:t>
      </w:r>
      <w:r w:rsidR="009C70CC" w:rsidRPr="009C70CC">
        <w:rPr>
          <w:rFonts w:cstheme="minorHAnsi"/>
        </w:rPr>
        <w:t xml:space="preserve"> BCIIP</w:t>
      </w:r>
      <w:r w:rsidR="005523B8">
        <w:rPr>
          <w:rFonts w:cstheme="minorHAnsi"/>
        </w:rPr>
        <w:t> </w:t>
      </w:r>
      <w:r w:rsidR="002A261D">
        <w:rPr>
          <w:rFonts w:cstheme="minorHAnsi"/>
        </w:rPr>
        <w:t xml:space="preserve">Act’s operation and a desire to focus the review on addressing </w:t>
      </w:r>
      <w:r w:rsidR="00DC423D">
        <w:rPr>
          <w:rFonts w:cstheme="minorHAnsi"/>
        </w:rPr>
        <w:t>matters</w:t>
      </w:r>
      <w:r w:rsidR="002A261D">
        <w:rPr>
          <w:rFonts w:cstheme="minorHAnsi"/>
        </w:rPr>
        <w:t xml:space="preserve"> that are </w:t>
      </w:r>
      <w:r w:rsidR="00DC423D">
        <w:rPr>
          <w:rFonts w:cstheme="minorHAnsi"/>
        </w:rPr>
        <w:t xml:space="preserve">reasonably </w:t>
      </w:r>
      <w:r w:rsidR="002A261D">
        <w:rPr>
          <w:rFonts w:cstheme="minorHAnsi"/>
        </w:rPr>
        <w:t xml:space="preserve">capable of assessment at this </w:t>
      </w:r>
      <w:r w:rsidR="00A57D05">
        <w:rPr>
          <w:rFonts w:cstheme="minorHAnsi"/>
        </w:rPr>
        <w:t xml:space="preserve">early </w:t>
      </w:r>
      <w:r w:rsidR="002A261D">
        <w:rPr>
          <w:rFonts w:cstheme="minorHAnsi"/>
        </w:rPr>
        <w:t>stage</w:t>
      </w:r>
      <w:r w:rsidR="00F91CAA">
        <w:rPr>
          <w:rFonts w:cstheme="minorHAnsi"/>
        </w:rPr>
        <w:t xml:space="preserve">. </w:t>
      </w:r>
      <w:r w:rsidR="002A261D">
        <w:rPr>
          <w:rFonts w:cstheme="minorHAnsi"/>
        </w:rPr>
        <w:t>However, as the above discussion indicates, evidence in relation to several terms of reference remains scant.</w:t>
      </w:r>
    </w:p>
    <w:p w14:paraId="411B0CB4" w14:textId="38B5D66D" w:rsidR="002A261D" w:rsidRDefault="002A261D" w:rsidP="009800AA">
      <w:pPr>
        <w:spacing w:after="200" w:line="276" w:lineRule="auto"/>
        <w:rPr>
          <w:rFonts w:cstheme="minorHAnsi"/>
        </w:rPr>
      </w:pPr>
      <w:r>
        <w:rPr>
          <w:rFonts w:cstheme="minorHAnsi"/>
        </w:rPr>
        <w:t xml:space="preserve">In this context, the review believes that a cautious approach should be taken to the question of amending the </w:t>
      </w:r>
      <w:r w:rsidR="009C70CC">
        <w:rPr>
          <w:rFonts w:cstheme="minorHAnsi"/>
        </w:rPr>
        <w:t>BCIIP</w:t>
      </w:r>
      <w:r w:rsidR="00AC328B">
        <w:rPr>
          <w:rFonts w:cstheme="minorHAnsi"/>
        </w:rPr>
        <w:t> </w:t>
      </w:r>
      <w:r>
        <w:rPr>
          <w:rFonts w:cstheme="minorHAnsi"/>
        </w:rPr>
        <w:t xml:space="preserve">Act and </w:t>
      </w:r>
      <w:r w:rsidR="00AC328B">
        <w:rPr>
          <w:rFonts w:cstheme="minorHAnsi"/>
        </w:rPr>
        <w:t>2016 </w:t>
      </w:r>
      <w:r>
        <w:rPr>
          <w:rFonts w:cstheme="minorHAnsi"/>
        </w:rPr>
        <w:t>Code</w:t>
      </w:r>
      <w:r w:rsidR="00F91CAA">
        <w:rPr>
          <w:rFonts w:cstheme="minorHAnsi"/>
        </w:rPr>
        <w:t xml:space="preserve">. </w:t>
      </w:r>
      <w:r w:rsidR="00DC423D">
        <w:rPr>
          <w:rFonts w:cstheme="minorHAnsi"/>
        </w:rPr>
        <w:t>F</w:t>
      </w:r>
      <w:r>
        <w:rPr>
          <w:rFonts w:cstheme="minorHAnsi"/>
        </w:rPr>
        <w:t xml:space="preserve">requent legislative change has occurred in this field in recent years, with associated costs for industry participants </w:t>
      </w:r>
      <w:r w:rsidR="003B3BFA">
        <w:rPr>
          <w:rFonts w:cstheme="minorHAnsi"/>
        </w:rPr>
        <w:t>in</w:t>
      </w:r>
      <w:r>
        <w:rPr>
          <w:rFonts w:cstheme="minorHAnsi"/>
        </w:rPr>
        <w:t xml:space="preserve"> keep</w:t>
      </w:r>
      <w:r w:rsidR="003B3BFA">
        <w:rPr>
          <w:rFonts w:cstheme="minorHAnsi"/>
        </w:rPr>
        <w:t>ing</w:t>
      </w:r>
      <w:r>
        <w:rPr>
          <w:rFonts w:cstheme="minorHAnsi"/>
        </w:rPr>
        <w:t xml:space="preserve"> up to date with their legislative obligations</w:t>
      </w:r>
      <w:r w:rsidR="00F91CAA">
        <w:rPr>
          <w:rFonts w:cstheme="minorHAnsi"/>
        </w:rPr>
        <w:t xml:space="preserve">. </w:t>
      </w:r>
      <w:r w:rsidR="003B3BFA">
        <w:rPr>
          <w:rFonts w:cstheme="minorHAnsi"/>
        </w:rPr>
        <w:t xml:space="preserve">Moreover, </w:t>
      </w:r>
      <w:r>
        <w:rPr>
          <w:rFonts w:cstheme="minorHAnsi"/>
        </w:rPr>
        <w:t>most submissions received from stakeholders expressed a desire for the current provisions to remain in force, at least in the medium term</w:t>
      </w:r>
      <w:r w:rsidR="00F91CAA">
        <w:rPr>
          <w:rFonts w:cstheme="minorHAnsi"/>
        </w:rPr>
        <w:t xml:space="preserve">. </w:t>
      </w:r>
      <w:r>
        <w:rPr>
          <w:rFonts w:cstheme="minorHAnsi"/>
        </w:rPr>
        <w:t xml:space="preserve">Even where </w:t>
      </w:r>
      <w:r w:rsidR="003B3BFA">
        <w:rPr>
          <w:rFonts w:cstheme="minorHAnsi"/>
        </w:rPr>
        <w:t>a</w:t>
      </w:r>
      <w:r>
        <w:rPr>
          <w:rFonts w:cstheme="minorHAnsi"/>
        </w:rPr>
        <w:t xml:space="preserve"> need for changes </w:t>
      </w:r>
      <w:r w:rsidR="003B3BFA">
        <w:rPr>
          <w:rFonts w:cstheme="minorHAnsi"/>
        </w:rPr>
        <w:t>was</w:t>
      </w:r>
      <w:r>
        <w:rPr>
          <w:rFonts w:cstheme="minorHAnsi"/>
        </w:rPr>
        <w:t xml:space="preserve"> suggested,</w:t>
      </w:r>
      <w:r w:rsidR="00E20F1E">
        <w:rPr>
          <w:rFonts w:cstheme="minorHAnsi"/>
        </w:rPr>
        <w:t xml:space="preserve"> as in the case of the MBA,</w:t>
      </w:r>
      <w:r>
        <w:rPr>
          <w:rFonts w:cstheme="minorHAnsi"/>
        </w:rPr>
        <w:t xml:space="preserve"> it was </w:t>
      </w:r>
      <w:r w:rsidR="00A57D05">
        <w:rPr>
          <w:rFonts w:cstheme="minorHAnsi"/>
        </w:rPr>
        <w:t xml:space="preserve">often expressed </w:t>
      </w:r>
      <w:r w:rsidR="00E20F1E">
        <w:rPr>
          <w:rFonts w:cstheme="minorHAnsi"/>
        </w:rPr>
        <w:t>in the context of a preference for decisions to be delayed until further experience with the operation of the</w:t>
      </w:r>
      <w:r w:rsidR="009C70CC">
        <w:rPr>
          <w:rFonts w:cstheme="minorHAnsi"/>
        </w:rPr>
        <w:t xml:space="preserve"> BCIIP</w:t>
      </w:r>
      <w:r w:rsidR="005523B8">
        <w:rPr>
          <w:rFonts w:cstheme="minorHAnsi"/>
        </w:rPr>
        <w:t> </w:t>
      </w:r>
      <w:r w:rsidR="00E20F1E">
        <w:rPr>
          <w:rFonts w:cstheme="minorHAnsi"/>
        </w:rPr>
        <w:t>Act had been concluded</w:t>
      </w:r>
      <w:r w:rsidR="00F91CAA">
        <w:rPr>
          <w:rFonts w:cstheme="minorHAnsi"/>
        </w:rPr>
        <w:t xml:space="preserve">. </w:t>
      </w:r>
    </w:p>
    <w:p w14:paraId="6DACA872" w14:textId="372A718C" w:rsidR="00E20F1E" w:rsidRDefault="003875A1" w:rsidP="009800AA">
      <w:pPr>
        <w:spacing w:after="200" w:line="276" w:lineRule="auto"/>
        <w:rPr>
          <w:rFonts w:cstheme="minorHAnsi"/>
        </w:rPr>
      </w:pPr>
      <w:r>
        <w:rPr>
          <w:rFonts w:cstheme="minorHAnsi"/>
        </w:rPr>
        <w:t xml:space="preserve">The recommendations contained in the preceding </w:t>
      </w:r>
      <w:r w:rsidR="00DF0877">
        <w:rPr>
          <w:rFonts w:cstheme="minorHAnsi"/>
        </w:rPr>
        <w:t xml:space="preserve">chapters </w:t>
      </w:r>
      <w:r>
        <w:rPr>
          <w:rFonts w:cstheme="minorHAnsi"/>
        </w:rPr>
        <w:t xml:space="preserve">are, therefore, limited in extent and focus on addressing areas </w:t>
      </w:r>
      <w:r w:rsidR="00A57D05">
        <w:rPr>
          <w:rFonts w:cstheme="minorHAnsi"/>
        </w:rPr>
        <w:t>where</w:t>
      </w:r>
      <w:r>
        <w:rPr>
          <w:rFonts w:cstheme="minorHAnsi"/>
        </w:rPr>
        <w:t xml:space="preserve"> there appears to be sufficient evidence of potential to improve key aspects of the</w:t>
      </w:r>
      <w:r w:rsidR="009C70CC">
        <w:rPr>
          <w:rFonts w:cstheme="minorHAnsi"/>
        </w:rPr>
        <w:t xml:space="preserve"> BCIIP</w:t>
      </w:r>
      <w:r w:rsidR="00AC328B">
        <w:rPr>
          <w:rFonts w:cstheme="minorHAnsi"/>
        </w:rPr>
        <w:t> </w:t>
      </w:r>
      <w:r>
        <w:rPr>
          <w:rFonts w:cstheme="minorHAnsi"/>
        </w:rPr>
        <w:t xml:space="preserve">Act, the </w:t>
      </w:r>
      <w:r w:rsidR="00AC328B">
        <w:rPr>
          <w:rFonts w:cstheme="minorHAnsi"/>
        </w:rPr>
        <w:t>2016 </w:t>
      </w:r>
      <w:r>
        <w:rPr>
          <w:rFonts w:cstheme="minorHAnsi"/>
        </w:rPr>
        <w:t>Code or the practice of relevant parties in relation to their implementation</w:t>
      </w:r>
      <w:r w:rsidR="00F91CAA">
        <w:rPr>
          <w:rFonts w:cstheme="minorHAnsi"/>
        </w:rPr>
        <w:t xml:space="preserve">. </w:t>
      </w:r>
      <w:r w:rsidR="003B3BFA">
        <w:rPr>
          <w:rFonts w:cstheme="minorHAnsi"/>
        </w:rPr>
        <w:t>In many cases, the recommend</w:t>
      </w:r>
      <w:r w:rsidR="00A57D05">
        <w:rPr>
          <w:rFonts w:cstheme="minorHAnsi"/>
        </w:rPr>
        <w:t>ation is</w:t>
      </w:r>
      <w:r w:rsidR="003B3BFA">
        <w:rPr>
          <w:rFonts w:cstheme="minorHAnsi"/>
        </w:rPr>
        <w:t xml:space="preserve"> that issues continue to be monitored with a view to future consideration of the potential need for legislative change.</w:t>
      </w:r>
    </w:p>
    <w:p w14:paraId="7252C9DE" w14:textId="77777777" w:rsidR="009800AA" w:rsidRDefault="009800AA" w:rsidP="009800AA">
      <w:pPr>
        <w:spacing w:after="200" w:line="276" w:lineRule="auto"/>
        <w:rPr>
          <w:rFonts w:cstheme="minorHAnsi"/>
        </w:rPr>
      </w:pPr>
    </w:p>
    <w:p w14:paraId="3385542B" w14:textId="77777777" w:rsidR="009800AA" w:rsidRDefault="009800AA" w:rsidP="009800AA">
      <w:pPr>
        <w:spacing w:after="200" w:line="276" w:lineRule="auto"/>
        <w:rPr>
          <w:rFonts w:cstheme="minorHAnsi"/>
        </w:rPr>
        <w:sectPr w:rsidR="009800AA" w:rsidSect="005B385F">
          <w:pgSz w:w="11906" w:h="16838" w:code="9"/>
          <w:pgMar w:top="1440" w:right="1440" w:bottom="1440" w:left="1440" w:header="709" w:footer="1009" w:gutter="0"/>
          <w:cols w:space="708"/>
          <w:docGrid w:linePitch="360"/>
        </w:sectPr>
      </w:pPr>
    </w:p>
    <w:p w14:paraId="19115AD4" w14:textId="769AA4EE" w:rsidR="00917ABF" w:rsidRDefault="00917ABF" w:rsidP="00EF2A83">
      <w:pPr>
        <w:pStyle w:val="Heading1"/>
        <w:tabs>
          <w:tab w:val="left" w:pos="567"/>
        </w:tabs>
      </w:pPr>
      <w:bookmarkStart w:id="200" w:name="_Toc523154955"/>
      <w:bookmarkStart w:id="201" w:name="_Toc527633059"/>
      <w:r>
        <w:lastRenderedPageBreak/>
        <w:t>Consultation</w:t>
      </w:r>
      <w:bookmarkEnd w:id="200"/>
      <w:bookmarkEnd w:id="201"/>
    </w:p>
    <w:p w14:paraId="3787FCB0" w14:textId="22372500" w:rsidR="00917ABF" w:rsidRDefault="00917ABF" w:rsidP="009800AA">
      <w:pPr>
        <w:spacing w:before="200" w:after="200" w:line="276" w:lineRule="auto"/>
      </w:pPr>
      <w:r>
        <w:t>The review was undertaken between February and June</w:t>
      </w:r>
      <w:r w:rsidR="009471F2">
        <w:t> </w:t>
      </w:r>
      <w:r>
        <w:t>2018</w:t>
      </w:r>
      <w:r w:rsidR="009471F2">
        <w:t>.</w:t>
      </w:r>
      <w:r>
        <w:rPr>
          <w:rStyle w:val="FootnoteReference"/>
        </w:rPr>
        <w:footnoteReference w:id="92"/>
      </w:r>
      <w:r w:rsidR="00F91CAA">
        <w:t xml:space="preserve"> </w:t>
      </w:r>
      <w:r w:rsidR="00A57D05">
        <w:t>Given</w:t>
      </w:r>
      <w:r>
        <w:t xml:space="preserve"> the limited time available to complete the review, consultation was </w:t>
      </w:r>
      <w:r w:rsidR="004F1A63">
        <w:t xml:space="preserve">primarily </w:t>
      </w:r>
      <w:r>
        <w:t xml:space="preserve">undertaken via peak representative bodies. Letters were sent to a range of </w:t>
      </w:r>
      <w:r w:rsidR="004F1A63">
        <w:t xml:space="preserve">peak </w:t>
      </w:r>
      <w:r>
        <w:t>bodies</w:t>
      </w:r>
      <w:r w:rsidR="004F1A63">
        <w:t xml:space="preserve"> and relevant government agencies</w:t>
      </w:r>
      <w:r>
        <w:t xml:space="preserve"> in early March</w:t>
      </w:r>
      <w:r w:rsidR="009471F2">
        <w:t> </w:t>
      </w:r>
      <w:r>
        <w:t>2018, advising them that the review had commenced, providing a copy of the terms of reference and inviting them to provide a written submission on behalf of their members</w:t>
      </w:r>
      <w:r w:rsidR="00F91CAA">
        <w:t xml:space="preserve">. </w:t>
      </w:r>
      <w:r>
        <w:t>Stakeholders were also invited to indicate whether they wished to be consulted directly following the receipt of written submissions</w:t>
      </w:r>
      <w:r w:rsidR="00F91CAA">
        <w:t xml:space="preserve">. </w:t>
      </w:r>
    </w:p>
    <w:p w14:paraId="4DB6F4B5" w14:textId="77777777" w:rsidR="00917ABF" w:rsidRDefault="00917ABF" w:rsidP="009800AA">
      <w:pPr>
        <w:spacing w:after="200" w:line="276" w:lineRule="auto"/>
      </w:pPr>
      <w:r>
        <w:t>Written submissions were received from the following organisations:</w:t>
      </w:r>
    </w:p>
    <w:p w14:paraId="732F860C" w14:textId="695010E6" w:rsidR="00917ABF" w:rsidRDefault="00882F8D" w:rsidP="004F647D">
      <w:pPr>
        <w:pStyle w:val="ListBullet"/>
        <w:numPr>
          <w:ilvl w:val="0"/>
          <w:numId w:val="9"/>
        </w:numPr>
        <w:ind w:left="360"/>
      </w:pPr>
      <w:r>
        <w:t>Australian C</w:t>
      </w:r>
      <w:r w:rsidR="009800AA">
        <w:t>hamber of Commerce and Industry</w:t>
      </w:r>
    </w:p>
    <w:p w14:paraId="013677CB" w14:textId="7B630A91" w:rsidR="00882F8D" w:rsidRDefault="00882F8D" w:rsidP="004F647D">
      <w:pPr>
        <w:pStyle w:val="ListBullet"/>
        <w:numPr>
          <w:ilvl w:val="0"/>
          <w:numId w:val="9"/>
        </w:numPr>
        <w:ind w:left="360"/>
      </w:pPr>
      <w:r>
        <w:t xml:space="preserve">Australian Council of </w:t>
      </w:r>
      <w:r w:rsidR="004F1A63">
        <w:t xml:space="preserve">Trade </w:t>
      </w:r>
      <w:r w:rsidR="009800AA">
        <w:t>Unions</w:t>
      </w:r>
    </w:p>
    <w:p w14:paraId="219E5CEC" w14:textId="7F7A33FE" w:rsidR="00882F8D" w:rsidRDefault="009800AA" w:rsidP="004F647D">
      <w:pPr>
        <w:pStyle w:val="ListBullet"/>
        <w:numPr>
          <w:ilvl w:val="0"/>
          <w:numId w:val="9"/>
        </w:numPr>
        <w:ind w:left="360"/>
      </w:pPr>
      <w:r>
        <w:t>Australian Industry Group</w:t>
      </w:r>
    </w:p>
    <w:p w14:paraId="535F89B9" w14:textId="5AFE2E05" w:rsidR="00882F8D" w:rsidRDefault="00882F8D" w:rsidP="004F647D">
      <w:pPr>
        <w:pStyle w:val="ListBullet"/>
        <w:numPr>
          <w:ilvl w:val="0"/>
          <w:numId w:val="9"/>
        </w:numPr>
        <w:ind w:left="360"/>
      </w:pPr>
      <w:r>
        <w:t xml:space="preserve">Australian </w:t>
      </w:r>
      <w:r w:rsidR="009800AA">
        <w:t>Minerals and Metals Association</w:t>
      </w:r>
    </w:p>
    <w:p w14:paraId="13336832" w14:textId="28103366" w:rsidR="00882F8D" w:rsidRDefault="009800AA" w:rsidP="004F647D">
      <w:pPr>
        <w:pStyle w:val="ListBullet"/>
        <w:numPr>
          <w:ilvl w:val="0"/>
          <w:numId w:val="9"/>
        </w:numPr>
        <w:ind w:left="360"/>
      </w:pPr>
      <w:r>
        <w:t>Australian Workers Union</w:t>
      </w:r>
    </w:p>
    <w:p w14:paraId="36310A33" w14:textId="1E0AE906" w:rsidR="004F1A63" w:rsidRDefault="009800AA" w:rsidP="004F647D">
      <w:pPr>
        <w:pStyle w:val="ListBullet"/>
        <w:numPr>
          <w:ilvl w:val="0"/>
          <w:numId w:val="9"/>
        </w:numPr>
        <w:ind w:left="360"/>
      </w:pPr>
      <w:r>
        <w:t>Commonwealth Ombudsman</w:t>
      </w:r>
    </w:p>
    <w:p w14:paraId="12611DAC" w14:textId="73211AE6" w:rsidR="004F1A63" w:rsidRDefault="009800AA" w:rsidP="004F647D">
      <w:pPr>
        <w:pStyle w:val="ListBullet"/>
        <w:numPr>
          <w:ilvl w:val="0"/>
          <w:numId w:val="9"/>
        </w:numPr>
        <w:ind w:left="360"/>
      </w:pPr>
      <w:r>
        <w:t>Housing Industry Association</w:t>
      </w:r>
    </w:p>
    <w:p w14:paraId="32BC0C7A" w14:textId="65D09349" w:rsidR="004F1A63" w:rsidRDefault="009800AA" w:rsidP="004F647D">
      <w:pPr>
        <w:pStyle w:val="ListBullet"/>
        <w:numPr>
          <w:ilvl w:val="0"/>
          <w:numId w:val="9"/>
        </w:numPr>
        <w:ind w:left="360"/>
      </w:pPr>
      <w:r>
        <w:t>Master Builders Association</w:t>
      </w:r>
    </w:p>
    <w:p w14:paraId="7337789D" w14:textId="77777777" w:rsidR="004F1A63" w:rsidRDefault="004F1A63" w:rsidP="004F647D">
      <w:pPr>
        <w:pStyle w:val="ListBullet"/>
        <w:numPr>
          <w:ilvl w:val="0"/>
          <w:numId w:val="9"/>
        </w:numPr>
        <w:ind w:left="360"/>
      </w:pPr>
      <w:r>
        <w:t>National Electrical Contractors Association.</w:t>
      </w:r>
    </w:p>
    <w:p w14:paraId="51C74428" w14:textId="77E247F4" w:rsidR="00A57D05" w:rsidRDefault="00A57D05" w:rsidP="009800AA">
      <w:pPr>
        <w:spacing w:before="200" w:after="200" w:line="276" w:lineRule="auto"/>
      </w:pPr>
      <w:r>
        <w:t>Written submissions were also received from a small number of member organisations within these peak bodies.</w:t>
      </w:r>
    </w:p>
    <w:p w14:paraId="4B868BDD" w14:textId="778C54B8" w:rsidR="00595C1A" w:rsidRDefault="00595C1A" w:rsidP="009800AA">
      <w:pPr>
        <w:spacing w:after="200" w:line="276" w:lineRule="auto"/>
      </w:pPr>
      <w:r>
        <w:t>The review wrote directly to the CFMMEU, inviting it to provide a submission or engage in direct consultations</w:t>
      </w:r>
      <w:r w:rsidR="00F91CAA">
        <w:t xml:space="preserve">. </w:t>
      </w:r>
      <w:r>
        <w:t xml:space="preserve">The CFMMEU responded, noting that the terms of reference for the review appear to be </w:t>
      </w:r>
      <w:r w:rsidR="009471F2">
        <w:t>‘</w:t>
      </w:r>
      <w:r w:rsidRPr="0079636E">
        <w:t>much narrower than the general review contemplated by s119A of the BCIIP</w:t>
      </w:r>
      <w:r w:rsidR="005523B8" w:rsidRPr="0079636E">
        <w:t> </w:t>
      </w:r>
      <w:r w:rsidRPr="0079636E">
        <w:t>Act</w:t>
      </w:r>
      <w:r w:rsidR="009471F2">
        <w:t>’</w:t>
      </w:r>
      <w:r>
        <w:t xml:space="preserve"> and declining to participate in the review.</w:t>
      </w:r>
    </w:p>
    <w:p w14:paraId="03B085E4" w14:textId="77777777" w:rsidR="004F1A63" w:rsidRDefault="004F1A63" w:rsidP="009800AA">
      <w:pPr>
        <w:spacing w:after="200" w:line="276" w:lineRule="auto"/>
      </w:pPr>
      <w:r>
        <w:t>In a small number of cases, written questions were sent to stakeholders in response to the submissions received, with supplementary material being provided in response.</w:t>
      </w:r>
    </w:p>
    <w:p w14:paraId="60643175" w14:textId="5EB930CE" w:rsidR="004F1A63" w:rsidRDefault="004F1A63" w:rsidP="009800AA">
      <w:pPr>
        <w:spacing w:after="200" w:line="276" w:lineRule="auto"/>
      </w:pPr>
      <w:r>
        <w:t>Where stakeholders requested direct consultations, these were undertaken via a mix of face-to-face meetings</w:t>
      </w:r>
      <w:r w:rsidR="00E643B9">
        <w:t>,</w:t>
      </w:r>
      <w:r>
        <w:t xml:space="preserve"> teleconferences</w:t>
      </w:r>
      <w:r w:rsidR="00E643B9">
        <w:t xml:space="preserve"> and correspondence</w:t>
      </w:r>
      <w:r>
        <w:t>. Direct consultations occurred with the following organisations:</w:t>
      </w:r>
    </w:p>
    <w:p w14:paraId="31192B84" w14:textId="4AB78615" w:rsidR="004F1A63" w:rsidRDefault="004F1A63" w:rsidP="004F647D">
      <w:pPr>
        <w:pStyle w:val="ListBullet"/>
        <w:numPr>
          <w:ilvl w:val="0"/>
          <w:numId w:val="9"/>
        </w:numPr>
        <w:ind w:left="360"/>
      </w:pPr>
      <w:r>
        <w:t xml:space="preserve">Australian Building </w:t>
      </w:r>
      <w:r w:rsidR="009800AA">
        <w:t>and Construction Commissioner</w:t>
      </w:r>
    </w:p>
    <w:p w14:paraId="2DA73A33" w14:textId="560738E4" w:rsidR="004F1A63" w:rsidRDefault="004F1A63" w:rsidP="004F647D">
      <w:pPr>
        <w:pStyle w:val="ListBullet"/>
        <w:numPr>
          <w:ilvl w:val="0"/>
          <w:numId w:val="9"/>
        </w:numPr>
        <w:ind w:left="360"/>
      </w:pPr>
      <w:r>
        <w:t xml:space="preserve">Australian Chamber </w:t>
      </w:r>
      <w:r w:rsidR="004737D6">
        <w:t>o</w:t>
      </w:r>
      <w:r w:rsidR="009800AA">
        <w:t>f Commerce and Industry</w:t>
      </w:r>
    </w:p>
    <w:p w14:paraId="037088CD" w14:textId="5012B846" w:rsidR="004F1A63" w:rsidRDefault="009800AA" w:rsidP="004F647D">
      <w:pPr>
        <w:pStyle w:val="ListBullet"/>
        <w:numPr>
          <w:ilvl w:val="0"/>
          <w:numId w:val="9"/>
        </w:numPr>
        <w:ind w:left="360"/>
      </w:pPr>
      <w:r>
        <w:t>Australian Industry Group</w:t>
      </w:r>
    </w:p>
    <w:p w14:paraId="0F3CE4E3" w14:textId="1138F6C1" w:rsidR="00334C2F" w:rsidRDefault="009800AA" w:rsidP="004F647D">
      <w:pPr>
        <w:pStyle w:val="ListBullet"/>
        <w:numPr>
          <w:ilvl w:val="0"/>
          <w:numId w:val="9"/>
        </w:numPr>
        <w:ind w:left="360"/>
      </w:pPr>
      <w:r>
        <w:t>Civil Contractors Federation</w:t>
      </w:r>
    </w:p>
    <w:p w14:paraId="2E2585B9" w14:textId="675A7CF4" w:rsidR="004F1A63" w:rsidRDefault="009800AA" w:rsidP="004F647D">
      <w:pPr>
        <w:pStyle w:val="ListBullet"/>
        <w:numPr>
          <w:ilvl w:val="0"/>
          <w:numId w:val="9"/>
        </w:numPr>
        <w:ind w:left="360"/>
      </w:pPr>
      <w:r>
        <w:t>Commonwealth Ombudsman</w:t>
      </w:r>
    </w:p>
    <w:p w14:paraId="7087D8F4" w14:textId="72DCFE88" w:rsidR="006B7073" w:rsidRDefault="009800AA" w:rsidP="004F647D">
      <w:pPr>
        <w:pStyle w:val="ListBullet"/>
        <w:numPr>
          <w:ilvl w:val="0"/>
          <w:numId w:val="9"/>
        </w:numPr>
        <w:ind w:left="360"/>
      </w:pPr>
      <w:r>
        <w:t>Federal Safety Commissioner</w:t>
      </w:r>
    </w:p>
    <w:p w14:paraId="36A8C19C" w14:textId="47921114" w:rsidR="009800AA" w:rsidRDefault="00612537" w:rsidP="00ED1F2C">
      <w:pPr>
        <w:pStyle w:val="ListBullet"/>
        <w:numPr>
          <w:ilvl w:val="0"/>
          <w:numId w:val="9"/>
        </w:numPr>
        <w:ind w:left="360"/>
      </w:pPr>
      <w:r>
        <w:t>Master Builders</w:t>
      </w:r>
      <w:r w:rsidR="00334C2F">
        <w:t xml:space="preserve"> Association.</w:t>
      </w:r>
    </w:p>
    <w:p w14:paraId="06622A7F" w14:textId="77777777" w:rsidR="009800AA" w:rsidRDefault="009800AA" w:rsidP="00334C2F">
      <w:pPr>
        <w:sectPr w:rsidR="009800AA" w:rsidSect="005B385F">
          <w:pgSz w:w="11906" w:h="16838" w:code="9"/>
          <w:pgMar w:top="1440" w:right="1440" w:bottom="1440" w:left="1440" w:header="709" w:footer="1009" w:gutter="0"/>
          <w:cols w:space="708"/>
          <w:docGrid w:linePitch="360"/>
        </w:sectPr>
      </w:pPr>
    </w:p>
    <w:p w14:paraId="0E44D65F" w14:textId="0E1030BE" w:rsidR="00281200" w:rsidRDefault="00830375" w:rsidP="00830375">
      <w:pPr>
        <w:pStyle w:val="Heading1"/>
      </w:pPr>
      <w:bookmarkStart w:id="202" w:name="_Toc523154956"/>
      <w:bookmarkStart w:id="203" w:name="_Toc527633060"/>
      <w:r>
        <w:lastRenderedPageBreak/>
        <w:t>References</w:t>
      </w:r>
      <w:bookmarkEnd w:id="202"/>
      <w:bookmarkEnd w:id="203"/>
    </w:p>
    <w:p w14:paraId="219CBBD3" w14:textId="0A2C8A8F" w:rsidR="00EF7F11" w:rsidRPr="008B3177" w:rsidRDefault="00EF7F11" w:rsidP="00BE410E">
      <w:pPr>
        <w:spacing w:before="200" w:after="200" w:line="276" w:lineRule="auto"/>
        <w:rPr>
          <w:rFonts w:cstheme="minorHAnsi"/>
        </w:rPr>
      </w:pPr>
      <w:r w:rsidRPr="008B3177">
        <w:rPr>
          <w:rFonts w:cstheme="minorHAnsi"/>
        </w:rPr>
        <w:t>Administrative Review Council 2008, Coercive Information-Gathering Powers of Government Agencies, Report No. 48, ARC, Canberra.</w:t>
      </w:r>
    </w:p>
    <w:p w14:paraId="67151726" w14:textId="1C8A076C" w:rsidR="00EF7F11" w:rsidRPr="008B3177" w:rsidRDefault="00EF7F11" w:rsidP="00BE410E">
      <w:pPr>
        <w:spacing w:before="200" w:after="200"/>
        <w:rPr>
          <w:rStyle w:val="Strong"/>
          <w:rFonts w:cstheme="minorHAnsi"/>
          <w:b w:val="0"/>
          <w:color w:val="373F46"/>
        </w:rPr>
      </w:pPr>
      <w:r w:rsidRPr="008B3177">
        <w:rPr>
          <w:rFonts w:cstheme="minorHAnsi"/>
        </w:rPr>
        <w:t xml:space="preserve">Australian Building and Construction Commission </w:t>
      </w:r>
      <w:r w:rsidRPr="008B3177">
        <w:rPr>
          <w:rStyle w:val="Strong"/>
          <w:rFonts w:cstheme="minorHAnsi"/>
          <w:b w:val="0"/>
          <w:color w:val="373F46"/>
        </w:rPr>
        <w:t>2017, Annual Report 2016–17, ABCC, Melbourne.</w:t>
      </w:r>
    </w:p>
    <w:p w14:paraId="1038BFAA" w14:textId="7621F941" w:rsidR="00AA4313" w:rsidRPr="008B3177" w:rsidRDefault="00AA4313" w:rsidP="00AA4313">
      <w:pPr>
        <w:spacing w:before="200" w:after="200"/>
        <w:rPr>
          <w:rFonts w:cstheme="minorHAnsi"/>
          <w:bCs/>
          <w:color w:val="373F46"/>
        </w:rPr>
      </w:pPr>
      <w:r w:rsidRPr="008B3177">
        <w:rPr>
          <w:rFonts w:cstheme="minorHAnsi"/>
        </w:rPr>
        <w:t xml:space="preserve">Australian Building and Construction Commission </w:t>
      </w:r>
      <w:r w:rsidRPr="008B3177">
        <w:rPr>
          <w:rStyle w:val="Strong"/>
          <w:rFonts w:cstheme="minorHAnsi"/>
          <w:b w:val="0"/>
          <w:color w:val="373F46"/>
        </w:rPr>
        <w:t>201</w:t>
      </w:r>
      <w:r w:rsidR="00CB608A" w:rsidRPr="008B3177">
        <w:rPr>
          <w:rStyle w:val="Strong"/>
          <w:rFonts w:cstheme="minorHAnsi"/>
          <w:b w:val="0"/>
          <w:color w:val="373F46"/>
        </w:rPr>
        <w:t>2</w:t>
      </w:r>
      <w:r w:rsidRPr="008B3177">
        <w:rPr>
          <w:rStyle w:val="Strong"/>
          <w:rFonts w:cstheme="minorHAnsi"/>
          <w:b w:val="0"/>
          <w:color w:val="373F46"/>
        </w:rPr>
        <w:t>, Annual Report 201</w:t>
      </w:r>
      <w:r w:rsidR="00CB608A" w:rsidRPr="008B3177">
        <w:rPr>
          <w:rStyle w:val="Strong"/>
          <w:rFonts w:cstheme="minorHAnsi"/>
          <w:b w:val="0"/>
          <w:color w:val="373F46"/>
        </w:rPr>
        <w:t>1–12</w:t>
      </w:r>
      <w:r w:rsidRPr="008B3177">
        <w:rPr>
          <w:rStyle w:val="Strong"/>
          <w:rFonts w:cstheme="minorHAnsi"/>
          <w:b w:val="0"/>
          <w:color w:val="373F46"/>
        </w:rPr>
        <w:t xml:space="preserve">, </w:t>
      </w:r>
      <w:r w:rsidR="00CB608A" w:rsidRPr="008B3177">
        <w:rPr>
          <w:rStyle w:val="Strong"/>
          <w:rFonts w:cstheme="minorHAnsi"/>
          <w:b w:val="0"/>
          <w:color w:val="373F46"/>
        </w:rPr>
        <w:t>FWBC</w:t>
      </w:r>
      <w:r w:rsidRPr="008B3177">
        <w:rPr>
          <w:rStyle w:val="Strong"/>
          <w:rFonts w:cstheme="minorHAnsi"/>
          <w:b w:val="0"/>
          <w:color w:val="373F46"/>
        </w:rPr>
        <w:t>, Melbourne.</w:t>
      </w:r>
    </w:p>
    <w:p w14:paraId="1CC65979" w14:textId="77777777" w:rsidR="00EF7F11" w:rsidRPr="008B3177" w:rsidRDefault="00EF7F11" w:rsidP="00BE410E">
      <w:pPr>
        <w:spacing w:before="200" w:after="200"/>
        <w:rPr>
          <w:rFonts w:cstheme="minorHAnsi"/>
          <w:bCs/>
          <w:color w:val="373F46"/>
        </w:rPr>
      </w:pPr>
      <w:r w:rsidRPr="008B3177">
        <w:rPr>
          <w:rFonts w:cstheme="minorHAnsi"/>
        </w:rPr>
        <w:t>Australian Building and Construction Commission</w:t>
      </w:r>
      <w:r w:rsidRPr="008B3177">
        <w:rPr>
          <w:rStyle w:val="Strong"/>
          <w:rFonts w:cstheme="minorHAnsi"/>
          <w:b w:val="0"/>
          <w:color w:val="373F46"/>
        </w:rPr>
        <w:t>, Quarterly Reports (various), ABCC, Melbourne.</w:t>
      </w:r>
    </w:p>
    <w:p w14:paraId="69CC3676" w14:textId="35B30BEE" w:rsidR="00EF7F11" w:rsidRPr="008B3177" w:rsidRDefault="00EF7F11" w:rsidP="00BE410E">
      <w:pPr>
        <w:spacing w:before="200" w:after="200" w:line="276" w:lineRule="auto"/>
      </w:pPr>
      <w:r w:rsidRPr="008B3177">
        <w:rPr>
          <w:rFonts w:cstheme="minorHAnsi"/>
        </w:rPr>
        <w:t>Attorney</w:t>
      </w:r>
      <w:r w:rsidRPr="008B3177">
        <w:rPr>
          <w:rFonts w:ascii="Cambria Math" w:hAnsi="Cambria Math" w:cs="Cambria Math"/>
        </w:rPr>
        <w:t>‑</w:t>
      </w:r>
      <w:r w:rsidRPr="008B3177">
        <w:rPr>
          <w:rFonts w:cstheme="minorHAnsi"/>
        </w:rPr>
        <w:t>General 2017, Legal Services Directions 2017 [F2018C00409], Canberra.</w:t>
      </w:r>
    </w:p>
    <w:p w14:paraId="4337A19E" w14:textId="07A28653" w:rsidR="00EF7F11" w:rsidRPr="008B3177" w:rsidRDefault="00EF7F11" w:rsidP="00BE410E">
      <w:pPr>
        <w:spacing w:before="200" w:after="200" w:line="276" w:lineRule="auto"/>
        <w:rPr>
          <w:rFonts w:cstheme="minorHAnsi"/>
        </w:rPr>
      </w:pPr>
      <w:r w:rsidRPr="008B3177">
        <w:rPr>
          <w:rFonts w:cstheme="minorHAnsi"/>
        </w:rPr>
        <w:t xml:space="preserve">Commonwealth Ombudsman 2017, Annual Report by the Commonwealth Ombudsman under s 13(1) of the </w:t>
      </w:r>
      <w:r w:rsidRPr="008B3177">
        <w:rPr>
          <w:rFonts w:cstheme="minorHAnsi"/>
          <w:i/>
        </w:rPr>
        <w:t>Building and Construction Industry (Consequential and Transitional Provisions) Act 2016</w:t>
      </w:r>
      <w:r w:rsidRPr="008B3177">
        <w:rPr>
          <w:rFonts w:cstheme="minorHAnsi"/>
        </w:rPr>
        <w:t xml:space="preserve"> for the period 1 July 2015 to 30 June 2016, Commonwealth Ombudsman, Canberra.</w:t>
      </w:r>
    </w:p>
    <w:p w14:paraId="355814AA" w14:textId="33364B2B" w:rsidR="00EF7F11" w:rsidRPr="008B3177" w:rsidRDefault="00E55F7B" w:rsidP="00BE410E">
      <w:pPr>
        <w:spacing w:before="200" w:after="200" w:line="276" w:lineRule="auto"/>
        <w:rPr>
          <w:rFonts w:cstheme="minorHAnsi"/>
        </w:rPr>
      </w:pPr>
      <w:r w:rsidRPr="008B3177">
        <w:rPr>
          <w:rFonts w:cstheme="minorHAnsi"/>
        </w:rPr>
        <w:t xml:space="preserve">Commonwealth Ombudsman 2018, Quarterly report by the Commonwealth Ombudsman under s 65(6) of the </w:t>
      </w:r>
      <w:r w:rsidRPr="008B3177">
        <w:rPr>
          <w:rFonts w:cstheme="minorHAnsi"/>
          <w:i/>
        </w:rPr>
        <w:t>Building and Construction Industry (Improving Productivity) Act 2016</w:t>
      </w:r>
      <w:r w:rsidRPr="008B3177">
        <w:rPr>
          <w:rFonts w:cstheme="minorHAnsi"/>
        </w:rPr>
        <w:t xml:space="preserve"> for the period 1 July 2016 to 31 March 2017, Commonwealth Ombudsman, Canberra.</w:t>
      </w:r>
    </w:p>
    <w:p w14:paraId="5EEF4CF9" w14:textId="67997AD3" w:rsidR="00E55F7B" w:rsidRPr="008B3177" w:rsidRDefault="00E55F7B" w:rsidP="00BE410E">
      <w:pPr>
        <w:spacing w:before="200" w:after="200"/>
        <w:rPr>
          <w:rFonts w:cstheme="minorHAnsi"/>
        </w:rPr>
      </w:pPr>
      <w:r w:rsidRPr="008B3177">
        <w:rPr>
          <w:rFonts w:cstheme="minorHAnsi"/>
        </w:rPr>
        <w:t xml:space="preserve">Commonwealth Ombudsman 2018, Quarterly report by the Commonwealth Ombudsman under s 65(6) of the </w:t>
      </w:r>
      <w:r w:rsidRPr="008B3177">
        <w:rPr>
          <w:rFonts w:cstheme="minorHAnsi"/>
          <w:i/>
        </w:rPr>
        <w:t>Building and Construction Industry (Improving Productivity) Act 2016</w:t>
      </w:r>
      <w:r w:rsidRPr="008B3177">
        <w:rPr>
          <w:rFonts w:cstheme="minorHAnsi"/>
        </w:rPr>
        <w:t xml:space="preserve"> for the period 1 July to 30 September 2017, Commonwealth Ombudsman, Canberra.</w:t>
      </w:r>
    </w:p>
    <w:p w14:paraId="350CE5FD" w14:textId="2EAA6E50" w:rsidR="00E55F7B" w:rsidRPr="008B3177" w:rsidRDefault="00E55F7B" w:rsidP="00BE410E">
      <w:pPr>
        <w:spacing w:before="200" w:after="200" w:line="276" w:lineRule="auto"/>
        <w:rPr>
          <w:rFonts w:cstheme="minorHAnsi"/>
        </w:rPr>
      </w:pPr>
      <w:r w:rsidRPr="008B3177">
        <w:rPr>
          <w:rFonts w:cstheme="minorHAnsi"/>
        </w:rPr>
        <w:t>Department of Immigration and Border Protection, Subclass 457 Quarterly Report</w:t>
      </w:r>
      <w:r w:rsidR="002945E9" w:rsidRPr="008B3177">
        <w:rPr>
          <w:rFonts w:cstheme="minorHAnsi"/>
        </w:rPr>
        <w:t>:</w:t>
      </w:r>
      <w:r w:rsidRPr="008B3177">
        <w:rPr>
          <w:rFonts w:cstheme="minorHAnsi"/>
        </w:rPr>
        <w:t xml:space="preserve"> Quarter Ending at 31 December 2016, Department of Home Affairs, Canberra.</w:t>
      </w:r>
    </w:p>
    <w:p w14:paraId="6F5EAD17" w14:textId="7B54692D" w:rsidR="00E55F7B" w:rsidRPr="008B3177" w:rsidRDefault="00BE410E" w:rsidP="00BE410E">
      <w:pPr>
        <w:spacing w:before="200" w:after="200" w:line="276" w:lineRule="auto"/>
      </w:pPr>
      <w:r w:rsidRPr="008B3177">
        <w:rPr>
          <w:rStyle w:val="Strong"/>
          <w:rFonts w:cstheme="minorHAnsi"/>
          <w:b w:val="0"/>
        </w:rPr>
        <w:t>Fair Work Building and Construction 2016, Annual Report 2015–16, FWBC, Melbourne.</w:t>
      </w:r>
    </w:p>
    <w:p w14:paraId="15FDE0FA" w14:textId="77777777" w:rsidR="00BE410E" w:rsidRPr="008B3177" w:rsidRDefault="00BE410E" w:rsidP="00BE410E">
      <w:pPr>
        <w:spacing w:before="200" w:after="200" w:line="276" w:lineRule="auto"/>
        <w:rPr>
          <w:i/>
        </w:rPr>
      </w:pPr>
      <w:r w:rsidRPr="008B3177">
        <w:rPr>
          <w:rStyle w:val="Strong"/>
          <w:rFonts w:cstheme="minorHAnsi"/>
          <w:b w:val="0"/>
        </w:rPr>
        <w:t>Fair Work Building and Construction 2015, Annual Report 2014–15, FWBC, Melbourne.</w:t>
      </w:r>
    </w:p>
    <w:p w14:paraId="6D5174D5" w14:textId="77777777" w:rsidR="00BE410E" w:rsidRPr="008B3177" w:rsidRDefault="00BE410E" w:rsidP="00BE410E">
      <w:pPr>
        <w:spacing w:before="200" w:after="200"/>
        <w:rPr>
          <w:rFonts w:cstheme="minorHAnsi"/>
          <w:bCs/>
        </w:rPr>
      </w:pPr>
      <w:r w:rsidRPr="008B3177">
        <w:rPr>
          <w:rStyle w:val="Strong"/>
          <w:rFonts w:cstheme="minorHAnsi"/>
          <w:b w:val="0"/>
        </w:rPr>
        <w:t>Fair Work Building and Construction 2014, Annual Report 2013–14, FWBC, Melbourne.</w:t>
      </w:r>
    </w:p>
    <w:p w14:paraId="0B728858" w14:textId="77777777" w:rsidR="00BE410E" w:rsidRPr="008B3177" w:rsidRDefault="00BE410E" w:rsidP="00BE410E">
      <w:pPr>
        <w:spacing w:before="200" w:after="200"/>
        <w:rPr>
          <w:rFonts w:cstheme="minorHAnsi"/>
          <w:bCs/>
        </w:rPr>
      </w:pPr>
      <w:r w:rsidRPr="008B3177">
        <w:rPr>
          <w:rStyle w:val="Strong"/>
          <w:rFonts w:cstheme="minorHAnsi"/>
          <w:b w:val="0"/>
        </w:rPr>
        <w:t>Fair Work Building and Construction 2013, Annual Report 2012–13, FWBC, Melbourne.</w:t>
      </w:r>
    </w:p>
    <w:p w14:paraId="559FDA60" w14:textId="7A6B0565" w:rsidR="00BE410E" w:rsidRPr="008B3177" w:rsidRDefault="00885EFA" w:rsidP="00885EFA">
      <w:pPr>
        <w:spacing w:before="200" w:after="200" w:line="276" w:lineRule="auto"/>
      </w:pPr>
      <w:r w:rsidRPr="008B3177">
        <w:t>Federal Safety Commissioner 2015, FSC Audit Criteria Guidelines: The FSC Audit Criteria Explained, Department of Jobs and Small Business, Canberra.</w:t>
      </w:r>
    </w:p>
    <w:p w14:paraId="76BAEB33" w14:textId="08E3AAC3" w:rsidR="00885EFA" w:rsidRPr="008B3177" w:rsidRDefault="00885EFA" w:rsidP="00885EFA">
      <w:pPr>
        <w:spacing w:before="200" w:after="200" w:line="276" w:lineRule="auto"/>
        <w:rPr>
          <w:rFonts w:cstheme="minorHAnsi"/>
        </w:rPr>
      </w:pPr>
      <w:r w:rsidRPr="008B3177">
        <w:rPr>
          <w:rFonts w:cstheme="minorHAnsi"/>
        </w:rPr>
        <w:t>Murray, J 2017, Review of Security of Payment Laws: Building Trust and Harmony, Department of Jobs and Small Business, Canberra.</w:t>
      </w:r>
    </w:p>
    <w:p w14:paraId="211AB583" w14:textId="284F1AC8" w:rsidR="00A23871" w:rsidRPr="008B3177" w:rsidRDefault="00A23871" w:rsidP="00885EFA">
      <w:pPr>
        <w:spacing w:before="200" w:after="200" w:line="276" w:lineRule="auto"/>
        <w:rPr>
          <w:rFonts w:cstheme="minorHAnsi"/>
          <w:bCs/>
          <w:color w:val="000000"/>
        </w:rPr>
      </w:pPr>
      <w:r w:rsidRPr="008B3177">
        <w:rPr>
          <w:rFonts w:cstheme="minorHAnsi"/>
          <w:bCs/>
          <w:color w:val="000000"/>
        </w:rPr>
        <w:t>Productivity Commission 2014, Public Infrastructure: Inquiry Report No.71, Productivity Commission, Canberra.</w:t>
      </w:r>
    </w:p>
    <w:p w14:paraId="7786932F" w14:textId="363E1739" w:rsidR="007B0D0A" w:rsidRPr="008B3177" w:rsidRDefault="007B0D0A" w:rsidP="007B0D0A">
      <w:pPr>
        <w:spacing w:before="200" w:after="200" w:line="276" w:lineRule="auto"/>
      </w:pPr>
      <w:r w:rsidRPr="008B3177">
        <w:t>Royal Commission into Trade Union Governance and Corruption 2015, Final Report, Canberra.</w:t>
      </w:r>
    </w:p>
    <w:p w14:paraId="6C97ADA4" w14:textId="4981DEAD" w:rsidR="00AA4313" w:rsidRPr="008B3177" w:rsidRDefault="00AA4313" w:rsidP="00AA4313">
      <w:r w:rsidRPr="008B3177">
        <w:t xml:space="preserve">Safe Work Australia 2016, Comparison of Workers’ Compensation Arrangements in Australia and New Zealand: October 2016, </w:t>
      </w:r>
      <w:r w:rsidRPr="008B3177">
        <w:rPr>
          <w:rFonts w:cstheme="minorHAnsi"/>
        </w:rPr>
        <w:t>SWA, Canberra</w:t>
      </w:r>
      <w:r w:rsidRPr="008B3177">
        <w:t>.</w:t>
      </w:r>
    </w:p>
    <w:p w14:paraId="070DBE17" w14:textId="11ED6EA8" w:rsidR="00AA4313" w:rsidRPr="008B3177" w:rsidRDefault="00AA4313" w:rsidP="00AA4313">
      <w:pPr>
        <w:spacing w:before="200" w:after="200" w:line="276" w:lineRule="auto"/>
      </w:pPr>
      <w:r w:rsidRPr="008B3177">
        <w:rPr>
          <w:rFonts w:cstheme="minorHAnsi"/>
        </w:rPr>
        <w:t>Safe Work Australia 2017, Work-related Traumatic Injury Fatalities Australia 2016, SWA, Canberra.</w:t>
      </w:r>
    </w:p>
    <w:p w14:paraId="00DE49B3" w14:textId="41BE375A" w:rsidR="00A23871" w:rsidRPr="008B3177" w:rsidRDefault="007B0D0A" w:rsidP="00885EFA">
      <w:pPr>
        <w:spacing w:before="200" w:after="200" w:line="276" w:lineRule="auto"/>
        <w:rPr>
          <w:rFonts w:cstheme="minorHAnsi"/>
        </w:rPr>
      </w:pPr>
      <w:r w:rsidRPr="008B3177">
        <w:rPr>
          <w:rFonts w:cstheme="minorHAnsi"/>
        </w:rPr>
        <w:lastRenderedPageBreak/>
        <w:t xml:space="preserve">Senate Economics References Committee 2015, Insolvency in the Australian Construction Industry: </w:t>
      </w:r>
      <w:r w:rsidR="00064B5F" w:rsidRPr="008B3177">
        <w:rPr>
          <w:rFonts w:cstheme="minorHAnsi"/>
        </w:rPr>
        <w:t>'I Just Want to B</w:t>
      </w:r>
      <w:r w:rsidRPr="008B3177">
        <w:rPr>
          <w:rFonts w:cstheme="minorHAnsi"/>
        </w:rPr>
        <w:t>e Paid', Canberra.</w:t>
      </w:r>
    </w:p>
    <w:p w14:paraId="3BFC4067" w14:textId="65FB6730" w:rsidR="00A23871" w:rsidRPr="008B3177" w:rsidRDefault="00A23871" w:rsidP="00A23871">
      <w:pPr>
        <w:spacing w:before="200" w:after="200" w:line="276" w:lineRule="auto"/>
        <w:rPr>
          <w:rFonts w:cstheme="minorHAnsi"/>
        </w:rPr>
      </w:pPr>
      <w:r w:rsidRPr="008B3177">
        <w:rPr>
          <w:rFonts w:cstheme="minorHAnsi"/>
        </w:rPr>
        <w:t>Senate Economics References Committee 2017, Non-Conforming Building Products: Interim Report: Aluminium Composite Cladding, Canberra.</w:t>
      </w:r>
    </w:p>
    <w:p w14:paraId="78B2918C" w14:textId="228345B7" w:rsidR="009D12D8" w:rsidRPr="008B3177" w:rsidRDefault="009D12D8" w:rsidP="00A23871">
      <w:pPr>
        <w:spacing w:before="200" w:after="200" w:line="276" w:lineRule="auto"/>
      </w:pPr>
      <w:proofErr w:type="spellStart"/>
      <w:r w:rsidRPr="008B3177">
        <w:t>Shergold</w:t>
      </w:r>
      <w:proofErr w:type="spellEnd"/>
      <w:r w:rsidRPr="008B3177">
        <w:t>, P &amp; Weir, B 2018, Building Confidence: Improving the Effectiveness of Compliance and Enforcement Systems for the Building and Construction Industry Across Australia, report to the Building Ministers’ Forum, Department of Industry, Innovation and Science</w:t>
      </w:r>
      <w:r w:rsidR="00E70D82" w:rsidRPr="008B3177">
        <w:t>, Canberra</w:t>
      </w:r>
      <w:r w:rsidRPr="008B3177">
        <w:t>.</w:t>
      </w:r>
    </w:p>
    <w:p w14:paraId="0E198303" w14:textId="58DE5ED6" w:rsidR="00033B13" w:rsidRPr="008B3177" w:rsidRDefault="00033B13" w:rsidP="00A23871">
      <w:pPr>
        <w:spacing w:before="200" w:after="200" w:line="276" w:lineRule="auto"/>
      </w:pPr>
      <w:r w:rsidRPr="008B3177">
        <w:t>Victorian Cladding Taskforce 2017, Interim Report November 2017, State of Victoria Department of Environment, Land, Water and Planning, Melbourne.</w:t>
      </w:r>
    </w:p>
    <w:p w14:paraId="14D57927" w14:textId="77777777" w:rsidR="00E70D82" w:rsidRPr="001775D6" w:rsidRDefault="00E70D82" w:rsidP="00E70D82">
      <w:pPr>
        <w:rPr>
          <w:rFonts w:cstheme="minorHAnsi"/>
          <w:szCs w:val="24"/>
        </w:rPr>
      </w:pPr>
      <w:r w:rsidRPr="008B3177">
        <w:rPr>
          <w:rFonts w:cstheme="minorHAnsi"/>
          <w:bCs/>
          <w:color w:val="000000"/>
        </w:rPr>
        <w:t>Wilcox, M 2009, Transition to Fair Work Australia for the Building and Construction Industry: Report, Department of Jobs and Small Business, Canberra.</w:t>
      </w:r>
    </w:p>
    <w:p w14:paraId="41AEA59F" w14:textId="5AC340FB" w:rsidR="006B7073" w:rsidRDefault="006B7073" w:rsidP="004F647D">
      <w:pPr>
        <w:spacing w:before="200" w:after="200" w:line="276" w:lineRule="auto"/>
      </w:pPr>
    </w:p>
    <w:p w14:paraId="0B02A82B" w14:textId="3FABC96D" w:rsidR="004F647D" w:rsidRDefault="004F647D">
      <w:pPr>
        <w:sectPr w:rsidR="004F647D" w:rsidSect="005B385F">
          <w:pgSz w:w="11906" w:h="16838" w:code="9"/>
          <w:pgMar w:top="1440" w:right="1440" w:bottom="1440" w:left="1440" w:header="709" w:footer="1009" w:gutter="0"/>
          <w:cols w:space="708"/>
          <w:docGrid w:linePitch="360"/>
        </w:sectPr>
      </w:pPr>
    </w:p>
    <w:p w14:paraId="1577FD9B" w14:textId="77777777" w:rsidR="00E9213E" w:rsidRPr="00EE0A20" w:rsidRDefault="00E9213E" w:rsidP="00E9213E">
      <w:pPr>
        <w:pStyle w:val="Heading1"/>
        <w:tabs>
          <w:tab w:val="left" w:pos="1985"/>
        </w:tabs>
        <w:ind w:right="-188"/>
      </w:pPr>
      <w:bookmarkStart w:id="204" w:name="_Toc523154957"/>
      <w:bookmarkStart w:id="205" w:name="_Toc527633061"/>
      <w:bookmarkEnd w:id="0"/>
      <w:r w:rsidRPr="00EE0A20">
        <w:lastRenderedPageBreak/>
        <w:t>Appendix 1:</w:t>
      </w:r>
      <w:r w:rsidRPr="00EE0A20">
        <w:tab/>
        <w:t>ABCC summary data</w:t>
      </w:r>
      <w:bookmarkEnd w:id="204"/>
      <w:bookmarkEnd w:id="205"/>
    </w:p>
    <w:p w14:paraId="3FE48E1D" w14:textId="77777777" w:rsidR="008362DF" w:rsidRDefault="008362DF" w:rsidP="00902536">
      <w:pPr>
        <w:pStyle w:val="Caption"/>
        <w:keepNext/>
        <w:spacing w:before="0"/>
      </w:pPr>
      <w:r>
        <w:t>Table A.</w:t>
      </w:r>
      <w:r>
        <w:rPr>
          <w:noProof/>
        </w:rPr>
        <w:t xml:space="preserve">1: </w:t>
      </w:r>
      <w:r w:rsidRPr="00CF5855">
        <w:rPr>
          <w:noProof/>
        </w:rPr>
        <w:t xml:space="preserve">Enquiries received by </w:t>
      </w:r>
      <w:r>
        <w:rPr>
          <w:noProof/>
        </w:rPr>
        <w:t>the ABCC, 1 July 2017</w:t>
      </w:r>
      <w:r>
        <w:rPr>
          <w:noProof/>
        </w:rPr>
        <w:noBreakHyphen/>
        <w:t>31 December </w:t>
      </w:r>
      <w:r w:rsidRPr="00CF5855">
        <w:rPr>
          <w:noProof/>
        </w:rPr>
        <w:t>2017</w:t>
      </w:r>
    </w:p>
    <w:tbl>
      <w:tblPr>
        <w:tblStyle w:val="DEEWRTable"/>
        <w:tblW w:w="9718" w:type="dxa"/>
        <w:tblLook w:val="0420" w:firstRow="1" w:lastRow="0" w:firstColumn="0" w:lastColumn="0" w:noHBand="0" w:noVBand="1"/>
        <w:tblCaption w:val="Table A.1: Enquiries received by the ABCC, 1 July 2017 to 31 December 2017"/>
        <w:tblDescription w:val="The table provides the number of enquires received by the ABCC for the period 1 July 2017 to 31 December 2017 by subject, building industry participant (ie. employee, employer, employer association, other, trade union), government and public."/>
      </w:tblPr>
      <w:tblGrid>
        <w:gridCol w:w="1980"/>
        <w:gridCol w:w="1092"/>
        <w:gridCol w:w="1028"/>
        <w:gridCol w:w="1028"/>
        <w:gridCol w:w="772"/>
        <w:gridCol w:w="787"/>
        <w:gridCol w:w="750"/>
        <w:gridCol w:w="742"/>
        <w:gridCol w:w="789"/>
        <w:gridCol w:w="750"/>
      </w:tblGrid>
      <w:tr w:rsidR="008362DF" w14:paraId="1FAA01BE" w14:textId="77777777" w:rsidTr="006F0241">
        <w:trPr>
          <w:cnfStyle w:val="100000000000" w:firstRow="1" w:lastRow="0" w:firstColumn="0" w:lastColumn="0" w:oddVBand="0" w:evenVBand="0" w:oddHBand="0" w:evenHBand="0" w:firstRowFirstColumn="0" w:firstRowLastColumn="0" w:lastRowFirstColumn="0" w:lastRowLastColumn="0"/>
        </w:trPr>
        <w:tc>
          <w:tcPr>
            <w:tcW w:w="1980" w:type="dxa"/>
            <w:vMerge w:val="restart"/>
            <w:tcBorders>
              <w:top w:val="single" w:sz="4" w:space="0" w:color="auto"/>
              <w:left w:val="single" w:sz="4" w:space="0" w:color="auto"/>
              <w:bottom w:val="single" w:sz="4" w:space="0" w:color="auto"/>
              <w:right w:val="single" w:sz="6" w:space="0" w:color="E7E6E6" w:themeColor="background2"/>
            </w:tcBorders>
            <w:shd w:val="clear" w:color="auto" w:fill="1E3D6B"/>
            <w:vAlign w:val="bottom"/>
          </w:tcPr>
          <w:p w14:paraId="3E2CC215" w14:textId="77777777" w:rsidR="008362DF" w:rsidRDefault="008362DF" w:rsidP="00FF2356">
            <w:r>
              <w:t>Enquiries</w:t>
            </w:r>
          </w:p>
        </w:tc>
        <w:tc>
          <w:tcPr>
            <w:tcW w:w="5457" w:type="dxa"/>
            <w:gridSpan w:val="6"/>
            <w:tcBorders>
              <w:top w:val="single" w:sz="4" w:space="0" w:color="auto"/>
              <w:left w:val="single" w:sz="6" w:space="0" w:color="E7E6E6" w:themeColor="background2"/>
              <w:bottom w:val="single" w:sz="4" w:space="0" w:color="E7E6E6" w:themeColor="background2"/>
              <w:right w:val="single" w:sz="6" w:space="0" w:color="E7E6E6" w:themeColor="background2"/>
            </w:tcBorders>
            <w:shd w:val="clear" w:color="auto" w:fill="1E3D6B"/>
          </w:tcPr>
          <w:p w14:paraId="561E6769" w14:textId="77777777" w:rsidR="008362DF" w:rsidRPr="004B43FD" w:rsidRDefault="008362DF" w:rsidP="00FF2356">
            <w:pPr>
              <w:jc w:val="center"/>
            </w:pPr>
            <w:r w:rsidRPr="004B43FD">
              <w:t>Building Industry Participant</w:t>
            </w:r>
          </w:p>
        </w:tc>
        <w:tc>
          <w:tcPr>
            <w:tcW w:w="742" w:type="dxa"/>
            <w:vMerge w:val="restart"/>
            <w:tcBorders>
              <w:top w:val="single" w:sz="4" w:space="0" w:color="auto"/>
              <w:left w:val="single" w:sz="6" w:space="0" w:color="E7E6E6" w:themeColor="background2"/>
              <w:bottom w:val="single" w:sz="4" w:space="0" w:color="E7E6E6" w:themeColor="background2"/>
              <w:right w:val="single" w:sz="6" w:space="0" w:color="E7E6E6" w:themeColor="background2"/>
            </w:tcBorders>
            <w:shd w:val="clear" w:color="auto" w:fill="1E3D6B"/>
            <w:vAlign w:val="bottom"/>
          </w:tcPr>
          <w:p w14:paraId="6772016E" w14:textId="04BE99E9" w:rsidR="008362DF" w:rsidRPr="004B43FD" w:rsidRDefault="008362DF" w:rsidP="00FF2356">
            <w:r w:rsidRPr="004B43FD">
              <w:t>Gov</w:t>
            </w:r>
            <w:r w:rsidR="00806BB7" w:rsidRPr="004B43FD">
              <w:t>’</w:t>
            </w:r>
            <w:r w:rsidRPr="004B43FD">
              <w:t>t</w:t>
            </w:r>
            <w:r w:rsidR="001F56B7" w:rsidRPr="004B43FD">
              <w:t>.</w:t>
            </w:r>
          </w:p>
        </w:tc>
        <w:tc>
          <w:tcPr>
            <w:tcW w:w="789" w:type="dxa"/>
            <w:vMerge w:val="restart"/>
            <w:tcBorders>
              <w:top w:val="single" w:sz="4" w:space="0" w:color="auto"/>
              <w:left w:val="single" w:sz="6" w:space="0" w:color="E7E6E6" w:themeColor="background2"/>
              <w:bottom w:val="single" w:sz="4" w:space="0" w:color="E7E6E6" w:themeColor="background2"/>
              <w:right w:val="single" w:sz="6" w:space="0" w:color="E7E6E6" w:themeColor="background2"/>
            </w:tcBorders>
            <w:shd w:val="clear" w:color="auto" w:fill="1E3D6B"/>
            <w:vAlign w:val="bottom"/>
          </w:tcPr>
          <w:p w14:paraId="1BADD472" w14:textId="77777777" w:rsidR="008362DF" w:rsidRDefault="008362DF" w:rsidP="00FF2356">
            <w:r>
              <w:t>Public</w:t>
            </w:r>
          </w:p>
        </w:tc>
        <w:tc>
          <w:tcPr>
            <w:tcW w:w="750" w:type="dxa"/>
            <w:vMerge w:val="restart"/>
            <w:tcBorders>
              <w:top w:val="single" w:sz="4" w:space="0" w:color="auto"/>
              <w:left w:val="single" w:sz="6" w:space="0" w:color="E7E6E6" w:themeColor="background2"/>
              <w:bottom w:val="single" w:sz="4" w:space="0" w:color="auto"/>
              <w:right w:val="single" w:sz="4" w:space="0" w:color="auto"/>
            </w:tcBorders>
            <w:shd w:val="clear" w:color="auto" w:fill="1E3D6B"/>
            <w:vAlign w:val="bottom"/>
          </w:tcPr>
          <w:p w14:paraId="76BBDA13" w14:textId="77777777" w:rsidR="008362DF" w:rsidRDefault="008362DF" w:rsidP="00FF2356">
            <w:r>
              <w:t>Total</w:t>
            </w:r>
          </w:p>
        </w:tc>
      </w:tr>
      <w:tr w:rsidR="008C2C88" w14:paraId="022C7C9C" w14:textId="77777777" w:rsidTr="006F0241">
        <w:tc>
          <w:tcPr>
            <w:tcW w:w="1980" w:type="dxa"/>
            <w:vMerge/>
            <w:tcBorders>
              <w:top w:val="single" w:sz="4" w:space="0" w:color="auto"/>
              <w:left w:val="single" w:sz="4" w:space="0" w:color="auto"/>
              <w:bottom w:val="single" w:sz="4" w:space="0" w:color="auto"/>
              <w:right w:val="single" w:sz="4" w:space="0" w:color="E7E6E6" w:themeColor="background2"/>
            </w:tcBorders>
            <w:shd w:val="clear" w:color="auto" w:fill="1E3D6B"/>
          </w:tcPr>
          <w:p w14:paraId="58118CCB" w14:textId="77777777" w:rsidR="008362DF" w:rsidRDefault="008362DF" w:rsidP="00FF2356"/>
        </w:tc>
        <w:tc>
          <w:tcPr>
            <w:tcW w:w="1092" w:type="dxa"/>
            <w:tcBorders>
              <w:top w:val="single" w:sz="4" w:space="0" w:color="E7E6E6" w:themeColor="background2"/>
              <w:left w:val="single" w:sz="4" w:space="0" w:color="E7E6E6" w:themeColor="background2"/>
              <w:bottom w:val="single" w:sz="4" w:space="0" w:color="auto"/>
              <w:right w:val="single" w:sz="6" w:space="0" w:color="E7E6E6" w:themeColor="background2"/>
            </w:tcBorders>
            <w:shd w:val="clear" w:color="auto" w:fill="1E3D6B"/>
          </w:tcPr>
          <w:p w14:paraId="34533F7C" w14:textId="77777777" w:rsidR="008362DF" w:rsidRPr="004B43FD" w:rsidRDefault="008362DF" w:rsidP="00FF2356">
            <w:pPr>
              <w:rPr>
                <w:color w:val="E7E6E6" w:themeColor="background2"/>
              </w:rPr>
            </w:pPr>
            <w:r w:rsidRPr="004B43FD">
              <w:rPr>
                <w:color w:val="E7E6E6" w:themeColor="background2"/>
              </w:rPr>
              <w:t>Employee</w:t>
            </w:r>
          </w:p>
        </w:tc>
        <w:tc>
          <w:tcPr>
            <w:tcW w:w="1028" w:type="dxa"/>
            <w:tcBorders>
              <w:top w:val="single" w:sz="4" w:space="0" w:color="E7E6E6" w:themeColor="background2"/>
              <w:left w:val="single" w:sz="6" w:space="0" w:color="E7E6E6" w:themeColor="background2"/>
              <w:bottom w:val="single" w:sz="4" w:space="0" w:color="auto"/>
              <w:right w:val="single" w:sz="6" w:space="0" w:color="E7E6E6" w:themeColor="background2"/>
            </w:tcBorders>
            <w:shd w:val="clear" w:color="auto" w:fill="1E3D6B"/>
          </w:tcPr>
          <w:p w14:paraId="78B7358F" w14:textId="77777777" w:rsidR="008362DF" w:rsidRPr="004B43FD" w:rsidRDefault="008362DF" w:rsidP="00FF2356">
            <w:pPr>
              <w:rPr>
                <w:color w:val="E7E6E6" w:themeColor="background2"/>
              </w:rPr>
            </w:pPr>
            <w:r w:rsidRPr="004B43FD">
              <w:rPr>
                <w:color w:val="E7E6E6" w:themeColor="background2"/>
              </w:rPr>
              <w:t>Employer</w:t>
            </w:r>
          </w:p>
        </w:tc>
        <w:tc>
          <w:tcPr>
            <w:tcW w:w="1028" w:type="dxa"/>
            <w:tcBorders>
              <w:top w:val="single" w:sz="4" w:space="0" w:color="E7E6E6" w:themeColor="background2"/>
              <w:left w:val="single" w:sz="6" w:space="0" w:color="E7E6E6" w:themeColor="background2"/>
              <w:bottom w:val="single" w:sz="4" w:space="0" w:color="auto"/>
              <w:right w:val="single" w:sz="6" w:space="0" w:color="E7E6E6" w:themeColor="background2"/>
            </w:tcBorders>
            <w:shd w:val="clear" w:color="auto" w:fill="1E3D6B"/>
          </w:tcPr>
          <w:p w14:paraId="278EB406" w14:textId="444A4816" w:rsidR="008362DF" w:rsidRPr="004B43FD" w:rsidRDefault="008362DF" w:rsidP="00FF2356">
            <w:pPr>
              <w:rPr>
                <w:color w:val="E7E6E6" w:themeColor="background2"/>
              </w:rPr>
            </w:pPr>
            <w:r w:rsidRPr="004B43FD">
              <w:rPr>
                <w:color w:val="E7E6E6" w:themeColor="background2"/>
              </w:rPr>
              <w:t>Employer Assoc</w:t>
            </w:r>
            <w:r w:rsidR="001F56B7" w:rsidRPr="004B43FD">
              <w:rPr>
                <w:color w:val="E7E6E6" w:themeColor="background2"/>
              </w:rPr>
              <w:t>.</w:t>
            </w:r>
          </w:p>
        </w:tc>
        <w:tc>
          <w:tcPr>
            <w:tcW w:w="772" w:type="dxa"/>
            <w:tcBorders>
              <w:top w:val="single" w:sz="4" w:space="0" w:color="E7E6E6" w:themeColor="background2"/>
              <w:left w:val="single" w:sz="6" w:space="0" w:color="E7E6E6" w:themeColor="background2"/>
              <w:bottom w:val="single" w:sz="4" w:space="0" w:color="auto"/>
              <w:right w:val="single" w:sz="6" w:space="0" w:color="E7E6E6" w:themeColor="background2"/>
            </w:tcBorders>
            <w:shd w:val="clear" w:color="auto" w:fill="1E3D6B"/>
          </w:tcPr>
          <w:p w14:paraId="289D146F" w14:textId="77777777" w:rsidR="008362DF" w:rsidRPr="004B43FD" w:rsidRDefault="008362DF" w:rsidP="00FF2356">
            <w:pPr>
              <w:rPr>
                <w:color w:val="E7E6E6" w:themeColor="background2"/>
              </w:rPr>
            </w:pPr>
            <w:r w:rsidRPr="004B43FD">
              <w:rPr>
                <w:color w:val="E7E6E6" w:themeColor="background2"/>
              </w:rPr>
              <w:t>Other</w:t>
            </w:r>
          </w:p>
        </w:tc>
        <w:tc>
          <w:tcPr>
            <w:tcW w:w="787" w:type="dxa"/>
            <w:tcBorders>
              <w:top w:val="single" w:sz="4" w:space="0" w:color="E7E6E6" w:themeColor="background2"/>
              <w:left w:val="single" w:sz="6" w:space="0" w:color="E7E6E6" w:themeColor="background2"/>
              <w:bottom w:val="single" w:sz="4" w:space="0" w:color="auto"/>
              <w:right w:val="single" w:sz="6" w:space="0" w:color="E7E6E6" w:themeColor="background2"/>
            </w:tcBorders>
            <w:shd w:val="clear" w:color="auto" w:fill="1E3D6B"/>
          </w:tcPr>
          <w:p w14:paraId="2D25C064" w14:textId="2E4E3C6D" w:rsidR="008362DF" w:rsidRPr="004B43FD" w:rsidRDefault="00806BB7" w:rsidP="00FF2356">
            <w:pPr>
              <w:rPr>
                <w:color w:val="E7E6E6" w:themeColor="background2"/>
              </w:rPr>
            </w:pPr>
            <w:r w:rsidRPr="004B43FD">
              <w:rPr>
                <w:color w:val="E7E6E6" w:themeColor="background2"/>
              </w:rPr>
              <w:t xml:space="preserve">Trade </w:t>
            </w:r>
            <w:r w:rsidR="008362DF" w:rsidRPr="004B43FD">
              <w:rPr>
                <w:color w:val="E7E6E6" w:themeColor="background2"/>
              </w:rPr>
              <w:t>Union</w:t>
            </w:r>
          </w:p>
        </w:tc>
        <w:tc>
          <w:tcPr>
            <w:tcW w:w="750" w:type="dxa"/>
            <w:tcBorders>
              <w:top w:val="single" w:sz="4" w:space="0" w:color="E7E6E6" w:themeColor="background2"/>
              <w:left w:val="single" w:sz="6" w:space="0" w:color="E7E6E6" w:themeColor="background2"/>
              <w:bottom w:val="single" w:sz="4" w:space="0" w:color="auto"/>
              <w:right w:val="single" w:sz="6" w:space="0" w:color="E7E6E6" w:themeColor="background2"/>
            </w:tcBorders>
            <w:shd w:val="clear" w:color="auto" w:fill="1E3D6B"/>
          </w:tcPr>
          <w:p w14:paraId="1C527C8B" w14:textId="77777777" w:rsidR="008362DF" w:rsidRPr="004B43FD" w:rsidRDefault="008362DF" w:rsidP="00FF2356">
            <w:pPr>
              <w:rPr>
                <w:color w:val="E7E6E6" w:themeColor="background2"/>
              </w:rPr>
            </w:pPr>
            <w:r w:rsidRPr="004B43FD">
              <w:rPr>
                <w:color w:val="E7E6E6" w:themeColor="background2"/>
              </w:rPr>
              <w:t>Total</w:t>
            </w:r>
          </w:p>
        </w:tc>
        <w:tc>
          <w:tcPr>
            <w:tcW w:w="742" w:type="dxa"/>
            <w:vMerge/>
            <w:tcBorders>
              <w:top w:val="single" w:sz="6" w:space="0" w:color="E7E6E6" w:themeColor="background2"/>
              <w:left w:val="single" w:sz="6" w:space="0" w:color="E7E6E6" w:themeColor="background2"/>
              <w:bottom w:val="single" w:sz="4" w:space="0" w:color="auto"/>
              <w:right w:val="single" w:sz="6" w:space="0" w:color="E7E6E6" w:themeColor="background2"/>
            </w:tcBorders>
            <w:shd w:val="clear" w:color="auto" w:fill="1E3D6B"/>
          </w:tcPr>
          <w:p w14:paraId="2380AD86" w14:textId="77777777" w:rsidR="008362DF" w:rsidRPr="004B43FD" w:rsidRDefault="008362DF" w:rsidP="00FF2356">
            <w:pPr>
              <w:rPr>
                <w:color w:val="E7E6E6" w:themeColor="background2"/>
              </w:rPr>
            </w:pPr>
          </w:p>
        </w:tc>
        <w:tc>
          <w:tcPr>
            <w:tcW w:w="789" w:type="dxa"/>
            <w:vMerge/>
            <w:tcBorders>
              <w:top w:val="single" w:sz="6" w:space="0" w:color="E7E6E6" w:themeColor="background2"/>
              <w:left w:val="single" w:sz="6" w:space="0" w:color="E7E6E6" w:themeColor="background2"/>
              <w:bottom w:val="single" w:sz="4" w:space="0" w:color="auto"/>
              <w:right w:val="single" w:sz="6" w:space="0" w:color="E7E6E6" w:themeColor="background2"/>
            </w:tcBorders>
            <w:shd w:val="clear" w:color="auto" w:fill="1E3D6B"/>
          </w:tcPr>
          <w:p w14:paraId="1A8DBD08" w14:textId="77777777" w:rsidR="008362DF" w:rsidRDefault="008362DF" w:rsidP="00FF2356"/>
        </w:tc>
        <w:tc>
          <w:tcPr>
            <w:tcW w:w="750" w:type="dxa"/>
            <w:vMerge/>
            <w:tcBorders>
              <w:top w:val="single" w:sz="4" w:space="0" w:color="E7E6E6" w:themeColor="background2"/>
              <w:left w:val="single" w:sz="6" w:space="0" w:color="E7E6E6" w:themeColor="background2"/>
              <w:bottom w:val="single" w:sz="4" w:space="0" w:color="auto"/>
              <w:right w:val="single" w:sz="4" w:space="0" w:color="auto"/>
            </w:tcBorders>
            <w:shd w:val="clear" w:color="auto" w:fill="1E3D6B"/>
          </w:tcPr>
          <w:p w14:paraId="4A999D18" w14:textId="77777777" w:rsidR="008362DF" w:rsidRDefault="008362DF" w:rsidP="00FF2356"/>
        </w:tc>
      </w:tr>
      <w:tr w:rsidR="00806BB7" w:rsidRPr="00F72362" w14:paraId="044EE266" w14:textId="77777777" w:rsidTr="006F0241">
        <w:tc>
          <w:tcPr>
            <w:tcW w:w="19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FB52CCF" w14:textId="77777777" w:rsidR="008362DF" w:rsidRPr="00F72362" w:rsidRDefault="008362DF" w:rsidP="00FF2356">
            <w:r w:rsidRPr="00F72362">
              <w:t>Code</w:t>
            </w:r>
          </w:p>
        </w:tc>
        <w:tc>
          <w:tcPr>
            <w:tcW w:w="10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484ED9F" w14:textId="77777777" w:rsidR="008362DF" w:rsidRPr="00F72362" w:rsidRDefault="008362DF" w:rsidP="00FF2356">
            <w:pPr>
              <w:jc w:val="right"/>
            </w:pPr>
            <w:r w:rsidRPr="00F72362">
              <w:t>222</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A9CD73C" w14:textId="77777777" w:rsidR="008362DF" w:rsidRPr="00F72362" w:rsidRDefault="008362DF" w:rsidP="00FF2356">
            <w:pPr>
              <w:jc w:val="right"/>
            </w:pPr>
            <w:r w:rsidRPr="00F72362">
              <w:t>2,224</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DF9F6E8" w14:textId="77777777" w:rsidR="008362DF" w:rsidRPr="00F72362" w:rsidRDefault="008362DF" w:rsidP="00FF2356">
            <w:pPr>
              <w:jc w:val="right"/>
            </w:pPr>
            <w:r w:rsidRPr="00F72362">
              <w:t>143</w:t>
            </w:r>
          </w:p>
        </w:tc>
        <w:tc>
          <w:tcPr>
            <w:tcW w:w="7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9820185" w14:textId="77777777" w:rsidR="008362DF" w:rsidRPr="00F72362" w:rsidRDefault="008362DF" w:rsidP="00FF2356">
            <w:pPr>
              <w:jc w:val="right"/>
            </w:pPr>
            <w:r w:rsidRPr="00F72362">
              <w:t>74</w:t>
            </w:r>
          </w:p>
        </w:tc>
        <w:tc>
          <w:tcPr>
            <w:tcW w:w="7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B80F99F" w14:textId="77777777" w:rsidR="008362DF" w:rsidRPr="00F72362" w:rsidRDefault="008362DF" w:rsidP="00FF2356">
            <w:pPr>
              <w:jc w:val="right"/>
            </w:pPr>
            <w:r w:rsidRPr="00F72362">
              <w:t>22</w:t>
            </w: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DF52C57" w14:textId="77777777" w:rsidR="008362DF" w:rsidRPr="00F72362" w:rsidRDefault="008362DF" w:rsidP="00FF2356">
            <w:pPr>
              <w:jc w:val="right"/>
            </w:pPr>
            <w:r w:rsidRPr="00F72362">
              <w:t>2,685</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1B2EECE" w14:textId="77777777" w:rsidR="008362DF" w:rsidRPr="00F72362" w:rsidRDefault="008362DF" w:rsidP="00FF2356">
            <w:pPr>
              <w:jc w:val="right"/>
            </w:pPr>
            <w:r w:rsidRPr="00F72362">
              <w:t>110</w:t>
            </w:r>
          </w:p>
        </w:tc>
        <w:tc>
          <w:tcPr>
            <w:tcW w:w="7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8802F94" w14:textId="77777777" w:rsidR="008362DF" w:rsidRPr="00F72362" w:rsidRDefault="008362DF" w:rsidP="00FF2356">
            <w:pPr>
              <w:jc w:val="right"/>
            </w:pPr>
            <w:r w:rsidRPr="00F72362">
              <w:t>106</w:t>
            </w: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8ADF2F8" w14:textId="77777777" w:rsidR="008362DF" w:rsidRPr="00F72362" w:rsidRDefault="008362DF" w:rsidP="00FF2356">
            <w:pPr>
              <w:jc w:val="right"/>
            </w:pPr>
            <w:r w:rsidRPr="00F72362">
              <w:t>2,901</w:t>
            </w:r>
          </w:p>
        </w:tc>
      </w:tr>
      <w:tr w:rsidR="008362DF" w14:paraId="5891991C"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61500F69" w14:textId="3E3B93B8" w:rsidR="008362DF" w:rsidRDefault="00806BB7" w:rsidP="00FF2356">
            <w:r>
              <w:t>Code A</w:t>
            </w:r>
            <w:r w:rsidR="008362DF" w:rsidRPr="00EE0A20">
              <w:t>ssessment</w:t>
            </w:r>
          </w:p>
        </w:tc>
        <w:tc>
          <w:tcPr>
            <w:tcW w:w="1092" w:type="dxa"/>
            <w:tcBorders>
              <w:top w:val="single" w:sz="4" w:space="0" w:color="auto"/>
              <w:left w:val="single" w:sz="4" w:space="0" w:color="auto"/>
              <w:bottom w:val="single" w:sz="4" w:space="0" w:color="auto"/>
              <w:right w:val="single" w:sz="4" w:space="0" w:color="auto"/>
            </w:tcBorders>
            <w:vAlign w:val="bottom"/>
          </w:tcPr>
          <w:p w14:paraId="576C1D5D" w14:textId="77777777" w:rsidR="008362DF" w:rsidRDefault="008362DF" w:rsidP="00FF2356">
            <w:pPr>
              <w:jc w:val="right"/>
            </w:pPr>
            <w:r w:rsidRPr="00EE0A20">
              <w:t>118</w:t>
            </w:r>
          </w:p>
        </w:tc>
        <w:tc>
          <w:tcPr>
            <w:tcW w:w="1028" w:type="dxa"/>
            <w:tcBorders>
              <w:top w:val="single" w:sz="4" w:space="0" w:color="auto"/>
              <w:left w:val="single" w:sz="4" w:space="0" w:color="auto"/>
              <w:bottom w:val="single" w:sz="4" w:space="0" w:color="auto"/>
              <w:right w:val="single" w:sz="4" w:space="0" w:color="auto"/>
            </w:tcBorders>
            <w:vAlign w:val="bottom"/>
          </w:tcPr>
          <w:p w14:paraId="69AF5A0A" w14:textId="77777777" w:rsidR="008362DF" w:rsidRDefault="008362DF" w:rsidP="00FF2356">
            <w:pPr>
              <w:jc w:val="right"/>
            </w:pPr>
            <w:r w:rsidRPr="00EE0A20">
              <w:t>1,211</w:t>
            </w:r>
          </w:p>
        </w:tc>
        <w:tc>
          <w:tcPr>
            <w:tcW w:w="1028" w:type="dxa"/>
            <w:tcBorders>
              <w:top w:val="single" w:sz="4" w:space="0" w:color="auto"/>
              <w:left w:val="single" w:sz="4" w:space="0" w:color="auto"/>
              <w:bottom w:val="single" w:sz="4" w:space="0" w:color="auto"/>
              <w:right w:val="single" w:sz="4" w:space="0" w:color="auto"/>
            </w:tcBorders>
            <w:vAlign w:val="bottom"/>
          </w:tcPr>
          <w:p w14:paraId="071E28FF" w14:textId="77777777" w:rsidR="008362DF" w:rsidRDefault="008362DF" w:rsidP="00FF2356">
            <w:pPr>
              <w:jc w:val="right"/>
            </w:pPr>
            <w:r w:rsidRPr="00EE0A20">
              <w:t>84</w:t>
            </w:r>
          </w:p>
        </w:tc>
        <w:tc>
          <w:tcPr>
            <w:tcW w:w="772" w:type="dxa"/>
            <w:tcBorders>
              <w:top w:val="single" w:sz="4" w:space="0" w:color="auto"/>
              <w:left w:val="single" w:sz="4" w:space="0" w:color="auto"/>
              <w:bottom w:val="single" w:sz="4" w:space="0" w:color="auto"/>
              <w:right w:val="single" w:sz="4" w:space="0" w:color="auto"/>
            </w:tcBorders>
            <w:vAlign w:val="bottom"/>
          </w:tcPr>
          <w:p w14:paraId="2B177FAD" w14:textId="77777777" w:rsidR="008362DF" w:rsidRDefault="008362DF" w:rsidP="00FF2356">
            <w:pPr>
              <w:jc w:val="right"/>
            </w:pPr>
            <w:r w:rsidRPr="00EE0A20">
              <w:t>19</w:t>
            </w:r>
          </w:p>
        </w:tc>
        <w:tc>
          <w:tcPr>
            <w:tcW w:w="787" w:type="dxa"/>
            <w:tcBorders>
              <w:top w:val="single" w:sz="4" w:space="0" w:color="auto"/>
              <w:left w:val="single" w:sz="4" w:space="0" w:color="auto"/>
              <w:bottom w:val="single" w:sz="4" w:space="0" w:color="auto"/>
              <w:right w:val="single" w:sz="4" w:space="0" w:color="auto"/>
            </w:tcBorders>
            <w:vAlign w:val="bottom"/>
          </w:tcPr>
          <w:p w14:paraId="3F89DCCD" w14:textId="77777777" w:rsidR="008362DF" w:rsidRDefault="008362DF" w:rsidP="00FF2356">
            <w:pPr>
              <w:jc w:val="right"/>
            </w:pPr>
            <w:r w:rsidRPr="00EE0A20">
              <w:t>15</w:t>
            </w: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6E86CDB" w14:textId="77777777" w:rsidR="008362DF" w:rsidRDefault="008362DF" w:rsidP="00FF2356">
            <w:pPr>
              <w:jc w:val="right"/>
            </w:pPr>
            <w:r w:rsidRPr="00EE0A20">
              <w:t>1,447</w:t>
            </w:r>
          </w:p>
        </w:tc>
        <w:tc>
          <w:tcPr>
            <w:tcW w:w="742" w:type="dxa"/>
            <w:tcBorders>
              <w:top w:val="single" w:sz="4" w:space="0" w:color="auto"/>
              <w:left w:val="single" w:sz="4" w:space="0" w:color="auto"/>
              <w:bottom w:val="single" w:sz="4" w:space="0" w:color="auto"/>
              <w:right w:val="single" w:sz="4" w:space="0" w:color="auto"/>
            </w:tcBorders>
            <w:vAlign w:val="bottom"/>
          </w:tcPr>
          <w:p w14:paraId="3DA4D2DE" w14:textId="77777777" w:rsidR="008362DF" w:rsidRDefault="008362DF" w:rsidP="00FF2356">
            <w:pPr>
              <w:jc w:val="right"/>
            </w:pPr>
            <w:r w:rsidRPr="00EE0A20">
              <w:t>14</w:t>
            </w:r>
          </w:p>
        </w:tc>
        <w:tc>
          <w:tcPr>
            <w:tcW w:w="789" w:type="dxa"/>
            <w:tcBorders>
              <w:top w:val="single" w:sz="4" w:space="0" w:color="auto"/>
              <w:left w:val="single" w:sz="4" w:space="0" w:color="auto"/>
              <w:bottom w:val="single" w:sz="4" w:space="0" w:color="auto"/>
              <w:right w:val="single" w:sz="4" w:space="0" w:color="auto"/>
            </w:tcBorders>
            <w:vAlign w:val="bottom"/>
          </w:tcPr>
          <w:p w14:paraId="773A6929" w14:textId="77777777" w:rsidR="008362DF" w:rsidRDefault="008362DF" w:rsidP="00FF2356">
            <w:pPr>
              <w:jc w:val="right"/>
            </w:pPr>
            <w:r w:rsidRPr="00EE0A20">
              <w:t>28</w:t>
            </w:r>
          </w:p>
        </w:tc>
        <w:tc>
          <w:tcPr>
            <w:tcW w:w="750" w:type="dxa"/>
            <w:tcBorders>
              <w:top w:val="single" w:sz="4" w:space="0" w:color="auto"/>
              <w:left w:val="single" w:sz="4" w:space="0" w:color="auto"/>
              <w:bottom w:val="single" w:sz="4" w:space="0" w:color="auto"/>
              <w:right w:val="single" w:sz="4" w:space="0" w:color="auto"/>
            </w:tcBorders>
            <w:vAlign w:val="bottom"/>
          </w:tcPr>
          <w:p w14:paraId="16E133EC" w14:textId="77777777" w:rsidR="008362DF" w:rsidRDefault="008362DF" w:rsidP="00FF2356">
            <w:pPr>
              <w:jc w:val="right"/>
            </w:pPr>
            <w:r w:rsidRPr="00EE0A20">
              <w:t>1,489</w:t>
            </w:r>
          </w:p>
        </w:tc>
      </w:tr>
      <w:tr w:rsidR="008362DF" w14:paraId="339E5552"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64AB9FBC" w14:textId="5B32A1E8" w:rsidR="008362DF" w:rsidRDefault="008362DF" w:rsidP="00806BB7">
            <w:r w:rsidRPr="00EE0A20">
              <w:t xml:space="preserve">General Code </w:t>
            </w:r>
            <w:r w:rsidR="00806BB7">
              <w:t>I</w:t>
            </w:r>
            <w:r w:rsidRPr="00EE0A20">
              <w:t>nfo</w:t>
            </w:r>
            <w:r w:rsidR="00806BB7">
              <w:t>.</w:t>
            </w:r>
          </w:p>
        </w:tc>
        <w:tc>
          <w:tcPr>
            <w:tcW w:w="1092" w:type="dxa"/>
            <w:tcBorders>
              <w:top w:val="single" w:sz="4" w:space="0" w:color="auto"/>
              <w:left w:val="single" w:sz="4" w:space="0" w:color="auto"/>
              <w:bottom w:val="single" w:sz="4" w:space="0" w:color="auto"/>
              <w:right w:val="single" w:sz="4" w:space="0" w:color="auto"/>
            </w:tcBorders>
            <w:vAlign w:val="bottom"/>
          </w:tcPr>
          <w:p w14:paraId="271BE3F6" w14:textId="77777777" w:rsidR="008362DF" w:rsidRDefault="008362DF" w:rsidP="00FF2356">
            <w:pPr>
              <w:jc w:val="right"/>
            </w:pPr>
            <w:r w:rsidRPr="00EE0A20">
              <w:t>60</w:t>
            </w:r>
          </w:p>
        </w:tc>
        <w:tc>
          <w:tcPr>
            <w:tcW w:w="1028" w:type="dxa"/>
            <w:tcBorders>
              <w:top w:val="single" w:sz="4" w:space="0" w:color="auto"/>
              <w:left w:val="single" w:sz="4" w:space="0" w:color="auto"/>
              <w:bottom w:val="single" w:sz="4" w:space="0" w:color="auto"/>
              <w:right w:val="single" w:sz="4" w:space="0" w:color="auto"/>
            </w:tcBorders>
            <w:vAlign w:val="bottom"/>
          </w:tcPr>
          <w:p w14:paraId="74052716" w14:textId="77777777" w:rsidR="008362DF" w:rsidRDefault="008362DF" w:rsidP="00FF2356">
            <w:pPr>
              <w:jc w:val="right"/>
            </w:pPr>
            <w:r w:rsidRPr="00EE0A20">
              <w:t>500</w:t>
            </w:r>
          </w:p>
        </w:tc>
        <w:tc>
          <w:tcPr>
            <w:tcW w:w="1028" w:type="dxa"/>
            <w:tcBorders>
              <w:top w:val="single" w:sz="4" w:space="0" w:color="auto"/>
              <w:left w:val="single" w:sz="4" w:space="0" w:color="auto"/>
              <w:bottom w:val="single" w:sz="4" w:space="0" w:color="auto"/>
              <w:right w:val="single" w:sz="4" w:space="0" w:color="auto"/>
            </w:tcBorders>
            <w:vAlign w:val="bottom"/>
          </w:tcPr>
          <w:p w14:paraId="04B96537" w14:textId="77777777" w:rsidR="008362DF" w:rsidRDefault="008362DF" w:rsidP="00FF2356">
            <w:pPr>
              <w:jc w:val="right"/>
            </w:pPr>
            <w:r w:rsidRPr="00EE0A20">
              <w:t>19</w:t>
            </w:r>
          </w:p>
        </w:tc>
        <w:tc>
          <w:tcPr>
            <w:tcW w:w="772" w:type="dxa"/>
            <w:tcBorders>
              <w:top w:val="single" w:sz="4" w:space="0" w:color="auto"/>
              <w:left w:val="single" w:sz="4" w:space="0" w:color="auto"/>
              <w:bottom w:val="single" w:sz="4" w:space="0" w:color="auto"/>
              <w:right w:val="single" w:sz="4" w:space="0" w:color="auto"/>
            </w:tcBorders>
            <w:vAlign w:val="bottom"/>
          </w:tcPr>
          <w:p w14:paraId="576CA9F3" w14:textId="77777777" w:rsidR="008362DF" w:rsidRDefault="008362DF" w:rsidP="00FF2356">
            <w:pPr>
              <w:jc w:val="right"/>
            </w:pPr>
            <w:r w:rsidRPr="00EE0A20">
              <w:t>25</w:t>
            </w:r>
          </w:p>
        </w:tc>
        <w:tc>
          <w:tcPr>
            <w:tcW w:w="787" w:type="dxa"/>
            <w:tcBorders>
              <w:top w:val="single" w:sz="4" w:space="0" w:color="auto"/>
              <w:left w:val="single" w:sz="4" w:space="0" w:color="auto"/>
              <w:bottom w:val="single" w:sz="4" w:space="0" w:color="auto"/>
              <w:right w:val="single" w:sz="4" w:space="0" w:color="auto"/>
            </w:tcBorders>
            <w:vAlign w:val="bottom"/>
          </w:tcPr>
          <w:p w14:paraId="7EC0A73D"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FDCD8CE" w14:textId="77777777" w:rsidR="008362DF" w:rsidRDefault="008362DF" w:rsidP="00FF2356">
            <w:pPr>
              <w:jc w:val="right"/>
            </w:pPr>
            <w:r w:rsidRPr="00EE0A20">
              <w:t>604</w:t>
            </w:r>
          </w:p>
        </w:tc>
        <w:tc>
          <w:tcPr>
            <w:tcW w:w="742" w:type="dxa"/>
            <w:tcBorders>
              <w:top w:val="single" w:sz="4" w:space="0" w:color="auto"/>
              <w:left w:val="single" w:sz="4" w:space="0" w:color="auto"/>
              <w:bottom w:val="single" w:sz="4" w:space="0" w:color="auto"/>
              <w:right w:val="single" w:sz="4" w:space="0" w:color="auto"/>
            </w:tcBorders>
            <w:vAlign w:val="bottom"/>
          </w:tcPr>
          <w:p w14:paraId="1676243D" w14:textId="77777777" w:rsidR="008362DF" w:rsidRDefault="008362DF" w:rsidP="00FF2356">
            <w:pPr>
              <w:jc w:val="right"/>
            </w:pPr>
            <w:r w:rsidRPr="00EE0A20">
              <w:t>41</w:t>
            </w:r>
          </w:p>
        </w:tc>
        <w:tc>
          <w:tcPr>
            <w:tcW w:w="789" w:type="dxa"/>
            <w:tcBorders>
              <w:top w:val="single" w:sz="4" w:space="0" w:color="auto"/>
              <w:left w:val="single" w:sz="4" w:space="0" w:color="auto"/>
              <w:bottom w:val="single" w:sz="4" w:space="0" w:color="auto"/>
              <w:right w:val="single" w:sz="4" w:space="0" w:color="auto"/>
            </w:tcBorders>
            <w:vAlign w:val="bottom"/>
          </w:tcPr>
          <w:p w14:paraId="4D5903FD" w14:textId="77777777" w:rsidR="008362DF" w:rsidRDefault="008362DF" w:rsidP="00FF2356">
            <w:pPr>
              <w:jc w:val="right"/>
            </w:pPr>
            <w:r w:rsidRPr="00EE0A20">
              <w:t>24</w:t>
            </w:r>
          </w:p>
        </w:tc>
        <w:tc>
          <w:tcPr>
            <w:tcW w:w="750" w:type="dxa"/>
            <w:tcBorders>
              <w:top w:val="single" w:sz="4" w:space="0" w:color="auto"/>
              <w:left w:val="single" w:sz="4" w:space="0" w:color="auto"/>
              <w:bottom w:val="single" w:sz="4" w:space="0" w:color="auto"/>
              <w:right w:val="single" w:sz="4" w:space="0" w:color="auto"/>
            </w:tcBorders>
            <w:vAlign w:val="bottom"/>
          </w:tcPr>
          <w:p w14:paraId="6AFAD3DA" w14:textId="77777777" w:rsidR="008362DF" w:rsidRDefault="008362DF" w:rsidP="00FF2356">
            <w:pPr>
              <w:jc w:val="right"/>
            </w:pPr>
            <w:r w:rsidRPr="00EE0A20">
              <w:t>669</w:t>
            </w:r>
          </w:p>
        </w:tc>
      </w:tr>
      <w:tr w:rsidR="008362DF" w14:paraId="3367C37B"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5C3BFFD5" w14:textId="7AC6F02D" w:rsidR="008362DF" w:rsidRDefault="00806BB7" w:rsidP="00FF2356">
            <w:r>
              <w:t>Code A</w:t>
            </w:r>
            <w:r w:rsidR="008362DF" w:rsidRPr="00EE0A20">
              <w:t>dvice</w:t>
            </w:r>
          </w:p>
        </w:tc>
        <w:tc>
          <w:tcPr>
            <w:tcW w:w="1092" w:type="dxa"/>
            <w:tcBorders>
              <w:top w:val="single" w:sz="4" w:space="0" w:color="auto"/>
              <w:left w:val="single" w:sz="4" w:space="0" w:color="auto"/>
              <w:bottom w:val="single" w:sz="4" w:space="0" w:color="auto"/>
              <w:right w:val="single" w:sz="4" w:space="0" w:color="auto"/>
            </w:tcBorders>
            <w:vAlign w:val="bottom"/>
          </w:tcPr>
          <w:p w14:paraId="04D26E71" w14:textId="77777777" w:rsidR="008362DF" w:rsidRDefault="008362DF" w:rsidP="00FF2356">
            <w:pPr>
              <w:jc w:val="right"/>
            </w:pPr>
            <w:r w:rsidRPr="00EE0A20">
              <w:t>42</w:t>
            </w:r>
          </w:p>
        </w:tc>
        <w:tc>
          <w:tcPr>
            <w:tcW w:w="1028" w:type="dxa"/>
            <w:tcBorders>
              <w:top w:val="single" w:sz="4" w:space="0" w:color="auto"/>
              <w:left w:val="single" w:sz="4" w:space="0" w:color="auto"/>
              <w:bottom w:val="single" w:sz="4" w:space="0" w:color="auto"/>
              <w:right w:val="single" w:sz="4" w:space="0" w:color="auto"/>
            </w:tcBorders>
            <w:vAlign w:val="bottom"/>
          </w:tcPr>
          <w:p w14:paraId="17E39349" w14:textId="77777777" w:rsidR="008362DF" w:rsidRDefault="008362DF" w:rsidP="00FF2356">
            <w:pPr>
              <w:jc w:val="right"/>
            </w:pPr>
            <w:r w:rsidRPr="00EE0A20">
              <w:t>421</w:t>
            </w:r>
          </w:p>
        </w:tc>
        <w:tc>
          <w:tcPr>
            <w:tcW w:w="1028" w:type="dxa"/>
            <w:tcBorders>
              <w:top w:val="single" w:sz="4" w:space="0" w:color="auto"/>
              <w:left w:val="single" w:sz="4" w:space="0" w:color="auto"/>
              <w:bottom w:val="single" w:sz="4" w:space="0" w:color="auto"/>
              <w:right w:val="single" w:sz="4" w:space="0" w:color="auto"/>
            </w:tcBorders>
            <w:vAlign w:val="bottom"/>
          </w:tcPr>
          <w:p w14:paraId="10960DC5" w14:textId="77777777" w:rsidR="008362DF" w:rsidRDefault="008362DF" w:rsidP="00FF2356">
            <w:pPr>
              <w:jc w:val="right"/>
            </w:pPr>
            <w:r w:rsidRPr="00EE0A20">
              <w:t>37</w:t>
            </w:r>
          </w:p>
        </w:tc>
        <w:tc>
          <w:tcPr>
            <w:tcW w:w="772" w:type="dxa"/>
            <w:tcBorders>
              <w:top w:val="single" w:sz="4" w:space="0" w:color="auto"/>
              <w:left w:val="single" w:sz="4" w:space="0" w:color="auto"/>
              <w:bottom w:val="single" w:sz="4" w:space="0" w:color="auto"/>
              <w:right w:val="single" w:sz="4" w:space="0" w:color="auto"/>
            </w:tcBorders>
            <w:vAlign w:val="bottom"/>
          </w:tcPr>
          <w:p w14:paraId="679B0585" w14:textId="77777777" w:rsidR="008362DF" w:rsidRDefault="008362DF" w:rsidP="00FF2356">
            <w:pPr>
              <w:jc w:val="right"/>
            </w:pPr>
            <w:r w:rsidRPr="00EE0A20">
              <w:t>27</w:t>
            </w:r>
          </w:p>
        </w:tc>
        <w:tc>
          <w:tcPr>
            <w:tcW w:w="787" w:type="dxa"/>
            <w:tcBorders>
              <w:top w:val="single" w:sz="4" w:space="0" w:color="auto"/>
              <w:left w:val="single" w:sz="4" w:space="0" w:color="auto"/>
              <w:bottom w:val="single" w:sz="4" w:space="0" w:color="auto"/>
              <w:right w:val="single" w:sz="4" w:space="0" w:color="auto"/>
            </w:tcBorders>
            <w:vAlign w:val="bottom"/>
          </w:tcPr>
          <w:p w14:paraId="412FC00B" w14:textId="77777777" w:rsidR="008362DF" w:rsidRDefault="008362DF" w:rsidP="00FF2356">
            <w:pPr>
              <w:jc w:val="right"/>
            </w:pPr>
            <w:r w:rsidRPr="00EE0A20">
              <w:t>7</w:t>
            </w: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74215" w14:textId="77777777" w:rsidR="008362DF" w:rsidRDefault="008362DF" w:rsidP="00FF2356">
            <w:pPr>
              <w:jc w:val="right"/>
            </w:pPr>
            <w:r w:rsidRPr="00EE0A20">
              <w:t>534</w:t>
            </w:r>
          </w:p>
        </w:tc>
        <w:tc>
          <w:tcPr>
            <w:tcW w:w="742" w:type="dxa"/>
            <w:tcBorders>
              <w:top w:val="single" w:sz="4" w:space="0" w:color="auto"/>
              <w:left w:val="single" w:sz="4" w:space="0" w:color="auto"/>
              <w:bottom w:val="single" w:sz="4" w:space="0" w:color="auto"/>
              <w:right w:val="single" w:sz="4" w:space="0" w:color="auto"/>
            </w:tcBorders>
            <w:vAlign w:val="bottom"/>
          </w:tcPr>
          <w:p w14:paraId="45DF0289" w14:textId="77777777" w:rsidR="008362DF" w:rsidRDefault="008362DF" w:rsidP="00FF2356">
            <w:pPr>
              <w:jc w:val="right"/>
            </w:pPr>
            <w:r w:rsidRPr="00EE0A20">
              <w:t>54</w:t>
            </w:r>
          </w:p>
        </w:tc>
        <w:tc>
          <w:tcPr>
            <w:tcW w:w="789" w:type="dxa"/>
            <w:tcBorders>
              <w:top w:val="single" w:sz="4" w:space="0" w:color="auto"/>
              <w:left w:val="single" w:sz="4" w:space="0" w:color="auto"/>
              <w:bottom w:val="single" w:sz="4" w:space="0" w:color="auto"/>
              <w:right w:val="single" w:sz="4" w:space="0" w:color="auto"/>
            </w:tcBorders>
            <w:vAlign w:val="bottom"/>
          </w:tcPr>
          <w:p w14:paraId="1771129F" w14:textId="77777777" w:rsidR="008362DF" w:rsidRDefault="008362DF" w:rsidP="00FF2356">
            <w:pPr>
              <w:jc w:val="right"/>
            </w:pPr>
            <w:r w:rsidRPr="00EE0A20">
              <w:t>43</w:t>
            </w:r>
          </w:p>
        </w:tc>
        <w:tc>
          <w:tcPr>
            <w:tcW w:w="750" w:type="dxa"/>
            <w:tcBorders>
              <w:top w:val="single" w:sz="4" w:space="0" w:color="auto"/>
              <w:left w:val="single" w:sz="4" w:space="0" w:color="auto"/>
              <w:bottom w:val="single" w:sz="4" w:space="0" w:color="auto"/>
              <w:right w:val="single" w:sz="4" w:space="0" w:color="auto"/>
            </w:tcBorders>
            <w:vAlign w:val="bottom"/>
          </w:tcPr>
          <w:p w14:paraId="67E410DC" w14:textId="77777777" w:rsidR="008362DF" w:rsidRDefault="008362DF" w:rsidP="00FF2356">
            <w:pPr>
              <w:jc w:val="right"/>
            </w:pPr>
            <w:r w:rsidRPr="00EE0A20">
              <w:t>631</w:t>
            </w:r>
          </w:p>
        </w:tc>
      </w:tr>
      <w:tr w:rsidR="008362DF" w14:paraId="0D69EE4F"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2EC30D51" w14:textId="55B09052" w:rsidR="008362DF" w:rsidRPr="00EE0A20" w:rsidRDefault="00F72362" w:rsidP="00FF2356">
            <w:r>
              <w:t>s.</w:t>
            </w:r>
            <w:r w:rsidR="00806BB7">
              <w:t>6A A</w:t>
            </w:r>
            <w:r w:rsidR="008362DF" w:rsidRPr="00EE0A20">
              <w:t>pplication</w:t>
            </w:r>
          </w:p>
        </w:tc>
        <w:tc>
          <w:tcPr>
            <w:tcW w:w="1092" w:type="dxa"/>
            <w:tcBorders>
              <w:top w:val="single" w:sz="4" w:space="0" w:color="auto"/>
              <w:left w:val="single" w:sz="4" w:space="0" w:color="auto"/>
              <w:bottom w:val="single" w:sz="4" w:space="0" w:color="auto"/>
              <w:right w:val="single" w:sz="4" w:space="0" w:color="auto"/>
            </w:tcBorders>
            <w:vAlign w:val="bottom"/>
          </w:tcPr>
          <w:p w14:paraId="0BE2A8C8" w14:textId="77777777" w:rsidR="008362DF" w:rsidRDefault="008362DF" w:rsidP="00FF2356">
            <w:pPr>
              <w:jc w:val="right"/>
            </w:pPr>
            <w:r w:rsidRPr="00EE0A20">
              <w:t>1</w:t>
            </w:r>
          </w:p>
        </w:tc>
        <w:tc>
          <w:tcPr>
            <w:tcW w:w="1028" w:type="dxa"/>
            <w:tcBorders>
              <w:top w:val="single" w:sz="4" w:space="0" w:color="auto"/>
              <w:left w:val="single" w:sz="4" w:space="0" w:color="auto"/>
              <w:bottom w:val="single" w:sz="4" w:space="0" w:color="auto"/>
              <w:right w:val="single" w:sz="4" w:space="0" w:color="auto"/>
            </w:tcBorders>
            <w:vAlign w:val="bottom"/>
          </w:tcPr>
          <w:p w14:paraId="1171B7A8" w14:textId="77777777" w:rsidR="008362DF" w:rsidRDefault="008362DF" w:rsidP="00FF2356">
            <w:pPr>
              <w:jc w:val="right"/>
            </w:pPr>
            <w:r w:rsidRPr="00EE0A20">
              <w:t>29</w:t>
            </w:r>
          </w:p>
        </w:tc>
        <w:tc>
          <w:tcPr>
            <w:tcW w:w="1028" w:type="dxa"/>
            <w:tcBorders>
              <w:top w:val="single" w:sz="4" w:space="0" w:color="auto"/>
              <w:left w:val="single" w:sz="4" w:space="0" w:color="auto"/>
              <w:bottom w:val="single" w:sz="4" w:space="0" w:color="auto"/>
              <w:right w:val="single" w:sz="4" w:space="0" w:color="auto"/>
            </w:tcBorders>
            <w:vAlign w:val="bottom"/>
          </w:tcPr>
          <w:p w14:paraId="529F67F2" w14:textId="77777777" w:rsidR="008362DF" w:rsidRDefault="008362DF" w:rsidP="00FF2356">
            <w:pPr>
              <w:jc w:val="right"/>
            </w:pPr>
            <w:r w:rsidRPr="00EE0A20">
              <w:t>1</w:t>
            </w:r>
          </w:p>
        </w:tc>
        <w:tc>
          <w:tcPr>
            <w:tcW w:w="772" w:type="dxa"/>
            <w:tcBorders>
              <w:top w:val="single" w:sz="4" w:space="0" w:color="auto"/>
              <w:left w:val="single" w:sz="4" w:space="0" w:color="auto"/>
              <w:bottom w:val="single" w:sz="4" w:space="0" w:color="auto"/>
              <w:right w:val="single" w:sz="4" w:space="0" w:color="auto"/>
            </w:tcBorders>
            <w:vAlign w:val="bottom"/>
          </w:tcPr>
          <w:p w14:paraId="4863866E" w14:textId="77777777" w:rsidR="008362DF" w:rsidRDefault="008362DF" w:rsidP="00FF2356">
            <w:pPr>
              <w:jc w:val="right"/>
            </w:pPr>
            <w:r w:rsidRPr="00EE0A20">
              <w:t>1</w:t>
            </w:r>
          </w:p>
        </w:tc>
        <w:tc>
          <w:tcPr>
            <w:tcW w:w="787" w:type="dxa"/>
            <w:tcBorders>
              <w:top w:val="single" w:sz="4" w:space="0" w:color="auto"/>
              <w:left w:val="single" w:sz="4" w:space="0" w:color="auto"/>
              <w:bottom w:val="single" w:sz="4" w:space="0" w:color="auto"/>
              <w:right w:val="single" w:sz="4" w:space="0" w:color="auto"/>
            </w:tcBorders>
            <w:vAlign w:val="bottom"/>
          </w:tcPr>
          <w:p w14:paraId="2D2909CC"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A6996CD" w14:textId="77777777" w:rsidR="008362DF" w:rsidRDefault="008362DF" w:rsidP="00FF2356">
            <w:pPr>
              <w:jc w:val="right"/>
            </w:pPr>
            <w:r w:rsidRPr="00EE0A20">
              <w:t>32</w:t>
            </w:r>
          </w:p>
        </w:tc>
        <w:tc>
          <w:tcPr>
            <w:tcW w:w="742" w:type="dxa"/>
            <w:tcBorders>
              <w:top w:val="single" w:sz="4" w:space="0" w:color="auto"/>
              <w:left w:val="single" w:sz="4" w:space="0" w:color="auto"/>
              <w:bottom w:val="single" w:sz="4" w:space="0" w:color="auto"/>
              <w:right w:val="single" w:sz="4" w:space="0" w:color="auto"/>
            </w:tcBorders>
            <w:vAlign w:val="bottom"/>
          </w:tcPr>
          <w:p w14:paraId="5FCAF915" w14:textId="77777777" w:rsidR="008362DF" w:rsidRDefault="008362DF" w:rsidP="00FF2356">
            <w:pPr>
              <w:jc w:val="right"/>
            </w:pPr>
          </w:p>
        </w:tc>
        <w:tc>
          <w:tcPr>
            <w:tcW w:w="789" w:type="dxa"/>
            <w:tcBorders>
              <w:top w:val="single" w:sz="4" w:space="0" w:color="auto"/>
              <w:left w:val="single" w:sz="4" w:space="0" w:color="auto"/>
              <w:bottom w:val="single" w:sz="4" w:space="0" w:color="auto"/>
              <w:right w:val="single" w:sz="4" w:space="0" w:color="auto"/>
            </w:tcBorders>
            <w:vAlign w:val="bottom"/>
          </w:tcPr>
          <w:p w14:paraId="08C286D4" w14:textId="77777777" w:rsidR="008362DF" w:rsidRDefault="008362DF" w:rsidP="00FF2356">
            <w:pPr>
              <w:jc w:val="right"/>
            </w:pPr>
            <w:r w:rsidRPr="00EE0A20">
              <w:t>1</w:t>
            </w:r>
          </w:p>
        </w:tc>
        <w:tc>
          <w:tcPr>
            <w:tcW w:w="750" w:type="dxa"/>
            <w:tcBorders>
              <w:top w:val="single" w:sz="4" w:space="0" w:color="auto"/>
              <w:left w:val="single" w:sz="4" w:space="0" w:color="auto"/>
              <w:bottom w:val="single" w:sz="4" w:space="0" w:color="auto"/>
              <w:right w:val="single" w:sz="4" w:space="0" w:color="auto"/>
            </w:tcBorders>
            <w:vAlign w:val="bottom"/>
          </w:tcPr>
          <w:p w14:paraId="29BB3195" w14:textId="77777777" w:rsidR="008362DF" w:rsidRDefault="008362DF" w:rsidP="00FF2356">
            <w:pPr>
              <w:jc w:val="right"/>
            </w:pPr>
            <w:r w:rsidRPr="00EE0A20">
              <w:t>33</w:t>
            </w:r>
          </w:p>
        </w:tc>
      </w:tr>
      <w:tr w:rsidR="008362DF" w14:paraId="784E557B"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33E8039F" w14:textId="3972FA03" w:rsidR="008362DF" w:rsidRPr="00EE0A20" w:rsidRDefault="00806BB7" w:rsidP="00FF2356">
            <w:r>
              <w:t>Notice of Code B</w:t>
            </w:r>
            <w:r w:rsidR="008362DF" w:rsidRPr="00EE0A20">
              <w:t>reach</w:t>
            </w:r>
          </w:p>
        </w:tc>
        <w:tc>
          <w:tcPr>
            <w:tcW w:w="1092" w:type="dxa"/>
            <w:tcBorders>
              <w:top w:val="single" w:sz="4" w:space="0" w:color="auto"/>
              <w:left w:val="single" w:sz="4" w:space="0" w:color="auto"/>
              <w:bottom w:val="single" w:sz="4" w:space="0" w:color="auto"/>
              <w:right w:val="single" w:sz="4" w:space="0" w:color="auto"/>
            </w:tcBorders>
            <w:vAlign w:val="bottom"/>
          </w:tcPr>
          <w:p w14:paraId="66DFCA12" w14:textId="77777777" w:rsidR="008362DF" w:rsidRDefault="008362DF" w:rsidP="00FF2356">
            <w:pPr>
              <w:jc w:val="right"/>
            </w:pPr>
            <w:r w:rsidRPr="00EE0A20">
              <w:t>1</w:t>
            </w:r>
          </w:p>
        </w:tc>
        <w:tc>
          <w:tcPr>
            <w:tcW w:w="1028" w:type="dxa"/>
            <w:tcBorders>
              <w:top w:val="single" w:sz="4" w:space="0" w:color="auto"/>
              <w:left w:val="single" w:sz="4" w:space="0" w:color="auto"/>
              <w:bottom w:val="single" w:sz="4" w:space="0" w:color="auto"/>
              <w:right w:val="single" w:sz="4" w:space="0" w:color="auto"/>
            </w:tcBorders>
            <w:vAlign w:val="bottom"/>
          </w:tcPr>
          <w:p w14:paraId="3257F02D" w14:textId="77777777" w:rsidR="008362DF" w:rsidRDefault="008362DF" w:rsidP="00FF2356">
            <w:pPr>
              <w:jc w:val="right"/>
            </w:pPr>
            <w:r w:rsidRPr="00EE0A20">
              <w:t>23</w:t>
            </w:r>
          </w:p>
        </w:tc>
        <w:tc>
          <w:tcPr>
            <w:tcW w:w="1028" w:type="dxa"/>
            <w:tcBorders>
              <w:top w:val="single" w:sz="4" w:space="0" w:color="auto"/>
              <w:left w:val="single" w:sz="4" w:space="0" w:color="auto"/>
              <w:bottom w:val="single" w:sz="4" w:space="0" w:color="auto"/>
              <w:right w:val="single" w:sz="4" w:space="0" w:color="auto"/>
            </w:tcBorders>
            <w:vAlign w:val="bottom"/>
          </w:tcPr>
          <w:p w14:paraId="72A5CDCE" w14:textId="77777777" w:rsidR="008362DF"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vAlign w:val="bottom"/>
          </w:tcPr>
          <w:p w14:paraId="5DD54169" w14:textId="77777777" w:rsidR="008362DF" w:rsidRDefault="008362DF" w:rsidP="00FF2356">
            <w:pPr>
              <w:jc w:val="right"/>
            </w:pPr>
            <w:r w:rsidRPr="00EE0A20">
              <w:t>1</w:t>
            </w:r>
          </w:p>
        </w:tc>
        <w:tc>
          <w:tcPr>
            <w:tcW w:w="787" w:type="dxa"/>
            <w:tcBorders>
              <w:top w:val="single" w:sz="4" w:space="0" w:color="auto"/>
              <w:left w:val="single" w:sz="4" w:space="0" w:color="auto"/>
              <w:bottom w:val="single" w:sz="4" w:space="0" w:color="auto"/>
              <w:right w:val="single" w:sz="4" w:space="0" w:color="auto"/>
            </w:tcBorders>
            <w:vAlign w:val="bottom"/>
          </w:tcPr>
          <w:p w14:paraId="593B306F"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EBE039D" w14:textId="77777777" w:rsidR="008362DF" w:rsidRDefault="008362DF" w:rsidP="00FF2356">
            <w:pPr>
              <w:jc w:val="right"/>
            </w:pPr>
            <w:r w:rsidRPr="00EE0A20">
              <w:t>25</w:t>
            </w:r>
          </w:p>
        </w:tc>
        <w:tc>
          <w:tcPr>
            <w:tcW w:w="742" w:type="dxa"/>
            <w:tcBorders>
              <w:top w:val="single" w:sz="4" w:space="0" w:color="auto"/>
              <w:left w:val="single" w:sz="4" w:space="0" w:color="auto"/>
              <w:bottom w:val="single" w:sz="4" w:space="0" w:color="auto"/>
              <w:right w:val="single" w:sz="4" w:space="0" w:color="auto"/>
            </w:tcBorders>
            <w:vAlign w:val="bottom"/>
          </w:tcPr>
          <w:p w14:paraId="6A9D9073" w14:textId="77777777" w:rsidR="008362DF" w:rsidRDefault="008362DF" w:rsidP="00FF2356">
            <w:pPr>
              <w:jc w:val="right"/>
            </w:pPr>
          </w:p>
        </w:tc>
        <w:tc>
          <w:tcPr>
            <w:tcW w:w="789" w:type="dxa"/>
            <w:tcBorders>
              <w:top w:val="single" w:sz="4" w:space="0" w:color="auto"/>
              <w:left w:val="single" w:sz="4" w:space="0" w:color="auto"/>
              <w:bottom w:val="single" w:sz="4" w:space="0" w:color="auto"/>
              <w:right w:val="single" w:sz="4" w:space="0" w:color="auto"/>
            </w:tcBorders>
            <w:vAlign w:val="bottom"/>
          </w:tcPr>
          <w:p w14:paraId="39BB73A1"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vAlign w:val="bottom"/>
          </w:tcPr>
          <w:p w14:paraId="674FB7E2" w14:textId="77777777" w:rsidR="008362DF" w:rsidRDefault="008362DF" w:rsidP="00FF2356">
            <w:pPr>
              <w:jc w:val="right"/>
            </w:pPr>
            <w:r w:rsidRPr="00EE0A20">
              <w:t>25</w:t>
            </w:r>
          </w:p>
        </w:tc>
      </w:tr>
      <w:tr w:rsidR="008362DF" w14:paraId="1C2B172C"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70323D9A" w14:textId="2BF3FB43" w:rsidR="008362DF" w:rsidRPr="00EE0A20" w:rsidRDefault="008362DF" w:rsidP="00806BB7">
            <w:r w:rsidRPr="00EE0A20">
              <w:t>Sec</w:t>
            </w:r>
            <w:r w:rsidR="00806BB7">
              <w:t>urity of P</w:t>
            </w:r>
            <w:r w:rsidRPr="00EE0A20">
              <w:t xml:space="preserve">ayment </w:t>
            </w:r>
            <w:r w:rsidR="00806BB7">
              <w:t>– E</w:t>
            </w:r>
            <w:r w:rsidRPr="00EE0A20">
              <w:t>nquiry</w:t>
            </w:r>
          </w:p>
        </w:tc>
        <w:tc>
          <w:tcPr>
            <w:tcW w:w="1092" w:type="dxa"/>
            <w:tcBorders>
              <w:top w:val="single" w:sz="4" w:space="0" w:color="auto"/>
              <w:left w:val="single" w:sz="4" w:space="0" w:color="auto"/>
              <w:bottom w:val="single" w:sz="4" w:space="0" w:color="auto"/>
              <w:right w:val="single" w:sz="4" w:space="0" w:color="auto"/>
            </w:tcBorders>
            <w:vAlign w:val="bottom"/>
          </w:tcPr>
          <w:p w14:paraId="527228C4" w14:textId="77777777" w:rsidR="008362DF" w:rsidRDefault="008362DF" w:rsidP="00FF2356">
            <w:pPr>
              <w:jc w:val="right"/>
            </w:pPr>
          </w:p>
        </w:tc>
        <w:tc>
          <w:tcPr>
            <w:tcW w:w="1028" w:type="dxa"/>
            <w:tcBorders>
              <w:top w:val="single" w:sz="4" w:space="0" w:color="auto"/>
              <w:left w:val="single" w:sz="4" w:space="0" w:color="auto"/>
              <w:bottom w:val="single" w:sz="4" w:space="0" w:color="auto"/>
              <w:right w:val="single" w:sz="4" w:space="0" w:color="auto"/>
            </w:tcBorders>
            <w:vAlign w:val="bottom"/>
          </w:tcPr>
          <w:p w14:paraId="0092CFBB" w14:textId="77777777" w:rsidR="008362DF" w:rsidRDefault="008362DF" w:rsidP="00FF2356">
            <w:pPr>
              <w:jc w:val="right"/>
            </w:pPr>
            <w:r w:rsidRPr="00EE0A20">
              <w:t>17</w:t>
            </w:r>
          </w:p>
        </w:tc>
        <w:tc>
          <w:tcPr>
            <w:tcW w:w="1028" w:type="dxa"/>
            <w:tcBorders>
              <w:top w:val="single" w:sz="4" w:space="0" w:color="auto"/>
              <w:left w:val="single" w:sz="4" w:space="0" w:color="auto"/>
              <w:bottom w:val="single" w:sz="4" w:space="0" w:color="auto"/>
              <w:right w:val="single" w:sz="4" w:space="0" w:color="auto"/>
            </w:tcBorders>
            <w:vAlign w:val="bottom"/>
          </w:tcPr>
          <w:p w14:paraId="1B37FB53" w14:textId="77777777" w:rsidR="008362DF" w:rsidRDefault="008362DF" w:rsidP="00FF2356">
            <w:pPr>
              <w:jc w:val="right"/>
            </w:pPr>
            <w:r w:rsidRPr="00EE0A20">
              <w:t>2</w:t>
            </w:r>
          </w:p>
        </w:tc>
        <w:tc>
          <w:tcPr>
            <w:tcW w:w="772" w:type="dxa"/>
            <w:tcBorders>
              <w:top w:val="single" w:sz="4" w:space="0" w:color="auto"/>
              <w:left w:val="single" w:sz="4" w:space="0" w:color="auto"/>
              <w:bottom w:val="single" w:sz="4" w:space="0" w:color="auto"/>
              <w:right w:val="single" w:sz="4" w:space="0" w:color="auto"/>
            </w:tcBorders>
            <w:vAlign w:val="bottom"/>
          </w:tcPr>
          <w:p w14:paraId="4DB15015" w14:textId="77777777" w:rsidR="008362DF" w:rsidRDefault="008362DF" w:rsidP="00FF2356">
            <w:pPr>
              <w:jc w:val="right"/>
            </w:pPr>
          </w:p>
        </w:tc>
        <w:tc>
          <w:tcPr>
            <w:tcW w:w="787" w:type="dxa"/>
            <w:tcBorders>
              <w:top w:val="single" w:sz="4" w:space="0" w:color="auto"/>
              <w:left w:val="single" w:sz="4" w:space="0" w:color="auto"/>
              <w:bottom w:val="single" w:sz="4" w:space="0" w:color="auto"/>
              <w:right w:val="single" w:sz="4" w:space="0" w:color="auto"/>
            </w:tcBorders>
            <w:vAlign w:val="bottom"/>
          </w:tcPr>
          <w:p w14:paraId="265A0C10"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78D761C" w14:textId="77777777" w:rsidR="008362DF" w:rsidRDefault="008362DF" w:rsidP="00FF2356">
            <w:pPr>
              <w:jc w:val="right"/>
            </w:pPr>
            <w:r w:rsidRPr="00EE0A20">
              <w:t>19</w:t>
            </w:r>
          </w:p>
        </w:tc>
        <w:tc>
          <w:tcPr>
            <w:tcW w:w="742" w:type="dxa"/>
            <w:tcBorders>
              <w:top w:val="single" w:sz="4" w:space="0" w:color="auto"/>
              <w:left w:val="single" w:sz="4" w:space="0" w:color="auto"/>
              <w:bottom w:val="single" w:sz="4" w:space="0" w:color="auto"/>
              <w:right w:val="single" w:sz="4" w:space="0" w:color="auto"/>
            </w:tcBorders>
            <w:vAlign w:val="bottom"/>
          </w:tcPr>
          <w:p w14:paraId="38F90822" w14:textId="77777777" w:rsidR="008362DF" w:rsidRDefault="008362DF" w:rsidP="00FF2356">
            <w:pPr>
              <w:jc w:val="right"/>
            </w:pPr>
          </w:p>
        </w:tc>
        <w:tc>
          <w:tcPr>
            <w:tcW w:w="789" w:type="dxa"/>
            <w:tcBorders>
              <w:top w:val="single" w:sz="4" w:space="0" w:color="auto"/>
              <w:left w:val="single" w:sz="4" w:space="0" w:color="auto"/>
              <w:bottom w:val="single" w:sz="4" w:space="0" w:color="auto"/>
              <w:right w:val="single" w:sz="4" w:space="0" w:color="auto"/>
            </w:tcBorders>
            <w:vAlign w:val="bottom"/>
          </w:tcPr>
          <w:p w14:paraId="44B9D2C6" w14:textId="77777777" w:rsidR="008362DF" w:rsidRDefault="008362DF" w:rsidP="00FF2356">
            <w:pPr>
              <w:jc w:val="right"/>
            </w:pPr>
            <w:r w:rsidRPr="00EE0A20">
              <w:t>4</w:t>
            </w:r>
          </w:p>
        </w:tc>
        <w:tc>
          <w:tcPr>
            <w:tcW w:w="750" w:type="dxa"/>
            <w:tcBorders>
              <w:top w:val="single" w:sz="4" w:space="0" w:color="auto"/>
              <w:left w:val="single" w:sz="4" w:space="0" w:color="auto"/>
              <w:bottom w:val="single" w:sz="4" w:space="0" w:color="auto"/>
              <w:right w:val="single" w:sz="4" w:space="0" w:color="auto"/>
            </w:tcBorders>
            <w:vAlign w:val="bottom"/>
          </w:tcPr>
          <w:p w14:paraId="27D7C847" w14:textId="77777777" w:rsidR="008362DF" w:rsidRDefault="008362DF" w:rsidP="00FF2356">
            <w:pPr>
              <w:jc w:val="right"/>
            </w:pPr>
            <w:r w:rsidRPr="00EE0A20">
              <w:t>23</w:t>
            </w:r>
          </w:p>
        </w:tc>
      </w:tr>
      <w:tr w:rsidR="008362DF" w14:paraId="46C19B88"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3C24C27C" w14:textId="722160D9" w:rsidR="008362DF" w:rsidRPr="00EE0A20" w:rsidRDefault="008362DF" w:rsidP="00806BB7">
            <w:r w:rsidRPr="00EE0A20">
              <w:t>Sec</w:t>
            </w:r>
            <w:r w:rsidR="00806BB7">
              <w:t>urity of Payment – N</w:t>
            </w:r>
            <w:r w:rsidRPr="00EE0A20">
              <w:t>otification</w:t>
            </w:r>
          </w:p>
        </w:tc>
        <w:tc>
          <w:tcPr>
            <w:tcW w:w="1092" w:type="dxa"/>
            <w:tcBorders>
              <w:top w:val="single" w:sz="4" w:space="0" w:color="auto"/>
              <w:left w:val="single" w:sz="4" w:space="0" w:color="auto"/>
              <w:bottom w:val="single" w:sz="4" w:space="0" w:color="auto"/>
              <w:right w:val="single" w:sz="4" w:space="0" w:color="auto"/>
            </w:tcBorders>
            <w:vAlign w:val="bottom"/>
          </w:tcPr>
          <w:p w14:paraId="6945DE2B" w14:textId="77777777" w:rsidR="008362DF" w:rsidRDefault="008362DF" w:rsidP="00FF2356">
            <w:pPr>
              <w:jc w:val="right"/>
            </w:pPr>
          </w:p>
        </w:tc>
        <w:tc>
          <w:tcPr>
            <w:tcW w:w="1028" w:type="dxa"/>
            <w:tcBorders>
              <w:top w:val="single" w:sz="4" w:space="0" w:color="auto"/>
              <w:left w:val="single" w:sz="4" w:space="0" w:color="auto"/>
              <w:bottom w:val="single" w:sz="4" w:space="0" w:color="auto"/>
              <w:right w:val="single" w:sz="4" w:space="0" w:color="auto"/>
            </w:tcBorders>
            <w:vAlign w:val="bottom"/>
          </w:tcPr>
          <w:p w14:paraId="386910A2" w14:textId="77777777" w:rsidR="008362DF" w:rsidRDefault="008362DF" w:rsidP="00FF2356">
            <w:pPr>
              <w:jc w:val="right"/>
            </w:pPr>
            <w:r w:rsidRPr="00EE0A20">
              <w:t>19</w:t>
            </w:r>
          </w:p>
        </w:tc>
        <w:tc>
          <w:tcPr>
            <w:tcW w:w="1028" w:type="dxa"/>
            <w:tcBorders>
              <w:top w:val="single" w:sz="4" w:space="0" w:color="auto"/>
              <w:left w:val="single" w:sz="4" w:space="0" w:color="auto"/>
              <w:bottom w:val="single" w:sz="4" w:space="0" w:color="auto"/>
              <w:right w:val="single" w:sz="4" w:space="0" w:color="auto"/>
            </w:tcBorders>
            <w:vAlign w:val="bottom"/>
          </w:tcPr>
          <w:p w14:paraId="31AFD7BE" w14:textId="77777777" w:rsidR="008362DF"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vAlign w:val="bottom"/>
          </w:tcPr>
          <w:p w14:paraId="41F4530A" w14:textId="77777777" w:rsidR="008362DF" w:rsidRDefault="008362DF" w:rsidP="00FF2356">
            <w:pPr>
              <w:jc w:val="right"/>
            </w:pPr>
          </w:p>
        </w:tc>
        <w:tc>
          <w:tcPr>
            <w:tcW w:w="787" w:type="dxa"/>
            <w:tcBorders>
              <w:top w:val="single" w:sz="4" w:space="0" w:color="auto"/>
              <w:left w:val="single" w:sz="4" w:space="0" w:color="auto"/>
              <w:bottom w:val="single" w:sz="4" w:space="0" w:color="auto"/>
              <w:right w:val="single" w:sz="4" w:space="0" w:color="auto"/>
            </w:tcBorders>
            <w:vAlign w:val="bottom"/>
          </w:tcPr>
          <w:p w14:paraId="55227741"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645E38A" w14:textId="77777777" w:rsidR="008362DF" w:rsidRDefault="008362DF" w:rsidP="00FF2356">
            <w:pPr>
              <w:jc w:val="right"/>
            </w:pPr>
            <w:r w:rsidRPr="00EE0A20">
              <w:t>19</w:t>
            </w:r>
          </w:p>
        </w:tc>
        <w:tc>
          <w:tcPr>
            <w:tcW w:w="742" w:type="dxa"/>
            <w:tcBorders>
              <w:top w:val="single" w:sz="4" w:space="0" w:color="auto"/>
              <w:left w:val="single" w:sz="4" w:space="0" w:color="auto"/>
              <w:bottom w:val="single" w:sz="4" w:space="0" w:color="auto"/>
              <w:right w:val="single" w:sz="4" w:space="0" w:color="auto"/>
            </w:tcBorders>
            <w:vAlign w:val="bottom"/>
          </w:tcPr>
          <w:p w14:paraId="6236E053" w14:textId="77777777" w:rsidR="008362DF" w:rsidRDefault="008362DF" w:rsidP="00FF2356">
            <w:pPr>
              <w:jc w:val="right"/>
            </w:pPr>
            <w:r w:rsidRPr="00EE0A20">
              <w:t>1</w:t>
            </w:r>
          </w:p>
        </w:tc>
        <w:tc>
          <w:tcPr>
            <w:tcW w:w="789" w:type="dxa"/>
            <w:tcBorders>
              <w:top w:val="single" w:sz="4" w:space="0" w:color="auto"/>
              <w:left w:val="single" w:sz="4" w:space="0" w:color="auto"/>
              <w:bottom w:val="single" w:sz="4" w:space="0" w:color="auto"/>
              <w:right w:val="single" w:sz="4" w:space="0" w:color="auto"/>
            </w:tcBorders>
            <w:vAlign w:val="bottom"/>
          </w:tcPr>
          <w:p w14:paraId="6E48BD05"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vAlign w:val="bottom"/>
          </w:tcPr>
          <w:p w14:paraId="77886618" w14:textId="77777777" w:rsidR="008362DF" w:rsidRDefault="008362DF" w:rsidP="00FF2356">
            <w:pPr>
              <w:jc w:val="right"/>
            </w:pPr>
            <w:r w:rsidRPr="00EE0A20">
              <w:t>20</w:t>
            </w:r>
          </w:p>
        </w:tc>
      </w:tr>
      <w:tr w:rsidR="008362DF" w14:paraId="276B76FB"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0C789124" w14:textId="58364C73" w:rsidR="008362DF" w:rsidRPr="00EE0A20" w:rsidRDefault="00F72362" w:rsidP="00FF2356">
            <w:r>
              <w:t>s.</w:t>
            </w:r>
            <w:r w:rsidR="008362DF" w:rsidRPr="00EE0A20">
              <w:t>6A General advice</w:t>
            </w:r>
          </w:p>
        </w:tc>
        <w:tc>
          <w:tcPr>
            <w:tcW w:w="1092" w:type="dxa"/>
            <w:tcBorders>
              <w:top w:val="single" w:sz="4" w:space="0" w:color="auto"/>
              <w:left w:val="single" w:sz="4" w:space="0" w:color="auto"/>
              <w:bottom w:val="single" w:sz="4" w:space="0" w:color="auto"/>
              <w:right w:val="single" w:sz="4" w:space="0" w:color="auto"/>
            </w:tcBorders>
            <w:vAlign w:val="bottom"/>
          </w:tcPr>
          <w:p w14:paraId="0864D8AA" w14:textId="77777777" w:rsidR="008362DF" w:rsidRDefault="008362DF" w:rsidP="00FF2356">
            <w:pPr>
              <w:jc w:val="right"/>
            </w:pPr>
          </w:p>
        </w:tc>
        <w:tc>
          <w:tcPr>
            <w:tcW w:w="1028" w:type="dxa"/>
            <w:tcBorders>
              <w:top w:val="single" w:sz="4" w:space="0" w:color="auto"/>
              <w:left w:val="single" w:sz="4" w:space="0" w:color="auto"/>
              <w:bottom w:val="single" w:sz="4" w:space="0" w:color="auto"/>
              <w:right w:val="single" w:sz="4" w:space="0" w:color="auto"/>
            </w:tcBorders>
            <w:vAlign w:val="bottom"/>
          </w:tcPr>
          <w:p w14:paraId="1FD8A948" w14:textId="77777777" w:rsidR="008362DF" w:rsidRDefault="008362DF" w:rsidP="00FF2356">
            <w:pPr>
              <w:jc w:val="right"/>
            </w:pPr>
            <w:r w:rsidRPr="00EE0A20">
              <w:t>4</w:t>
            </w:r>
          </w:p>
        </w:tc>
        <w:tc>
          <w:tcPr>
            <w:tcW w:w="1028" w:type="dxa"/>
            <w:tcBorders>
              <w:top w:val="single" w:sz="4" w:space="0" w:color="auto"/>
              <w:left w:val="single" w:sz="4" w:space="0" w:color="auto"/>
              <w:bottom w:val="single" w:sz="4" w:space="0" w:color="auto"/>
              <w:right w:val="single" w:sz="4" w:space="0" w:color="auto"/>
            </w:tcBorders>
            <w:vAlign w:val="bottom"/>
          </w:tcPr>
          <w:p w14:paraId="55E2F97C" w14:textId="77777777" w:rsidR="008362DF"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vAlign w:val="bottom"/>
          </w:tcPr>
          <w:p w14:paraId="7F89EB13" w14:textId="77777777" w:rsidR="008362DF" w:rsidRDefault="008362DF" w:rsidP="00FF2356">
            <w:pPr>
              <w:jc w:val="right"/>
            </w:pPr>
            <w:r w:rsidRPr="00EE0A20">
              <w:t>1</w:t>
            </w:r>
          </w:p>
        </w:tc>
        <w:tc>
          <w:tcPr>
            <w:tcW w:w="787" w:type="dxa"/>
            <w:tcBorders>
              <w:top w:val="single" w:sz="4" w:space="0" w:color="auto"/>
              <w:left w:val="single" w:sz="4" w:space="0" w:color="auto"/>
              <w:bottom w:val="single" w:sz="4" w:space="0" w:color="auto"/>
              <w:right w:val="single" w:sz="4" w:space="0" w:color="auto"/>
            </w:tcBorders>
            <w:vAlign w:val="bottom"/>
          </w:tcPr>
          <w:p w14:paraId="690C40B8"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61BC6C3" w14:textId="77777777" w:rsidR="008362DF" w:rsidRDefault="008362DF" w:rsidP="00FF2356">
            <w:pPr>
              <w:jc w:val="right"/>
            </w:pPr>
            <w:r w:rsidRPr="00EE0A20">
              <w:t>5</w:t>
            </w:r>
          </w:p>
        </w:tc>
        <w:tc>
          <w:tcPr>
            <w:tcW w:w="742" w:type="dxa"/>
            <w:tcBorders>
              <w:top w:val="single" w:sz="4" w:space="0" w:color="auto"/>
              <w:left w:val="single" w:sz="4" w:space="0" w:color="auto"/>
              <w:bottom w:val="single" w:sz="4" w:space="0" w:color="auto"/>
              <w:right w:val="single" w:sz="4" w:space="0" w:color="auto"/>
            </w:tcBorders>
            <w:vAlign w:val="bottom"/>
          </w:tcPr>
          <w:p w14:paraId="42A4DA3E" w14:textId="77777777" w:rsidR="008362DF" w:rsidRDefault="008362DF" w:rsidP="00FF2356">
            <w:pPr>
              <w:jc w:val="right"/>
            </w:pPr>
          </w:p>
        </w:tc>
        <w:tc>
          <w:tcPr>
            <w:tcW w:w="789" w:type="dxa"/>
            <w:tcBorders>
              <w:top w:val="single" w:sz="4" w:space="0" w:color="auto"/>
              <w:left w:val="single" w:sz="4" w:space="0" w:color="auto"/>
              <w:bottom w:val="single" w:sz="4" w:space="0" w:color="auto"/>
              <w:right w:val="single" w:sz="4" w:space="0" w:color="auto"/>
            </w:tcBorders>
            <w:vAlign w:val="bottom"/>
          </w:tcPr>
          <w:p w14:paraId="4955473A" w14:textId="77777777" w:rsidR="008362DF" w:rsidRDefault="008362DF" w:rsidP="00FF2356">
            <w:pPr>
              <w:jc w:val="right"/>
            </w:pPr>
            <w:r w:rsidRPr="00EE0A20">
              <w:t>3</w:t>
            </w:r>
          </w:p>
        </w:tc>
        <w:tc>
          <w:tcPr>
            <w:tcW w:w="750" w:type="dxa"/>
            <w:tcBorders>
              <w:top w:val="single" w:sz="4" w:space="0" w:color="auto"/>
              <w:left w:val="single" w:sz="4" w:space="0" w:color="auto"/>
              <w:bottom w:val="single" w:sz="4" w:space="0" w:color="auto"/>
              <w:right w:val="single" w:sz="4" w:space="0" w:color="auto"/>
            </w:tcBorders>
            <w:vAlign w:val="bottom"/>
          </w:tcPr>
          <w:p w14:paraId="679A5994" w14:textId="77777777" w:rsidR="008362DF" w:rsidRDefault="008362DF" w:rsidP="00FF2356">
            <w:pPr>
              <w:jc w:val="right"/>
            </w:pPr>
            <w:r w:rsidRPr="00EE0A20">
              <w:t>8</w:t>
            </w:r>
          </w:p>
        </w:tc>
      </w:tr>
      <w:tr w:rsidR="008362DF" w14:paraId="4A82D682"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60C04A75" w14:textId="6F4AB2C5" w:rsidR="008362DF" w:rsidRPr="00EE0A20" w:rsidRDefault="00806BB7" w:rsidP="00FF2356">
            <w:r>
              <w:t>State Code I</w:t>
            </w:r>
            <w:r w:rsidR="008362DF" w:rsidRPr="00EE0A20">
              <w:t>nfo</w:t>
            </w:r>
            <w:r>
              <w:t>.</w:t>
            </w:r>
          </w:p>
        </w:tc>
        <w:tc>
          <w:tcPr>
            <w:tcW w:w="1092" w:type="dxa"/>
            <w:tcBorders>
              <w:top w:val="single" w:sz="4" w:space="0" w:color="auto"/>
              <w:left w:val="single" w:sz="4" w:space="0" w:color="auto"/>
              <w:bottom w:val="single" w:sz="4" w:space="0" w:color="auto"/>
              <w:right w:val="single" w:sz="4" w:space="0" w:color="auto"/>
            </w:tcBorders>
            <w:vAlign w:val="bottom"/>
          </w:tcPr>
          <w:p w14:paraId="4BF54B16" w14:textId="77777777" w:rsidR="008362DF" w:rsidRDefault="008362DF" w:rsidP="00FF2356">
            <w:pPr>
              <w:jc w:val="right"/>
            </w:pPr>
          </w:p>
        </w:tc>
        <w:tc>
          <w:tcPr>
            <w:tcW w:w="1028" w:type="dxa"/>
            <w:tcBorders>
              <w:top w:val="single" w:sz="4" w:space="0" w:color="auto"/>
              <w:left w:val="single" w:sz="4" w:space="0" w:color="auto"/>
              <w:bottom w:val="single" w:sz="4" w:space="0" w:color="auto"/>
              <w:right w:val="single" w:sz="4" w:space="0" w:color="auto"/>
            </w:tcBorders>
            <w:vAlign w:val="bottom"/>
          </w:tcPr>
          <w:p w14:paraId="1C4E6A01" w14:textId="77777777" w:rsidR="008362DF" w:rsidRDefault="008362DF" w:rsidP="00FF2356">
            <w:pPr>
              <w:jc w:val="right"/>
            </w:pPr>
          </w:p>
        </w:tc>
        <w:tc>
          <w:tcPr>
            <w:tcW w:w="1028" w:type="dxa"/>
            <w:tcBorders>
              <w:top w:val="single" w:sz="4" w:space="0" w:color="auto"/>
              <w:left w:val="single" w:sz="4" w:space="0" w:color="auto"/>
              <w:bottom w:val="single" w:sz="4" w:space="0" w:color="auto"/>
              <w:right w:val="single" w:sz="4" w:space="0" w:color="auto"/>
            </w:tcBorders>
            <w:vAlign w:val="bottom"/>
          </w:tcPr>
          <w:p w14:paraId="07456822" w14:textId="77777777" w:rsidR="008362DF"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vAlign w:val="bottom"/>
          </w:tcPr>
          <w:p w14:paraId="0CB88392" w14:textId="77777777" w:rsidR="008362DF" w:rsidRDefault="008362DF" w:rsidP="00FF2356">
            <w:pPr>
              <w:jc w:val="right"/>
            </w:pPr>
          </w:p>
        </w:tc>
        <w:tc>
          <w:tcPr>
            <w:tcW w:w="787" w:type="dxa"/>
            <w:tcBorders>
              <w:top w:val="single" w:sz="4" w:space="0" w:color="auto"/>
              <w:left w:val="single" w:sz="4" w:space="0" w:color="auto"/>
              <w:bottom w:val="single" w:sz="4" w:space="0" w:color="auto"/>
              <w:right w:val="single" w:sz="4" w:space="0" w:color="auto"/>
            </w:tcBorders>
            <w:vAlign w:val="bottom"/>
          </w:tcPr>
          <w:p w14:paraId="1D9C39C1"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D60600E" w14:textId="77777777" w:rsidR="008362DF" w:rsidRDefault="008362DF" w:rsidP="00FF2356">
            <w:pPr>
              <w:jc w:val="right"/>
            </w:pPr>
          </w:p>
        </w:tc>
        <w:tc>
          <w:tcPr>
            <w:tcW w:w="742" w:type="dxa"/>
            <w:tcBorders>
              <w:top w:val="single" w:sz="4" w:space="0" w:color="auto"/>
              <w:left w:val="single" w:sz="4" w:space="0" w:color="auto"/>
              <w:bottom w:val="single" w:sz="4" w:space="0" w:color="auto"/>
              <w:right w:val="single" w:sz="4" w:space="0" w:color="auto"/>
            </w:tcBorders>
            <w:vAlign w:val="bottom"/>
          </w:tcPr>
          <w:p w14:paraId="4551C2BE" w14:textId="77777777" w:rsidR="008362DF" w:rsidRDefault="008362DF" w:rsidP="00FF2356">
            <w:pPr>
              <w:jc w:val="right"/>
            </w:pPr>
          </w:p>
        </w:tc>
        <w:tc>
          <w:tcPr>
            <w:tcW w:w="789" w:type="dxa"/>
            <w:tcBorders>
              <w:top w:val="single" w:sz="4" w:space="0" w:color="auto"/>
              <w:left w:val="single" w:sz="4" w:space="0" w:color="auto"/>
              <w:bottom w:val="single" w:sz="4" w:space="0" w:color="auto"/>
              <w:right w:val="single" w:sz="4" w:space="0" w:color="auto"/>
            </w:tcBorders>
            <w:vAlign w:val="bottom"/>
          </w:tcPr>
          <w:p w14:paraId="6CA8BBB4" w14:textId="77777777" w:rsidR="008362DF" w:rsidRDefault="008362DF" w:rsidP="00FF2356">
            <w:pPr>
              <w:jc w:val="right"/>
            </w:pPr>
            <w:r w:rsidRPr="00EE0A20">
              <w:t>3</w:t>
            </w:r>
          </w:p>
        </w:tc>
        <w:tc>
          <w:tcPr>
            <w:tcW w:w="750" w:type="dxa"/>
            <w:tcBorders>
              <w:top w:val="single" w:sz="4" w:space="0" w:color="auto"/>
              <w:left w:val="single" w:sz="4" w:space="0" w:color="auto"/>
              <w:bottom w:val="single" w:sz="4" w:space="0" w:color="auto"/>
              <w:right w:val="single" w:sz="4" w:space="0" w:color="auto"/>
            </w:tcBorders>
            <w:vAlign w:val="bottom"/>
          </w:tcPr>
          <w:p w14:paraId="2035C993" w14:textId="77777777" w:rsidR="008362DF" w:rsidRDefault="008362DF" w:rsidP="00FF2356">
            <w:pPr>
              <w:jc w:val="right"/>
            </w:pPr>
            <w:r w:rsidRPr="00EE0A20">
              <w:t>3</w:t>
            </w:r>
          </w:p>
        </w:tc>
      </w:tr>
      <w:tr w:rsidR="00806BB7" w:rsidRPr="00806BB7" w14:paraId="39CD1DFF" w14:textId="77777777" w:rsidTr="00806BB7">
        <w:tc>
          <w:tcPr>
            <w:tcW w:w="19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86C055B" w14:textId="7A50E829" w:rsidR="008362DF" w:rsidRPr="00806BB7" w:rsidRDefault="00806BB7" w:rsidP="00806BB7">
            <w:r>
              <w:t>Workplace Laws – B</w:t>
            </w:r>
            <w:r w:rsidR="008362DF" w:rsidRPr="00806BB7">
              <w:t xml:space="preserve">uilding </w:t>
            </w:r>
            <w:r>
              <w:t>W</w:t>
            </w:r>
            <w:r w:rsidR="008362DF" w:rsidRPr="00806BB7">
              <w:t>ork</w:t>
            </w:r>
          </w:p>
        </w:tc>
        <w:tc>
          <w:tcPr>
            <w:tcW w:w="10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3163C85" w14:textId="77777777" w:rsidR="008362DF" w:rsidRPr="00806BB7" w:rsidRDefault="008362DF" w:rsidP="00FF2356">
            <w:pPr>
              <w:jc w:val="right"/>
            </w:pPr>
            <w:r w:rsidRPr="00806BB7">
              <w:t>100</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71C603C" w14:textId="77777777" w:rsidR="008362DF" w:rsidRPr="00806BB7" w:rsidRDefault="008362DF" w:rsidP="00FF2356">
            <w:pPr>
              <w:jc w:val="right"/>
            </w:pPr>
            <w:r w:rsidRPr="00806BB7">
              <w:t>262</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6A48DD4" w14:textId="77777777" w:rsidR="008362DF" w:rsidRPr="00806BB7" w:rsidRDefault="008362DF" w:rsidP="00FF2356">
            <w:pPr>
              <w:jc w:val="right"/>
            </w:pPr>
            <w:r w:rsidRPr="00806BB7">
              <w:t>14</w:t>
            </w:r>
          </w:p>
        </w:tc>
        <w:tc>
          <w:tcPr>
            <w:tcW w:w="7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1E1D90B" w14:textId="77777777" w:rsidR="008362DF" w:rsidRPr="00806BB7" w:rsidRDefault="008362DF" w:rsidP="00FF2356">
            <w:pPr>
              <w:jc w:val="right"/>
            </w:pPr>
            <w:r w:rsidRPr="00806BB7">
              <w:t>16</w:t>
            </w:r>
          </w:p>
        </w:tc>
        <w:tc>
          <w:tcPr>
            <w:tcW w:w="7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0506026" w14:textId="77777777" w:rsidR="008362DF" w:rsidRPr="00806BB7" w:rsidRDefault="008362DF" w:rsidP="00FF2356">
            <w:pPr>
              <w:jc w:val="right"/>
            </w:pPr>
            <w:r w:rsidRPr="00806BB7">
              <w:t>4</w:t>
            </w: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68573E4" w14:textId="77777777" w:rsidR="008362DF" w:rsidRPr="00806BB7" w:rsidRDefault="008362DF" w:rsidP="00FF2356">
            <w:pPr>
              <w:jc w:val="right"/>
            </w:pPr>
            <w:r w:rsidRPr="00806BB7">
              <w:t>396</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8BB9C63" w14:textId="77777777" w:rsidR="008362DF" w:rsidRPr="00806BB7" w:rsidRDefault="008362DF" w:rsidP="00FF2356">
            <w:pPr>
              <w:jc w:val="right"/>
            </w:pPr>
            <w:r w:rsidRPr="00806BB7">
              <w:t>25</w:t>
            </w:r>
          </w:p>
        </w:tc>
        <w:tc>
          <w:tcPr>
            <w:tcW w:w="7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06B6265" w14:textId="77777777" w:rsidR="008362DF" w:rsidRPr="00806BB7" w:rsidRDefault="008362DF" w:rsidP="00FF2356">
            <w:pPr>
              <w:jc w:val="right"/>
            </w:pPr>
            <w:r w:rsidRPr="00806BB7">
              <w:t>10</w:t>
            </w: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2AAB421" w14:textId="77777777" w:rsidR="008362DF" w:rsidRPr="00806BB7" w:rsidRDefault="008362DF" w:rsidP="00FF2356">
            <w:pPr>
              <w:jc w:val="right"/>
            </w:pPr>
            <w:r w:rsidRPr="00806BB7">
              <w:t>431</w:t>
            </w:r>
          </w:p>
        </w:tc>
      </w:tr>
      <w:tr w:rsidR="008362DF" w14:paraId="0765D1E3"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0D048878" w14:textId="64952E7A" w:rsidR="008362DF" w:rsidRPr="00EE0A20" w:rsidRDefault="00806BB7" w:rsidP="00FF2356">
            <w:pPr>
              <w:rPr>
                <w:b/>
              </w:rPr>
            </w:pPr>
            <w:r>
              <w:t>Right of E</w:t>
            </w:r>
            <w:r w:rsidR="008362DF" w:rsidRPr="00EE0A20">
              <w:t>ntry</w:t>
            </w:r>
          </w:p>
        </w:tc>
        <w:tc>
          <w:tcPr>
            <w:tcW w:w="1092" w:type="dxa"/>
            <w:tcBorders>
              <w:top w:val="single" w:sz="4" w:space="0" w:color="auto"/>
              <w:left w:val="single" w:sz="4" w:space="0" w:color="auto"/>
              <w:bottom w:val="single" w:sz="4" w:space="0" w:color="auto"/>
              <w:right w:val="single" w:sz="4" w:space="0" w:color="auto"/>
            </w:tcBorders>
            <w:vAlign w:val="bottom"/>
          </w:tcPr>
          <w:p w14:paraId="01F42C5A" w14:textId="77777777" w:rsidR="008362DF" w:rsidRDefault="008362DF" w:rsidP="00FF2356">
            <w:pPr>
              <w:jc w:val="right"/>
            </w:pPr>
            <w:r w:rsidRPr="00EE0A20">
              <w:t>9</w:t>
            </w:r>
          </w:p>
        </w:tc>
        <w:tc>
          <w:tcPr>
            <w:tcW w:w="1028" w:type="dxa"/>
            <w:tcBorders>
              <w:top w:val="single" w:sz="4" w:space="0" w:color="auto"/>
              <w:left w:val="single" w:sz="4" w:space="0" w:color="auto"/>
              <w:bottom w:val="single" w:sz="4" w:space="0" w:color="auto"/>
              <w:right w:val="single" w:sz="4" w:space="0" w:color="auto"/>
            </w:tcBorders>
            <w:vAlign w:val="bottom"/>
          </w:tcPr>
          <w:p w14:paraId="0F563A7C" w14:textId="77777777" w:rsidR="008362DF" w:rsidRDefault="008362DF" w:rsidP="00FF2356">
            <w:pPr>
              <w:jc w:val="right"/>
            </w:pPr>
            <w:r w:rsidRPr="00EE0A20">
              <w:t>115</w:t>
            </w:r>
          </w:p>
        </w:tc>
        <w:tc>
          <w:tcPr>
            <w:tcW w:w="1028" w:type="dxa"/>
            <w:tcBorders>
              <w:top w:val="single" w:sz="4" w:space="0" w:color="auto"/>
              <w:left w:val="single" w:sz="4" w:space="0" w:color="auto"/>
              <w:bottom w:val="single" w:sz="4" w:space="0" w:color="auto"/>
              <w:right w:val="single" w:sz="4" w:space="0" w:color="auto"/>
            </w:tcBorders>
            <w:vAlign w:val="bottom"/>
          </w:tcPr>
          <w:p w14:paraId="7A0E6CF4" w14:textId="77777777" w:rsidR="008362DF" w:rsidRDefault="008362DF" w:rsidP="00FF2356">
            <w:pPr>
              <w:jc w:val="right"/>
            </w:pPr>
            <w:r w:rsidRPr="00EE0A20">
              <w:t>8</w:t>
            </w:r>
          </w:p>
        </w:tc>
        <w:tc>
          <w:tcPr>
            <w:tcW w:w="772" w:type="dxa"/>
            <w:tcBorders>
              <w:top w:val="single" w:sz="4" w:space="0" w:color="auto"/>
              <w:left w:val="single" w:sz="4" w:space="0" w:color="auto"/>
              <w:bottom w:val="single" w:sz="4" w:space="0" w:color="auto"/>
              <w:right w:val="single" w:sz="4" w:space="0" w:color="auto"/>
            </w:tcBorders>
            <w:vAlign w:val="bottom"/>
          </w:tcPr>
          <w:p w14:paraId="1676CF8B" w14:textId="77777777" w:rsidR="008362DF" w:rsidRDefault="008362DF" w:rsidP="00FF2356">
            <w:pPr>
              <w:jc w:val="right"/>
            </w:pPr>
            <w:r w:rsidRPr="00EE0A20">
              <w:t>2</w:t>
            </w:r>
          </w:p>
        </w:tc>
        <w:tc>
          <w:tcPr>
            <w:tcW w:w="787" w:type="dxa"/>
            <w:tcBorders>
              <w:top w:val="single" w:sz="4" w:space="0" w:color="auto"/>
              <w:left w:val="single" w:sz="4" w:space="0" w:color="auto"/>
              <w:bottom w:val="single" w:sz="4" w:space="0" w:color="auto"/>
              <w:right w:val="single" w:sz="4" w:space="0" w:color="auto"/>
            </w:tcBorders>
            <w:vAlign w:val="bottom"/>
          </w:tcPr>
          <w:p w14:paraId="6704C78F" w14:textId="77777777" w:rsidR="008362DF" w:rsidRDefault="008362DF" w:rsidP="00FF2356">
            <w:pPr>
              <w:jc w:val="right"/>
            </w:pPr>
            <w:r w:rsidRPr="00EE0A20">
              <w:t>1</w:t>
            </w: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D689E67" w14:textId="77777777" w:rsidR="008362DF" w:rsidRDefault="008362DF" w:rsidP="00FF2356">
            <w:pPr>
              <w:jc w:val="right"/>
            </w:pPr>
            <w:r w:rsidRPr="00EE0A20">
              <w:t>135</w:t>
            </w:r>
          </w:p>
        </w:tc>
        <w:tc>
          <w:tcPr>
            <w:tcW w:w="742" w:type="dxa"/>
            <w:tcBorders>
              <w:top w:val="single" w:sz="4" w:space="0" w:color="auto"/>
              <w:left w:val="single" w:sz="4" w:space="0" w:color="auto"/>
              <w:bottom w:val="single" w:sz="4" w:space="0" w:color="auto"/>
              <w:right w:val="single" w:sz="4" w:space="0" w:color="auto"/>
            </w:tcBorders>
            <w:vAlign w:val="bottom"/>
          </w:tcPr>
          <w:p w14:paraId="7191AD02" w14:textId="77777777" w:rsidR="008362DF" w:rsidRDefault="008362DF" w:rsidP="00FF2356">
            <w:pPr>
              <w:jc w:val="right"/>
            </w:pPr>
            <w:r w:rsidRPr="00EE0A20">
              <w:t>8</w:t>
            </w:r>
          </w:p>
        </w:tc>
        <w:tc>
          <w:tcPr>
            <w:tcW w:w="789" w:type="dxa"/>
            <w:tcBorders>
              <w:top w:val="single" w:sz="4" w:space="0" w:color="auto"/>
              <w:left w:val="single" w:sz="4" w:space="0" w:color="auto"/>
              <w:bottom w:val="single" w:sz="4" w:space="0" w:color="auto"/>
              <w:right w:val="single" w:sz="4" w:space="0" w:color="auto"/>
            </w:tcBorders>
            <w:vAlign w:val="bottom"/>
          </w:tcPr>
          <w:p w14:paraId="7CA70C86"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vAlign w:val="bottom"/>
          </w:tcPr>
          <w:p w14:paraId="2F9878FA" w14:textId="77777777" w:rsidR="008362DF" w:rsidRDefault="008362DF" w:rsidP="00FF2356">
            <w:pPr>
              <w:jc w:val="right"/>
            </w:pPr>
            <w:r w:rsidRPr="00EE0A20">
              <w:t>143</w:t>
            </w:r>
          </w:p>
        </w:tc>
      </w:tr>
      <w:tr w:rsidR="008362DF" w14:paraId="175A9E12"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68319461" w14:textId="0BE4592C" w:rsidR="008362DF" w:rsidRPr="00EE0A20" w:rsidRDefault="00806BB7" w:rsidP="00806BB7">
            <w:r>
              <w:t>Wages &amp; E</w:t>
            </w:r>
            <w:r w:rsidR="008362DF" w:rsidRPr="00EE0A20">
              <w:t>ntitlements</w:t>
            </w:r>
          </w:p>
        </w:tc>
        <w:tc>
          <w:tcPr>
            <w:tcW w:w="1092" w:type="dxa"/>
            <w:tcBorders>
              <w:top w:val="single" w:sz="4" w:space="0" w:color="auto"/>
              <w:left w:val="single" w:sz="4" w:space="0" w:color="auto"/>
              <w:bottom w:val="single" w:sz="4" w:space="0" w:color="auto"/>
              <w:right w:val="single" w:sz="4" w:space="0" w:color="auto"/>
            </w:tcBorders>
            <w:vAlign w:val="bottom"/>
          </w:tcPr>
          <w:p w14:paraId="51163FCE" w14:textId="77777777" w:rsidR="008362DF" w:rsidRDefault="008362DF" w:rsidP="00FF2356">
            <w:pPr>
              <w:jc w:val="right"/>
            </w:pPr>
            <w:r w:rsidRPr="00EE0A20">
              <w:t>62</w:t>
            </w:r>
          </w:p>
        </w:tc>
        <w:tc>
          <w:tcPr>
            <w:tcW w:w="1028" w:type="dxa"/>
            <w:tcBorders>
              <w:top w:val="single" w:sz="4" w:space="0" w:color="auto"/>
              <w:left w:val="single" w:sz="4" w:space="0" w:color="auto"/>
              <w:bottom w:val="single" w:sz="4" w:space="0" w:color="auto"/>
              <w:right w:val="single" w:sz="4" w:space="0" w:color="auto"/>
            </w:tcBorders>
            <w:vAlign w:val="bottom"/>
          </w:tcPr>
          <w:p w14:paraId="5D9A9142" w14:textId="77777777" w:rsidR="008362DF" w:rsidRDefault="008362DF" w:rsidP="00FF2356">
            <w:pPr>
              <w:jc w:val="right"/>
            </w:pPr>
            <w:r w:rsidRPr="00EE0A20">
              <w:t>37</w:t>
            </w:r>
          </w:p>
        </w:tc>
        <w:tc>
          <w:tcPr>
            <w:tcW w:w="1028" w:type="dxa"/>
            <w:tcBorders>
              <w:top w:val="single" w:sz="4" w:space="0" w:color="auto"/>
              <w:left w:val="single" w:sz="4" w:space="0" w:color="auto"/>
              <w:bottom w:val="single" w:sz="4" w:space="0" w:color="auto"/>
              <w:right w:val="single" w:sz="4" w:space="0" w:color="auto"/>
            </w:tcBorders>
            <w:vAlign w:val="bottom"/>
          </w:tcPr>
          <w:p w14:paraId="0DC37F80" w14:textId="77777777" w:rsidR="008362DF" w:rsidRDefault="008362DF" w:rsidP="00FF2356">
            <w:pPr>
              <w:jc w:val="right"/>
            </w:pPr>
            <w:r w:rsidRPr="00EE0A20">
              <w:t>1</w:t>
            </w:r>
          </w:p>
        </w:tc>
        <w:tc>
          <w:tcPr>
            <w:tcW w:w="772" w:type="dxa"/>
            <w:tcBorders>
              <w:top w:val="single" w:sz="4" w:space="0" w:color="auto"/>
              <w:left w:val="single" w:sz="4" w:space="0" w:color="auto"/>
              <w:bottom w:val="single" w:sz="4" w:space="0" w:color="auto"/>
              <w:right w:val="single" w:sz="4" w:space="0" w:color="auto"/>
            </w:tcBorders>
            <w:vAlign w:val="bottom"/>
          </w:tcPr>
          <w:p w14:paraId="1FFF01E8" w14:textId="77777777" w:rsidR="008362DF" w:rsidRDefault="008362DF" w:rsidP="00FF2356">
            <w:pPr>
              <w:jc w:val="right"/>
            </w:pPr>
            <w:r w:rsidRPr="00EE0A20">
              <w:t>5</w:t>
            </w:r>
          </w:p>
        </w:tc>
        <w:tc>
          <w:tcPr>
            <w:tcW w:w="787" w:type="dxa"/>
            <w:tcBorders>
              <w:top w:val="single" w:sz="4" w:space="0" w:color="auto"/>
              <w:left w:val="single" w:sz="4" w:space="0" w:color="auto"/>
              <w:bottom w:val="single" w:sz="4" w:space="0" w:color="auto"/>
              <w:right w:val="single" w:sz="4" w:space="0" w:color="auto"/>
            </w:tcBorders>
            <w:vAlign w:val="bottom"/>
          </w:tcPr>
          <w:p w14:paraId="14F8E1CC" w14:textId="77777777" w:rsidR="008362DF" w:rsidRDefault="008362DF" w:rsidP="00FF2356">
            <w:pPr>
              <w:jc w:val="right"/>
            </w:pPr>
            <w:r w:rsidRPr="00EE0A20">
              <w:t>2</w:t>
            </w: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AFB11A6" w14:textId="77777777" w:rsidR="008362DF" w:rsidRDefault="008362DF" w:rsidP="00FF2356">
            <w:pPr>
              <w:jc w:val="right"/>
            </w:pPr>
            <w:r w:rsidRPr="00EE0A20">
              <w:t>107</w:t>
            </w:r>
          </w:p>
        </w:tc>
        <w:tc>
          <w:tcPr>
            <w:tcW w:w="742" w:type="dxa"/>
            <w:tcBorders>
              <w:top w:val="single" w:sz="4" w:space="0" w:color="auto"/>
              <w:left w:val="single" w:sz="4" w:space="0" w:color="auto"/>
              <w:bottom w:val="single" w:sz="4" w:space="0" w:color="auto"/>
              <w:right w:val="single" w:sz="4" w:space="0" w:color="auto"/>
            </w:tcBorders>
            <w:vAlign w:val="bottom"/>
          </w:tcPr>
          <w:p w14:paraId="7CE0CC2B" w14:textId="77777777" w:rsidR="008362DF" w:rsidRDefault="008362DF" w:rsidP="00FF2356">
            <w:pPr>
              <w:jc w:val="right"/>
            </w:pPr>
            <w:r w:rsidRPr="00EE0A20">
              <w:t>9</w:t>
            </w:r>
          </w:p>
        </w:tc>
        <w:tc>
          <w:tcPr>
            <w:tcW w:w="789" w:type="dxa"/>
            <w:tcBorders>
              <w:top w:val="single" w:sz="4" w:space="0" w:color="auto"/>
              <w:left w:val="single" w:sz="4" w:space="0" w:color="auto"/>
              <w:bottom w:val="single" w:sz="4" w:space="0" w:color="auto"/>
              <w:right w:val="single" w:sz="4" w:space="0" w:color="auto"/>
            </w:tcBorders>
            <w:vAlign w:val="bottom"/>
          </w:tcPr>
          <w:p w14:paraId="570576AB" w14:textId="77777777" w:rsidR="008362DF" w:rsidRDefault="008362DF" w:rsidP="00FF2356">
            <w:pPr>
              <w:jc w:val="right"/>
            </w:pPr>
            <w:r w:rsidRPr="00EE0A20">
              <w:t>3</w:t>
            </w:r>
          </w:p>
        </w:tc>
        <w:tc>
          <w:tcPr>
            <w:tcW w:w="750" w:type="dxa"/>
            <w:tcBorders>
              <w:top w:val="single" w:sz="4" w:space="0" w:color="auto"/>
              <w:left w:val="single" w:sz="4" w:space="0" w:color="auto"/>
              <w:bottom w:val="single" w:sz="4" w:space="0" w:color="auto"/>
              <w:right w:val="single" w:sz="4" w:space="0" w:color="auto"/>
            </w:tcBorders>
            <w:vAlign w:val="bottom"/>
          </w:tcPr>
          <w:p w14:paraId="07A67171" w14:textId="77777777" w:rsidR="008362DF" w:rsidRDefault="008362DF" w:rsidP="00FF2356">
            <w:pPr>
              <w:jc w:val="right"/>
            </w:pPr>
            <w:r w:rsidRPr="00EE0A20">
              <w:t>119</w:t>
            </w:r>
          </w:p>
        </w:tc>
      </w:tr>
      <w:tr w:rsidR="008362DF" w14:paraId="32BBCA39"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0A6EDDDA" w14:textId="7B2EF415" w:rsidR="008362DF" w:rsidRPr="00EE0A20" w:rsidRDefault="008362DF" w:rsidP="00806BB7">
            <w:r w:rsidRPr="00EE0A20">
              <w:t xml:space="preserve">Unlawful </w:t>
            </w:r>
            <w:r w:rsidR="00806BB7">
              <w:t>I</w:t>
            </w:r>
            <w:r w:rsidRPr="00EE0A20">
              <w:t xml:space="preserve">ndustrial </w:t>
            </w:r>
            <w:r w:rsidR="00806BB7">
              <w:t>A</w:t>
            </w:r>
            <w:r w:rsidRPr="00EE0A20">
              <w:t>ction</w:t>
            </w:r>
          </w:p>
        </w:tc>
        <w:tc>
          <w:tcPr>
            <w:tcW w:w="1092" w:type="dxa"/>
            <w:tcBorders>
              <w:top w:val="single" w:sz="4" w:space="0" w:color="auto"/>
              <w:left w:val="single" w:sz="4" w:space="0" w:color="auto"/>
              <w:bottom w:val="single" w:sz="4" w:space="0" w:color="auto"/>
              <w:right w:val="single" w:sz="4" w:space="0" w:color="auto"/>
            </w:tcBorders>
            <w:vAlign w:val="bottom"/>
          </w:tcPr>
          <w:p w14:paraId="5A41A858" w14:textId="77777777" w:rsidR="008362DF" w:rsidRDefault="008362DF" w:rsidP="00FF2356">
            <w:pPr>
              <w:jc w:val="right"/>
            </w:pPr>
            <w:r w:rsidRPr="00EE0A20">
              <w:t>3</w:t>
            </w:r>
          </w:p>
        </w:tc>
        <w:tc>
          <w:tcPr>
            <w:tcW w:w="1028" w:type="dxa"/>
            <w:tcBorders>
              <w:top w:val="single" w:sz="4" w:space="0" w:color="auto"/>
              <w:left w:val="single" w:sz="4" w:space="0" w:color="auto"/>
              <w:bottom w:val="single" w:sz="4" w:space="0" w:color="auto"/>
              <w:right w:val="single" w:sz="4" w:space="0" w:color="auto"/>
            </w:tcBorders>
            <w:vAlign w:val="bottom"/>
          </w:tcPr>
          <w:p w14:paraId="23E421FF" w14:textId="77777777" w:rsidR="008362DF" w:rsidRDefault="008362DF" w:rsidP="00FF2356">
            <w:pPr>
              <w:jc w:val="right"/>
            </w:pPr>
            <w:r w:rsidRPr="00EE0A20">
              <w:t>49</w:t>
            </w:r>
          </w:p>
        </w:tc>
        <w:tc>
          <w:tcPr>
            <w:tcW w:w="1028" w:type="dxa"/>
            <w:tcBorders>
              <w:top w:val="single" w:sz="4" w:space="0" w:color="auto"/>
              <w:left w:val="single" w:sz="4" w:space="0" w:color="auto"/>
              <w:bottom w:val="single" w:sz="4" w:space="0" w:color="auto"/>
              <w:right w:val="single" w:sz="4" w:space="0" w:color="auto"/>
            </w:tcBorders>
            <w:vAlign w:val="bottom"/>
          </w:tcPr>
          <w:p w14:paraId="01F8E7F1" w14:textId="77777777" w:rsidR="008362DF" w:rsidRDefault="008362DF" w:rsidP="00FF2356">
            <w:pPr>
              <w:jc w:val="right"/>
            </w:pPr>
            <w:r w:rsidRPr="00EE0A20">
              <w:t>1</w:t>
            </w:r>
          </w:p>
        </w:tc>
        <w:tc>
          <w:tcPr>
            <w:tcW w:w="772" w:type="dxa"/>
            <w:tcBorders>
              <w:top w:val="single" w:sz="4" w:space="0" w:color="auto"/>
              <w:left w:val="single" w:sz="4" w:space="0" w:color="auto"/>
              <w:bottom w:val="single" w:sz="4" w:space="0" w:color="auto"/>
              <w:right w:val="single" w:sz="4" w:space="0" w:color="auto"/>
            </w:tcBorders>
            <w:vAlign w:val="bottom"/>
          </w:tcPr>
          <w:p w14:paraId="44E6B3C9" w14:textId="77777777" w:rsidR="008362DF" w:rsidRDefault="008362DF" w:rsidP="00FF2356">
            <w:pPr>
              <w:jc w:val="right"/>
            </w:pPr>
            <w:r w:rsidRPr="00EE0A20">
              <w:t>4</w:t>
            </w:r>
          </w:p>
        </w:tc>
        <w:tc>
          <w:tcPr>
            <w:tcW w:w="787" w:type="dxa"/>
            <w:tcBorders>
              <w:top w:val="single" w:sz="4" w:space="0" w:color="auto"/>
              <w:left w:val="single" w:sz="4" w:space="0" w:color="auto"/>
              <w:bottom w:val="single" w:sz="4" w:space="0" w:color="auto"/>
              <w:right w:val="single" w:sz="4" w:space="0" w:color="auto"/>
            </w:tcBorders>
            <w:vAlign w:val="bottom"/>
          </w:tcPr>
          <w:p w14:paraId="618BF871" w14:textId="77777777" w:rsidR="008362DF" w:rsidRDefault="008362DF" w:rsidP="00FF2356">
            <w:pPr>
              <w:jc w:val="right"/>
            </w:pPr>
            <w:r w:rsidRPr="00EE0A20">
              <w:t>1</w:t>
            </w: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1C6F066" w14:textId="77777777" w:rsidR="008362DF" w:rsidRDefault="008362DF" w:rsidP="00FF2356">
            <w:pPr>
              <w:jc w:val="right"/>
            </w:pPr>
            <w:r w:rsidRPr="00EE0A20">
              <w:t>58</w:t>
            </w:r>
          </w:p>
        </w:tc>
        <w:tc>
          <w:tcPr>
            <w:tcW w:w="742" w:type="dxa"/>
            <w:tcBorders>
              <w:top w:val="single" w:sz="4" w:space="0" w:color="auto"/>
              <w:left w:val="single" w:sz="4" w:space="0" w:color="auto"/>
              <w:bottom w:val="single" w:sz="4" w:space="0" w:color="auto"/>
              <w:right w:val="single" w:sz="4" w:space="0" w:color="auto"/>
            </w:tcBorders>
            <w:vAlign w:val="bottom"/>
          </w:tcPr>
          <w:p w14:paraId="580161BA" w14:textId="77777777" w:rsidR="008362DF" w:rsidRDefault="008362DF" w:rsidP="00FF2356">
            <w:pPr>
              <w:jc w:val="right"/>
            </w:pPr>
            <w:r w:rsidRPr="00EE0A20">
              <w:t>5</w:t>
            </w:r>
          </w:p>
        </w:tc>
        <w:tc>
          <w:tcPr>
            <w:tcW w:w="789" w:type="dxa"/>
            <w:tcBorders>
              <w:top w:val="single" w:sz="4" w:space="0" w:color="auto"/>
              <w:left w:val="single" w:sz="4" w:space="0" w:color="auto"/>
              <w:bottom w:val="single" w:sz="4" w:space="0" w:color="auto"/>
              <w:right w:val="single" w:sz="4" w:space="0" w:color="auto"/>
            </w:tcBorders>
            <w:vAlign w:val="bottom"/>
          </w:tcPr>
          <w:p w14:paraId="480F1342" w14:textId="77777777" w:rsidR="008362DF" w:rsidRDefault="008362DF" w:rsidP="00FF2356">
            <w:pPr>
              <w:jc w:val="right"/>
            </w:pPr>
            <w:r w:rsidRPr="00EE0A20">
              <w:t>2</w:t>
            </w:r>
          </w:p>
        </w:tc>
        <w:tc>
          <w:tcPr>
            <w:tcW w:w="750" w:type="dxa"/>
            <w:tcBorders>
              <w:top w:val="single" w:sz="4" w:space="0" w:color="auto"/>
              <w:left w:val="single" w:sz="4" w:space="0" w:color="auto"/>
              <w:bottom w:val="single" w:sz="4" w:space="0" w:color="auto"/>
              <w:right w:val="single" w:sz="4" w:space="0" w:color="auto"/>
            </w:tcBorders>
            <w:vAlign w:val="bottom"/>
          </w:tcPr>
          <w:p w14:paraId="05629A08" w14:textId="77777777" w:rsidR="008362DF" w:rsidRDefault="008362DF" w:rsidP="00FF2356">
            <w:pPr>
              <w:jc w:val="right"/>
            </w:pPr>
            <w:r w:rsidRPr="00EE0A20">
              <w:t>65</w:t>
            </w:r>
          </w:p>
        </w:tc>
      </w:tr>
      <w:tr w:rsidR="008362DF" w14:paraId="5549AA34"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6949B1B7" w14:textId="77777777" w:rsidR="008362DF" w:rsidRPr="00EE0A20" w:rsidRDefault="008362DF" w:rsidP="00FF2356">
            <w:r w:rsidRPr="00EE0A20">
              <w:t>Coercion</w:t>
            </w:r>
          </w:p>
        </w:tc>
        <w:tc>
          <w:tcPr>
            <w:tcW w:w="1092" w:type="dxa"/>
            <w:tcBorders>
              <w:top w:val="single" w:sz="4" w:space="0" w:color="auto"/>
              <w:left w:val="single" w:sz="4" w:space="0" w:color="auto"/>
              <w:bottom w:val="single" w:sz="4" w:space="0" w:color="auto"/>
              <w:right w:val="single" w:sz="4" w:space="0" w:color="auto"/>
            </w:tcBorders>
            <w:vAlign w:val="bottom"/>
          </w:tcPr>
          <w:p w14:paraId="4B339E7C" w14:textId="77777777" w:rsidR="008362DF" w:rsidRDefault="008362DF" w:rsidP="00FF2356">
            <w:pPr>
              <w:jc w:val="right"/>
            </w:pPr>
            <w:r w:rsidRPr="00EE0A20">
              <w:t>8</w:t>
            </w:r>
          </w:p>
        </w:tc>
        <w:tc>
          <w:tcPr>
            <w:tcW w:w="1028" w:type="dxa"/>
            <w:tcBorders>
              <w:top w:val="single" w:sz="4" w:space="0" w:color="auto"/>
              <w:left w:val="single" w:sz="4" w:space="0" w:color="auto"/>
              <w:bottom w:val="single" w:sz="4" w:space="0" w:color="auto"/>
              <w:right w:val="single" w:sz="4" w:space="0" w:color="auto"/>
            </w:tcBorders>
            <w:vAlign w:val="bottom"/>
          </w:tcPr>
          <w:p w14:paraId="1653CF32" w14:textId="77777777" w:rsidR="008362DF" w:rsidRDefault="008362DF" w:rsidP="00FF2356">
            <w:pPr>
              <w:jc w:val="right"/>
            </w:pPr>
            <w:r w:rsidRPr="00EE0A20">
              <w:t>34</w:t>
            </w:r>
          </w:p>
        </w:tc>
        <w:tc>
          <w:tcPr>
            <w:tcW w:w="1028" w:type="dxa"/>
            <w:tcBorders>
              <w:top w:val="single" w:sz="4" w:space="0" w:color="auto"/>
              <w:left w:val="single" w:sz="4" w:space="0" w:color="auto"/>
              <w:bottom w:val="single" w:sz="4" w:space="0" w:color="auto"/>
              <w:right w:val="single" w:sz="4" w:space="0" w:color="auto"/>
            </w:tcBorders>
            <w:vAlign w:val="bottom"/>
          </w:tcPr>
          <w:p w14:paraId="284063F8" w14:textId="77777777" w:rsidR="008362DF" w:rsidRDefault="008362DF" w:rsidP="00FF2356">
            <w:pPr>
              <w:jc w:val="right"/>
            </w:pPr>
            <w:r w:rsidRPr="00EE0A20">
              <w:t>4</w:t>
            </w:r>
          </w:p>
        </w:tc>
        <w:tc>
          <w:tcPr>
            <w:tcW w:w="772" w:type="dxa"/>
            <w:tcBorders>
              <w:top w:val="single" w:sz="4" w:space="0" w:color="auto"/>
              <w:left w:val="single" w:sz="4" w:space="0" w:color="auto"/>
              <w:bottom w:val="single" w:sz="4" w:space="0" w:color="auto"/>
              <w:right w:val="single" w:sz="4" w:space="0" w:color="auto"/>
            </w:tcBorders>
            <w:vAlign w:val="bottom"/>
          </w:tcPr>
          <w:p w14:paraId="4947DA6A" w14:textId="77777777" w:rsidR="008362DF" w:rsidRDefault="008362DF" w:rsidP="00FF2356">
            <w:pPr>
              <w:jc w:val="right"/>
            </w:pPr>
            <w:r w:rsidRPr="00EE0A20">
              <w:t>1</w:t>
            </w:r>
          </w:p>
        </w:tc>
        <w:tc>
          <w:tcPr>
            <w:tcW w:w="787" w:type="dxa"/>
            <w:tcBorders>
              <w:top w:val="single" w:sz="4" w:space="0" w:color="auto"/>
              <w:left w:val="single" w:sz="4" w:space="0" w:color="auto"/>
              <w:bottom w:val="single" w:sz="4" w:space="0" w:color="auto"/>
              <w:right w:val="single" w:sz="4" w:space="0" w:color="auto"/>
            </w:tcBorders>
            <w:vAlign w:val="bottom"/>
          </w:tcPr>
          <w:p w14:paraId="6492EC9F"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38C80FA" w14:textId="77777777" w:rsidR="008362DF" w:rsidRDefault="008362DF" w:rsidP="00FF2356">
            <w:pPr>
              <w:jc w:val="right"/>
            </w:pPr>
            <w:r w:rsidRPr="00EE0A20">
              <w:t>47</w:t>
            </w:r>
          </w:p>
        </w:tc>
        <w:tc>
          <w:tcPr>
            <w:tcW w:w="742" w:type="dxa"/>
            <w:tcBorders>
              <w:top w:val="single" w:sz="4" w:space="0" w:color="auto"/>
              <w:left w:val="single" w:sz="4" w:space="0" w:color="auto"/>
              <w:bottom w:val="single" w:sz="4" w:space="0" w:color="auto"/>
              <w:right w:val="single" w:sz="4" w:space="0" w:color="auto"/>
            </w:tcBorders>
            <w:vAlign w:val="bottom"/>
          </w:tcPr>
          <w:p w14:paraId="703CE244" w14:textId="77777777" w:rsidR="008362DF" w:rsidRDefault="008362DF" w:rsidP="00FF2356">
            <w:pPr>
              <w:jc w:val="right"/>
            </w:pPr>
          </w:p>
        </w:tc>
        <w:tc>
          <w:tcPr>
            <w:tcW w:w="789" w:type="dxa"/>
            <w:tcBorders>
              <w:top w:val="single" w:sz="4" w:space="0" w:color="auto"/>
              <w:left w:val="single" w:sz="4" w:space="0" w:color="auto"/>
              <w:bottom w:val="single" w:sz="4" w:space="0" w:color="auto"/>
              <w:right w:val="single" w:sz="4" w:space="0" w:color="auto"/>
            </w:tcBorders>
            <w:vAlign w:val="bottom"/>
          </w:tcPr>
          <w:p w14:paraId="6AC136D3" w14:textId="77777777" w:rsidR="008362DF" w:rsidRDefault="008362DF" w:rsidP="00FF2356">
            <w:pPr>
              <w:jc w:val="right"/>
            </w:pPr>
            <w:r w:rsidRPr="00EE0A20">
              <w:t>4</w:t>
            </w:r>
          </w:p>
        </w:tc>
        <w:tc>
          <w:tcPr>
            <w:tcW w:w="750" w:type="dxa"/>
            <w:tcBorders>
              <w:top w:val="single" w:sz="4" w:space="0" w:color="auto"/>
              <w:left w:val="single" w:sz="4" w:space="0" w:color="auto"/>
              <w:bottom w:val="single" w:sz="4" w:space="0" w:color="auto"/>
              <w:right w:val="single" w:sz="4" w:space="0" w:color="auto"/>
            </w:tcBorders>
            <w:vAlign w:val="bottom"/>
          </w:tcPr>
          <w:p w14:paraId="11611AB1" w14:textId="77777777" w:rsidR="008362DF" w:rsidRDefault="008362DF" w:rsidP="00FF2356">
            <w:pPr>
              <w:jc w:val="right"/>
            </w:pPr>
            <w:r w:rsidRPr="00EE0A20">
              <w:t>51</w:t>
            </w:r>
          </w:p>
        </w:tc>
      </w:tr>
      <w:tr w:rsidR="008362DF" w14:paraId="4C551073"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061365AF" w14:textId="228E6293" w:rsidR="008362DF" w:rsidRPr="00EE0A20" w:rsidRDefault="00806BB7" w:rsidP="00FF2356">
            <w:r>
              <w:t>Freedom of A</w:t>
            </w:r>
            <w:r w:rsidR="008362DF" w:rsidRPr="00EE0A20">
              <w:t>ssoc</w:t>
            </w:r>
            <w:r w:rsidR="008362DF">
              <w:t>iation</w:t>
            </w:r>
          </w:p>
        </w:tc>
        <w:tc>
          <w:tcPr>
            <w:tcW w:w="1092" w:type="dxa"/>
            <w:tcBorders>
              <w:top w:val="single" w:sz="4" w:space="0" w:color="auto"/>
              <w:left w:val="single" w:sz="4" w:space="0" w:color="auto"/>
              <w:bottom w:val="single" w:sz="4" w:space="0" w:color="auto"/>
              <w:right w:val="single" w:sz="4" w:space="0" w:color="auto"/>
            </w:tcBorders>
            <w:vAlign w:val="bottom"/>
          </w:tcPr>
          <w:p w14:paraId="3130A76B" w14:textId="77777777" w:rsidR="008362DF" w:rsidRDefault="008362DF" w:rsidP="00FF2356">
            <w:pPr>
              <w:jc w:val="right"/>
            </w:pPr>
            <w:r w:rsidRPr="00EE0A20">
              <w:t>7</w:t>
            </w:r>
          </w:p>
        </w:tc>
        <w:tc>
          <w:tcPr>
            <w:tcW w:w="1028" w:type="dxa"/>
            <w:tcBorders>
              <w:top w:val="single" w:sz="4" w:space="0" w:color="auto"/>
              <w:left w:val="single" w:sz="4" w:space="0" w:color="auto"/>
              <w:bottom w:val="single" w:sz="4" w:space="0" w:color="auto"/>
              <w:right w:val="single" w:sz="4" w:space="0" w:color="auto"/>
            </w:tcBorders>
            <w:vAlign w:val="bottom"/>
          </w:tcPr>
          <w:p w14:paraId="32937A3B" w14:textId="77777777" w:rsidR="008362DF" w:rsidRDefault="008362DF" w:rsidP="00FF2356">
            <w:pPr>
              <w:jc w:val="right"/>
            </w:pPr>
            <w:r w:rsidRPr="00EE0A20">
              <w:t>14</w:t>
            </w:r>
          </w:p>
        </w:tc>
        <w:tc>
          <w:tcPr>
            <w:tcW w:w="1028" w:type="dxa"/>
            <w:tcBorders>
              <w:top w:val="single" w:sz="4" w:space="0" w:color="auto"/>
              <w:left w:val="single" w:sz="4" w:space="0" w:color="auto"/>
              <w:bottom w:val="single" w:sz="4" w:space="0" w:color="auto"/>
              <w:right w:val="single" w:sz="4" w:space="0" w:color="auto"/>
            </w:tcBorders>
            <w:vAlign w:val="bottom"/>
          </w:tcPr>
          <w:p w14:paraId="5EC4F26A" w14:textId="77777777" w:rsidR="008362DF"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vAlign w:val="bottom"/>
          </w:tcPr>
          <w:p w14:paraId="4494A333" w14:textId="77777777" w:rsidR="008362DF" w:rsidRDefault="008362DF" w:rsidP="00FF2356">
            <w:pPr>
              <w:jc w:val="right"/>
            </w:pPr>
            <w:r w:rsidRPr="00EE0A20">
              <w:t>1</w:t>
            </w:r>
          </w:p>
        </w:tc>
        <w:tc>
          <w:tcPr>
            <w:tcW w:w="787" w:type="dxa"/>
            <w:tcBorders>
              <w:top w:val="single" w:sz="4" w:space="0" w:color="auto"/>
              <w:left w:val="single" w:sz="4" w:space="0" w:color="auto"/>
              <w:bottom w:val="single" w:sz="4" w:space="0" w:color="auto"/>
              <w:right w:val="single" w:sz="4" w:space="0" w:color="auto"/>
            </w:tcBorders>
            <w:vAlign w:val="bottom"/>
          </w:tcPr>
          <w:p w14:paraId="1545BB70"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F347E59" w14:textId="77777777" w:rsidR="008362DF" w:rsidRDefault="008362DF" w:rsidP="00FF2356">
            <w:pPr>
              <w:jc w:val="right"/>
            </w:pPr>
            <w:r w:rsidRPr="00EE0A20">
              <w:t>22</w:t>
            </w:r>
          </w:p>
        </w:tc>
        <w:tc>
          <w:tcPr>
            <w:tcW w:w="742" w:type="dxa"/>
            <w:tcBorders>
              <w:top w:val="single" w:sz="4" w:space="0" w:color="auto"/>
              <w:left w:val="single" w:sz="4" w:space="0" w:color="auto"/>
              <w:bottom w:val="single" w:sz="4" w:space="0" w:color="auto"/>
              <w:right w:val="single" w:sz="4" w:space="0" w:color="auto"/>
            </w:tcBorders>
            <w:vAlign w:val="bottom"/>
          </w:tcPr>
          <w:p w14:paraId="0BDFDAD3" w14:textId="77777777" w:rsidR="008362DF" w:rsidRDefault="008362DF" w:rsidP="00FF2356">
            <w:pPr>
              <w:jc w:val="right"/>
            </w:pPr>
            <w:r w:rsidRPr="00EE0A20">
              <w:t>2</w:t>
            </w:r>
          </w:p>
        </w:tc>
        <w:tc>
          <w:tcPr>
            <w:tcW w:w="789" w:type="dxa"/>
            <w:tcBorders>
              <w:top w:val="single" w:sz="4" w:space="0" w:color="auto"/>
              <w:left w:val="single" w:sz="4" w:space="0" w:color="auto"/>
              <w:bottom w:val="single" w:sz="4" w:space="0" w:color="auto"/>
              <w:right w:val="single" w:sz="4" w:space="0" w:color="auto"/>
            </w:tcBorders>
            <w:vAlign w:val="bottom"/>
          </w:tcPr>
          <w:p w14:paraId="25DA96DD" w14:textId="77777777" w:rsidR="008362DF" w:rsidRDefault="008362DF" w:rsidP="00FF2356">
            <w:pPr>
              <w:jc w:val="right"/>
            </w:pPr>
            <w:r w:rsidRPr="00EE0A20">
              <w:t>1</w:t>
            </w:r>
          </w:p>
        </w:tc>
        <w:tc>
          <w:tcPr>
            <w:tcW w:w="750" w:type="dxa"/>
            <w:tcBorders>
              <w:top w:val="single" w:sz="4" w:space="0" w:color="auto"/>
              <w:left w:val="single" w:sz="4" w:space="0" w:color="auto"/>
              <w:bottom w:val="single" w:sz="4" w:space="0" w:color="auto"/>
              <w:right w:val="single" w:sz="4" w:space="0" w:color="auto"/>
            </w:tcBorders>
            <w:vAlign w:val="bottom"/>
          </w:tcPr>
          <w:p w14:paraId="4DDA5754" w14:textId="77777777" w:rsidR="008362DF" w:rsidRDefault="008362DF" w:rsidP="00FF2356">
            <w:pPr>
              <w:jc w:val="right"/>
            </w:pPr>
            <w:r w:rsidRPr="00EE0A20">
              <w:t>25</w:t>
            </w:r>
          </w:p>
        </w:tc>
      </w:tr>
      <w:tr w:rsidR="008362DF" w14:paraId="7EA6B69C"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7664EAEF" w14:textId="022A70BB" w:rsidR="008362DF" w:rsidRPr="00EE0A20" w:rsidRDefault="00806BB7" w:rsidP="00FF2356">
            <w:r>
              <w:t>Sham C</w:t>
            </w:r>
            <w:r w:rsidR="008362DF" w:rsidRPr="00EE0A20">
              <w:t>ontracting</w:t>
            </w:r>
          </w:p>
        </w:tc>
        <w:tc>
          <w:tcPr>
            <w:tcW w:w="1092" w:type="dxa"/>
            <w:tcBorders>
              <w:top w:val="single" w:sz="4" w:space="0" w:color="auto"/>
              <w:left w:val="single" w:sz="4" w:space="0" w:color="auto"/>
              <w:bottom w:val="single" w:sz="4" w:space="0" w:color="auto"/>
              <w:right w:val="single" w:sz="4" w:space="0" w:color="auto"/>
            </w:tcBorders>
            <w:vAlign w:val="bottom"/>
          </w:tcPr>
          <w:p w14:paraId="1895C6E4" w14:textId="77777777" w:rsidR="008362DF" w:rsidRDefault="008362DF" w:rsidP="00FF2356">
            <w:pPr>
              <w:jc w:val="right"/>
            </w:pPr>
            <w:r w:rsidRPr="00EE0A20">
              <w:t>10</w:t>
            </w:r>
          </w:p>
        </w:tc>
        <w:tc>
          <w:tcPr>
            <w:tcW w:w="1028" w:type="dxa"/>
            <w:tcBorders>
              <w:top w:val="single" w:sz="4" w:space="0" w:color="auto"/>
              <w:left w:val="single" w:sz="4" w:space="0" w:color="auto"/>
              <w:bottom w:val="single" w:sz="4" w:space="0" w:color="auto"/>
              <w:right w:val="single" w:sz="4" w:space="0" w:color="auto"/>
            </w:tcBorders>
            <w:vAlign w:val="bottom"/>
          </w:tcPr>
          <w:p w14:paraId="44FBDA3E" w14:textId="77777777" w:rsidR="008362DF" w:rsidRDefault="008362DF" w:rsidP="00FF2356">
            <w:pPr>
              <w:jc w:val="right"/>
            </w:pPr>
            <w:r w:rsidRPr="00EE0A20">
              <w:t>10</w:t>
            </w:r>
          </w:p>
        </w:tc>
        <w:tc>
          <w:tcPr>
            <w:tcW w:w="1028" w:type="dxa"/>
            <w:tcBorders>
              <w:top w:val="single" w:sz="4" w:space="0" w:color="auto"/>
              <w:left w:val="single" w:sz="4" w:space="0" w:color="auto"/>
              <w:bottom w:val="single" w:sz="4" w:space="0" w:color="auto"/>
              <w:right w:val="single" w:sz="4" w:space="0" w:color="auto"/>
            </w:tcBorders>
            <w:vAlign w:val="bottom"/>
          </w:tcPr>
          <w:p w14:paraId="0CF045F5" w14:textId="77777777" w:rsidR="008362DF"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vAlign w:val="bottom"/>
          </w:tcPr>
          <w:p w14:paraId="78B87BC7" w14:textId="77777777" w:rsidR="008362DF" w:rsidRDefault="008362DF" w:rsidP="00FF2356">
            <w:pPr>
              <w:jc w:val="right"/>
            </w:pPr>
            <w:r w:rsidRPr="00EE0A20">
              <w:t>3</w:t>
            </w:r>
          </w:p>
        </w:tc>
        <w:tc>
          <w:tcPr>
            <w:tcW w:w="787" w:type="dxa"/>
            <w:tcBorders>
              <w:top w:val="single" w:sz="4" w:space="0" w:color="auto"/>
              <w:left w:val="single" w:sz="4" w:space="0" w:color="auto"/>
              <w:bottom w:val="single" w:sz="4" w:space="0" w:color="auto"/>
              <w:right w:val="single" w:sz="4" w:space="0" w:color="auto"/>
            </w:tcBorders>
            <w:vAlign w:val="bottom"/>
          </w:tcPr>
          <w:p w14:paraId="58716ED6"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2B5F72A" w14:textId="77777777" w:rsidR="008362DF" w:rsidRDefault="008362DF" w:rsidP="00FF2356">
            <w:pPr>
              <w:jc w:val="right"/>
            </w:pPr>
            <w:r w:rsidRPr="00EE0A20">
              <w:t>23</w:t>
            </w:r>
          </w:p>
        </w:tc>
        <w:tc>
          <w:tcPr>
            <w:tcW w:w="742" w:type="dxa"/>
            <w:tcBorders>
              <w:top w:val="single" w:sz="4" w:space="0" w:color="auto"/>
              <w:left w:val="single" w:sz="4" w:space="0" w:color="auto"/>
              <w:bottom w:val="single" w:sz="4" w:space="0" w:color="auto"/>
              <w:right w:val="single" w:sz="4" w:space="0" w:color="auto"/>
            </w:tcBorders>
            <w:vAlign w:val="bottom"/>
          </w:tcPr>
          <w:p w14:paraId="69D7BD8D" w14:textId="77777777" w:rsidR="008362DF" w:rsidRDefault="008362DF" w:rsidP="00FF2356">
            <w:pPr>
              <w:jc w:val="right"/>
            </w:pPr>
            <w:r w:rsidRPr="00EE0A20">
              <w:t>1</w:t>
            </w:r>
          </w:p>
        </w:tc>
        <w:tc>
          <w:tcPr>
            <w:tcW w:w="789" w:type="dxa"/>
            <w:tcBorders>
              <w:top w:val="single" w:sz="4" w:space="0" w:color="auto"/>
              <w:left w:val="single" w:sz="4" w:space="0" w:color="auto"/>
              <w:bottom w:val="single" w:sz="4" w:space="0" w:color="auto"/>
              <w:right w:val="single" w:sz="4" w:space="0" w:color="auto"/>
            </w:tcBorders>
            <w:vAlign w:val="bottom"/>
          </w:tcPr>
          <w:p w14:paraId="148FCC60"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vAlign w:val="bottom"/>
          </w:tcPr>
          <w:p w14:paraId="6BA045E8" w14:textId="77777777" w:rsidR="008362DF" w:rsidRDefault="008362DF" w:rsidP="00FF2356">
            <w:pPr>
              <w:jc w:val="right"/>
            </w:pPr>
            <w:r w:rsidRPr="00EE0A20">
              <w:t>24</w:t>
            </w:r>
          </w:p>
        </w:tc>
      </w:tr>
      <w:tr w:rsidR="008362DF" w14:paraId="70C96909"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5CB87D13" w14:textId="334F4812" w:rsidR="008362DF" w:rsidRPr="00EE0A20" w:rsidRDefault="00806BB7" w:rsidP="00FF2356">
            <w:r>
              <w:t>Strike P</w:t>
            </w:r>
            <w:r w:rsidR="008362DF" w:rsidRPr="00EE0A20">
              <w:t>ay</w:t>
            </w:r>
          </w:p>
        </w:tc>
        <w:tc>
          <w:tcPr>
            <w:tcW w:w="1092" w:type="dxa"/>
            <w:tcBorders>
              <w:top w:val="single" w:sz="4" w:space="0" w:color="auto"/>
              <w:left w:val="single" w:sz="4" w:space="0" w:color="auto"/>
              <w:bottom w:val="single" w:sz="4" w:space="0" w:color="auto"/>
              <w:right w:val="single" w:sz="4" w:space="0" w:color="auto"/>
            </w:tcBorders>
            <w:vAlign w:val="bottom"/>
          </w:tcPr>
          <w:p w14:paraId="2CA32C3A" w14:textId="77777777" w:rsidR="008362DF" w:rsidRDefault="008362DF" w:rsidP="00FF2356">
            <w:pPr>
              <w:jc w:val="right"/>
            </w:pPr>
            <w:r w:rsidRPr="00EE0A20">
              <w:t>1</w:t>
            </w:r>
          </w:p>
        </w:tc>
        <w:tc>
          <w:tcPr>
            <w:tcW w:w="1028" w:type="dxa"/>
            <w:tcBorders>
              <w:top w:val="single" w:sz="4" w:space="0" w:color="auto"/>
              <w:left w:val="single" w:sz="4" w:space="0" w:color="auto"/>
              <w:bottom w:val="single" w:sz="4" w:space="0" w:color="auto"/>
              <w:right w:val="single" w:sz="4" w:space="0" w:color="auto"/>
            </w:tcBorders>
            <w:vAlign w:val="bottom"/>
          </w:tcPr>
          <w:p w14:paraId="0AE47D3F" w14:textId="77777777" w:rsidR="008362DF" w:rsidRDefault="008362DF" w:rsidP="00FF2356">
            <w:pPr>
              <w:jc w:val="right"/>
            </w:pPr>
            <w:r w:rsidRPr="00EE0A20">
              <w:t>1</w:t>
            </w:r>
          </w:p>
        </w:tc>
        <w:tc>
          <w:tcPr>
            <w:tcW w:w="1028" w:type="dxa"/>
            <w:tcBorders>
              <w:top w:val="single" w:sz="4" w:space="0" w:color="auto"/>
              <w:left w:val="single" w:sz="4" w:space="0" w:color="auto"/>
              <w:bottom w:val="single" w:sz="4" w:space="0" w:color="auto"/>
              <w:right w:val="single" w:sz="4" w:space="0" w:color="auto"/>
            </w:tcBorders>
            <w:vAlign w:val="bottom"/>
          </w:tcPr>
          <w:p w14:paraId="7AA59AFF" w14:textId="77777777" w:rsidR="008362DF"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vAlign w:val="bottom"/>
          </w:tcPr>
          <w:p w14:paraId="3E3822EC" w14:textId="77777777" w:rsidR="008362DF" w:rsidRDefault="008362DF" w:rsidP="00FF2356">
            <w:pPr>
              <w:jc w:val="right"/>
            </w:pPr>
          </w:p>
        </w:tc>
        <w:tc>
          <w:tcPr>
            <w:tcW w:w="787" w:type="dxa"/>
            <w:tcBorders>
              <w:top w:val="single" w:sz="4" w:space="0" w:color="auto"/>
              <w:left w:val="single" w:sz="4" w:space="0" w:color="auto"/>
              <w:bottom w:val="single" w:sz="4" w:space="0" w:color="auto"/>
              <w:right w:val="single" w:sz="4" w:space="0" w:color="auto"/>
            </w:tcBorders>
            <w:vAlign w:val="bottom"/>
          </w:tcPr>
          <w:p w14:paraId="0AA07BFF"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9C1AB52" w14:textId="77777777" w:rsidR="008362DF" w:rsidRDefault="008362DF" w:rsidP="00FF2356">
            <w:pPr>
              <w:jc w:val="right"/>
            </w:pPr>
            <w:r w:rsidRPr="00EE0A20">
              <w:t>2</w:t>
            </w:r>
          </w:p>
        </w:tc>
        <w:tc>
          <w:tcPr>
            <w:tcW w:w="742" w:type="dxa"/>
            <w:tcBorders>
              <w:top w:val="single" w:sz="4" w:space="0" w:color="auto"/>
              <w:left w:val="single" w:sz="4" w:space="0" w:color="auto"/>
              <w:bottom w:val="single" w:sz="4" w:space="0" w:color="auto"/>
              <w:right w:val="single" w:sz="4" w:space="0" w:color="auto"/>
            </w:tcBorders>
            <w:vAlign w:val="bottom"/>
          </w:tcPr>
          <w:p w14:paraId="25D63FC8" w14:textId="77777777" w:rsidR="008362DF" w:rsidRDefault="008362DF" w:rsidP="00FF2356">
            <w:pPr>
              <w:jc w:val="right"/>
            </w:pPr>
          </w:p>
        </w:tc>
        <w:tc>
          <w:tcPr>
            <w:tcW w:w="789" w:type="dxa"/>
            <w:tcBorders>
              <w:top w:val="single" w:sz="4" w:space="0" w:color="auto"/>
              <w:left w:val="single" w:sz="4" w:space="0" w:color="auto"/>
              <w:bottom w:val="single" w:sz="4" w:space="0" w:color="auto"/>
              <w:right w:val="single" w:sz="4" w:space="0" w:color="auto"/>
            </w:tcBorders>
            <w:vAlign w:val="bottom"/>
          </w:tcPr>
          <w:p w14:paraId="2759B114"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vAlign w:val="bottom"/>
          </w:tcPr>
          <w:p w14:paraId="36EB0271" w14:textId="77777777" w:rsidR="008362DF" w:rsidRDefault="008362DF" w:rsidP="00FF2356">
            <w:pPr>
              <w:jc w:val="right"/>
            </w:pPr>
            <w:r w:rsidRPr="00EE0A20">
              <w:t>2</w:t>
            </w:r>
          </w:p>
        </w:tc>
      </w:tr>
      <w:tr w:rsidR="008362DF" w14:paraId="68526065"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79CF831D" w14:textId="21A8973B" w:rsidR="008362DF" w:rsidRPr="00EE0A20" w:rsidRDefault="00806BB7" w:rsidP="00FF2356">
            <w:r>
              <w:t>Non-compliance with N</w:t>
            </w:r>
            <w:r w:rsidR="008362DF" w:rsidRPr="00EE0A20">
              <w:t>otices</w:t>
            </w:r>
          </w:p>
        </w:tc>
        <w:tc>
          <w:tcPr>
            <w:tcW w:w="1092" w:type="dxa"/>
            <w:tcBorders>
              <w:top w:val="single" w:sz="4" w:space="0" w:color="auto"/>
              <w:left w:val="single" w:sz="4" w:space="0" w:color="auto"/>
              <w:bottom w:val="single" w:sz="4" w:space="0" w:color="auto"/>
              <w:right w:val="single" w:sz="4" w:space="0" w:color="auto"/>
            </w:tcBorders>
            <w:vAlign w:val="bottom"/>
          </w:tcPr>
          <w:p w14:paraId="28E5F1B0" w14:textId="77777777" w:rsidR="008362DF" w:rsidRDefault="008362DF" w:rsidP="00FF2356">
            <w:pPr>
              <w:jc w:val="right"/>
            </w:pPr>
          </w:p>
        </w:tc>
        <w:tc>
          <w:tcPr>
            <w:tcW w:w="1028" w:type="dxa"/>
            <w:tcBorders>
              <w:top w:val="single" w:sz="4" w:space="0" w:color="auto"/>
              <w:left w:val="single" w:sz="4" w:space="0" w:color="auto"/>
              <w:bottom w:val="single" w:sz="4" w:space="0" w:color="auto"/>
              <w:right w:val="single" w:sz="4" w:space="0" w:color="auto"/>
            </w:tcBorders>
            <w:vAlign w:val="bottom"/>
          </w:tcPr>
          <w:p w14:paraId="1875B40C" w14:textId="77777777" w:rsidR="008362DF" w:rsidRDefault="008362DF" w:rsidP="00FF2356">
            <w:pPr>
              <w:jc w:val="right"/>
            </w:pPr>
            <w:r w:rsidRPr="00EE0A20">
              <w:t>1</w:t>
            </w:r>
          </w:p>
        </w:tc>
        <w:tc>
          <w:tcPr>
            <w:tcW w:w="1028" w:type="dxa"/>
            <w:tcBorders>
              <w:top w:val="single" w:sz="4" w:space="0" w:color="auto"/>
              <w:left w:val="single" w:sz="4" w:space="0" w:color="auto"/>
              <w:bottom w:val="single" w:sz="4" w:space="0" w:color="auto"/>
              <w:right w:val="single" w:sz="4" w:space="0" w:color="auto"/>
            </w:tcBorders>
            <w:vAlign w:val="bottom"/>
          </w:tcPr>
          <w:p w14:paraId="7688F24B" w14:textId="77777777" w:rsidR="008362DF"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vAlign w:val="bottom"/>
          </w:tcPr>
          <w:p w14:paraId="7EC42173" w14:textId="77777777" w:rsidR="008362DF" w:rsidRDefault="008362DF" w:rsidP="00FF2356">
            <w:pPr>
              <w:jc w:val="right"/>
            </w:pPr>
          </w:p>
        </w:tc>
        <w:tc>
          <w:tcPr>
            <w:tcW w:w="787" w:type="dxa"/>
            <w:tcBorders>
              <w:top w:val="single" w:sz="4" w:space="0" w:color="auto"/>
              <w:left w:val="single" w:sz="4" w:space="0" w:color="auto"/>
              <w:bottom w:val="single" w:sz="4" w:space="0" w:color="auto"/>
              <w:right w:val="single" w:sz="4" w:space="0" w:color="auto"/>
            </w:tcBorders>
            <w:vAlign w:val="bottom"/>
          </w:tcPr>
          <w:p w14:paraId="454442DF"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C635DB" w14:textId="77777777" w:rsidR="008362DF" w:rsidRDefault="008362DF" w:rsidP="00FF2356">
            <w:pPr>
              <w:jc w:val="right"/>
            </w:pPr>
            <w:r w:rsidRPr="00EE0A20">
              <w:t>1</w:t>
            </w:r>
          </w:p>
        </w:tc>
        <w:tc>
          <w:tcPr>
            <w:tcW w:w="742" w:type="dxa"/>
            <w:tcBorders>
              <w:top w:val="single" w:sz="4" w:space="0" w:color="auto"/>
              <w:left w:val="single" w:sz="4" w:space="0" w:color="auto"/>
              <w:bottom w:val="single" w:sz="4" w:space="0" w:color="auto"/>
              <w:right w:val="single" w:sz="4" w:space="0" w:color="auto"/>
            </w:tcBorders>
            <w:vAlign w:val="bottom"/>
          </w:tcPr>
          <w:p w14:paraId="5D0D1263" w14:textId="77777777" w:rsidR="008362DF" w:rsidRDefault="008362DF" w:rsidP="00FF2356">
            <w:pPr>
              <w:jc w:val="right"/>
            </w:pPr>
          </w:p>
        </w:tc>
        <w:tc>
          <w:tcPr>
            <w:tcW w:w="789" w:type="dxa"/>
            <w:tcBorders>
              <w:top w:val="single" w:sz="4" w:space="0" w:color="auto"/>
              <w:left w:val="single" w:sz="4" w:space="0" w:color="auto"/>
              <w:bottom w:val="single" w:sz="4" w:space="0" w:color="auto"/>
              <w:right w:val="single" w:sz="4" w:space="0" w:color="auto"/>
            </w:tcBorders>
            <w:vAlign w:val="bottom"/>
          </w:tcPr>
          <w:p w14:paraId="59873528"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vAlign w:val="bottom"/>
          </w:tcPr>
          <w:p w14:paraId="330F2D87" w14:textId="77777777" w:rsidR="008362DF" w:rsidRDefault="008362DF" w:rsidP="00FF2356">
            <w:pPr>
              <w:jc w:val="right"/>
            </w:pPr>
            <w:r w:rsidRPr="00EE0A20">
              <w:t>1</w:t>
            </w:r>
          </w:p>
        </w:tc>
      </w:tr>
      <w:tr w:rsidR="008362DF" w14:paraId="32082DE8"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3B48E00D" w14:textId="77777777" w:rsidR="008362DF" w:rsidRPr="00EE0A20" w:rsidRDefault="008362DF" w:rsidP="00FF2356">
            <w:r>
              <w:t>Misrepresentati</w:t>
            </w:r>
            <w:r w:rsidRPr="00EE0A20">
              <w:t>on of workplace rights</w:t>
            </w:r>
          </w:p>
        </w:tc>
        <w:tc>
          <w:tcPr>
            <w:tcW w:w="1092" w:type="dxa"/>
            <w:tcBorders>
              <w:top w:val="single" w:sz="4" w:space="0" w:color="auto"/>
              <w:left w:val="single" w:sz="4" w:space="0" w:color="auto"/>
              <w:bottom w:val="single" w:sz="4" w:space="0" w:color="auto"/>
              <w:right w:val="single" w:sz="4" w:space="0" w:color="auto"/>
            </w:tcBorders>
            <w:vAlign w:val="bottom"/>
          </w:tcPr>
          <w:p w14:paraId="75C838FF" w14:textId="77777777" w:rsidR="008362DF" w:rsidRDefault="008362DF" w:rsidP="00FF2356">
            <w:pPr>
              <w:jc w:val="right"/>
            </w:pPr>
          </w:p>
        </w:tc>
        <w:tc>
          <w:tcPr>
            <w:tcW w:w="1028" w:type="dxa"/>
            <w:tcBorders>
              <w:top w:val="single" w:sz="4" w:space="0" w:color="auto"/>
              <w:left w:val="single" w:sz="4" w:space="0" w:color="auto"/>
              <w:bottom w:val="single" w:sz="4" w:space="0" w:color="auto"/>
              <w:right w:val="single" w:sz="4" w:space="0" w:color="auto"/>
            </w:tcBorders>
            <w:vAlign w:val="bottom"/>
          </w:tcPr>
          <w:p w14:paraId="1D3F8C85" w14:textId="77777777" w:rsidR="008362DF" w:rsidRDefault="008362DF" w:rsidP="00FF2356">
            <w:pPr>
              <w:jc w:val="right"/>
            </w:pPr>
            <w:r w:rsidRPr="00EE0A20">
              <w:t>1</w:t>
            </w:r>
          </w:p>
        </w:tc>
        <w:tc>
          <w:tcPr>
            <w:tcW w:w="1028" w:type="dxa"/>
            <w:tcBorders>
              <w:top w:val="single" w:sz="4" w:space="0" w:color="auto"/>
              <w:left w:val="single" w:sz="4" w:space="0" w:color="auto"/>
              <w:bottom w:val="single" w:sz="4" w:space="0" w:color="auto"/>
              <w:right w:val="single" w:sz="4" w:space="0" w:color="auto"/>
            </w:tcBorders>
            <w:vAlign w:val="bottom"/>
          </w:tcPr>
          <w:p w14:paraId="29FE83CA" w14:textId="77777777" w:rsidR="008362DF"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vAlign w:val="bottom"/>
          </w:tcPr>
          <w:p w14:paraId="24129C13" w14:textId="77777777" w:rsidR="008362DF" w:rsidRDefault="008362DF" w:rsidP="00FF2356">
            <w:pPr>
              <w:jc w:val="right"/>
            </w:pPr>
          </w:p>
        </w:tc>
        <w:tc>
          <w:tcPr>
            <w:tcW w:w="787" w:type="dxa"/>
            <w:tcBorders>
              <w:top w:val="single" w:sz="4" w:space="0" w:color="auto"/>
              <w:left w:val="single" w:sz="4" w:space="0" w:color="auto"/>
              <w:bottom w:val="single" w:sz="4" w:space="0" w:color="auto"/>
              <w:right w:val="single" w:sz="4" w:space="0" w:color="auto"/>
            </w:tcBorders>
            <w:vAlign w:val="bottom"/>
          </w:tcPr>
          <w:p w14:paraId="78FA4783"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49658CA" w14:textId="77777777" w:rsidR="008362DF" w:rsidRDefault="008362DF" w:rsidP="00FF2356">
            <w:pPr>
              <w:jc w:val="right"/>
            </w:pPr>
            <w:r w:rsidRPr="00EE0A20">
              <w:t>1</w:t>
            </w:r>
          </w:p>
        </w:tc>
        <w:tc>
          <w:tcPr>
            <w:tcW w:w="742" w:type="dxa"/>
            <w:tcBorders>
              <w:top w:val="single" w:sz="4" w:space="0" w:color="auto"/>
              <w:left w:val="single" w:sz="4" w:space="0" w:color="auto"/>
              <w:bottom w:val="single" w:sz="4" w:space="0" w:color="auto"/>
              <w:right w:val="single" w:sz="4" w:space="0" w:color="auto"/>
            </w:tcBorders>
            <w:vAlign w:val="bottom"/>
          </w:tcPr>
          <w:p w14:paraId="06D8FBF4" w14:textId="77777777" w:rsidR="008362DF" w:rsidRDefault="008362DF" w:rsidP="00FF2356">
            <w:pPr>
              <w:jc w:val="right"/>
            </w:pPr>
          </w:p>
        </w:tc>
        <w:tc>
          <w:tcPr>
            <w:tcW w:w="789" w:type="dxa"/>
            <w:tcBorders>
              <w:top w:val="single" w:sz="4" w:space="0" w:color="auto"/>
              <w:left w:val="single" w:sz="4" w:space="0" w:color="auto"/>
              <w:bottom w:val="single" w:sz="4" w:space="0" w:color="auto"/>
              <w:right w:val="single" w:sz="4" w:space="0" w:color="auto"/>
            </w:tcBorders>
            <w:vAlign w:val="bottom"/>
          </w:tcPr>
          <w:p w14:paraId="4D466674" w14:textId="77777777" w:rsidR="008362DF"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vAlign w:val="bottom"/>
          </w:tcPr>
          <w:p w14:paraId="20D54D6E" w14:textId="77777777" w:rsidR="008362DF" w:rsidRDefault="008362DF" w:rsidP="00FF2356">
            <w:pPr>
              <w:jc w:val="right"/>
            </w:pPr>
            <w:r w:rsidRPr="00EE0A20">
              <w:t>1</w:t>
            </w:r>
          </w:p>
        </w:tc>
      </w:tr>
      <w:tr w:rsidR="00806BB7" w:rsidRPr="00806BB7" w14:paraId="1F5F0A83" w14:textId="77777777" w:rsidTr="00806BB7">
        <w:tc>
          <w:tcPr>
            <w:tcW w:w="19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ED5F8EA" w14:textId="2AB5E698" w:rsidR="008362DF" w:rsidRPr="00806BB7" w:rsidRDefault="00806BB7" w:rsidP="00FF2356">
            <w:r w:rsidRPr="00806BB7">
              <w:t>Other L</w:t>
            </w:r>
            <w:r w:rsidR="008362DF" w:rsidRPr="00806BB7">
              <w:t>aws</w:t>
            </w:r>
          </w:p>
        </w:tc>
        <w:tc>
          <w:tcPr>
            <w:tcW w:w="10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1BB2ED4" w14:textId="77777777" w:rsidR="008362DF" w:rsidRPr="00806BB7" w:rsidRDefault="008362DF" w:rsidP="00FF2356">
            <w:pPr>
              <w:jc w:val="right"/>
            </w:pPr>
            <w:r w:rsidRPr="00806BB7">
              <w:t>34</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50064BE" w14:textId="77777777" w:rsidR="008362DF" w:rsidRPr="00806BB7" w:rsidRDefault="008362DF" w:rsidP="00FF2356">
            <w:pPr>
              <w:jc w:val="right"/>
            </w:pPr>
            <w:r w:rsidRPr="00806BB7">
              <w:t>50</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B258BE3" w14:textId="77777777" w:rsidR="008362DF" w:rsidRPr="00806BB7" w:rsidRDefault="008362DF" w:rsidP="00FF2356">
            <w:pPr>
              <w:jc w:val="right"/>
            </w:pPr>
            <w:r w:rsidRPr="00806BB7">
              <w:t>1</w:t>
            </w:r>
          </w:p>
        </w:tc>
        <w:tc>
          <w:tcPr>
            <w:tcW w:w="7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A746C84" w14:textId="77777777" w:rsidR="008362DF" w:rsidRPr="00806BB7" w:rsidRDefault="008362DF" w:rsidP="00FF2356">
            <w:pPr>
              <w:jc w:val="right"/>
            </w:pPr>
            <w:r w:rsidRPr="00806BB7">
              <w:t>81</w:t>
            </w:r>
          </w:p>
        </w:tc>
        <w:tc>
          <w:tcPr>
            <w:tcW w:w="7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F73D0E7" w14:textId="77777777" w:rsidR="008362DF" w:rsidRPr="00806BB7"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9221CAA" w14:textId="77777777" w:rsidR="008362DF" w:rsidRPr="00806BB7" w:rsidRDefault="008362DF" w:rsidP="00FF2356">
            <w:pPr>
              <w:jc w:val="right"/>
            </w:pPr>
            <w:r w:rsidRPr="00806BB7">
              <w:t>166</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CB26B37" w14:textId="77777777" w:rsidR="008362DF" w:rsidRPr="00806BB7" w:rsidRDefault="008362DF" w:rsidP="00FF2356">
            <w:pPr>
              <w:jc w:val="right"/>
            </w:pPr>
            <w:r w:rsidRPr="00806BB7">
              <w:t>2</w:t>
            </w:r>
          </w:p>
        </w:tc>
        <w:tc>
          <w:tcPr>
            <w:tcW w:w="7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3C8056D" w14:textId="77777777" w:rsidR="008362DF" w:rsidRPr="00806BB7" w:rsidRDefault="008362DF" w:rsidP="00FF2356">
            <w:pPr>
              <w:jc w:val="right"/>
            </w:pPr>
            <w:r w:rsidRPr="00806BB7">
              <w:t>134</w:t>
            </w: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B852EBE" w14:textId="77777777" w:rsidR="008362DF" w:rsidRPr="00806BB7" w:rsidRDefault="008362DF" w:rsidP="00FF2356">
            <w:pPr>
              <w:jc w:val="right"/>
            </w:pPr>
            <w:r w:rsidRPr="00806BB7">
              <w:t>302</w:t>
            </w:r>
          </w:p>
        </w:tc>
      </w:tr>
      <w:tr w:rsidR="00806BB7" w:rsidRPr="00806BB7" w14:paraId="58062F45" w14:textId="77777777" w:rsidTr="00806BB7">
        <w:tc>
          <w:tcPr>
            <w:tcW w:w="19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C23151D" w14:textId="7244A3F9" w:rsidR="008362DF" w:rsidRPr="00806BB7" w:rsidRDefault="008362DF" w:rsidP="00806BB7">
            <w:r w:rsidRPr="00806BB7">
              <w:t xml:space="preserve">Agency </w:t>
            </w:r>
            <w:r w:rsidR="00806BB7" w:rsidRPr="00806BB7">
              <w:t>Info and A</w:t>
            </w:r>
            <w:r w:rsidRPr="00806BB7">
              <w:t>ctivities</w:t>
            </w:r>
          </w:p>
        </w:tc>
        <w:tc>
          <w:tcPr>
            <w:tcW w:w="10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8EDC4FE" w14:textId="77777777" w:rsidR="008362DF" w:rsidRPr="00806BB7" w:rsidRDefault="008362DF" w:rsidP="00FF2356">
            <w:pPr>
              <w:jc w:val="right"/>
            </w:pPr>
            <w:r w:rsidRPr="00806BB7">
              <w:t>20</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24AAF461" w14:textId="77777777" w:rsidR="008362DF" w:rsidRPr="00806BB7" w:rsidRDefault="008362DF" w:rsidP="00FF2356">
            <w:pPr>
              <w:jc w:val="right"/>
            </w:pPr>
            <w:r w:rsidRPr="00806BB7">
              <w:t>52</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D6DF83E" w14:textId="77777777" w:rsidR="008362DF" w:rsidRPr="00806BB7" w:rsidRDefault="008362DF" w:rsidP="00FF2356">
            <w:pPr>
              <w:jc w:val="right"/>
            </w:pPr>
            <w:r w:rsidRPr="00806BB7">
              <w:t>11</w:t>
            </w:r>
          </w:p>
        </w:tc>
        <w:tc>
          <w:tcPr>
            <w:tcW w:w="7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ED9358C" w14:textId="77777777" w:rsidR="008362DF" w:rsidRPr="00806BB7" w:rsidRDefault="008362DF" w:rsidP="00FF2356">
            <w:pPr>
              <w:jc w:val="right"/>
            </w:pPr>
            <w:r w:rsidRPr="00806BB7">
              <w:t>40</w:t>
            </w:r>
          </w:p>
        </w:tc>
        <w:tc>
          <w:tcPr>
            <w:tcW w:w="7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DE7F93A" w14:textId="77777777" w:rsidR="008362DF" w:rsidRPr="00806BB7"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750F6D9" w14:textId="77777777" w:rsidR="008362DF" w:rsidRPr="00806BB7" w:rsidRDefault="008362DF" w:rsidP="00FF2356">
            <w:pPr>
              <w:jc w:val="right"/>
            </w:pPr>
            <w:r w:rsidRPr="00806BB7">
              <w:t>123</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81A8EF7" w14:textId="77777777" w:rsidR="008362DF" w:rsidRPr="00806BB7" w:rsidRDefault="008362DF" w:rsidP="00FF2356">
            <w:pPr>
              <w:jc w:val="right"/>
            </w:pPr>
            <w:r w:rsidRPr="00806BB7">
              <w:t>26</w:t>
            </w:r>
          </w:p>
        </w:tc>
        <w:tc>
          <w:tcPr>
            <w:tcW w:w="7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DEB730C" w14:textId="77777777" w:rsidR="008362DF" w:rsidRPr="00806BB7" w:rsidRDefault="008362DF" w:rsidP="00FF2356">
            <w:pPr>
              <w:jc w:val="right"/>
            </w:pPr>
            <w:r w:rsidRPr="00806BB7">
              <w:t>60</w:t>
            </w: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CA95A9F" w14:textId="77777777" w:rsidR="008362DF" w:rsidRPr="00806BB7" w:rsidRDefault="008362DF" w:rsidP="00FF2356">
            <w:pPr>
              <w:jc w:val="right"/>
            </w:pPr>
            <w:r w:rsidRPr="00806BB7">
              <w:t>209</w:t>
            </w:r>
          </w:p>
        </w:tc>
      </w:tr>
      <w:tr w:rsidR="00806BB7" w:rsidRPr="00806BB7" w14:paraId="7568527B" w14:textId="77777777" w:rsidTr="00806BB7">
        <w:tc>
          <w:tcPr>
            <w:tcW w:w="19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0505C09" w14:textId="111B9AE5" w:rsidR="008362DF" w:rsidRPr="00806BB7" w:rsidRDefault="008362DF" w:rsidP="00806BB7">
            <w:r w:rsidRPr="00806BB7">
              <w:t xml:space="preserve">Not relevant to </w:t>
            </w:r>
            <w:r w:rsidR="00806BB7" w:rsidRPr="00806BB7">
              <w:t>the B</w:t>
            </w:r>
            <w:r w:rsidRPr="00806BB7">
              <w:t>uildi</w:t>
            </w:r>
            <w:r w:rsidR="00806BB7" w:rsidRPr="00806BB7">
              <w:t>ng I</w:t>
            </w:r>
            <w:r w:rsidRPr="00806BB7">
              <w:t>ndustry</w:t>
            </w:r>
          </w:p>
        </w:tc>
        <w:tc>
          <w:tcPr>
            <w:tcW w:w="10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25E78350" w14:textId="77777777" w:rsidR="008362DF" w:rsidRPr="00806BB7" w:rsidRDefault="008362DF" w:rsidP="00FF2356">
            <w:pPr>
              <w:jc w:val="right"/>
            </w:pPr>
            <w:r w:rsidRPr="00806BB7">
              <w:t>1</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DA556D3" w14:textId="77777777" w:rsidR="008362DF" w:rsidRPr="00806BB7" w:rsidRDefault="008362DF" w:rsidP="00FF2356">
            <w:pPr>
              <w:jc w:val="right"/>
            </w:pPr>
            <w:r w:rsidRPr="00806BB7">
              <w:t>10</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B00BED0" w14:textId="77777777" w:rsidR="008362DF" w:rsidRPr="00806BB7" w:rsidRDefault="008362DF" w:rsidP="00FF2356">
            <w:pPr>
              <w:jc w:val="right"/>
            </w:pPr>
            <w:r w:rsidRPr="00806BB7">
              <w:t>1</w:t>
            </w:r>
          </w:p>
        </w:tc>
        <w:tc>
          <w:tcPr>
            <w:tcW w:w="7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6A4E317" w14:textId="77777777" w:rsidR="008362DF" w:rsidRPr="00806BB7" w:rsidRDefault="008362DF" w:rsidP="00FF2356">
            <w:pPr>
              <w:jc w:val="right"/>
            </w:pPr>
            <w:r w:rsidRPr="00806BB7">
              <w:t>10</w:t>
            </w:r>
          </w:p>
        </w:tc>
        <w:tc>
          <w:tcPr>
            <w:tcW w:w="7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EA8C5AA" w14:textId="77777777" w:rsidR="008362DF" w:rsidRPr="00806BB7" w:rsidRDefault="008362DF" w:rsidP="00FF2356">
            <w:pPr>
              <w:jc w:val="right"/>
            </w:pP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BB40291" w14:textId="77777777" w:rsidR="008362DF" w:rsidRPr="00806BB7" w:rsidRDefault="008362DF" w:rsidP="00FF2356">
            <w:pPr>
              <w:jc w:val="right"/>
            </w:pPr>
            <w:r w:rsidRPr="00806BB7">
              <w:t>22</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23D35F9A" w14:textId="77777777" w:rsidR="008362DF" w:rsidRPr="00806BB7" w:rsidRDefault="008362DF" w:rsidP="00FF2356">
            <w:pPr>
              <w:jc w:val="right"/>
            </w:pPr>
            <w:r w:rsidRPr="00806BB7">
              <w:t>1</w:t>
            </w:r>
          </w:p>
        </w:tc>
        <w:tc>
          <w:tcPr>
            <w:tcW w:w="7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F075223" w14:textId="77777777" w:rsidR="008362DF" w:rsidRPr="00806BB7" w:rsidRDefault="008362DF" w:rsidP="00FF2356">
            <w:pPr>
              <w:jc w:val="right"/>
            </w:pPr>
            <w:r w:rsidRPr="00806BB7">
              <w:t>35</w:t>
            </w: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6E6F596" w14:textId="77777777" w:rsidR="008362DF" w:rsidRPr="00806BB7" w:rsidRDefault="008362DF" w:rsidP="00FF2356">
            <w:pPr>
              <w:jc w:val="right"/>
            </w:pPr>
            <w:r w:rsidRPr="00806BB7">
              <w:t>58</w:t>
            </w:r>
          </w:p>
        </w:tc>
      </w:tr>
      <w:tr w:rsidR="00806BB7" w:rsidRPr="00806BB7" w14:paraId="14DA1BC6" w14:textId="77777777" w:rsidTr="00806BB7">
        <w:tc>
          <w:tcPr>
            <w:tcW w:w="19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E313477" w14:textId="371EE63F" w:rsidR="008362DF" w:rsidRPr="00806BB7" w:rsidRDefault="00806BB7" w:rsidP="00FF2356">
            <w:r w:rsidRPr="00806BB7">
              <w:t>Workplace Laws – Non-B</w:t>
            </w:r>
            <w:r w:rsidR="008362DF" w:rsidRPr="00806BB7">
              <w:t>uildi</w:t>
            </w:r>
            <w:r w:rsidRPr="00806BB7">
              <w:t>ng W</w:t>
            </w:r>
            <w:r w:rsidR="008362DF" w:rsidRPr="00806BB7">
              <w:t>ork</w:t>
            </w:r>
          </w:p>
        </w:tc>
        <w:tc>
          <w:tcPr>
            <w:tcW w:w="10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0B695C5" w14:textId="77777777" w:rsidR="008362DF" w:rsidRPr="00806BB7" w:rsidRDefault="008362DF" w:rsidP="00FF2356">
            <w:pPr>
              <w:jc w:val="right"/>
            </w:pPr>
            <w:r w:rsidRPr="00806BB7">
              <w:t>18</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79C668D" w14:textId="77777777" w:rsidR="008362DF" w:rsidRPr="00806BB7" w:rsidRDefault="008362DF" w:rsidP="00FF2356">
            <w:pPr>
              <w:jc w:val="right"/>
            </w:pPr>
            <w:r w:rsidRPr="00806BB7">
              <w:t>10</w:t>
            </w:r>
          </w:p>
        </w:tc>
        <w:tc>
          <w:tcPr>
            <w:tcW w:w="10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6173412" w14:textId="77777777" w:rsidR="008362DF" w:rsidRPr="00806BB7" w:rsidRDefault="008362DF" w:rsidP="00FF2356">
            <w:pPr>
              <w:jc w:val="right"/>
            </w:pPr>
          </w:p>
        </w:tc>
        <w:tc>
          <w:tcPr>
            <w:tcW w:w="7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3357DDF" w14:textId="77777777" w:rsidR="008362DF" w:rsidRPr="00806BB7" w:rsidRDefault="008362DF" w:rsidP="00FF2356">
            <w:pPr>
              <w:jc w:val="right"/>
            </w:pPr>
            <w:r w:rsidRPr="00806BB7">
              <w:t>10</w:t>
            </w:r>
          </w:p>
        </w:tc>
        <w:tc>
          <w:tcPr>
            <w:tcW w:w="7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62A73A2" w14:textId="77777777" w:rsidR="008362DF" w:rsidRPr="00806BB7" w:rsidRDefault="008362DF" w:rsidP="00FF2356">
            <w:pPr>
              <w:jc w:val="right"/>
            </w:pPr>
            <w:r w:rsidRPr="00806BB7">
              <w:t>1</w:t>
            </w: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15A2DA5C" w14:textId="77777777" w:rsidR="008362DF" w:rsidRPr="00806BB7" w:rsidRDefault="008362DF" w:rsidP="00FF2356">
            <w:pPr>
              <w:jc w:val="right"/>
            </w:pPr>
            <w:r w:rsidRPr="00806BB7">
              <w:t>39</w:t>
            </w:r>
          </w:p>
        </w:tc>
        <w:tc>
          <w:tcPr>
            <w:tcW w:w="7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239FB0FF" w14:textId="77777777" w:rsidR="008362DF" w:rsidRPr="00806BB7" w:rsidRDefault="008362DF" w:rsidP="00FF2356">
            <w:pPr>
              <w:jc w:val="right"/>
            </w:pPr>
            <w:r w:rsidRPr="00806BB7">
              <w:t>1</w:t>
            </w:r>
          </w:p>
        </w:tc>
        <w:tc>
          <w:tcPr>
            <w:tcW w:w="7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055FB9B" w14:textId="77777777" w:rsidR="008362DF" w:rsidRPr="00806BB7" w:rsidRDefault="008362DF" w:rsidP="00FF2356">
            <w:pPr>
              <w:jc w:val="right"/>
            </w:pPr>
            <w:r w:rsidRPr="00806BB7">
              <w:t>14</w:t>
            </w:r>
          </w:p>
        </w:tc>
        <w:tc>
          <w:tcPr>
            <w:tcW w:w="7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DA24266" w14:textId="77777777" w:rsidR="008362DF" w:rsidRPr="00806BB7" w:rsidRDefault="008362DF" w:rsidP="00FF2356">
            <w:pPr>
              <w:jc w:val="right"/>
            </w:pPr>
            <w:r w:rsidRPr="00806BB7">
              <w:t>54</w:t>
            </w:r>
          </w:p>
        </w:tc>
      </w:tr>
      <w:tr w:rsidR="008362DF" w14:paraId="76BF4099" w14:textId="77777777" w:rsidTr="00806BB7">
        <w:tc>
          <w:tcPr>
            <w:tcW w:w="1980" w:type="dxa"/>
            <w:tcBorders>
              <w:top w:val="single" w:sz="4" w:space="0" w:color="auto"/>
              <w:left w:val="single" w:sz="4" w:space="0" w:color="auto"/>
              <w:bottom w:val="single" w:sz="4" w:space="0" w:color="auto"/>
              <w:right w:val="single" w:sz="4" w:space="0" w:color="auto"/>
            </w:tcBorders>
            <w:vAlign w:val="bottom"/>
          </w:tcPr>
          <w:p w14:paraId="0E6830CE" w14:textId="77777777" w:rsidR="008362DF" w:rsidRPr="00EE0A20" w:rsidRDefault="008362DF" w:rsidP="00FF2356">
            <w:pPr>
              <w:rPr>
                <w:b/>
              </w:rPr>
            </w:pPr>
            <w:r w:rsidRPr="00EE0A20">
              <w:rPr>
                <w:b/>
              </w:rPr>
              <w:t>Total</w:t>
            </w:r>
          </w:p>
        </w:tc>
        <w:tc>
          <w:tcPr>
            <w:tcW w:w="1092" w:type="dxa"/>
            <w:tcBorders>
              <w:top w:val="single" w:sz="4" w:space="0" w:color="auto"/>
              <w:left w:val="single" w:sz="4" w:space="0" w:color="auto"/>
              <w:bottom w:val="single" w:sz="4" w:space="0" w:color="auto"/>
              <w:right w:val="single" w:sz="4" w:space="0" w:color="auto"/>
            </w:tcBorders>
            <w:vAlign w:val="bottom"/>
          </w:tcPr>
          <w:p w14:paraId="4E251950" w14:textId="77777777" w:rsidR="008362DF" w:rsidRDefault="008362DF" w:rsidP="00FF2356">
            <w:pPr>
              <w:jc w:val="right"/>
            </w:pPr>
            <w:r w:rsidRPr="00EE0A20">
              <w:rPr>
                <w:b/>
              </w:rPr>
              <w:t>395</w:t>
            </w:r>
          </w:p>
        </w:tc>
        <w:tc>
          <w:tcPr>
            <w:tcW w:w="1028" w:type="dxa"/>
            <w:tcBorders>
              <w:top w:val="single" w:sz="4" w:space="0" w:color="auto"/>
              <w:left w:val="single" w:sz="4" w:space="0" w:color="auto"/>
              <w:bottom w:val="single" w:sz="4" w:space="0" w:color="auto"/>
              <w:right w:val="single" w:sz="4" w:space="0" w:color="auto"/>
            </w:tcBorders>
            <w:vAlign w:val="bottom"/>
          </w:tcPr>
          <w:p w14:paraId="00490109" w14:textId="77777777" w:rsidR="008362DF" w:rsidRDefault="008362DF" w:rsidP="00FF2356">
            <w:pPr>
              <w:jc w:val="right"/>
            </w:pPr>
            <w:r w:rsidRPr="00EE0A20">
              <w:rPr>
                <w:b/>
              </w:rPr>
              <w:t>2,608</w:t>
            </w:r>
          </w:p>
        </w:tc>
        <w:tc>
          <w:tcPr>
            <w:tcW w:w="1028" w:type="dxa"/>
            <w:tcBorders>
              <w:top w:val="single" w:sz="4" w:space="0" w:color="auto"/>
              <w:left w:val="single" w:sz="4" w:space="0" w:color="auto"/>
              <w:bottom w:val="single" w:sz="4" w:space="0" w:color="auto"/>
              <w:right w:val="single" w:sz="4" w:space="0" w:color="auto"/>
            </w:tcBorders>
            <w:vAlign w:val="bottom"/>
          </w:tcPr>
          <w:p w14:paraId="0BB96A20" w14:textId="77777777" w:rsidR="008362DF" w:rsidRDefault="008362DF" w:rsidP="00FF2356">
            <w:pPr>
              <w:jc w:val="right"/>
            </w:pPr>
            <w:r w:rsidRPr="00EE0A20">
              <w:rPr>
                <w:b/>
              </w:rPr>
              <w:t>170</w:t>
            </w:r>
          </w:p>
        </w:tc>
        <w:tc>
          <w:tcPr>
            <w:tcW w:w="772" w:type="dxa"/>
            <w:tcBorders>
              <w:top w:val="single" w:sz="4" w:space="0" w:color="auto"/>
              <w:left w:val="single" w:sz="4" w:space="0" w:color="auto"/>
              <w:bottom w:val="single" w:sz="4" w:space="0" w:color="auto"/>
              <w:right w:val="single" w:sz="4" w:space="0" w:color="auto"/>
            </w:tcBorders>
            <w:vAlign w:val="bottom"/>
          </w:tcPr>
          <w:p w14:paraId="6328F569" w14:textId="77777777" w:rsidR="008362DF" w:rsidRDefault="008362DF" w:rsidP="00FF2356">
            <w:pPr>
              <w:jc w:val="right"/>
            </w:pPr>
            <w:r w:rsidRPr="00EE0A20">
              <w:rPr>
                <w:b/>
              </w:rPr>
              <w:t>231</w:t>
            </w:r>
          </w:p>
        </w:tc>
        <w:tc>
          <w:tcPr>
            <w:tcW w:w="787" w:type="dxa"/>
            <w:tcBorders>
              <w:top w:val="single" w:sz="4" w:space="0" w:color="auto"/>
              <w:left w:val="single" w:sz="4" w:space="0" w:color="auto"/>
              <w:bottom w:val="single" w:sz="4" w:space="0" w:color="auto"/>
              <w:right w:val="single" w:sz="4" w:space="0" w:color="auto"/>
            </w:tcBorders>
            <w:vAlign w:val="bottom"/>
          </w:tcPr>
          <w:p w14:paraId="355BB6AB" w14:textId="77777777" w:rsidR="008362DF" w:rsidRDefault="008362DF" w:rsidP="00FF2356">
            <w:pPr>
              <w:jc w:val="right"/>
            </w:pPr>
            <w:r w:rsidRPr="00EE0A20">
              <w:rPr>
                <w:b/>
              </w:rPr>
              <w:t>27</w:t>
            </w:r>
          </w:p>
        </w:tc>
        <w:tc>
          <w:tcPr>
            <w:tcW w:w="750" w:type="dxa"/>
            <w:tcBorders>
              <w:top w:val="single" w:sz="4" w:space="0" w:color="auto"/>
              <w:left w:val="single" w:sz="4" w:space="0" w:color="auto"/>
              <w:bottom w:val="single" w:sz="4" w:space="0" w:color="auto"/>
              <w:right w:val="single" w:sz="4" w:space="0" w:color="auto"/>
            </w:tcBorders>
            <w:vAlign w:val="bottom"/>
          </w:tcPr>
          <w:p w14:paraId="1A7BA081" w14:textId="77777777" w:rsidR="008362DF" w:rsidRDefault="008362DF" w:rsidP="00FF2356">
            <w:pPr>
              <w:jc w:val="right"/>
            </w:pPr>
            <w:r w:rsidRPr="00EE0A20">
              <w:rPr>
                <w:b/>
              </w:rPr>
              <w:t>3,431</w:t>
            </w:r>
          </w:p>
        </w:tc>
        <w:tc>
          <w:tcPr>
            <w:tcW w:w="742" w:type="dxa"/>
            <w:tcBorders>
              <w:top w:val="single" w:sz="4" w:space="0" w:color="auto"/>
              <w:left w:val="single" w:sz="4" w:space="0" w:color="auto"/>
              <w:bottom w:val="single" w:sz="4" w:space="0" w:color="auto"/>
              <w:right w:val="single" w:sz="4" w:space="0" w:color="auto"/>
            </w:tcBorders>
            <w:vAlign w:val="bottom"/>
          </w:tcPr>
          <w:p w14:paraId="13C93B4D" w14:textId="77777777" w:rsidR="008362DF" w:rsidRDefault="008362DF" w:rsidP="00FF2356">
            <w:pPr>
              <w:jc w:val="right"/>
            </w:pPr>
            <w:r w:rsidRPr="00EE0A20">
              <w:rPr>
                <w:b/>
              </w:rPr>
              <w:t>165</w:t>
            </w:r>
          </w:p>
        </w:tc>
        <w:tc>
          <w:tcPr>
            <w:tcW w:w="789" w:type="dxa"/>
            <w:tcBorders>
              <w:top w:val="single" w:sz="4" w:space="0" w:color="auto"/>
              <w:left w:val="single" w:sz="4" w:space="0" w:color="auto"/>
              <w:bottom w:val="single" w:sz="4" w:space="0" w:color="auto"/>
              <w:right w:val="single" w:sz="4" w:space="0" w:color="auto"/>
            </w:tcBorders>
            <w:vAlign w:val="bottom"/>
          </w:tcPr>
          <w:p w14:paraId="29F4A28F" w14:textId="77777777" w:rsidR="008362DF" w:rsidRDefault="008362DF" w:rsidP="00FF2356">
            <w:pPr>
              <w:jc w:val="right"/>
            </w:pPr>
            <w:r w:rsidRPr="00EE0A20">
              <w:rPr>
                <w:b/>
              </w:rPr>
              <w:t>359</w:t>
            </w:r>
          </w:p>
        </w:tc>
        <w:tc>
          <w:tcPr>
            <w:tcW w:w="750" w:type="dxa"/>
            <w:tcBorders>
              <w:top w:val="single" w:sz="4" w:space="0" w:color="auto"/>
              <w:left w:val="single" w:sz="4" w:space="0" w:color="auto"/>
              <w:bottom w:val="single" w:sz="4" w:space="0" w:color="auto"/>
              <w:right w:val="single" w:sz="4" w:space="0" w:color="auto"/>
            </w:tcBorders>
            <w:vAlign w:val="bottom"/>
          </w:tcPr>
          <w:p w14:paraId="290D1A86" w14:textId="77777777" w:rsidR="008362DF" w:rsidRDefault="008362DF" w:rsidP="00FF2356">
            <w:pPr>
              <w:jc w:val="right"/>
            </w:pPr>
            <w:r w:rsidRPr="00EE0A20">
              <w:rPr>
                <w:b/>
              </w:rPr>
              <w:t>3,955</w:t>
            </w:r>
          </w:p>
        </w:tc>
      </w:tr>
    </w:tbl>
    <w:p w14:paraId="221E1715" w14:textId="73DB2B35" w:rsidR="008362DF" w:rsidRDefault="008362DF" w:rsidP="008362DF">
      <w:pPr>
        <w:pStyle w:val="Source"/>
      </w:pPr>
      <w:r w:rsidRPr="00B2722A">
        <w:t>Source</w:t>
      </w:r>
      <w:r>
        <w:t xml:space="preserve">: </w:t>
      </w:r>
      <w:r w:rsidR="00A85338" w:rsidRPr="00CB581A">
        <w:rPr>
          <w:b w:val="0"/>
        </w:rPr>
        <w:t>Unpublished data provided by the</w:t>
      </w:r>
      <w:r w:rsidR="00A85338">
        <w:t xml:space="preserve"> </w:t>
      </w:r>
      <w:r w:rsidR="00A85338" w:rsidRPr="00CF5855">
        <w:rPr>
          <w:b w:val="0"/>
        </w:rPr>
        <w:t>ABCC</w:t>
      </w:r>
    </w:p>
    <w:p w14:paraId="3748E52C" w14:textId="070A5086" w:rsidR="004D2BFE" w:rsidRDefault="004D2BFE">
      <w:r>
        <w:br w:type="page"/>
      </w:r>
    </w:p>
    <w:p w14:paraId="482C27A6" w14:textId="77777777" w:rsidR="001F56B7" w:rsidRDefault="001F56B7" w:rsidP="005C3772">
      <w:pPr>
        <w:pStyle w:val="Caption"/>
        <w:keepNext/>
        <w:spacing w:before="0"/>
      </w:pPr>
      <w:r>
        <w:lastRenderedPageBreak/>
        <w:t xml:space="preserve">Table A.2: </w:t>
      </w:r>
      <w:r w:rsidRPr="00864B9A">
        <w:t>Enquiries in relation to workplace laws</w:t>
      </w:r>
      <w:r>
        <w:t>, 1 July 2017</w:t>
      </w:r>
      <w:r>
        <w:noBreakHyphen/>
        <w:t>31 December </w:t>
      </w:r>
      <w:r w:rsidRPr="00864B9A">
        <w:t>2017</w:t>
      </w:r>
    </w:p>
    <w:tbl>
      <w:tblPr>
        <w:tblStyle w:val="DEEWRTable"/>
        <w:tblW w:w="9407" w:type="dxa"/>
        <w:tblLook w:val="0420" w:firstRow="1" w:lastRow="0" w:firstColumn="0" w:lastColumn="0" w:noHBand="0" w:noVBand="1"/>
        <w:tblCaption w:val="Table A.2: Enquiries in relation to workplace laws, 1 July 2017 to 31 December 2017"/>
        <w:tblDescription w:val="This table provides the number and percentage of enquiries received by the ABCC in relation to workplace laws for the period 1 July 2017 to 31 December 2017, by subject and stakeholder group (ie. employee, employer, other)."/>
      </w:tblPr>
      <w:tblGrid>
        <w:gridCol w:w="3256"/>
        <w:gridCol w:w="1238"/>
        <w:gridCol w:w="1236"/>
        <w:gridCol w:w="1229"/>
        <w:gridCol w:w="1220"/>
        <w:gridCol w:w="1228"/>
      </w:tblGrid>
      <w:tr w:rsidR="001F56B7" w:rsidRPr="00864B9A" w14:paraId="1E92CDB7" w14:textId="77777777" w:rsidTr="000218CE">
        <w:trPr>
          <w:cnfStyle w:val="100000000000" w:firstRow="1" w:lastRow="0" w:firstColumn="0" w:lastColumn="0" w:oddVBand="0" w:evenVBand="0" w:oddHBand="0" w:evenHBand="0" w:firstRowFirstColumn="0" w:firstRowLastColumn="0" w:lastRowFirstColumn="0" w:lastRowLastColumn="0"/>
        </w:trPr>
        <w:tc>
          <w:tcPr>
            <w:tcW w:w="3256" w:type="dxa"/>
            <w:tcBorders>
              <w:top w:val="single" w:sz="4" w:space="0" w:color="auto"/>
              <w:left w:val="single" w:sz="4" w:space="0" w:color="auto"/>
              <w:bottom w:val="single" w:sz="4" w:space="0" w:color="auto"/>
              <w:right w:val="single" w:sz="4" w:space="0" w:color="auto"/>
            </w:tcBorders>
            <w:shd w:val="clear" w:color="auto" w:fill="1E3D6B"/>
          </w:tcPr>
          <w:p w14:paraId="60F9EF42" w14:textId="77777777" w:rsidR="001F56B7" w:rsidRPr="00864B9A" w:rsidRDefault="001F56B7" w:rsidP="00FF2356">
            <w:r w:rsidRPr="00864B9A">
              <w:rPr>
                <w:rFonts w:cstheme="minorHAnsi"/>
                <w:szCs w:val="20"/>
              </w:rPr>
              <w:t>Subject</w:t>
            </w:r>
          </w:p>
        </w:tc>
        <w:tc>
          <w:tcPr>
            <w:tcW w:w="1238" w:type="dxa"/>
            <w:tcBorders>
              <w:top w:val="single" w:sz="4" w:space="0" w:color="auto"/>
              <w:left w:val="single" w:sz="4" w:space="0" w:color="auto"/>
              <w:bottom w:val="single" w:sz="4" w:space="0" w:color="auto"/>
              <w:right w:val="single" w:sz="4" w:space="0" w:color="auto"/>
            </w:tcBorders>
            <w:shd w:val="clear" w:color="auto" w:fill="1E3D6B"/>
          </w:tcPr>
          <w:p w14:paraId="6F5C9CA7" w14:textId="77777777" w:rsidR="001F56B7" w:rsidRPr="00864B9A" w:rsidRDefault="001F56B7" w:rsidP="00FF2356">
            <w:pPr>
              <w:jc w:val="right"/>
            </w:pPr>
            <w:r w:rsidRPr="00864B9A">
              <w:rPr>
                <w:rFonts w:cstheme="minorHAnsi"/>
                <w:szCs w:val="20"/>
              </w:rPr>
              <w:t>Employee</w:t>
            </w:r>
          </w:p>
        </w:tc>
        <w:tc>
          <w:tcPr>
            <w:tcW w:w="1236" w:type="dxa"/>
            <w:tcBorders>
              <w:top w:val="single" w:sz="4" w:space="0" w:color="auto"/>
              <w:left w:val="single" w:sz="4" w:space="0" w:color="auto"/>
              <w:bottom w:val="single" w:sz="4" w:space="0" w:color="auto"/>
              <w:right w:val="single" w:sz="4" w:space="0" w:color="auto"/>
            </w:tcBorders>
            <w:shd w:val="clear" w:color="auto" w:fill="1E3D6B"/>
          </w:tcPr>
          <w:p w14:paraId="4EF29F2A" w14:textId="77777777" w:rsidR="001F56B7" w:rsidRPr="00864B9A" w:rsidRDefault="001F56B7" w:rsidP="00FF2356">
            <w:pPr>
              <w:jc w:val="right"/>
            </w:pPr>
            <w:r w:rsidRPr="00864B9A">
              <w:rPr>
                <w:rFonts w:cstheme="minorHAnsi"/>
                <w:szCs w:val="20"/>
              </w:rPr>
              <w:t>Employer</w:t>
            </w:r>
          </w:p>
        </w:tc>
        <w:tc>
          <w:tcPr>
            <w:tcW w:w="1229" w:type="dxa"/>
            <w:tcBorders>
              <w:top w:val="single" w:sz="4" w:space="0" w:color="auto"/>
              <w:left w:val="single" w:sz="4" w:space="0" w:color="auto"/>
              <w:bottom w:val="single" w:sz="4" w:space="0" w:color="auto"/>
              <w:right w:val="single" w:sz="4" w:space="0" w:color="auto"/>
            </w:tcBorders>
            <w:shd w:val="clear" w:color="auto" w:fill="1E3D6B"/>
          </w:tcPr>
          <w:p w14:paraId="4CD0E8B2" w14:textId="77777777" w:rsidR="001F56B7" w:rsidRPr="00864B9A" w:rsidRDefault="001F56B7" w:rsidP="00FF2356">
            <w:pPr>
              <w:jc w:val="right"/>
            </w:pPr>
            <w:r w:rsidRPr="00864B9A">
              <w:rPr>
                <w:rFonts w:cstheme="minorHAnsi"/>
                <w:szCs w:val="20"/>
              </w:rPr>
              <w:t>Other</w:t>
            </w:r>
          </w:p>
        </w:tc>
        <w:tc>
          <w:tcPr>
            <w:tcW w:w="1220" w:type="dxa"/>
            <w:tcBorders>
              <w:top w:val="single" w:sz="4" w:space="0" w:color="auto"/>
              <w:left w:val="single" w:sz="4" w:space="0" w:color="auto"/>
              <w:bottom w:val="single" w:sz="4" w:space="0" w:color="auto"/>
              <w:right w:val="single" w:sz="4" w:space="0" w:color="auto"/>
            </w:tcBorders>
            <w:shd w:val="clear" w:color="auto" w:fill="1E3D6B"/>
          </w:tcPr>
          <w:p w14:paraId="057BD7B9" w14:textId="77777777" w:rsidR="001F56B7" w:rsidRPr="00864B9A" w:rsidRDefault="001F56B7" w:rsidP="00FF2356">
            <w:pPr>
              <w:jc w:val="right"/>
            </w:pPr>
            <w:r w:rsidRPr="00864B9A">
              <w:rPr>
                <w:rFonts w:cstheme="minorHAnsi"/>
                <w:szCs w:val="20"/>
              </w:rPr>
              <w:t>Total</w:t>
            </w:r>
          </w:p>
        </w:tc>
        <w:tc>
          <w:tcPr>
            <w:tcW w:w="1228" w:type="dxa"/>
            <w:tcBorders>
              <w:top w:val="single" w:sz="4" w:space="0" w:color="auto"/>
              <w:left w:val="single" w:sz="4" w:space="0" w:color="auto"/>
              <w:bottom w:val="single" w:sz="4" w:space="0" w:color="auto"/>
              <w:right w:val="single" w:sz="4" w:space="0" w:color="auto"/>
            </w:tcBorders>
            <w:shd w:val="clear" w:color="auto" w:fill="1E3D6B"/>
          </w:tcPr>
          <w:p w14:paraId="7B0F8CA0" w14:textId="77777777" w:rsidR="001F56B7" w:rsidRPr="00864B9A" w:rsidRDefault="001F56B7" w:rsidP="00FF2356">
            <w:pPr>
              <w:jc w:val="right"/>
            </w:pPr>
            <w:r w:rsidRPr="00864B9A">
              <w:rPr>
                <w:rFonts w:cstheme="minorHAnsi"/>
                <w:szCs w:val="20"/>
              </w:rPr>
              <w:t>%</w:t>
            </w:r>
          </w:p>
        </w:tc>
      </w:tr>
      <w:tr w:rsidR="001F56B7" w14:paraId="0AB0EF3E" w14:textId="77777777" w:rsidTr="004D2BFE">
        <w:tc>
          <w:tcPr>
            <w:tcW w:w="3256" w:type="dxa"/>
            <w:tcBorders>
              <w:top w:val="single" w:sz="4" w:space="0" w:color="auto"/>
              <w:left w:val="single" w:sz="4" w:space="0" w:color="auto"/>
              <w:bottom w:val="single" w:sz="6" w:space="0" w:color="auto"/>
              <w:right w:val="single" w:sz="6" w:space="0" w:color="auto"/>
            </w:tcBorders>
          </w:tcPr>
          <w:p w14:paraId="00EA9510" w14:textId="77777777" w:rsidR="001F56B7" w:rsidRDefault="001F56B7" w:rsidP="00FF2356">
            <w:r w:rsidRPr="00EE0A20">
              <w:rPr>
                <w:rFonts w:cstheme="minorHAnsi"/>
                <w:szCs w:val="20"/>
              </w:rPr>
              <w:t>Right of entry</w:t>
            </w:r>
          </w:p>
        </w:tc>
        <w:tc>
          <w:tcPr>
            <w:tcW w:w="1238" w:type="dxa"/>
            <w:tcBorders>
              <w:top w:val="single" w:sz="4" w:space="0" w:color="auto"/>
              <w:left w:val="single" w:sz="6" w:space="0" w:color="auto"/>
              <w:bottom w:val="single" w:sz="6" w:space="0" w:color="auto"/>
              <w:right w:val="single" w:sz="6" w:space="0" w:color="auto"/>
            </w:tcBorders>
            <w:vAlign w:val="bottom"/>
          </w:tcPr>
          <w:p w14:paraId="42654767" w14:textId="77777777" w:rsidR="001F56B7" w:rsidRDefault="001F56B7" w:rsidP="00FF2356">
            <w:pPr>
              <w:jc w:val="right"/>
            </w:pPr>
            <w:r w:rsidRPr="00EE0A20">
              <w:rPr>
                <w:rFonts w:cstheme="minorHAnsi"/>
                <w:szCs w:val="20"/>
              </w:rPr>
              <w:t>9</w:t>
            </w:r>
          </w:p>
        </w:tc>
        <w:tc>
          <w:tcPr>
            <w:tcW w:w="1236" w:type="dxa"/>
            <w:tcBorders>
              <w:top w:val="single" w:sz="4" w:space="0" w:color="auto"/>
              <w:left w:val="single" w:sz="6" w:space="0" w:color="auto"/>
              <w:bottom w:val="single" w:sz="6" w:space="0" w:color="auto"/>
              <w:right w:val="single" w:sz="6" w:space="0" w:color="auto"/>
            </w:tcBorders>
            <w:vAlign w:val="bottom"/>
          </w:tcPr>
          <w:p w14:paraId="427103ED" w14:textId="77777777" w:rsidR="001F56B7" w:rsidRDefault="001F56B7" w:rsidP="00FF2356">
            <w:pPr>
              <w:jc w:val="right"/>
            </w:pPr>
            <w:r w:rsidRPr="00EE0A20">
              <w:rPr>
                <w:rFonts w:cstheme="minorHAnsi"/>
                <w:szCs w:val="20"/>
              </w:rPr>
              <w:t>115</w:t>
            </w:r>
          </w:p>
        </w:tc>
        <w:tc>
          <w:tcPr>
            <w:tcW w:w="1229" w:type="dxa"/>
            <w:tcBorders>
              <w:top w:val="single" w:sz="4" w:space="0" w:color="auto"/>
              <w:left w:val="single" w:sz="6" w:space="0" w:color="auto"/>
              <w:bottom w:val="single" w:sz="6" w:space="0" w:color="auto"/>
              <w:right w:val="single" w:sz="6" w:space="0" w:color="auto"/>
            </w:tcBorders>
            <w:vAlign w:val="bottom"/>
          </w:tcPr>
          <w:p w14:paraId="04B0614F" w14:textId="77777777" w:rsidR="001F56B7" w:rsidRDefault="001F56B7" w:rsidP="00FF2356">
            <w:pPr>
              <w:jc w:val="right"/>
            </w:pPr>
            <w:r w:rsidRPr="00EE0A20">
              <w:rPr>
                <w:rFonts w:cstheme="minorHAnsi"/>
                <w:szCs w:val="20"/>
              </w:rPr>
              <w:t>21</w:t>
            </w:r>
          </w:p>
        </w:tc>
        <w:tc>
          <w:tcPr>
            <w:tcW w:w="1220" w:type="dxa"/>
            <w:tcBorders>
              <w:top w:val="single" w:sz="4" w:space="0" w:color="auto"/>
              <w:left w:val="single" w:sz="6" w:space="0" w:color="auto"/>
              <w:bottom w:val="single" w:sz="6" w:space="0" w:color="auto"/>
              <w:right w:val="single" w:sz="6" w:space="0" w:color="auto"/>
            </w:tcBorders>
            <w:vAlign w:val="bottom"/>
          </w:tcPr>
          <w:p w14:paraId="7D91CEBD" w14:textId="77777777" w:rsidR="001F56B7" w:rsidRDefault="001F56B7" w:rsidP="00FF2356">
            <w:pPr>
              <w:jc w:val="right"/>
            </w:pPr>
            <w:r w:rsidRPr="00EE0A20">
              <w:rPr>
                <w:rFonts w:cstheme="minorHAnsi"/>
                <w:szCs w:val="20"/>
              </w:rPr>
              <w:t>143</w:t>
            </w:r>
          </w:p>
        </w:tc>
        <w:tc>
          <w:tcPr>
            <w:tcW w:w="1228" w:type="dxa"/>
            <w:tcBorders>
              <w:top w:val="single" w:sz="4" w:space="0" w:color="auto"/>
              <w:left w:val="single" w:sz="6" w:space="0" w:color="auto"/>
              <w:bottom w:val="single" w:sz="6" w:space="0" w:color="auto"/>
              <w:right w:val="single" w:sz="4" w:space="0" w:color="auto"/>
            </w:tcBorders>
            <w:vAlign w:val="bottom"/>
          </w:tcPr>
          <w:p w14:paraId="5DB52DF5" w14:textId="77777777" w:rsidR="001F56B7" w:rsidRDefault="001F56B7" w:rsidP="00FF2356">
            <w:pPr>
              <w:jc w:val="right"/>
            </w:pPr>
            <w:r w:rsidRPr="00EE0A20">
              <w:rPr>
                <w:rFonts w:ascii="Calibri" w:hAnsi="Calibri" w:cstheme="minorHAnsi"/>
                <w:color w:val="000000"/>
                <w:szCs w:val="20"/>
              </w:rPr>
              <w:t>33.2%</w:t>
            </w:r>
          </w:p>
        </w:tc>
      </w:tr>
      <w:tr w:rsidR="001F56B7" w14:paraId="7305A696" w14:textId="77777777" w:rsidTr="004D2BFE">
        <w:tc>
          <w:tcPr>
            <w:tcW w:w="3256" w:type="dxa"/>
            <w:tcBorders>
              <w:top w:val="single" w:sz="6" w:space="0" w:color="auto"/>
              <w:left w:val="single" w:sz="4" w:space="0" w:color="auto"/>
              <w:bottom w:val="single" w:sz="6" w:space="0" w:color="auto"/>
              <w:right w:val="single" w:sz="6" w:space="0" w:color="auto"/>
            </w:tcBorders>
          </w:tcPr>
          <w:p w14:paraId="40D6CBD4" w14:textId="77777777" w:rsidR="001F56B7" w:rsidRDefault="001F56B7" w:rsidP="00FF2356">
            <w:r w:rsidRPr="00EE0A20">
              <w:rPr>
                <w:rFonts w:cstheme="minorHAnsi"/>
                <w:szCs w:val="20"/>
              </w:rPr>
              <w:t>Wages and entitlements</w:t>
            </w:r>
          </w:p>
        </w:tc>
        <w:tc>
          <w:tcPr>
            <w:tcW w:w="1238" w:type="dxa"/>
            <w:tcBorders>
              <w:top w:val="single" w:sz="6" w:space="0" w:color="auto"/>
              <w:left w:val="single" w:sz="6" w:space="0" w:color="auto"/>
              <w:bottom w:val="single" w:sz="6" w:space="0" w:color="auto"/>
              <w:right w:val="single" w:sz="6" w:space="0" w:color="auto"/>
            </w:tcBorders>
            <w:vAlign w:val="bottom"/>
          </w:tcPr>
          <w:p w14:paraId="0B566799" w14:textId="77777777" w:rsidR="001F56B7" w:rsidRDefault="001F56B7" w:rsidP="00FF2356">
            <w:pPr>
              <w:jc w:val="right"/>
            </w:pPr>
            <w:r w:rsidRPr="00EE0A20">
              <w:rPr>
                <w:rFonts w:cstheme="minorHAnsi"/>
                <w:szCs w:val="20"/>
              </w:rPr>
              <w:t>62</w:t>
            </w:r>
          </w:p>
        </w:tc>
        <w:tc>
          <w:tcPr>
            <w:tcW w:w="1236" w:type="dxa"/>
            <w:tcBorders>
              <w:top w:val="single" w:sz="6" w:space="0" w:color="auto"/>
              <w:left w:val="single" w:sz="6" w:space="0" w:color="auto"/>
              <w:bottom w:val="single" w:sz="6" w:space="0" w:color="auto"/>
              <w:right w:val="single" w:sz="6" w:space="0" w:color="auto"/>
            </w:tcBorders>
            <w:vAlign w:val="bottom"/>
          </w:tcPr>
          <w:p w14:paraId="0CD11B6C" w14:textId="77777777" w:rsidR="001F56B7" w:rsidRDefault="001F56B7" w:rsidP="00FF2356">
            <w:pPr>
              <w:jc w:val="right"/>
            </w:pPr>
            <w:r w:rsidRPr="00EE0A20">
              <w:rPr>
                <w:rFonts w:cstheme="minorHAnsi"/>
                <w:szCs w:val="20"/>
              </w:rPr>
              <w:t>37</w:t>
            </w:r>
          </w:p>
        </w:tc>
        <w:tc>
          <w:tcPr>
            <w:tcW w:w="1229" w:type="dxa"/>
            <w:tcBorders>
              <w:top w:val="single" w:sz="6" w:space="0" w:color="auto"/>
              <w:left w:val="single" w:sz="6" w:space="0" w:color="auto"/>
              <w:bottom w:val="single" w:sz="6" w:space="0" w:color="auto"/>
              <w:right w:val="single" w:sz="6" w:space="0" w:color="auto"/>
            </w:tcBorders>
            <w:vAlign w:val="bottom"/>
          </w:tcPr>
          <w:p w14:paraId="4D15B29C" w14:textId="77777777" w:rsidR="001F56B7" w:rsidRDefault="001F56B7" w:rsidP="00FF2356">
            <w:pPr>
              <w:jc w:val="right"/>
            </w:pPr>
            <w:r w:rsidRPr="00EE0A20">
              <w:rPr>
                <w:rFonts w:cstheme="minorHAnsi"/>
                <w:szCs w:val="20"/>
              </w:rPr>
              <w:t>20</w:t>
            </w:r>
          </w:p>
        </w:tc>
        <w:tc>
          <w:tcPr>
            <w:tcW w:w="1220" w:type="dxa"/>
            <w:tcBorders>
              <w:top w:val="single" w:sz="6" w:space="0" w:color="auto"/>
              <w:left w:val="single" w:sz="6" w:space="0" w:color="auto"/>
              <w:bottom w:val="single" w:sz="6" w:space="0" w:color="auto"/>
              <w:right w:val="single" w:sz="6" w:space="0" w:color="auto"/>
            </w:tcBorders>
            <w:vAlign w:val="bottom"/>
          </w:tcPr>
          <w:p w14:paraId="5471E33C" w14:textId="77777777" w:rsidR="001F56B7" w:rsidRDefault="001F56B7" w:rsidP="00FF2356">
            <w:pPr>
              <w:jc w:val="right"/>
            </w:pPr>
            <w:r w:rsidRPr="00EE0A20">
              <w:rPr>
                <w:rFonts w:cstheme="minorHAnsi"/>
                <w:szCs w:val="20"/>
              </w:rPr>
              <w:t>119</w:t>
            </w:r>
          </w:p>
        </w:tc>
        <w:tc>
          <w:tcPr>
            <w:tcW w:w="1228" w:type="dxa"/>
            <w:tcBorders>
              <w:top w:val="single" w:sz="6" w:space="0" w:color="auto"/>
              <w:left w:val="single" w:sz="6" w:space="0" w:color="auto"/>
              <w:bottom w:val="single" w:sz="6" w:space="0" w:color="auto"/>
              <w:right w:val="single" w:sz="4" w:space="0" w:color="auto"/>
            </w:tcBorders>
            <w:vAlign w:val="bottom"/>
          </w:tcPr>
          <w:p w14:paraId="30276976" w14:textId="77777777" w:rsidR="001F56B7" w:rsidRDefault="001F56B7" w:rsidP="00FF2356">
            <w:pPr>
              <w:jc w:val="right"/>
            </w:pPr>
            <w:r w:rsidRPr="00EE0A20">
              <w:rPr>
                <w:rFonts w:ascii="Calibri" w:hAnsi="Calibri" w:cstheme="minorHAnsi"/>
                <w:color w:val="000000"/>
                <w:szCs w:val="20"/>
              </w:rPr>
              <w:t>27.6%</w:t>
            </w:r>
          </w:p>
        </w:tc>
      </w:tr>
      <w:tr w:rsidR="001F56B7" w14:paraId="3D5DC95B" w14:textId="77777777" w:rsidTr="004D2BFE">
        <w:tc>
          <w:tcPr>
            <w:tcW w:w="3256" w:type="dxa"/>
            <w:tcBorders>
              <w:top w:val="single" w:sz="6" w:space="0" w:color="auto"/>
              <w:left w:val="single" w:sz="4" w:space="0" w:color="auto"/>
              <w:bottom w:val="single" w:sz="6" w:space="0" w:color="auto"/>
              <w:right w:val="single" w:sz="6" w:space="0" w:color="auto"/>
            </w:tcBorders>
          </w:tcPr>
          <w:p w14:paraId="3AD4B6B6" w14:textId="77777777" w:rsidR="001F56B7" w:rsidRDefault="001F56B7" w:rsidP="00FF2356">
            <w:r w:rsidRPr="00EE0A20">
              <w:rPr>
                <w:rFonts w:cstheme="minorHAnsi"/>
                <w:szCs w:val="20"/>
              </w:rPr>
              <w:t>Unlawful industrial action</w:t>
            </w:r>
          </w:p>
        </w:tc>
        <w:tc>
          <w:tcPr>
            <w:tcW w:w="1238" w:type="dxa"/>
            <w:tcBorders>
              <w:top w:val="single" w:sz="6" w:space="0" w:color="auto"/>
              <w:left w:val="single" w:sz="6" w:space="0" w:color="auto"/>
              <w:bottom w:val="single" w:sz="6" w:space="0" w:color="auto"/>
              <w:right w:val="single" w:sz="6" w:space="0" w:color="auto"/>
            </w:tcBorders>
            <w:vAlign w:val="bottom"/>
          </w:tcPr>
          <w:p w14:paraId="0D724574" w14:textId="77777777" w:rsidR="001F56B7" w:rsidRDefault="001F56B7" w:rsidP="00FF2356">
            <w:pPr>
              <w:jc w:val="right"/>
            </w:pPr>
            <w:r w:rsidRPr="00EE0A20">
              <w:rPr>
                <w:rFonts w:cstheme="minorHAnsi"/>
                <w:szCs w:val="20"/>
              </w:rPr>
              <w:t>3</w:t>
            </w:r>
          </w:p>
        </w:tc>
        <w:tc>
          <w:tcPr>
            <w:tcW w:w="1236" w:type="dxa"/>
            <w:tcBorders>
              <w:top w:val="single" w:sz="6" w:space="0" w:color="auto"/>
              <w:left w:val="single" w:sz="6" w:space="0" w:color="auto"/>
              <w:bottom w:val="single" w:sz="6" w:space="0" w:color="auto"/>
              <w:right w:val="single" w:sz="6" w:space="0" w:color="auto"/>
            </w:tcBorders>
            <w:vAlign w:val="bottom"/>
          </w:tcPr>
          <w:p w14:paraId="73DF24BE" w14:textId="77777777" w:rsidR="001F56B7" w:rsidRDefault="001F56B7" w:rsidP="00FF2356">
            <w:pPr>
              <w:jc w:val="right"/>
            </w:pPr>
            <w:r w:rsidRPr="00EE0A20">
              <w:rPr>
                <w:rFonts w:cstheme="minorHAnsi"/>
                <w:szCs w:val="20"/>
              </w:rPr>
              <w:t>49</w:t>
            </w:r>
          </w:p>
        </w:tc>
        <w:tc>
          <w:tcPr>
            <w:tcW w:w="1229" w:type="dxa"/>
            <w:tcBorders>
              <w:top w:val="single" w:sz="6" w:space="0" w:color="auto"/>
              <w:left w:val="single" w:sz="6" w:space="0" w:color="auto"/>
              <w:bottom w:val="single" w:sz="6" w:space="0" w:color="auto"/>
              <w:right w:val="single" w:sz="6" w:space="0" w:color="auto"/>
            </w:tcBorders>
            <w:vAlign w:val="bottom"/>
          </w:tcPr>
          <w:p w14:paraId="5291704D" w14:textId="77777777" w:rsidR="001F56B7" w:rsidRDefault="001F56B7" w:rsidP="00FF2356">
            <w:pPr>
              <w:jc w:val="right"/>
            </w:pPr>
            <w:r w:rsidRPr="00EE0A20">
              <w:rPr>
                <w:rFonts w:cstheme="minorHAnsi"/>
                <w:szCs w:val="20"/>
              </w:rPr>
              <w:t>13</w:t>
            </w:r>
          </w:p>
        </w:tc>
        <w:tc>
          <w:tcPr>
            <w:tcW w:w="1220" w:type="dxa"/>
            <w:tcBorders>
              <w:top w:val="single" w:sz="6" w:space="0" w:color="auto"/>
              <w:left w:val="single" w:sz="6" w:space="0" w:color="auto"/>
              <w:bottom w:val="single" w:sz="6" w:space="0" w:color="auto"/>
              <w:right w:val="single" w:sz="6" w:space="0" w:color="auto"/>
            </w:tcBorders>
            <w:vAlign w:val="bottom"/>
          </w:tcPr>
          <w:p w14:paraId="308E2DBD" w14:textId="77777777" w:rsidR="001F56B7" w:rsidRDefault="001F56B7" w:rsidP="00FF2356">
            <w:pPr>
              <w:jc w:val="right"/>
            </w:pPr>
            <w:r w:rsidRPr="00EE0A20">
              <w:rPr>
                <w:rFonts w:cstheme="minorHAnsi"/>
                <w:szCs w:val="20"/>
              </w:rPr>
              <w:t>65</w:t>
            </w:r>
          </w:p>
        </w:tc>
        <w:tc>
          <w:tcPr>
            <w:tcW w:w="1228" w:type="dxa"/>
            <w:tcBorders>
              <w:top w:val="single" w:sz="6" w:space="0" w:color="auto"/>
              <w:left w:val="single" w:sz="6" w:space="0" w:color="auto"/>
              <w:bottom w:val="single" w:sz="6" w:space="0" w:color="auto"/>
              <w:right w:val="single" w:sz="4" w:space="0" w:color="auto"/>
            </w:tcBorders>
            <w:vAlign w:val="bottom"/>
          </w:tcPr>
          <w:p w14:paraId="597D777D" w14:textId="77777777" w:rsidR="001F56B7" w:rsidRDefault="001F56B7" w:rsidP="00FF2356">
            <w:pPr>
              <w:jc w:val="right"/>
            </w:pPr>
            <w:r w:rsidRPr="00EE0A20">
              <w:rPr>
                <w:rFonts w:ascii="Calibri" w:hAnsi="Calibri" w:cs="Calibri"/>
                <w:color w:val="000000"/>
                <w:szCs w:val="20"/>
              </w:rPr>
              <w:t>15.1%</w:t>
            </w:r>
          </w:p>
        </w:tc>
      </w:tr>
      <w:tr w:rsidR="001F56B7" w14:paraId="3C43DDBB" w14:textId="77777777" w:rsidTr="004D2BFE">
        <w:tc>
          <w:tcPr>
            <w:tcW w:w="3256" w:type="dxa"/>
            <w:tcBorders>
              <w:top w:val="single" w:sz="6" w:space="0" w:color="auto"/>
              <w:left w:val="single" w:sz="4" w:space="0" w:color="auto"/>
              <w:bottom w:val="single" w:sz="6" w:space="0" w:color="auto"/>
              <w:right w:val="single" w:sz="6" w:space="0" w:color="auto"/>
            </w:tcBorders>
          </w:tcPr>
          <w:p w14:paraId="520284D2" w14:textId="77777777" w:rsidR="001F56B7" w:rsidRDefault="001F56B7" w:rsidP="00FF2356">
            <w:r w:rsidRPr="00EE0A20">
              <w:rPr>
                <w:rFonts w:cstheme="minorHAnsi"/>
                <w:szCs w:val="20"/>
              </w:rPr>
              <w:t>Coercion</w:t>
            </w:r>
          </w:p>
        </w:tc>
        <w:tc>
          <w:tcPr>
            <w:tcW w:w="1238" w:type="dxa"/>
            <w:tcBorders>
              <w:top w:val="single" w:sz="6" w:space="0" w:color="auto"/>
              <w:left w:val="single" w:sz="6" w:space="0" w:color="auto"/>
              <w:bottom w:val="single" w:sz="6" w:space="0" w:color="auto"/>
              <w:right w:val="single" w:sz="6" w:space="0" w:color="auto"/>
            </w:tcBorders>
            <w:vAlign w:val="bottom"/>
          </w:tcPr>
          <w:p w14:paraId="45AE412F" w14:textId="77777777" w:rsidR="001F56B7" w:rsidRDefault="001F56B7" w:rsidP="00FF2356">
            <w:pPr>
              <w:jc w:val="right"/>
            </w:pPr>
            <w:r w:rsidRPr="00EE0A20">
              <w:rPr>
                <w:rFonts w:cstheme="minorHAnsi"/>
                <w:szCs w:val="20"/>
              </w:rPr>
              <w:t>8</w:t>
            </w:r>
          </w:p>
        </w:tc>
        <w:tc>
          <w:tcPr>
            <w:tcW w:w="1236" w:type="dxa"/>
            <w:tcBorders>
              <w:top w:val="single" w:sz="6" w:space="0" w:color="auto"/>
              <w:left w:val="single" w:sz="6" w:space="0" w:color="auto"/>
              <w:bottom w:val="single" w:sz="6" w:space="0" w:color="auto"/>
              <w:right w:val="single" w:sz="6" w:space="0" w:color="auto"/>
            </w:tcBorders>
            <w:vAlign w:val="bottom"/>
          </w:tcPr>
          <w:p w14:paraId="49077A32" w14:textId="77777777" w:rsidR="001F56B7" w:rsidRDefault="001F56B7" w:rsidP="00FF2356">
            <w:pPr>
              <w:jc w:val="right"/>
            </w:pPr>
            <w:r w:rsidRPr="00EE0A20">
              <w:rPr>
                <w:rFonts w:cstheme="minorHAnsi"/>
                <w:szCs w:val="20"/>
              </w:rPr>
              <w:t>34</w:t>
            </w:r>
          </w:p>
        </w:tc>
        <w:tc>
          <w:tcPr>
            <w:tcW w:w="1229" w:type="dxa"/>
            <w:tcBorders>
              <w:top w:val="single" w:sz="6" w:space="0" w:color="auto"/>
              <w:left w:val="single" w:sz="6" w:space="0" w:color="auto"/>
              <w:bottom w:val="single" w:sz="6" w:space="0" w:color="auto"/>
              <w:right w:val="single" w:sz="6" w:space="0" w:color="auto"/>
            </w:tcBorders>
            <w:vAlign w:val="bottom"/>
          </w:tcPr>
          <w:p w14:paraId="3EE7AD00" w14:textId="77777777" w:rsidR="001F56B7" w:rsidRDefault="001F56B7" w:rsidP="00FF2356">
            <w:pPr>
              <w:jc w:val="right"/>
            </w:pPr>
            <w:r w:rsidRPr="00EE0A20">
              <w:rPr>
                <w:rFonts w:cstheme="minorHAnsi"/>
                <w:szCs w:val="20"/>
              </w:rPr>
              <w:t>9</w:t>
            </w:r>
          </w:p>
        </w:tc>
        <w:tc>
          <w:tcPr>
            <w:tcW w:w="1220" w:type="dxa"/>
            <w:tcBorders>
              <w:top w:val="single" w:sz="6" w:space="0" w:color="auto"/>
              <w:left w:val="single" w:sz="6" w:space="0" w:color="auto"/>
              <w:bottom w:val="single" w:sz="6" w:space="0" w:color="auto"/>
              <w:right w:val="single" w:sz="6" w:space="0" w:color="auto"/>
            </w:tcBorders>
            <w:vAlign w:val="bottom"/>
          </w:tcPr>
          <w:p w14:paraId="58E4B4DC" w14:textId="77777777" w:rsidR="001F56B7" w:rsidRDefault="001F56B7" w:rsidP="00FF2356">
            <w:pPr>
              <w:jc w:val="right"/>
            </w:pPr>
            <w:r w:rsidRPr="00EE0A20">
              <w:rPr>
                <w:rFonts w:cstheme="minorHAnsi"/>
                <w:szCs w:val="20"/>
              </w:rPr>
              <w:t>51</w:t>
            </w:r>
          </w:p>
        </w:tc>
        <w:tc>
          <w:tcPr>
            <w:tcW w:w="1228" w:type="dxa"/>
            <w:tcBorders>
              <w:top w:val="single" w:sz="6" w:space="0" w:color="auto"/>
              <w:left w:val="single" w:sz="6" w:space="0" w:color="auto"/>
              <w:bottom w:val="single" w:sz="6" w:space="0" w:color="auto"/>
              <w:right w:val="single" w:sz="4" w:space="0" w:color="auto"/>
            </w:tcBorders>
            <w:vAlign w:val="bottom"/>
          </w:tcPr>
          <w:p w14:paraId="58FB5049" w14:textId="77777777" w:rsidR="001F56B7" w:rsidRDefault="001F56B7" w:rsidP="00FF2356">
            <w:pPr>
              <w:jc w:val="right"/>
            </w:pPr>
            <w:r w:rsidRPr="00EE0A20">
              <w:rPr>
                <w:rFonts w:ascii="Calibri" w:hAnsi="Calibri" w:cs="Calibri"/>
                <w:color w:val="000000"/>
                <w:szCs w:val="20"/>
              </w:rPr>
              <w:t>11.8%</w:t>
            </w:r>
          </w:p>
        </w:tc>
      </w:tr>
      <w:tr w:rsidR="001F56B7" w14:paraId="57A4E0A4" w14:textId="77777777" w:rsidTr="004D2BFE">
        <w:tc>
          <w:tcPr>
            <w:tcW w:w="3256" w:type="dxa"/>
            <w:tcBorders>
              <w:top w:val="single" w:sz="6" w:space="0" w:color="auto"/>
              <w:left w:val="single" w:sz="4" w:space="0" w:color="auto"/>
              <w:bottom w:val="single" w:sz="6" w:space="0" w:color="auto"/>
              <w:right w:val="single" w:sz="6" w:space="0" w:color="auto"/>
            </w:tcBorders>
          </w:tcPr>
          <w:p w14:paraId="129E2747" w14:textId="77777777" w:rsidR="001F56B7" w:rsidRPr="00EE0A20" w:rsidRDefault="001F56B7" w:rsidP="00FF2356">
            <w:pPr>
              <w:rPr>
                <w:rFonts w:cstheme="minorHAnsi"/>
                <w:szCs w:val="20"/>
              </w:rPr>
            </w:pPr>
            <w:r w:rsidRPr="00EE0A20">
              <w:rPr>
                <w:rFonts w:cstheme="minorHAnsi"/>
                <w:szCs w:val="20"/>
              </w:rPr>
              <w:t>Freedom of Association</w:t>
            </w:r>
          </w:p>
        </w:tc>
        <w:tc>
          <w:tcPr>
            <w:tcW w:w="1238" w:type="dxa"/>
            <w:tcBorders>
              <w:top w:val="single" w:sz="6" w:space="0" w:color="auto"/>
              <w:left w:val="single" w:sz="6" w:space="0" w:color="auto"/>
              <w:bottom w:val="single" w:sz="6" w:space="0" w:color="auto"/>
              <w:right w:val="single" w:sz="6" w:space="0" w:color="auto"/>
            </w:tcBorders>
            <w:vAlign w:val="bottom"/>
          </w:tcPr>
          <w:p w14:paraId="58558830" w14:textId="77777777" w:rsidR="001F56B7" w:rsidRPr="00EE0A20" w:rsidRDefault="001F56B7" w:rsidP="00FF2356">
            <w:pPr>
              <w:jc w:val="right"/>
              <w:rPr>
                <w:rFonts w:cstheme="minorHAnsi"/>
                <w:szCs w:val="20"/>
              </w:rPr>
            </w:pPr>
            <w:r w:rsidRPr="00EE0A20">
              <w:rPr>
                <w:rFonts w:cstheme="minorHAnsi"/>
                <w:szCs w:val="20"/>
              </w:rPr>
              <w:t>7</w:t>
            </w:r>
          </w:p>
        </w:tc>
        <w:tc>
          <w:tcPr>
            <w:tcW w:w="1236" w:type="dxa"/>
            <w:tcBorders>
              <w:top w:val="single" w:sz="6" w:space="0" w:color="auto"/>
              <w:left w:val="single" w:sz="6" w:space="0" w:color="auto"/>
              <w:bottom w:val="single" w:sz="6" w:space="0" w:color="auto"/>
              <w:right w:val="single" w:sz="6" w:space="0" w:color="auto"/>
            </w:tcBorders>
            <w:vAlign w:val="bottom"/>
          </w:tcPr>
          <w:p w14:paraId="64567885" w14:textId="77777777" w:rsidR="001F56B7" w:rsidRPr="00EE0A20" w:rsidRDefault="001F56B7" w:rsidP="00FF2356">
            <w:pPr>
              <w:jc w:val="right"/>
              <w:rPr>
                <w:rFonts w:cstheme="minorHAnsi"/>
                <w:szCs w:val="20"/>
              </w:rPr>
            </w:pPr>
            <w:r w:rsidRPr="00EE0A20">
              <w:rPr>
                <w:rFonts w:cstheme="minorHAnsi"/>
                <w:szCs w:val="20"/>
              </w:rPr>
              <w:t>14</w:t>
            </w:r>
          </w:p>
        </w:tc>
        <w:tc>
          <w:tcPr>
            <w:tcW w:w="1229" w:type="dxa"/>
            <w:tcBorders>
              <w:top w:val="single" w:sz="6" w:space="0" w:color="auto"/>
              <w:left w:val="single" w:sz="6" w:space="0" w:color="auto"/>
              <w:bottom w:val="single" w:sz="6" w:space="0" w:color="auto"/>
              <w:right w:val="single" w:sz="6" w:space="0" w:color="auto"/>
            </w:tcBorders>
            <w:vAlign w:val="bottom"/>
          </w:tcPr>
          <w:p w14:paraId="645A7369" w14:textId="77777777" w:rsidR="001F56B7" w:rsidRPr="00EE0A20" w:rsidRDefault="001F56B7" w:rsidP="00FF2356">
            <w:pPr>
              <w:jc w:val="right"/>
              <w:rPr>
                <w:rFonts w:cstheme="minorHAnsi"/>
                <w:szCs w:val="20"/>
              </w:rPr>
            </w:pPr>
            <w:r w:rsidRPr="00EE0A20">
              <w:rPr>
                <w:rFonts w:cstheme="minorHAnsi"/>
                <w:szCs w:val="20"/>
              </w:rPr>
              <w:t>4</w:t>
            </w:r>
          </w:p>
        </w:tc>
        <w:tc>
          <w:tcPr>
            <w:tcW w:w="1220" w:type="dxa"/>
            <w:tcBorders>
              <w:top w:val="single" w:sz="6" w:space="0" w:color="auto"/>
              <w:left w:val="single" w:sz="6" w:space="0" w:color="auto"/>
              <w:bottom w:val="single" w:sz="6" w:space="0" w:color="auto"/>
              <w:right w:val="single" w:sz="6" w:space="0" w:color="auto"/>
            </w:tcBorders>
            <w:vAlign w:val="bottom"/>
          </w:tcPr>
          <w:p w14:paraId="7D0A6EF7" w14:textId="77777777" w:rsidR="001F56B7" w:rsidRPr="00EE0A20" w:rsidRDefault="001F56B7" w:rsidP="00FF2356">
            <w:pPr>
              <w:jc w:val="right"/>
              <w:rPr>
                <w:rFonts w:cstheme="minorHAnsi"/>
                <w:szCs w:val="20"/>
              </w:rPr>
            </w:pPr>
            <w:r w:rsidRPr="00EE0A20">
              <w:rPr>
                <w:rFonts w:cstheme="minorHAnsi"/>
                <w:szCs w:val="20"/>
              </w:rPr>
              <w:t>25</w:t>
            </w:r>
          </w:p>
        </w:tc>
        <w:tc>
          <w:tcPr>
            <w:tcW w:w="1228" w:type="dxa"/>
            <w:tcBorders>
              <w:top w:val="single" w:sz="6" w:space="0" w:color="auto"/>
              <w:left w:val="single" w:sz="6" w:space="0" w:color="auto"/>
              <w:bottom w:val="single" w:sz="6" w:space="0" w:color="auto"/>
              <w:right w:val="single" w:sz="4" w:space="0" w:color="auto"/>
            </w:tcBorders>
            <w:vAlign w:val="bottom"/>
          </w:tcPr>
          <w:p w14:paraId="144FE22F" w14:textId="77777777" w:rsidR="001F56B7" w:rsidRPr="00EE0A20" w:rsidRDefault="001F56B7" w:rsidP="00FF2356">
            <w:pPr>
              <w:jc w:val="right"/>
              <w:rPr>
                <w:rFonts w:ascii="Calibri" w:hAnsi="Calibri" w:cs="Calibri"/>
                <w:color w:val="000000"/>
                <w:szCs w:val="20"/>
              </w:rPr>
            </w:pPr>
            <w:r w:rsidRPr="00EE0A20">
              <w:rPr>
                <w:rFonts w:ascii="Calibri" w:hAnsi="Calibri" w:cs="Calibri"/>
                <w:color w:val="000000"/>
                <w:szCs w:val="20"/>
              </w:rPr>
              <w:t>5.8%</w:t>
            </w:r>
          </w:p>
        </w:tc>
      </w:tr>
      <w:tr w:rsidR="001F56B7" w14:paraId="76073F09" w14:textId="77777777" w:rsidTr="004D2BFE">
        <w:tc>
          <w:tcPr>
            <w:tcW w:w="3256" w:type="dxa"/>
            <w:tcBorders>
              <w:top w:val="single" w:sz="6" w:space="0" w:color="auto"/>
              <w:left w:val="single" w:sz="4" w:space="0" w:color="auto"/>
              <w:bottom w:val="single" w:sz="6" w:space="0" w:color="auto"/>
              <w:right w:val="single" w:sz="6" w:space="0" w:color="auto"/>
            </w:tcBorders>
          </w:tcPr>
          <w:p w14:paraId="6B4ADCED" w14:textId="77777777" w:rsidR="001F56B7" w:rsidRPr="00EE0A20" w:rsidRDefault="001F56B7" w:rsidP="00FF2356">
            <w:pPr>
              <w:rPr>
                <w:rFonts w:cstheme="minorHAnsi"/>
                <w:szCs w:val="20"/>
              </w:rPr>
            </w:pPr>
            <w:r w:rsidRPr="00EE0A20">
              <w:rPr>
                <w:rFonts w:cstheme="minorHAnsi"/>
                <w:szCs w:val="20"/>
              </w:rPr>
              <w:t>Sham contracting</w:t>
            </w:r>
          </w:p>
        </w:tc>
        <w:tc>
          <w:tcPr>
            <w:tcW w:w="1238" w:type="dxa"/>
            <w:tcBorders>
              <w:top w:val="single" w:sz="6" w:space="0" w:color="auto"/>
              <w:left w:val="single" w:sz="6" w:space="0" w:color="auto"/>
              <w:bottom w:val="single" w:sz="6" w:space="0" w:color="auto"/>
              <w:right w:val="single" w:sz="6" w:space="0" w:color="auto"/>
            </w:tcBorders>
            <w:vAlign w:val="bottom"/>
          </w:tcPr>
          <w:p w14:paraId="320A58C6" w14:textId="77777777" w:rsidR="001F56B7" w:rsidRPr="00EE0A20" w:rsidRDefault="001F56B7" w:rsidP="00FF2356">
            <w:pPr>
              <w:jc w:val="right"/>
              <w:rPr>
                <w:rFonts w:cstheme="minorHAnsi"/>
                <w:szCs w:val="20"/>
              </w:rPr>
            </w:pPr>
            <w:r w:rsidRPr="00EE0A20">
              <w:rPr>
                <w:rFonts w:cstheme="minorHAnsi"/>
                <w:szCs w:val="20"/>
              </w:rPr>
              <w:t>10</w:t>
            </w:r>
          </w:p>
        </w:tc>
        <w:tc>
          <w:tcPr>
            <w:tcW w:w="1236" w:type="dxa"/>
            <w:tcBorders>
              <w:top w:val="single" w:sz="6" w:space="0" w:color="auto"/>
              <w:left w:val="single" w:sz="6" w:space="0" w:color="auto"/>
              <w:bottom w:val="single" w:sz="6" w:space="0" w:color="auto"/>
              <w:right w:val="single" w:sz="6" w:space="0" w:color="auto"/>
            </w:tcBorders>
            <w:vAlign w:val="bottom"/>
          </w:tcPr>
          <w:p w14:paraId="51FC7454" w14:textId="77777777" w:rsidR="001F56B7" w:rsidRPr="00EE0A20" w:rsidRDefault="001F56B7" w:rsidP="00FF2356">
            <w:pPr>
              <w:jc w:val="right"/>
              <w:rPr>
                <w:rFonts w:cstheme="minorHAnsi"/>
                <w:szCs w:val="20"/>
              </w:rPr>
            </w:pPr>
            <w:r w:rsidRPr="00EE0A20">
              <w:rPr>
                <w:rFonts w:cstheme="minorHAnsi"/>
                <w:szCs w:val="20"/>
              </w:rPr>
              <w:t>10</w:t>
            </w:r>
          </w:p>
        </w:tc>
        <w:tc>
          <w:tcPr>
            <w:tcW w:w="1229" w:type="dxa"/>
            <w:tcBorders>
              <w:top w:val="single" w:sz="6" w:space="0" w:color="auto"/>
              <w:left w:val="single" w:sz="6" w:space="0" w:color="auto"/>
              <w:bottom w:val="single" w:sz="6" w:space="0" w:color="auto"/>
              <w:right w:val="single" w:sz="6" w:space="0" w:color="auto"/>
            </w:tcBorders>
            <w:vAlign w:val="bottom"/>
          </w:tcPr>
          <w:p w14:paraId="5D079088" w14:textId="77777777" w:rsidR="001F56B7" w:rsidRPr="00EE0A20" w:rsidRDefault="001F56B7" w:rsidP="00FF2356">
            <w:pPr>
              <w:jc w:val="right"/>
              <w:rPr>
                <w:rFonts w:cstheme="minorHAnsi"/>
                <w:szCs w:val="20"/>
              </w:rPr>
            </w:pPr>
            <w:r w:rsidRPr="00EE0A20">
              <w:rPr>
                <w:rFonts w:cstheme="minorHAnsi"/>
                <w:szCs w:val="20"/>
              </w:rPr>
              <w:t>4</w:t>
            </w:r>
          </w:p>
        </w:tc>
        <w:tc>
          <w:tcPr>
            <w:tcW w:w="1220" w:type="dxa"/>
            <w:tcBorders>
              <w:top w:val="single" w:sz="6" w:space="0" w:color="auto"/>
              <w:left w:val="single" w:sz="6" w:space="0" w:color="auto"/>
              <w:bottom w:val="single" w:sz="6" w:space="0" w:color="auto"/>
              <w:right w:val="single" w:sz="6" w:space="0" w:color="auto"/>
            </w:tcBorders>
            <w:vAlign w:val="bottom"/>
          </w:tcPr>
          <w:p w14:paraId="06409F54" w14:textId="77777777" w:rsidR="001F56B7" w:rsidRPr="00EE0A20" w:rsidRDefault="001F56B7" w:rsidP="00FF2356">
            <w:pPr>
              <w:jc w:val="right"/>
              <w:rPr>
                <w:rFonts w:cstheme="minorHAnsi"/>
                <w:szCs w:val="20"/>
              </w:rPr>
            </w:pPr>
            <w:r w:rsidRPr="00EE0A20">
              <w:rPr>
                <w:rFonts w:cstheme="minorHAnsi"/>
                <w:szCs w:val="20"/>
              </w:rPr>
              <w:t>24</w:t>
            </w:r>
          </w:p>
        </w:tc>
        <w:tc>
          <w:tcPr>
            <w:tcW w:w="1228" w:type="dxa"/>
            <w:tcBorders>
              <w:top w:val="single" w:sz="6" w:space="0" w:color="auto"/>
              <w:left w:val="single" w:sz="6" w:space="0" w:color="auto"/>
              <w:bottom w:val="single" w:sz="6" w:space="0" w:color="auto"/>
              <w:right w:val="single" w:sz="4" w:space="0" w:color="auto"/>
            </w:tcBorders>
            <w:vAlign w:val="bottom"/>
          </w:tcPr>
          <w:p w14:paraId="782D1EE5" w14:textId="77777777" w:rsidR="001F56B7" w:rsidRPr="00EE0A20" w:rsidRDefault="001F56B7" w:rsidP="00FF2356">
            <w:pPr>
              <w:jc w:val="right"/>
              <w:rPr>
                <w:rFonts w:ascii="Calibri" w:hAnsi="Calibri" w:cs="Calibri"/>
                <w:color w:val="000000"/>
                <w:szCs w:val="20"/>
              </w:rPr>
            </w:pPr>
            <w:r w:rsidRPr="00EE0A20">
              <w:rPr>
                <w:rFonts w:ascii="Calibri" w:hAnsi="Calibri" w:cs="Calibri"/>
                <w:color w:val="000000"/>
                <w:szCs w:val="20"/>
              </w:rPr>
              <w:t>5.6%</w:t>
            </w:r>
          </w:p>
        </w:tc>
      </w:tr>
      <w:tr w:rsidR="001F56B7" w14:paraId="4DD9CCE8" w14:textId="77777777" w:rsidTr="004D2BFE">
        <w:tc>
          <w:tcPr>
            <w:tcW w:w="3256" w:type="dxa"/>
            <w:tcBorders>
              <w:top w:val="single" w:sz="6" w:space="0" w:color="auto"/>
              <w:left w:val="single" w:sz="4" w:space="0" w:color="auto"/>
              <w:bottom w:val="single" w:sz="6" w:space="0" w:color="auto"/>
              <w:right w:val="single" w:sz="6" w:space="0" w:color="auto"/>
            </w:tcBorders>
          </w:tcPr>
          <w:p w14:paraId="0F0A2240" w14:textId="77777777" w:rsidR="001F56B7" w:rsidRPr="00EE0A20" w:rsidRDefault="001F56B7" w:rsidP="00FF2356">
            <w:pPr>
              <w:rPr>
                <w:rFonts w:cstheme="minorHAnsi"/>
                <w:szCs w:val="20"/>
              </w:rPr>
            </w:pPr>
            <w:r w:rsidRPr="00EE0A20">
              <w:rPr>
                <w:rFonts w:cstheme="minorHAnsi"/>
                <w:szCs w:val="20"/>
              </w:rPr>
              <w:t>Strike pay</w:t>
            </w:r>
          </w:p>
        </w:tc>
        <w:tc>
          <w:tcPr>
            <w:tcW w:w="1238" w:type="dxa"/>
            <w:tcBorders>
              <w:top w:val="single" w:sz="6" w:space="0" w:color="auto"/>
              <w:left w:val="single" w:sz="6" w:space="0" w:color="auto"/>
              <w:bottom w:val="single" w:sz="6" w:space="0" w:color="auto"/>
              <w:right w:val="single" w:sz="6" w:space="0" w:color="auto"/>
            </w:tcBorders>
            <w:vAlign w:val="bottom"/>
          </w:tcPr>
          <w:p w14:paraId="12D0ACF9" w14:textId="77777777" w:rsidR="001F56B7" w:rsidRPr="00EE0A20" w:rsidRDefault="001F56B7" w:rsidP="00FF2356">
            <w:pPr>
              <w:jc w:val="right"/>
              <w:rPr>
                <w:rFonts w:cstheme="minorHAnsi"/>
                <w:szCs w:val="20"/>
              </w:rPr>
            </w:pPr>
            <w:r w:rsidRPr="00EE0A20">
              <w:rPr>
                <w:rFonts w:cstheme="minorHAnsi"/>
                <w:szCs w:val="20"/>
              </w:rPr>
              <w:t>1</w:t>
            </w:r>
          </w:p>
        </w:tc>
        <w:tc>
          <w:tcPr>
            <w:tcW w:w="1236" w:type="dxa"/>
            <w:tcBorders>
              <w:top w:val="single" w:sz="6" w:space="0" w:color="auto"/>
              <w:left w:val="single" w:sz="6" w:space="0" w:color="auto"/>
              <w:bottom w:val="single" w:sz="6" w:space="0" w:color="auto"/>
              <w:right w:val="single" w:sz="6" w:space="0" w:color="auto"/>
            </w:tcBorders>
            <w:vAlign w:val="bottom"/>
          </w:tcPr>
          <w:p w14:paraId="6A887704" w14:textId="77777777" w:rsidR="001F56B7" w:rsidRPr="00EE0A20" w:rsidRDefault="001F56B7" w:rsidP="00FF2356">
            <w:pPr>
              <w:jc w:val="right"/>
              <w:rPr>
                <w:rFonts w:cstheme="minorHAnsi"/>
                <w:szCs w:val="20"/>
              </w:rPr>
            </w:pPr>
            <w:r w:rsidRPr="00EE0A20">
              <w:rPr>
                <w:rFonts w:cstheme="minorHAnsi"/>
                <w:szCs w:val="20"/>
              </w:rPr>
              <w:t>1</w:t>
            </w:r>
          </w:p>
        </w:tc>
        <w:tc>
          <w:tcPr>
            <w:tcW w:w="1229" w:type="dxa"/>
            <w:tcBorders>
              <w:top w:val="single" w:sz="6" w:space="0" w:color="auto"/>
              <w:left w:val="single" w:sz="6" w:space="0" w:color="auto"/>
              <w:bottom w:val="single" w:sz="6" w:space="0" w:color="auto"/>
              <w:right w:val="single" w:sz="6" w:space="0" w:color="auto"/>
            </w:tcBorders>
            <w:vAlign w:val="bottom"/>
          </w:tcPr>
          <w:p w14:paraId="104AB4E4" w14:textId="77777777" w:rsidR="001F56B7" w:rsidRPr="00EE0A20" w:rsidRDefault="001F56B7" w:rsidP="00FF2356">
            <w:pPr>
              <w:jc w:val="right"/>
              <w:rPr>
                <w:rFonts w:cstheme="minorHAnsi"/>
                <w:szCs w:val="20"/>
              </w:rPr>
            </w:pPr>
            <w:r w:rsidRPr="00EE0A20">
              <w:rPr>
                <w:rFonts w:cstheme="minorHAnsi"/>
                <w:szCs w:val="20"/>
              </w:rPr>
              <w:t>0</w:t>
            </w:r>
          </w:p>
        </w:tc>
        <w:tc>
          <w:tcPr>
            <w:tcW w:w="1220" w:type="dxa"/>
            <w:tcBorders>
              <w:top w:val="single" w:sz="6" w:space="0" w:color="auto"/>
              <w:left w:val="single" w:sz="6" w:space="0" w:color="auto"/>
              <w:bottom w:val="single" w:sz="6" w:space="0" w:color="auto"/>
              <w:right w:val="single" w:sz="6" w:space="0" w:color="auto"/>
            </w:tcBorders>
            <w:vAlign w:val="bottom"/>
          </w:tcPr>
          <w:p w14:paraId="1D0A398A" w14:textId="77777777" w:rsidR="001F56B7" w:rsidRPr="00EE0A20" w:rsidRDefault="001F56B7" w:rsidP="00FF2356">
            <w:pPr>
              <w:jc w:val="right"/>
              <w:rPr>
                <w:rFonts w:cstheme="minorHAnsi"/>
                <w:szCs w:val="20"/>
              </w:rPr>
            </w:pPr>
            <w:r w:rsidRPr="00EE0A20">
              <w:rPr>
                <w:rFonts w:cstheme="minorHAnsi"/>
                <w:szCs w:val="20"/>
              </w:rPr>
              <w:t>2</w:t>
            </w:r>
          </w:p>
        </w:tc>
        <w:tc>
          <w:tcPr>
            <w:tcW w:w="1228" w:type="dxa"/>
            <w:tcBorders>
              <w:top w:val="single" w:sz="6" w:space="0" w:color="auto"/>
              <w:left w:val="single" w:sz="6" w:space="0" w:color="auto"/>
              <w:bottom w:val="single" w:sz="6" w:space="0" w:color="auto"/>
              <w:right w:val="single" w:sz="4" w:space="0" w:color="auto"/>
            </w:tcBorders>
            <w:vAlign w:val="bottom"/>
          </w:tcPr>
          <w:p w14:paraId="2C4E2B24" w14:textId="77777777" w:rsidR="001F56B7" w:rsidRPr="00EE0A20" w:rsidRDefault="001F56B7" w:rsidP="00FF2356">
            <w:pPr>
              <w:jc w:val="right"/>
              <w:rPr>
                <w:rFonts w:ascii="Calibri" w:hAnsi="Calibri" w:cs="Calibri"/>
                <w:color w:val="000000"/>
                <w:szCs w:val="20"/>
              </w:rPr>
            </w:pPr>
            <w:r w:rsidRPr="00EE0A20">
              <w:rPr>
                <w:rFonts w:ascii="Calibri" w:hAnsi="Calibri" w:cs="Calibri"/>
                <w:color w:val="000000"/>
                <w:szCs w:val="20"/>
              </w:rPr>
              <w:t>0.5%</w:t>
            </w:r>
          </w:p>
        </w:tc>
      </w:tr>
      <w:tr w:rsidR="001F56B7" w14:paraId="01E49125" w14:textId="77777777" w:rsidTr="004D2BFE">
        <w:tc>
          <w:tcPr>
            <w:tcW w:w="3256" w:type="dxa"/>
            <w:tcBorders>
              <w:top w:val="single" w:sz="6" w:space="0" w:color="auto"/>
              <w:left w:val="single" w:sz="4" w:space="0" w:color="auto"/>
              <w:bottom w:val="single" w:sz="6" w:space="0" w:color="auto"/>
              <w:right w:val="single" w:sz="6" w:space="0" w:color="auto"/>
            </w:tcBorders>
          </w:tcPr>
          <w:p w14:paraId="3796CF67" w14:textId="77777777" w:rsidR="001F56B7" w:rsidRPr="00EE0A20" w:rsidRDefault="001F56B7" w:rsidP="00FF2356">
            <w:pPr>
              <w:rPr>
                <w:rFonts w:cstheme="minorHAnsi"/>
                <w:szCs w:val="20"/>
              </w:rPr>
            </w:pPr>
            <w:r w:rsidRPr="00EE0A20">
              <w:rPr>
                <w:rFonts w:cstheme="minorHAnsi"/>
                <w:szCs w:val="20"/>
              </w:rPr>
              <w:t>Non-compliance with notices</w:t>
            </w:r>
          </w:p>
        </w:tc>
        <w:tc>
          <w:tcPr>
            <w:tcW w:w="1238" w:type="dxa"/>
            <w:tcBorders>
              <w:top w:val="single" w:sz="6" w:space="0" w:color="auto"/>
              <w:left w:val="single" w:sz="6" w:space="0" w:color="auto"/>
              <w:bottom w:val="single" w:sz="6" w:space="0" w:color="auto"/>
              <w:right w:val="single" w:sz="6" w:space="0" w:color="auto"/>
            </w:tcBorders>
            <w:vAlign w:val="bottom"/>
          </w:tcPr>
          <w:p w14:paraId="2F9F6435" w14:textId="77777777" w:rsidR="001F56B7" w:rsidRPr="00EE0A20" w:rsidRDefault="001F56B7" w:rsidP="00FF2356">
            <w:pPr>
              <w:jc w:val="right"/>
              <w:rPr>
                <w:rFonts w:cstheme="minorHAnsi"/>
                <w:szCs w:val="20"/>
              </w:rPr>
            </w:pPr>
            <w:r w:rsidRPr="00EE0A20">
              <w:rPr>
                <w:rFonts w:cstheme="minorHAnsi"/>
                <w:szCs w:val="20"/>
              </w:rPr>
              <w:t>0</w:t>
            </w:r>
          </w:p>
        </w:tc>
        <w:tc>
          <w:tcPr>
            <w:tcW w:w="1236" w:type="dxa"/>
            <w:tcBorders>
              <w:top w:val="single" w:sz="6" w:space="0" w:color="auto"/>
              <w:left w:val="single" w:sz="6" w:space="0" w:color="auto"/>
              <w:bottom w:val="single" w:sz="6" w:space="0" w:color="auto"/>
              <w:right w:val="single" w:sz="6" w:space="0" w:color="auto"/>
            </w:tcBorders>
            <w:vAlign w:val="bottom"/>
          </w:tcPr>
          <w:p w14:paraId="10D40B2A" w14:textId="77777777" w:rsidR="001F56B7" w:rsidRPr="00EE0A20" w:rsidRDefault="001F56B7" w:rsidP="00FF2356">
            <w:pPr>
              <w:jc w:val="right"/>
              <w:rPr>
                <w:rFonts w:cstheme="minorHAnsi"/>
                <w:szCs w:val="20"/>
              </w:rPr>
            </w:pPr>
            <w:r w:rsidRPr="00EE0A20">
              <w:rPr>
                <w:rFonts w:cstheme="minorHAnsi"/>
                <w:szCs w:val="20"/>
              </w:rPr>
              <w:t>1</w:t>
            </w:r>
          </w:p>
        </w:tc>
        <w:tc>
          <w:tcPr>
            <w:tcW w:w="1229" w:type="dxa"/>
            <w:tcBorders>
              <w:top w:val="single" w:sz="6" w:space="0" w:color="auto"/>
              <w:left w:val="single" w:sz="6" w:space="0" w:color="auto"/>
              <w:bottom w:val="single" w:sz="6" w:space="0" w:color="auto"/>
              <w:right w:val="single" w:sz="6" w:space="0" w:color="auto"/>
            </w:tcBorders>
            <w:vAlign w:val="bottom"/>
          </w:tcPr>
          <w:p w14:paraId="31BD0FCB" w14:textId="77777777" w:rsidR="001F56B7" w:rsidRPr="00EE0A20" w:rsidRDefault="001F56B7" w:rsidP="00FF2356">
            <w:pPr>
              <w:jc w:val="right"/>
              <w:rPr>
                <w:rFonts w:cstheme="minorHAnsi"/>
                <w:szCs w:val="20"/>
              </w:rPr>
            </w:pPr>
            <w:r w:rsidRPr="00EE0A20">
              <w:rPr>
                <w:rFonts w:cstheme="minorHAnsi"/>
                <w:szCs w:val="20"/>
              </w:rPr>
              <w:t>0</w:t>
            </w:r>
          </w:p>
        </w:tc>
        <w:tc>
          <w:tcPr>
            <w:tcW w:w="1220" w:type="dxa"/>
            <w:tcBorders>
              <w:top w:val="single" w:sz="6" w:space="0" w:color="auto"/>
              <w:left w:val="single" w:sz="6" w:space="0" w:color="auto"/>
              <w:bottom w:val="single" w:sz="6" w:space="0" w:color="auto"/>
              <w:right w:val="single" w:sz="6" w:space="0" w:color="auto"/>
            </w:tcBorders>
            <w:vAlign w:val="bottom"/>
          </w:tcPr>
          <w:p w14:paraId="3D13A7CD" w14:textId="77777777" w:rsidR="001F56B7" w:rsidRPr="00EE0A20" w:rsidRDefault="001F56B7" w:rsidP="00FF2356">
            <w:pPr>
              <w:jc w:val="right"/>
              <w:rPr>
                <w:rFonts w:cstheme="minorHAnsi"/>
                <w:szCs w:val="20"/>
              </w:rPr>
            </w:pPr>
            <w:r w:rsidRPr="00EE0A20">
              <w:rPr>
                <w:rFonts w:cstheme="minorHAnsi"/>
                <w:szCs w:val="20"/>
              </w:rPr>
              <w:t>1</w:t>
            </w:r>
          </w:p>
        </w:tc>
        <w:tc>
          <w:tcPr>
            <w:tcW w:w="1228" w:type="dxa"/>
            <w:tcBorders>
              <w:top w:val="single" w:sz="6" w:space="0" w:color="auto"/>
              <w:left w:val="single" w:sz="6" w:space="0" w:color="auto"/>
              <w:bottom w:val="single" w:sz="6" w:space="0" w:color="auto"/>
              <w:right w:val="single" w:sz="4" w:space="0" w:color="auto"/>
            </w:tcBorders>
            <w:vAlign w:val="bottom"/>
          </w:tcPr>
          <w:p w14:paraId="36194122" w14:textId="77777777" w:rsidR="001F56B7" w:rsidRPr="00EE0A20" w:rsidRDefault="001F56B7" w:rsidP="00FF2356">
            <w:pPr>
              <w:jc w:val="right"/>
              <w:rPr>
                <w:rFonts w:ascii="Calibri" w:hAnsi="Calibri" w:cs="Calibri"/>
                <w:color w:val="000000"/>
                <w:szCs w:val="20"/>
              </w:rPr>
            </w:pPr>
            <w:r w:rsidRPr="00EE0A20">
              <w:rPr>
                <w:rFonts w:ascii="Calibri" w:hAnsi="Calibri" w:cs="Calibri"/>
                <w:color w:val="000000"/>
                <w:szCs w:val="20"/>
              </w:rPr>
              <w:t>0.2%</w:t>
            </w:r>
          </w:p>
        </w:tc>
      </w:tr>
      <w:tr w:rsidR="001F56B7" w14:paraId="0DD9E1B6" w14:textId="77777777" w:rsidTr="004D2BFE">
        <w:tc>
          <w:tcPr>
            <w:tcW w:w="3256" w:type="dxa"/>
            <w:tcBorders>
              <w:top w:val="single" w:sz="6" w:space="0" w:color="auto"/>
              <w:left w:val="single" w:sz="4" w:space="0" w:color="auto"/>
              <w:bottom w:val="single" w:sz="6" w:space="0" w:color="auto"/>
              <w:right w:val="single" w:sz="6" w:space="0" w:color="auto"/>
            </w:tcBorders>
          </w:tcPr>
          <w:p w14:paraId="38A0D91C" w14:textId="77777777" w:rsidR="001F56B7" w:rsidRPr="00EE0A20" w:rsidRDefault="001F56B7" w:rsidP="00FF2356">
            <w:pPr>
              <w:rPr>
                <w:rFonts w:cstheme="minorHAnsi"/>
                <w:szCs w:val="20"/>
              </w:rPr>
            </w:pPr>
            <w:r w:rsidRPr="00EE0A20">
              <w:rPr>
                <w:rFonts w:cstheme="minorHAnsi"/>
                <w:szCs w:val="20"/>
              </w:rPr>
              <w:t>Misrepresentation of workplace rights</w:t>
            </w:r>
          </w:p>
        </w:tc>
        <w:tc>
          <w:tcPr>
            <w:tcW w:w="1238" w:type="dxa"/>
            <w:tcBorders>
              <w:top w:val="single" w:sz="6" w:space="0" w:color="auto"/>
              <w:left w:val="single" w:sz="6" w:space="0" w:color="auto"/>
              <w:bottom w:val="single" w:sz="6" w:space="0" w:color="auto"/>
              <w:right w:val="single" w:sz="6" w:space="0" w:color="auto"/>
            </w:tcBorders>
            <w:vAlign w:val="bottom"/>
          </w:tcPr>
          <w:p w14:paraId="0DB5E882" w14:textId="77777777" w:rsidR="001F56B7" w:rsidRPr="00EE0A20" w:rsidRDefault="001F56B7" w:rsidP="00FF2356">
            <w:pPr>
              <w:jc w:val="right"/>
              <w:rPr>
                <w:rFonts w:cstheme="minorHAnsi"/>
                <w:szCs w:val="20"/>
              </w:rPr>
            </w:pPr>
            <w:r w:rsidRPr="00EE0A20">
              <w:rPr>
                <w:rFonts w:cstheme="minorHAnsi"/>
                <w:szCs w:val="20"/>
              </w:rPr>
              <w:t>0</w:t>
            </w:r>
          </w:p>
        </w:tc>
        <w:tc>
          <w:tcPr>
            <w:tcW w:w="1236" w:type="dxa"/>
            <w:tcBorders>
              <w:top w:val="single" w:sz="6" w:space="0" w:color="auto"/>
              <w:left w:val="single" w:sz="6" w:space="0" w:color="auto"/>
              <w:bottom w:val="single" w:sz="6" w:space="0" w:color="auto"/>
              <w:right w:val="single" w:sz="6" w:space="0" w:color="auto"/>
            </w:tcBorders>
            <w:vAlign w:val="bottom"/>
          </w:tcPr>
          <w:p w14:paraId="16A58BD6" w14:textId="77777777" w:rsidR="001F56B7" w:rsidRPr="00EE0A20" w:rsidRDefault="001F56B7" w:rsidP="00FF2356">
            <w:pPr>
              <w:jc w:val="right"/>
              <w:rPr>
                <w:rFonts w:cstheme="minorHAnsi"/>
                <w:szCs w:val="20"/>
              </w:rPr>
            </w:pPr>
            <w:r w:rsidRPr="00EE0A20">
              <w:rPr>
                <w:rFonts w:cstheme="minorHAnsi"/>
                <w:szCs w:val="20"/>
              </w:rPr>
              <w:t>1</w:t>
            </w:r>
          </w:p>
        </w:tc>
        <w:tc>
          <w:tcPr>
            <w:tcW w:w="1229" w:type="dxa"/>
            <w:tcBorders>
              <w:top w:val="single" w:sz="6" w:space="0" w:color="auto"/>
              <w:left w:val="single" w:sz="6" w:space="0" w:color="auto"/>
              <w:bottom w:val="single" w:sz="6" w:space="0" w:color="auto"/>
              <w:right w:val="single" w:sz="6" w:space="0" w:color="auto"/>
            </w:tcBorders>
            <w:vAlign w:val="bottom"/>
          </w:tcPr>
          <w:p w14:paraId="67F24497" w14:textId="77777777" w:rsidR="001F56B7" w:rsidRPr="00EE0A20" w:rsidRDefault="001F56B7" w:rsidP="00FF2356">
            <w:pPr>
              <w:jc w:val="right"/>
              <w:rPr>
                <w:rFonts w:cstheme="minorHAnsi"/>
                <w:szCs w:val="20"/>
              </w:rPr>
            </w:pPr>
            <w:r w:rsidRPr="00EE0A20">
              <w:rPr>
                <w:rFonts w:cstheme="minorHAnsi"/>
                <w:szCs w:val="20"/>
              </w:rPr>
              <w:t>0</w:t>
            </w:r>
          </w:p>
        </w:tc>
        <w:tc>
          <w:tcPr>
            <w:tcW w:w="1220" w:type="dxa"/>
            <w:tcBorders>
              <w:top w:val="single" w:sz="6" w:space="0" w:color="auto"/>
              <w:left w:val="single" w:sz="6" w:space="0" w:color="auto"/>
              <w:bottom w:val="single" w:sz="6" w:space="0" w:color="auto"/>
              <w:right w:val="single" w:sz="6" w:space="0" w:color="auto"/>
            </w:tcBorders>
            <w:vAlign w:val="bottom"/>
          </w:tcPr>
          <w:p w14:paraId="543E495E" w14:textId="77777777" w:rsidR="001F56B7" w:rsidRPr="00EE0A20" w:rsidRDefault="001F56B7" w:rsidP="00FF2356">
            <w:pPr>
              <w:jc w:val="right"/>
              <w:rPr>
                <w:rFonts w:cstheme="minorHAnsi"/>
                <w:szCs w:val="20"/>
              </w:rPr>
            </w:pPr>
            <w:r w:rsidRPr="00EE0A20">
              <w:rPr>
                <w:rFonts w:cstheme="minorHAnsi"/>
                <w:szCs w:val="20"/>
              </w:rPr>
              <w:t>1</w:t>
            </w:r>
          </w:p>
        </w:tc>
        <w:tc>
          <w:tcPr>
            <w:tcW w:w="1228" w:type="dxa"/>
            <w:tcBorders>
              <w:top w:val="single" w:sz="6" w:space="0" w:color="auto"/>
              <w:left w:val="single" w:sz="6" w:space="0" w:color="auto"/>
              <w:bottom w:val="single" w:sz="6" w:space="0" w:color="auto"/>
              <w:right w:val="single" w:sz="4" w:space="0" w:color="auto"/>
            </w:tcBorders>
            <w:vAlign w:val="bottom"/>
          </w:tcPr>
          <w:p w14:paraId="7491864B" w14:textId="77777777" w:rsidR="001F56B7" w:rsidRPr="00EE0A20" w:rsidRDefault="001F56B7" w:rsidP="00FF2356">
            <w:pPr>
              <w:jc w:val="right"/>
              <w:rPr>
                <w:rFonts w:ascii="Calibri" w:hAnsi="Calibri" w:cs="Calibri"/>
                <w:color w:val="000000"/>
                <w:szCs w:val="20"/>
              </w:rPr>
            </w:pPr>
            <w:r w:rsidRPr="00EE0A20">
              <w:rPr>
                <w:rFonts w:ascii="Calibri" w:hAnsi="Calibri" w:cs="Calibri"/>
                <w:color w:val="000000"/>
                <w:szCs w:val="20"/>
              </w:rPr>
              <w:t>0.2%</w:t>
            </w:r>
          </w:p>
        </w:tc>
      </w:tr>
      <w:tr w:rsidR="001F56B7" w14:paraId="7C88E76C" w14:textId="77777777" w:rsidTr="004D2BFE">
        <w:tc>
          <w:tcPr>
            <w:tcW w:w="3256" w:type="dxa"/>
            <w:tcBorders>
              <w:top w:val="single" w:sz="6" w:space="0" w:color="auto"/>
              <w:left w:val="single" w:sz="4" w:space="0" w:color="auto"/>
              <w:bottom w:val="single" w:sz="4" w:space="0" w:color="auto"/>
              <w:right w:val="single" w:sz="6" w:space="0" w:color="auto"/>
            </w:tcBorders>
          </w:tcPr>
          <w:p w14:paraId="7AB4BD55" w14:textId="77777777" w:rsidR="001F56B7" w:rsidRPr="00EE0A20" w:rsidRDefault="001F56B7" w:rsidP="00FF2356">
            <w:pPr>
              <w:rPr>
                <w:rFonts w:cstheme="minorHAnsi"/>
                <w:szCs w:val="20"/>
              </w:rPr>
            </w:pPr>
            <w:r w:rsidRPr="00EE0A20">
              <w:rPr>
                <w:rFonts w:cstheme="minorHAnsi"/>
                <w:b/>
                <w:szCs w:val="20"/>
              </w:rPr>
              <w:t>Total</w:t>
            </w:r>
          </w:p>
        </w:tc>
        <w:tc>
          <w:tcPr>
            <w:tcW w:w="1238" w:type="dxa"/>
            <w:tcBorders>
              <w:top w:val="single" w:sz="6" w:space="0" w:color="auto"/>
              <w:left w:val="single" w:sz="6" w:space="0" w:color="auto"/>
              <w:bottom w:val="single" w:sz="4" w:space="0" w:color="auto"/>
              <w:right w:val="single" w:sz="6" w:space="0" w:color="auto"/>
            </w:tcBorders>
            <w:vAlign w:val="bottom"/>
          </w:tcPr>
          <w:p w14:paraId="02D06B41" w14:textId="77777777" w:rsidR="001F56B7" w:rsidRPr="00EE0A20" w:rsidRDefault="001F56B7" w:rsidP="00FF2356">
            <w:pPr>
              <w:jc w:val="right"/>
              <w:rPr>
                <w:rFonts w:cstheme="minorHAnsi"/>
                <w:szCs w:val="20"/>
              </w:rPr>
            </w:pPr>
            <w:r w:rsidRPr="00EE0A20">
              <w:rPr>
                <w:rFonts w:cstheme="minorHAnsi"/>
                <w:b/>
                <w:szCs w:val="20"/>
              </w:rPr>
              <w:t>100 (23.2%)</w:t>
            </w:r>
          </w:p>
        </w:tc>
        <w:tc>
          <w:tcPr>
            <w:tcW w:w="1236" w:type="dxa"/>
            <w:tcBorders>
              <w:top w:val="single" w:sz="6" w:space="0" w:color="auto"/>
              <w:left w:val="single" w:sz="6" w:space="0" w:color="auto"/>
              <w:bottom w:val="single" w:sz="4" w:space="0" w:color="auto"/>
              <w:right w:val="single" w:sz="6" w:space="0" w:color="auto"/>
            </w:tcBorders>
            <w:vAlign w:val="bottom"/>
          </w:tcPr>
          <w:p w14:paraId="10AF5C61" w14:textId="77777777" w:rsidR="001F56B7" w:rsidRPr="00EE0A20" w:rsidRDefault="001F56B7" w:rsidP="00FF2356">
            <w:pPr>
              <w:jc w:val="right"/>
              <w:rPr>
                <w:rFonts w:cstheme="minorHAnsi"/>
                <w:szCs w:val="20"/>
              </w:rPr>
            </w:pPr>
            <w:r w:rsidRPr="00EE0A20">
              <w:rPr>
                <w:rFonts w:cstheme="minorHAnsi"/>
                <w:b/>
                <w:szCs w:val="20"/>
              </w:rPr>
              <w:t>262 (60.8%)</w:t>
            </w:r>
          </w:p>
        </w:tc>
        <w:tc>
          <w:tcPr>
            <w:tcW w:w="1229" w:type="dxa"/>
            <w:tcBorders>
              <w:top w:val="single" w:sz="6" w:space="0" w:color="auto"/>
              <w:left w:val="single" w:sz="6" w:space="0" w:color="auto"/>
              <w:bottom w:val="single" w:sz="4" w:space="0" w:color="auto"/>
              <w:right w:val="single" w:sz="6" w:space="0" w:color="auto"/>
            </w:tcBorders>
            <w:vAlign w:val="bottom"/>
          </w:tcPr>
          <w:p w14:paraId="3277BED2" w14:textId="77777777" w:rsidR="001F56B7" w:rsidRPr="00EE0A20" w:rsidRDefault="001F56B7" w:rsidP="00FF2356">
            <w:pPr>
              <w:jc w:val="right"/>
              <w:rPr>
                <w:rFonts w:cstheme="minorHAnsi"/>
                <w:szCs w:val="20"/>
              </w:rPr>
            </w:pPr>
            <w:r w:rsidRPr="00EE0A20">
              <w:rPr>
                <w:rFonts w:cstheme="minorHAnsi"/>
                <w:b/>
                <w:szCs w:val="20"/>
              </w:rPr>
              <w:t>71 (16.5%)</w:t>
            </w:r>
          </w:p>
        </w:tc>
        <w:tc>
          <w:tcPr>
            <w:tcW w:w="1220" w:type="dxa"/>
            <w:tcBorders>
              <w:top w:val="single" w:sz="6" w:space="0" w:color="auto"/>
              <w:left w:val="single" w:sz="6" w:space="0" w:color="auto"/>
              <w:bottom w:val="single" w:sz="4" w:space="0" w:color="auto"/>
              <w:right w:val="single" w:sz="6" w:space="0" w:color="auto"/>
            </w:tcBorders>
            <w:vAlign w:val="bottom"/>
          </w:tcPr>
          <w:p w14:paraId="36E05701" w14:textId="77777777" w:rsidR="001F56B7" w:rsidRPr="00EE0A20" w:rsidRDefault="001F56B7" w:rsidP="00FF2356">
            <w:pPr>
              <w:jc w:val="right"/>
              <w:rPr>
                <w:rFonts w:cstheme="minorHAnsi"/>
                <w:szCs w:val="20"/>
              </w:rPr>
            </w:pPr>
            <w:r w:rsidRPr="00EE0A20">
              <w:rPr>
                <w:rFonts w:cstheme="minorHAnsi"/>
                <w:b/>
                <w:szCs w:val="20"/>
              </w:rPr>
              <w:t>431</w:t>
            </w:r>
          </w:p>
        </w:tc>
        <w:tc>
          <w:tcPr>
            <w:tcW w:w="1228" w:type="dxa"/>
            <w:tcBorders>
              <w:top w:val="single" w:sz="6" w:space="0" w:color="auto"/>
              <w:left w:val="single" w:sz="6" w:space="0" w:color="auto"/>
              <w:bottom w:val="single" w:sz="4" w:space="0" w:color="auto"/>
              <w:right w:val="single" w:sz="4" w:space="0" w:color="auto"/>
            </w:tcBorders>
            <w:vAlign w:val="bottom"/>
          </w:tcPr>
          <w:p w14:paraId="57769D99" w14:textId="77777777" w:rsidR="001F56B7" w:rsidRPr="00EE0A20" w:rsidRDefault="001F56B7" w:rsidP="00FF2356">
            <w:pPr>
              <w:jc w:val="right"/>
              <w:rPr>
                <w:rFonts w:ascii="Calibri" w:hAnsi="Calibri" w:cs="Calibri"/>
                <w:color w:val="000000"/>
                <w:szCs w:val="20"/>
              </w:rPr>
            </w:pPr>
            <w:r w:rsidRPr="00EE0A20">
              <w:rPr>
                <w:rFonts w:ascii="Calibri" w:hAnsi="Calibri" w:cs="Calibri"/>
                <w:b/>
                <w:color w:val="000000"/>
                <w:szCs w:val="20"/>
              </w:rPr>
              <w:t>100.0%</w:t>
            </w:r>
          </w:p>
        </w:tc>
      </w:tr>
    </w:tbl>
    <w:p w14:paraId="2B230934" w14:textId="2A835612" w:rsidR="001F56B7" w:rsidRDefault="001F56B7" w:rsidP="00806BB7">
      <w:pPr>
        <w:pStyle w:val="Source"/>
        <w:spacing w:after="0"/>
      </w:pPr>
      <w:r w:rsidRPr="00B2722A">
        <w:t>Source</w:t>
      </w:r>
      <w:r>
        <w:t xml:space="preserve">: </w:t>
      </w:r>
      <w:r w:rsidR="00A85338" w:rsidRPr="00CB581A">
        <w:rPr>
          <w:b w:val="0"/>
        </w:rPr>
        <w:t>Unpublished data provided by the</w:t>
      </w:r>
      <w:r w:rsidR="00A85338">
        <w:t xml:space="preserve"> </w:t>
      </w:r>
      <w:r w:rsidR="00A85338" w:rsidRPr="00CF5855">
        <w:rPr>
          <w:b w:val="0"/>
        </w:rPr>
        <w:t>ABCC</w:t>
      </w:r>
    </w:p>
    <w:p w14:paraId="789BA1B0" w14:textId="77777777" w:rsidR="00E9213E" w:rsidRPr="00EE0A20" w:rsidRDefault="00E9213E" w:rsidP="00806BB7">
      <w:pPr>
        <w:spacing w:after="0"/>
      </w:pPr>
    </w:p>
    <w:p w14:paraId="67C48A14" w14:textId="77777777" w:rsidR="004D2BFE" w:rsidRDefault="004D2BFE" w:rsidP="005C3772">
      <w:pPr>
        <w:pStyle w:val="Caption"/>
        <w:keepNext/>
        <w:spacing w:before="0"/>
      </w:pPr>
      <w:r>
        <w:t xml:space="preserve">Table </w:t>
      </w:r>
      <w:r>
        <w:rPr>
          <w:noProof/>
        </w:rPr>
        <w:t xml:space="preserve">A.3: </w:t>
      </w:r>
      <w:r w:rsidRPr="00864B9A">
        <w:rPr>
          <w:noProof/>
        </w:rPr>
        <w:t xml:space="preserve">Investigations commenced by </w:t>
      </w:r>
      <w:r>
        <w:rPr>
          <w:noProof/>
        </w:rPr>
        <w:t>the ABCC, 1 July </w:t>
      </w:r>
      <w:r w:rsidRPr="00864B9A">
        <w:rPr>
          <w:noProof/>
        </w:rPr>
        <w:t>2017</w:t>
      </w:r>
      <w:r>
        <w:rPr>
          <w:noProof/>
        </w:rPr>
        <w:noBreakHyphen/>
      </w:r>
      <w:r w:rsidRPr="00864B9A">
        <w:rPr>
          <w:noProof/>
        </w:rPr>
        <w:t>31</w:t>
      </w:r>
      <w:r>
        <w:rPr>
          <w:noProof/>
        </w:rPr>
        <w:t> </w:t>
      </w:r>
      <w:r w:rsidRPr="00864B9A">
        <w:rPr>
          <w:noProof/>
        </w:rPr>
        <w:t>December</w:t>
      </w:r>
      <w:r>
        <w:rPr>
          <w:noProof/>
        </w:rPr>
        <w:t> </w:t>
      </w:r>
      <w:r w:rsidRPr="00864B9A">
        <w:rPr>
          <w:noProof/>
        </w:rPr>
        <w:t>2017</w:t>
      </w:r>
    </w:p>
    <w:tbl>
      <w:tblPr>
        <w:tblStyle w:val="DEEWRTable"/>
        <w:tblW w:w="9443" w:type="dxa"/>
        <w:tblLook w:val="0420" w:firstRow="1" w:lastRow="0" w:firstColumn="0" w:lastColumn="0" w:noHBand="0" w:noVBand="1"/>
        <w:tblCaption w:val="Table A.3: Investigations commenced by the ABCC, 1 July 2017 to 31 December 2017"/>
        <w:tblDescription w:val="This table sets out the number and percentage of investigations undertaken by the ABCC for the period 1 July 2017 to 31 December 2017, by subject as well as suspect type (ie. employer, union, employee, other)."/>
      </w:tblPr>
      <w:tblGrid>
        <w:gridCol w:w="2361"/>
        <w:gridCol w:w="1178"/>
        <w:gridCol w:w="1189"/>
        <w:gridCol w:w="1183"/>
        <w:gridCol w:w="1176"/>
        <w:gridCol w:w="1184"/>
        <w:gridCol w:w="1172"/>
      </w:tblGrid>
      <w:tr w:rsidR="004D2BFE" w:rsidRPr="00324490" w14:paraId="636D31EE" w14:textId="77777777" w:rsidTr="00554B8C">
        <w:trPr>
          <w:cnfStyle w:val="100000000000" w:firstRow="1" w:lastRow="0" w:firstColumn="0" w:lastColumn="0" w:oddVBand="0" w:evenVBand="0" w:oddHBand="0" w:evenHBand="0" w:firstRowFirstColumn="0" w:firstRowLastColumn="0" w:lastRowFirstColumn="0" w:lastRowLastColumn="0"/>
        </w:trPr>
        <w:tc>
          <w:tcPr>
            <w:tcW w:w="4728" w:type="dxa"/>
            <w:gridSpan w:val="3"/>
            <w:tcBorders>
              <w:top w:val="single" w:sz="4" w:space="0" w:color="auto"/>
              <w:left w:val="single" w:sz="4" w:space="0" w:color="auto"/>
              <w:bottom w:val="single" w:sz="4" w:space="0" w:color="auto"/>
              <w:right w:val="single" w:sz="4" w:space="0" w:color="auto"/>
            </w:tcBorders>
            <w:shd w:val="clear" w:color="auto" w:fill="1E3D6B"/>
          </w:tcPr>
          <w:p w14:paraId="79F21AB9" w14:textId="77777777" w:rsidR="004D2BFE" w:rsidRPr="00324490" w:rsidRDefault="004D2BFE" w:rsidP="00FF2356">
            <w:pPr>
              <w:jc w:val="center"/>
            </w:pPr>
            <w:r w:rsidRPr="00324490">
              <w:t>Investigations</w:t>
            </w:r>
          </w:p>
        </w:tc>
        <w:tc>
          <w:tcPr>
            <w:tcW w:w="4715" w:type="dxa"/>
            <w:gridSpan w:val="4"/>
            <w:tcBorders>
              <w:top w:val="single" w:sz="4" w:space="0" w:color="auto"/>
              <w:left w:val="single" w:sz="4" w:space="0" w:color="auto"/>
              <w:bottom w:val="single" w:sz="4" w:space="0" w:color="auto"/>
              <w:right w:val="single" w:sz="4" w:space="0" w:color="auto"/>
            </w:tcBorders>
            <w:shd w:val="clear" w:color="auto" w:fill="1E3D6B"/>
          </w:tcPr>
          <w:p w14:paraId="57F815E7" w14:textId="77777777" w:rsidR="004D2BFE" w:rsidRPr="00324490" w:rsidRDefault="004D2BFE" w:rsidP="00FF2356">
            <w:pPr>
              <w:jc w:val="center"/>
            </w:pPr>
            <w:r w:rsidRPr="00324490">
              <w:t>Suspect Type</w:t>
            </w:r>
          </w:p>
        </w:tc>
      </w:tr>
      <w:tr w:rsidR="004D2BFE" w:rsidRPr="009C180D" w14:paraId="64F1BCED" w14:textId="77777777" w:rsidTr="00554B8C">
        <w:tc>
          <w:tcPr>
            <w:tcW w:w="2361" w:type="dxa"/>
            <w:tcBorders>
              <w:top w:val="single" w:sz="4" w:space="0" w:color="auto"/>
              <w:left w:val="single" w:sz="4" w:space="0" w:color="auto"/>
              <w:bottom w:val="single" w:sz="4" w:space="0" w:color="auto"/>
              <w:right w:val="single" w:sz="4" w:space="0" w:color="auto"/>
            </w:tcBorders>
            <w:shd w:val="clear" w:color="auto" w:fill="1E3D6B"/>
          </w:tcPr>
          <w:p w14:paraId="6F2170B1" w14:textId="77777777" w:rsidR="004D2BFE" w:rsidRPr="009C180D" w:rsidRDefault="004D2BFE" w:rsidP="00FF2356">
            <w:pPr>
              <w:rPr>
                <w:b/>
              </w:rPr>
            </w:pPr>
            <w:r w:rsidRPr="009C180D">
              <w:rPr>
                <w:rFonts w:cstheme="minorHAnsi"/>
              </w:rPr>
              <w:t>Subject</w:t>
            </w:r>
          </w:p>
        </w:tc>
        <w:tc>
          <w:tcPr>
            <w:tcW w:w="1178" w:type="dxa"/>
            <w:tcBorders>
              <w:top w:val="single" w:sz="4" w:space="0" w:color="auto"/>
              <w:left w:val="single" w:sz="4" w:space="0" w:color="auto"/>
              <w:bottom w:val="single" w:sz="4" w:space="0" w:color="auto"/>
              <w:right w:val="single" w:sz="4" w:space="0" w:color="auto"/>
            </w:tcBorders>
            <w:shd w:val="clear" w:color="auto" w:fill="1E3D6B"/>
          </w:tcPr>
          <w:p w14:paraId="70ED3274" w14:textId="77777777" w:rsidR="004D2BFE" w:rsidRPr="009C180D" w:rsidRDefault="004D2BFE" w:rsidP="00FF2356">
            <w:pPr>
              <w:jc w:val="center"/>
              <w:rPr>
                <w:b/>
              </w:rPr>
            </w:pPr>
            <w:r w:rsidRPr="009C180D">
              <w:rPr>
                <w:rFonts w:cstheme="minorHAnsi"/>
              </w:rPr>
              <w:t>Number</w:t>
            </w:r>
          </w:p>
        </w:tc>
        <w:tc>
          <w:tcPr>
            <w:tcW w:w="1189" w:type="dxa"/>
            <w:tcBorders>
              <w:top w:val="single" w:sz="4" w:space="0" w:color="auto"/>
              <w:left w:val="single" w:sz="4" w:space="0" w:color="auto"/>
              <w:bottom w:val="single" w:sz="4" w:space="0" w:color="auto"/>
              <w:right w:val="single" w:sz="4" w:space="0" w:color="auto"/>
            </w:tcBorders>
            <w:shd w:val="clear" w:color="auto" w:fill="1E3D6B"/>
          </w:tcPr>
          <w:p w14:paraId="56B58B98" w14:textId="77777777" w:rsidR="004D2BFE" w:rsidRPr="009C180D" w:rsidRDefault="004D2BFE" w:rsidP="00FF2356">
            <w:pPr>
              <w:jc w:val="center"/>
              <w:rPr>
                <w:b/>
              </w:rPr>
            </w:pPr>
            <w:r w:rsidRPr="009C180D">
              <w:rPr>
                <w:rFonts w:cstheme="minorHAnsi"/>
              </w:rPr>
              <w:t>Percentage</w:t>
            </w:r>
          </w:p>
        </w:tc>
        <w:tc>
          <w:tcPr>
            <w:tcW w:w="1183" w:type="dxa"/>
            <w:tcBorders>
              <w:top w:val="single" w:sz="4" w:space="0" w:color="auto"/>
              <w:left w:val="single" w:sz="4" w:space="0" w:color="auto"/>
              <w:bottom w:val="single" w:sz="4" w:space="0" w:color="auto"/>
              <w:right w:val="single" w:sz="4" w:space="0" w:color="auto"/>
            </w:tcBorders>
            <w:shd w:val="clear" w:color="auto" w:fill="1E3D6B"/>
          </w:tcPr>
          <w:p w14:paraId="0DB91F03" w14:textId="77777777" w:rsidR="004D2BFE" w:rsidRPr="009C180D" w:rsidRDefault="004D2BFE" w:rsidP="00FF2356">
            <w:pPr>
              <w:jc w:val="center"/>
              <w:rPr>
                <w:b/>
              </w:rPr>
            </w:pPr>
            <w:r w:rsidRPr="009C180D">
              <w:rPr>
                <w:rFonts w:cstheme="minorHAnsi"/>
              </w:rPr>
              <w:t>Employer</w:t>
            </w:r>
          </w:p>
        </w:tc>
        <w:tc>
          <w:tcPr>
            <w:tcW w:w="1176" w:type="dxa"/>
            <w:tcBorders>
              <w:top w:val="single" w:sz="4" w:space="0" w:color="auto"/>
              <w:left w:val="single" w:sz="4" w:space="0" w:color="auto"/>
              <w:bottom w:val="single" w:sz="4" w:space="0" w:color="auto"/>
              <w:right w:val="single" w:sz="4" w:space="0" w:color="auto"/>
            </w:tcBorders>
            <w:shd w:val="clear" w:color="auto" w:fill="1E3D6B"/>
          </w:tcPr>
          <w:p w14:paraId="11E772EF" w14:textId="77777777" w:rsidR="004D2BFE" w:rsidRPr="009C180D" w:rsidRDefault="004D2BFE" w:rsidP="00FF2356">
            <w:pPr>
              <w:jc w:val="center"/>
              <w:rPr>
                <w:b/>
              </w:rPr>
            </w:pPr>
            <w:r w:rsidRPr="009C180D">
              <w:rPr>
                <w:rFonts w:cstheme="minorHAnsi"/>
              </w:rPr>
              <w:t>Union</w:t>
            </w:r>
          </w:p>
        </w:tc>
        <w:tc>
          <w:tcPr>
            <w:tcW w:w="1184" w:type="dxa"/>
            <w:tcBorders>
              <w:top w:val="single" w:sz="4" w:space="0" w:color="auto"/>
              <w:left w:val="single" w:sz="4" w:space="0" w:color="auto"/>
              <w:bottom w:val="single" w:sz="4" w:space="0" w:color="auto"/>
              <w:right w:val="single" w:sz="4" w:space="0" w:color="auto"/>
            </w:tcBorders>
            <w:shd w:val="clear" w:color="auto" w:fill="1E3D6B"/>
          </w:tcPr>
          <w:p w14:paraId="7731012E" w14:textId="77777777" w:rsidR="004D2BFE" w:rsidRPr="009C180D" w:rsidRDefault="004D2BFE" w:rsidP="00FF2356">
            <w:pPr>
              <w:jc w:val="center"/>
              <w:rPr>
                <w:b/>
              </w:rPr>
            </w:pPr>
            <w:r w:rsidRPr="009C180D">
              <w:rPr>
                <w:rFonts w:cstheme="minorHAnsi"/>
              </w:rPr>
              <w:t>Employee</w:t>
            </w:r>
          </w:p>
        </w:tc>
        <w:tc>
          <w:tcPr>
            <w:tcW w:w="1172" w:type="dxa"/>
            <w:tcBorders>
              <w:top w:val="single" w:sz="4" w:space="0" w:color="auto"/>
              <w:left w:val="single" w:sz="4" w:space="0" w:color="auto"/>
              <w:bottom w:val="single" w:sz="4" w:space="0" w:color="auto"/>
              <w:right w:val="single" w:sz="4" w:space="0" w:color="auto"/>
            </w:tcBorders>
            <w:shd w:val="clear" w:color="auto" w:fill="1E3D6B"/>
          </w:tcPr>
          <w:p w14:paraId="2E07310E" w14:textId="77777777" w:rsidR="004D2BFE" w:rsidRPr="009C180D" w:rsidRDefault="004D2BFE" w:rsidP="00FF2356">
            <w:pPr>
              <w:jc w:val="center"/>
              <w:rPr>
                <w:b/>
              </w:rPr>
            </w:pPr>
            <w:r w:rsidRPr="009C180D">
              <w:rPr>
                <w:rFonts w:cstheme="minorHAnsi"/>
              </w:rPr>
              <w:t>Other</w:t>
            </w:r>
          </w:p>
        </w:tc>
      </w:tr>
      <w:tr w:rsidR="004D2BFE" w14:paraId="737842A7" w14:textId="77777777" w:rsidTr="000218CE">
        <w:tc>
          <w:tcPr>
            <w:tcW w:w="2361" w:type="dxa"/>
            <w:tcBorders>
              <w:top w:val="single" w:sz="4" w:space="0" w:color="auto"/>
              <w:left w:val="single" w:sz="4" w:space="0" w:color="auto"/>
              <w:bottom w:val="single" w:sz="4" w:space="0" w:color="auto"/>
              <w:right w:val="single" w:sz="4" w:space="0" w:color="auto"/>
            </w:tcBorders>
          </w:tcPr>
          <w:p w14:paraId="28E9BDF2" w14:textId="77777777" w:rsidR="004D2BFE" w:rsidRDefault="004D2BFE" w:rsidP="00FF2356">
            <w:r w:rsidRPr="00EE0A20">
              <w:rPr>
                <w:rFonts w:cstheme="minorHAnsi"/>
              </w:rPr>
              <w:t>Wages and entitlements</w:t>
            </w:r>
          </w:p>
        </w:tc>
        <w:tc>
          <w:tcPr>
            <w:tcW w:w="1178" w:type="dxa"/>
            <w:tcBorders>
              <w:top w:val="single" w:sz="4" w:space="0" w:color="auto"/>
              <w:left w:val="single" w:sz="4" w:space="0" w:color="auto"/>
              <w:bottom w:val="single" w:sz="4" w:space="0" w:color="auto"/>
              <w:right w:val="single" w:sz="4" w:space="0" w:color="auto"/>
            </w:tcBorders>
          </w:tcPr>
          <w:p w14:paraId="2A28AB55" w14:textId="77777777" w:rsidR="004D2BFE" w:rsidRDefault="004D2BFE" w:rsidP="00FF2356">
            <w:pPr>
              <w:jc w:val="right"/>
            </w:pPr>
            <w:r w:rsidRPr="00EE0A20">
              <w:rPr>
                <w:rFonts w:cstheme="minorHAnsi"/>
              </w:rPr>
              <w:t>24</w:t>
            </w:r>
          </w:p>
        </w:tc>
        <w:tc>
          <w:tcPr>
            <w:tcW w:w="1189" w:type="dxa"/>
            <w:tcBorders>
              <w:top w:val="single" w:sz="4" w:space="0" w:color="auto"/>
              <w:left w:val="single" w:sz="4" w:space="0" w:color="auto"/>
              <w:bottom w:val="single" w:sz="4" w:space="0" w:color="auto"/>
              <w:right w:val="single" w:sz="4" w:space="0" w:color="auto"/>
            </w:tcBorders>
            <w:vAlign w:val="center"/>
          </w:tcPr>
          <w:p w14:paraId="75419B1E" w14:textId="77777777" w:rsidR="004D2BFE" w:rsidRDefault="004D2BFE" w:rsidP="00FF2356">
            <w:pPr>
              <w:jc w:val="right"/>
            </w:pPr>
            <w:r w:rsidRPr="00EE0A20">
              <w:rPr>
                <w:rFonts w:ascii="Calibri" w:hAnsi="Calibri" w:cstheme="minorHAnsi"/>
                <w:color w:val="000000"/>
              </w:rPr>
              <w:t>40.0%</w:t>
            </w:r>
          </w:p>
        </w:tc>
        <w:tc>
          <w:tcPr>
            <w:tcW w:w="1183" w:type="dxa"/>
            <w:tcBorders>
              <w:top w:val="single" w:sz="4" w:space="0" w:color="auto"/>
              <w:left w:val="single" w:sz="4" w:space="0" w:color="auto"/>
              <w:bottom w:val="single" w:sz="4" w:space="0" w:color="auto"/>
              <w:right w:val="single" w:sz="4" w:space="0" w:color="auto"/>
            </w:tcBorders>
          </w:tcPr>
          <w:p w14:paraId="70E8B36C" w14:textId="77777777" w:rsidR="004D2BFE" w:rsidRDefault="004D2BFE" w:rsidP="00FF2356">
            <w:pPr>
              <w:jc w:val="right"/>
            </w:pPr>
            <w:r w:rsidRPr="00EE0A20">
              <w:rPr>
                <w:rFonts w:ascii="Calibri" w:hAnsi="Calibri" w:cstheme="minorHAnsi"/>
                <w:color w:val="000000"/>
              </w:rPr>
              <w:t>24</w:t>
            </w:r>
          </w:p>
        </w:tc>
        <w:tc>
          <w:tcPr>
            <w:tcW w:w="1176" w:type="dxa"/>
            <w:tcBorders>
              <w:top w:val="single" w:sz="4" w:space="0" w:color="auto"/>
              <w:left w:val="single" w:sz="4" w:space="0" w:color="auto"/>
              <w:bottom w:val="single" w:sz="4" w:space="0" w:color="auto"/>
              <w:right w:val="single" w:sz="4" w:space="0" w:color="auto"/>
            </w:tcBorders>
          </w:tcPr>
          <w:p w14:paraId="2A383B3C" w14:textId="77777777" w:rsidR="004D2BFE" w:rsidRDefault="004D2BFE" w:rsidP="00FF2356">
            <w:pPr>
              <w:jc w:val="right"/>
            </w:pPr>
            <w:r w:rsidRPr="00EE0A20">
              <w:rPr>
                <w:rFonts w:ascii="Calibri" w:hAnsi="Calibri" w:cstheme="minorHAnsi"/>
                <w:color w:val="000000"/>
              </w:rPr>
              <w:t>0</w:t>
            </w:r>
          </w:p>
        </w:tc>
        <w:tc>
          <w:tcPr>
            <w:tcW w:w="1184" w:type="dxa"/>
            <w:tcBorders>
              <w:top w:val="single" w:sz="4" w:space="0" w:color="auto"/>
              <w:left w:val="single" w:sz="4" w:space="0" w:color="auto"/>
              <w:bottom w:val="single" w:sz="4" w:space="0" w:color="auto"/>
              <w:right w:val="single" w:sz="4" w:space="0" w:color="auto"/>
            </w:tcBorders>
          </w:tcPr>
          <w:p w14:paraId="4A453028" w14:textId="77777777" w:rsidR="004D2BFE" w:rsidRDefault="004D2BFE" w:rsidP="00FF2356">
            <w:pPr>
              <w:jc w:val="right"/>
            </w:pPr>
            <w:r w:rsidRPr="00EE0A20">
              <w:rPr>
                <w:rFonts w:ascii="Calibri" w:hAnsi="Calibri" w:cstheme="minorHAnsi"/>
                <w:color w:val="000000"/>
              </w:rPr>
              <w:t>0</w:t>
            </w:r>
          </w:p>
        </w:tc>
        <w:tc>
          <w:tcPr>
            <w:tcW w:w="1172" w:type="dxa"/>
            <w:tcBorders>
              <w:top w:val="single" w:sz="4" w:space="0" w:color="auto"/>
              <w:left w:val="single" w:sz="4" w:space="0" w:color="auto"/>
              <w:bottom w:val="single" w:sz="4" w:space="0" w:color="auto"/>
              <w:right w:val="single" w:sz="4" w:space="0" w:color="auto"/>
            </w:tcBorders>
          </w:tcPr>
          <w:p w14:paraId="5B5553AF" w14:textId="77777777" w:rsidR="004D2BFE" w:rsidRDefault="004D2BFE" w:rsidP="00FF2356">
            <w:pPr>
              <w:jc w:val="right"/>
            </w:pPr>
            <w:r w:rsidRPr="00EE0A20">
              <w:rPr>
                <w:rFonts w:ascii="Calibri" w:hAnsi="Calibri" w:cstheme="minorHAnsi"/>
                <w:color w:val="000000"/>
              </w:rPr>
              <w:t>0</w:t>
            </w:r>
          </w:p>
        </w:tc>
      </w:tr>
      <w:tr w:rsidR="004D2BFE" w14:paraId="1AB5AEDA" w14:textId="77777777" w:rsidTr="00FF2356">
        <w:tc>
          <w:tcPr>
            <w:tcW w:w="2361" w:type="dxa"/>
            <w:tcBorders>
              <w:top w:val="single" w:sz="4" w:space="0" w:color="auto"/>
              <w:left w:val="single" w:sz="4" w:space="0" w:color="auto"/>
              <w:bottom w:val="single" w:sz="4" w:space="0" w:color="auto"/>
              <w:right w:val="single" w:sz="4" w:space="0" w:color="auto"/>
            </w:tcBorders>
          </w:tcPr>
          <w:p w14:paraId="67A1F7F4" w14:textId="77777777" w:rsidR="004D2BFE" w:rsidRDefault="004D2BFE" w:rsidP="00FF2356">
            <w:r w:rsidRPr="00EE0A20">
              <w:rPr>
                <w:rFonts w:cstheme="minorHAnsi"/>
              </w:rPr>
              <w:t>Coercion</w:t>
            </w:r>
          </w:p>
        </w:tc>
        <w:tc>
          <w:tcPr>
            <w:tcW w:w="1178" w:type="dxa"/>
            <w:tcBorders>
              <w:top w:val="single" w:sz="4" w:space="0" w:color="auto"/>
              <w:left w:val="single" w:sz="4" w:space="0" w:color="auto"/>
              <w:bottom w:val="single" w:sz="4" w:space="0" w:color="auto"/>
              <w:right w:val="single" w:sz="4" w:space="0" w:color="auto"/>
            </w:tcBorders>
          </w:tcPr>
          <w:p w14:paraId="4BB22C13" w14:textId="77777777" w:rsidR="004D2BFE" w:rsidRDefault="004D2BFE" w:rsidP="00FF2356">
            <w:pPr>
              <w:jc w:val="right"/>
            </w:pPr>
            <w:r w:rsidRPr="00EE0A20">
              <w:rPr>
                <w:rFonts w:cstheme="minorHAnsi"/>
              </w:rPr>
              <w:t>12</w:t>
            </w:r>
          </w:p>
        </w:tc>
        <w:tc>
          <w:tcPr>
            <w:tcW w:w="1189" w:type="dxa"/>
            <w:tcBorders>
              <w:top w:val="single" w:sz="4" w:space="0" w:color="auto"/>
              <w:left w:val="single" w:sz="4" w:space="0" w:color="auto"/>
              <w:bottom w:val="single" w:sz="4" w:space="0" w:color="auto"/>
              <w:right w:val="single" w:sz="4" w:space="0" w:color="auto"/>
            </w:tcBorders>
            <w:vAlign w:val="center"/>
          </w:tcPr>
          <w:p w14:paraId="0D51A5FA" w14:textId="77777777" w:rsidR="004D2BFE" w:rsidRDefault="004D2BFE" w:rsidP="00FF2356">
            <w:pPr>
              <w:jc w:val="right"/>
            </w:pPr>
            <w:r w:rsidRPr="00EE0A20">
              <w:rPr>
                <w:rFonts w:ascii="Calibri" w:hAnsi="Calibri" w:cstheme="minorHAnsi"/>
                <w:color w:val="000000"/>
              </w:rPr>
              <w:t>20.0%</w:t>
            </w:r>
          </w:p>
        </w:tc>
        <w:tc>
          <w:tcPr>
            <w:tcW w:w="1183" w:type="dxa"/>
            <w:tcBorders>
              <w:top w:val="single" w:sz="4" w:space="0" w:color="auto"/>
              <w:left w:val="single" w:sz="4" w:space="0" w:color="auto"/>
              <w:bottom w:val="single" w:sz="4" w:space="0" w:color="auto"/>
              <w:right w:val="single" w:sz="4" w:space="0" w:color="auto"/>
            </w:tcBorders>
          </w:tcPr>
          <w:p w14:paraId="10592FD4" w14:textId="77777777" w:rsidR="004D2BFE" w:rsidRDefault="004D2BFE" w:rsidP="00FF2356">
            <w:pPr>
              <w:jc w:val="right"/>
            </w:pPr>
            <w:r w:rsidRPr="00EE0A20">
              <w:rPr>
                <w:rFonts w:ascii="Calibri" w:hAnsi="Calibri" w:cstheme="minorHAnsi"/>
                <w:color w:val="000000"/>
              </w:rPr>
              <w:t>4</w:t>
            </w:r>
          </w:p>
        </w:tc>
        <w:tc>
          <w:tcPr>
            <w:tcW w:w="1176" w:type="dxa"/>
            <w:tcBorders>
              <w:top w:val="single" w:sz="4" w:space="0" w:color="auto"/>
              <w:left w:val="single" w:sz="4" w:space="0" w:color="auto"/>
              <w:bottom w:val="single" w:sz="4" w:space="0" w:color="auto"/>
              <w:right w:val="single" w:sz="4" w:space="0" w:color="auto"/>
            </w:tcBorders>
          </w:tcPr>
          <w:p w14:paraId="488CA0D9" w14:textId="77777777" w:rsidR="004D2BFE" w:rsidRDefault="004D2BFE" w:rsidP="00FF2356">
            <w:pPr>
              <w:jc w:val="right"/>
            </w:pPr>
            <w:r w:rsidRPr="00EE0A20">
              <w:rPr>
                <w:rFonts w:ascii="Calibri" w:hAnsi="Calibri" w:cstheme="minorHAnsi"/>
                <w:color w:val="000000"/>
              </w:rPr>
              <w:t>11</w:t>
            </w:r>
          </w:p>
        </w:tc>
        <w:tc>
          <w:tcPr>
            <w:tcW w:w="1184" w:type="dxa"/>
            <w:tcBorders>
              <w:top w:val="single" w:sz="4" w:space="0" w:color="auto"/>
              <w:left w:val="single" w:sz="4" w:space="0" w:color="auto"/>
              <w:bottom w:val="single" w:sz="4" w:space="0" w:color="auto"/>
              <w:right w:val="single" w:sz="4" w:space="0" w:color="auto"/>
            </w:tcBorders>
          </w:tcPr>
          <w:p w14:paraId="56036D96" w14:textId="77777777" w:rsidR="004D2BFE" w:rsidRDefault="004D2BFE" w:rsidP="00FF2356">
            <w:pPr>
              <w:jc w:val="right"/>
            </w:pPr>
            <w:r w:rsidRPr="00EE0A20">
              <w:rPr>
                <w:rFonts w:ascii="Calibri" w:hAnsi="Calibri" w:cstheme="minorHAnsi"/>
                <w:color w:val="000000"/>
              </w:rPr>
              <w:t>6</w:t>
            </w:r>
          </w:p>
        </w:tc>
        <w:tc>
          <w:tcPr>
            <w:tcW w:w="1172" w:type="dxa"/>
            <w:tcBorders>
              <w:top w:val="single" w:sz="4" w:space="0" w:color="auto"/>
              <w:left w:val="single" w:sz="4" w:space="0" w:color="auto"/>
              <w:bottom w:val="single" w:sz="4" w:space="0" w:color="auto"/>
              <w:right w:val="single" w:sz="4" w:space="0" w:color="auto"/>
            </w:tcBorders>
          </w:tcPr>
          <w:p w14:paraId="5C8FFBA4" w14:textId="77777777" w:rsidR="004D2BFE" w:rsidRDefault="004D2BFE" w:rsidP="00FF2356">
            <w:pPr>
              <w:jc w:val="right"/>
            </w:pPr>
            <w:r w:rsidRPr="00EE0A20">
              <w:rPr>
                <w:rFonts w:ascii="Calibri" w:hAnsi="Calibri" w:cstheme="minorHAnsi"/>
                <w:color w:val="000000"/>
              </w:rPr>
              <w:t>0</w:t>
            </w:r>
          </w:p>
        </w:tc>
      </w:tr>
      <w:tr w:rsidR="004D2BFE" w14:paraId="35B43DFC" w14:textId="77777777" w:rsidTr="00FF2356">
        <w:tc>
          <w:tcPr>
            <w:tcW w:w="2361" w:type="dxa"/>
            <w:tcBorders>
              <w:top w:val="single" w:sz="4" w:space="0" w:color="auto"/>
              <w:left w:val="single" w:sz="4" w:space="0" w:color="auto"/>
              <w:bottom w:val="single" w:sz="4" w:space="0" w:color="auto"/>
              <w:right w:val="single" w:sz="4" w:space="0" w:color="auto"/>
            </w:tcBorders>
          </w:tcPr>
          <w:p w14:paraId="4701A6BB" w14:textId="77777777" w:rsidR="004D2BFE" w:rsidRDefault="004D2BFE" w:rsidP="00FF2356">
            <w:r w:rsidRPr="00EE0A20">
              <w:rPr>
                <w:rFonts w:cstheme="minorHAnsi"/>
              </w:rPr>
              <w:t>Unlawful industrial action</w:t>
            </w:r>
          </w:p>
        </w:tc>
        <w:tc>
          <w:tcPr>
            <w:tcW w:w="1178" w:type="dxa"/>
            <w:tcBorders>
              <w:top w:val="single" w:sz="4" w:space="0" w:color="auto"/>
              <w:left w:val="single" w:sz="4" w:space="0" w:color="auto"/>
              <w:bottom w:val="single" w:sz="4" w:space="0" w:color="auto"/>
              <w:right w:val="single" w:sz="4" w:space="0" w:color="auto"/>
            </w:tcBorders>
          </w:tcPr>
          <w:p w14:paraId="25661CFE" w14:textId="77777777" w:rsidR="004D2BFE" w:rsidRDefault="004D2BFE" w:rsidP="00FF2356">
            <w:pPr>
              <w:jc w:val="right"/>
            </w:pPr>
            <w:r w:rsidRPr="00EE0A20">
              <w:rPr>
                <w:rFonts w:cstheme="minorHAnsi"/>
              </w:rPr>
              <w:t>8</w:t>
            </w:r>
          </w:p>
        </w:tc>
        <w:tc>
          <w:tcPr>
            <w:tcW w:w="1189" w:type="dxa"/>
            <w:tcBorders>
              <w:top w:val="single" w:sz="4" w:space="0" w:color="auto"/>
              <w:left w:val="single" w:sz="4" w:space="0" w:color="auto"/>
              <w:bottom w:val="single" w:sz="4" w:space="0" w:color="auto"/>
              <w:right w:val="single" w:sz="4" w:space="0" w:color="auto"/>
            </w:tcBorders>
            <w:vAlign w:val="center"/>
          </w:tcPr>
          <w:p w14:paraId="5972F392" w14:textId="77777777" w:rsidR="004D2BFE" w:rsidRDefault="004D2BFE" w:rsidP="00FF2356">
            <w:pPr>
              <w:jc w:val="right"/>
            </w:pPr>
            <w:r w:rsidRPr="00EE0A20">
              <w:rPr>
                <w:rFonts w:ascii="Calibri" w:hAnsi="Calibri" w:cs="Calibri"/>
                <w:color w:val="000000"/>
              </w:rPr>
              <w:t>13.3%</w:t>
            </w:r>
          </w:p>
        </w:tc>
        <w:tc>
          <w:tcPr>
            <w:tcW w:w="1183" w:type="dxa"/>
            <w:tcBorders>
              <w:top w:val="single" w:sz="4" w:space="0" w:color="auto"/>
              <w:left w:val="single" w:sz="4" w:space="0" w:color="auto"/>
              <w:bottom w:val="single" w:sz="4" w:space="0" w:color="auto"/>
              <w:right w:val="single" w:sz="4" w:space="0" w:color="auto"/>
            </w:tcBorders>
          </w:tcPr>
          <w:p w14:paraId="29F703D4" w14:textId="77777777" w:rsidR="004D2BFE" w:rsidRDefault="004D2BFE" w:rsidP="00FF2356">
            <w:pPr>
              <w:jc w:val="right"/>
            </w:pPr>
            <w:r w:rsidRPr="00EE0A20">
              <w:rPr>
                <w:rFonts w:ascii="Calibri" w:hAnsi="Calibri" w:cs="Calibri"/>
                <w:color w:val="000000"/>
              </w:rPr>
              <w:t>2</w:t>
            </w:r>
          </w:p>
        </w:tc>
        <w:tc>
          <w:tcPr>
            <w:tcW w:w="1176" w:type="dxa"/>
            <w:tcBorders>
              <w:top w:val="single" w:sz="4" w:space="0" w:color="auto"/>
              <w:left w:val="single" w:sz="4" w:space="0" w:color="auto"/>
              <w:bottom w:val="single" w:sz="4" w:space="0" w:color="auto"/>
              <w:right w:val="single" w:sz="4" w:space="0" w:color="auto"/>
            </w:tcBorders>
          </w:tcPr>
          <w:p w14:paraId="045AA30D" w14:textId="77777777" w:rsidR="004D2BFE" w:rsidRDefault="004D2BFE" w:rsidP="00FF2356">
            <w:pPr>
              <w:jc w:val="right"/>
            </w:pPr>
            <w:r w:rsidRPr="00EE0A20">
              <w:rPr>
                <w:rFonts w:ascii="Calibri" w:hAnsi="Calibri" w:cs="Calibri"/>
                <w:color w:val="000000"/>
              </w:rPr>
              <w:t>6</w:t>
            </w:r>
          </w:p>
        </w:tc>
        <w:tc>
          <w:tcPr>
            <w:tcW w:w="1184" w:type="dxa"/>
            <w:tcBorders>
              <w:top w:val="single" w:sz="4" w:space="0" w:color="auto"/>
              <w:left w:val="single" w:sz="4" w:space="0" w:color="auto"/>
              <w:bottom w:val="single" w:sz="4" w:space="0" w:color="auto"/>
              <w:right w:val="single" w:sz="4" w:space="0" w:color="auto"/>
            </w:tcBorders>
          </w:tcPr>
          <w:p w14:paraId="242DE4B1" w14:textId="77777777" w:rsidR="004D2BFE" w:rsidRDefault="004D2BFE" w:rsidP="00FF2356">
            <w:pPr>
              <w:jc w:val="right"/>
            </w:pPr>
            <w:r w:rsidRPr="00EE0A20">
              <w:rPr>
                <w:rFonts w:ascii="Calibri" w:hAnsi="Calibri" w:cs="Calibri"/>
                <w:color w:val="000000"/>
              </w:rPr>
              <w:t>5</w:t>
            </w:r>
          </w:p>
        </w:tc>
        <w:tc>
          <w:tcPr>
            <w:tcW w:w="1172" w:type="dxa"/>
            <w:tcBorders>
              <w:top w:val="single" w:sz="4" w:space="0" w:color="auto"/>
              <w:left w:val="single" w:sz="4" w:space="0" w:color="auto"/>
              <w:bottom w:val="single" w:sz="4" w:space="0" w:color="auto"/>
              <w:right w:val="single" w:sz="4" w:space="0" w:color="auto"/>
            </w:tcBorders>
          </w:tcPr>
          <w:p w14:paraId="0FAB3245" w14:textId="77777777" w:rsidR="004D2BFE" w:rsidRDefault="004D2BFE" w:rsidP="00FF2356">
            <w:pPr>
              <w:jc w:val="right"/>
            </w:pPr>
            <w:r w:rsidRPr="00EE0A20">
              <w:rPr>
                <w:rFonts w:ascii="Calibri" w:hAnsi="Calibri" w:cs="Calibri"/>
                <w:color w:val="000000"/>
              </w:rPr>
              <w:t>0</w:t>
            </w:r>
          </w:p>
        </w:tc>
      </w:tr>
      <w:tr w:rsidR="004D2BFE" w14:paraId="57C13284" w14:textId="77777777" w:rsidTr="00FF2356">
        <w:tc>
          <w:tcPr>
            <w:tcW w:w="2361" w:type="dxa"/>
            <w:tcBorders>
              <w:top w:val="single" w:sz="4" w:space="0" w:color="auto"/>
              <w:left w:val="single" w:sz="4" w:space="0" w:color="auto"/>
              <w:bottom w:val="single" w:sz="4" w:space="0" w:color="auto"/>
              <w:right w:val="single" w:sz="4" w:space="0" w:color="auto"/>
            </w:tcBorders>
          </w:tcPr>
          <w:p w14:paraId="5EBAB9DF" w14:textId="77777777" w:rsidR="004D2BFE" w:rsidRDefault="004D2BFE" w:rsidP="00FF2356">
            <w:r w:rsidRPr="00EE0A20">
              <w:rPr>
                <w:rFonts w:cstheme="minorHAnsi"/>
              </w:rPr>
              <w:t>Right of entry</w:t>
            </w:r>
          </w:p>
        </w:tc>
        <w:tc>
          <w:tcPr>
            <w:tcW w:w="1178" w:type="dxa"/>
            <w:tcBorders>
              <w:top w:val="single" w:sz="4" w:space="0" w:color="auto"/>
              <w:left w:val="single" w:sz="4" w:space="0" w:color="auto"/>
              <w:bottom w:val="single" w:sz="4" w:space="0" w:color="auto"/>
              <w:right w:val="single" w:sz="4" w:space="0" w:color="auto"/>
            </w:tcBorders>
          </w:tcPr>
          <w:p w14:paraId="3C798B3C" w14:textId="77777777" w:rsidR="004D2BFE" w:rsidRDefault="004D2BFE" w:rsidP="00FF2356">
            <w:pPr>
              <w:jc w:val="right"/>
            </w:pPr>
            <w:r w:rsidRPr="00EE0A20">
              <w:rPr>
                <w:rFonts w:cstheme="minorHAnsi"/>
              </w:rPr>
              <w:t>8</w:t>
            </w:r>
          </w:p>
        </w:tc>
        <w:tc>
          <w:tcPr>
            <w:tcW w:w="1189" w:type="dxa"/>
            <w:tcBorders>
              <w:top w:val="single" w:sz="4" w:space="0" w:color="auto"/>
              <w:left w:val="single" w:sz="4" w:space="0" w:color="auto"/>
              <w:bottom w:val="single" w:sz="4" w:space="0" w:color="auto"/>
              <w:right w:val="single" w:sz="4" w:space="0" w:color="auto"/>
            </w:tcBorders>
            <w:vAlign w:val="center"/>
          </w:tcPr>
          <w:p w14:paraId="1DDF53DE" w14:textId="77777777" w:rsidR="004D2BFE" w:rsidRDefault="004D2BFE" w:rsidP="00FF2356">
            <w:pPr>
              <w:jc w:val="right"/>
            </w:pPr>
            <w:r w:rsidRPr="00EE0A20">
              <w:rPr>
                <w:rFonts w:ascii="Calibri" w:hAnsi="Calibri" w:cs="Calibri"/>
                <w:color w:val="000000"/>
              </w:rPr>
              <w:t>13.3%</w:t>
            </w:r>
          </w:p>
        </w:tc>
        <w:tc>
          <w:tcPr>
            <w:tcW w:w="1183" w:type="dxa"/>
            <w:tcBorders>
              <w:top w:val="single" w:sz="4" w:space="0" w:color="auto"/>
              <w:left w:val="single" w:sz="4" w:space="0" w:color="auto"/>
              <w:bottom w:val="single" w:sz="4" w:space="0" w:color="auto"/>
              <w:right w:val="single" w:sz="4" w:space="0" w:color="auto"/>
            </w:tcBorders>
          </w:tcPr>
          <w:p w14:paraId="1BA121AD" w14:textId="77777777" w:rsidR="004D2BFE" w:rsidRDefault="004D2BFE" w:rsidP="00FF2356">
            <w:pPr>
              <w:jc w:val="right"/>
            </w:pPr>
            <w:r w:rsidRPr="00EE0A20">
              <w:rPr>
                <w:rFonts w:ascii="Calibri" w:hAnsi="Calibri" w:cs="Calibri"/>
                <w:color w:val="000000"/>
              </w:rPr>
              <w:t>8</w:t>
            </w:r>
          </w:p>
        </w:tc>
        <w:tc>
          <w:tcPr>
            <w:tcW w:w="1176" w:type="dxa"/>
            <w:tcBorders>
              <w:top w:val="single" w:sz="4" w:space="0" w:color="auto"/>
              <w:left w:val="single" w:sz="4" w:space="0" w:color="auto"/>
              <w:bottom w:val="single" w:sz="4" w:space="0" w:color="auto"/>
              <w:right w:val="single" w:sz="4" w:space="0" w:color="auto"/>
            </w:tcBorders>
          </w:tcPr>
          <w:p w14:paraId="0F959BE7" w14:textId="77777777" w:rsidR="004D2BFE" w:rsidRDefault="004D2BFE" w:rsidP="00FF2356">
            <w:pPr>
              <w:jc w:val="right"/>
            </w:pPr>
            <w:r w:rsidRPr="00EE0A20">
              <w:rPr>
                <w:rFonts w:ascii="Calibri" w:hAnsi="Calibri" w:cs="Calibri"/>
                <w:color w:val="000000"/>
              </w:rPr>
              <w:t>0</w:t>
            </w:r>
          </w:p>
        </w:tc>
        <w:tc>
          <w:tcPr>
            <w:tcW w:w="1184" w:type="dxa"/>
            <w:tcBorders>
              <w:top w:val="single" w:sz="4" w:space="0" w:color="auto"/>
              <w:left w:val="single" w:sz="4" w:space="0" w:color="auto"/>
              <w:bottom w:val="single" w:sz="4" w:space="0" w:color="auto"/>
              <w:right w:val="single" w:sz="4" w:space="0" w:color="auto"/>
            </w:tcBorders>
          </w:tcPr>
          <w:p w14:paraId="798AAD47" w14:textId="77777777" w:rsidR="004D2BFE" w:rsidRDefault="004D2BFE" w:rsidP="00FF2356">
            <w:pPr>
              <w:jc w:val="right"/>
            </w:pPr>
            <w:r w:rsidRPr="00EE0A20">
              <w:rPr>
                <w:rFonts w:ascii="Calibri" w:hAnsi="Calibri" w:cs="Calibri"/>
                <w:color w:val="000000"/>
              </w:rPr>
              <w:t>8</w:t>
            </w:r>
          </w:p>
        </w:tc>
        <w:tc>
          <w:tcPr>
            <w:tcW w:w="1172" w:type="dxa"/>
            <w:tcBorders>
              <w:top w:val="single" w:sz="4" w:space="0" w:color="auto"/>
              <w:left w:val="single" w:sz="4" w:space="0" w:color="auto"/>
              <w:bottom w:val="single" w:sz="4" w:space="0" w:color="auto"/>
              <w:right w:val="single" w:sz="4" w:space="0" w:color="auto"/>
            </w:tcBorders>
          </w:tcPr>
          <w:p w14:paraId="58267E1E" w14:textId="77777777" w:rsidR="004D2BFE" w:rsidRDefault="004D2BFE" w:rsidP="00FF2356">
            <w:pPr>
              <w:jc w:val="right"/>
            </w:pPr>
            <w:r w:rsidRPr="00EE0A20">
              <w:rPr>
                <w:rFonts w:ascii="Calibri" w:hAnsi="Calibri" w:cs="Calibri"/>
                <w:color w:val="000000"/>
              </w:rPr>
              <w:t>0</w:t>
            </w:r>
          </w:p>
        </w:tc>
      </w:tr>
      <w:tr w:rsidR="004D2BFE" w14:paraId="42F36BC9" w14:textId="77777777" w:rsidTr="00FF2356">
        <w:tc>
          <w:tcPr>
            <w:tcW w:w="2361" w:type="dxa"/>
            <w:tcBorders>
              <w:top w:val="single" w:sz="4" w:space="0" w:color="auto"/>
              <w:left w:val="single" w:sz="4" w:space="0" w:color="auto"/>
              <w:bottom w:val="single" w:sz="4" w:space="0" w:color="auto"/>
              <w:right w:val="single" w:sz="4" w:space="0" w:color="auto"/>
            </w:tcBorders>
          </w:tcPr>
          <w:p w14:paraId="29BBE831" w14:textId="77777777" w:rsidR="004D2BFE" w:rsidRPr="00EE0A20" w:rsidRDefault="004D2BFE" w:rsidP="00FF2356">
            <w:pPr>
              <w:rPr>
                <w:rFonts w:cstheme="minorHAnsi"/>
              </w:rPr>
            </w:pPr>
            <w:r w:rsidRPr="00EE0A20">
              <w:rPr>
                <w:rFonts w:cstheme="minorHAnsi"/>
              </w:rPr>
              <w:t>Sham contracting</w:t>
            </w:r>
          </w:p>
        </w:tc>
        <w:tc>
          <w:tcPr>
            <w:tcW w:w="1178" w:type="dxa"/>
            <w:tcBorders>
              <w:top w:val="single" w:sz="4" w:space="0" w:color="auto"/>
              <w:left w:val="single" w:sz="4" w:space="0" w:color="auto"/>
              <w:bottom w:val="single" w:sz="4" w:space="0" w:color="auto"/>
              <w:right w:val="single" w:sz="4" w:space="0" w:color="auto"/>
            </w:tcBorders>
          </w:tcPr>
          <w:p w14:paraId="28C76B68" w14:textId="77777777" w:rsidR="004D2BFE" w:rsidRPr="00EE0A20" w:rsidRDefault="004D2BFE" w:rsidP="00FF2356">
            <w:pPr>
              <w:jc w:val="right"/>
              <w:rPr>
                <w:rFonts w:cstheme="minorHAnsi"/>
              </w:rPr>
            </w:pPr>
            <w:r w:rsidRPr="00EE0A20">
              <w:rPr>
                <w:rFonts w:cstheme="minorHAnsi"/>
              </w:rPr>
              <w:t>4</w:t>
            </w:r>
          </w:p>
        </w:tc>
        <w:tc>
          <w:tcPr>
            <w:tcW w:w="1189" w:type="dxa"/>
            <w:tcBorders>
              <w:top w:val="single" w:sz="4" w:space="0" w:color="auto"/>
              <w:left w:val="single" w:sz="4" w:space="0" w:color="auto"/>
              <w:bottom w:val="single" w:sz="4" w:space="0" w:color="auto"/>
              <w:right w:val="single" w:sz="4" w:space="0" w:color="auto"/>
            </w:tcBorders>
            <w:vAlign w:val="center"/>
          </w:tcPr>
          <w:p w14:paraId="057032D3"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6.7%</w:t>
            </w:r>
          </w:p>
        </w:tc>
        <w:tc>
          <w:tcPr>
            <w:tcW w:w="1183" w:type="dxa"/>
            <w:tcBorders>
              <w:top w:val="single" w:sz="4" w:space="0" w:color="auto"/>
              <w:left w:val="single" w:sz="4" w:space="0" w:color="auto"/>
              <w:bottom w:val="single" w:sz="4" w:space="0" w:color="auto"/>
              <w:right w:val="single" w:sz="4" w:space="0" w:color="auto"/>
            </w:tcBorders>
          </w:tcPr>
          <w:p w14:paraId="3C5A8B6A"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4</w:t>
            </w:r>
          </w:p>
        </w:tc>
        <w:tc>
          <w:tcPr>
            <w:tcW w:w="1176" w:type="dxa"/>
            <w:tcBorders>
              <w:top w:val="single" w:sz="4" w:space="0" w:color="auto"/>
              <w:left w:val="single" w:sz="4" w:space="0" w:color="auto"/>
              <w:bottom w:val="single" w:sz="4" w:space="0" w:color="auto"/>
              <w:right w:val="single" w:sz="4" w:space="0" w:color="auto"/>
            </w:tcBorders>
          </w:tcPr>
          <w:p w14:paraId="78A33546"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0</w:t>
            </w:r>
          </w:p>
        </w:tc>
        <w:tc>
          <w:tcPr>
            <w:tcW w:w="1184" w:type="dxa"/>
            <w:tcBorders>
              <w:top w:val="single" w:sz="4" w:space="0" w:color="auto"/>
              <w:left w:val="single" w:sz="4" w:space="0" w:color="auto"/>
              <w:bottom w:val="single" w:sz="4" w:space="0" w:color="auto"/>
              <w:right w:val="single" w:sz="4" w:space="0" w:color="auto"/>
            </w:tcBorders>
          </w:tcPr>
          <w:p w14:paraId="283FC17B"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0</w:t>
            </w:r>
          </w:p>
        </w:tc>
        <w:tc>
          <w:tcPr>
            <w:tcW w:w="1172" w:type="dxa"/>
            <w:tcBorders>
              <w:top w:val="single" w:sz="4" w:space="0" w:color="auto"/>
              <w:left w:val="single" w:sz="4" w:space="0" w:color="auto"/>
              <w:bottom w:val="single" w:sz="4" w:space="0" w:color="auto"/>
              <w:right w:val="single" w:sz="4" w:space="0" w:color="auto"/>
            </w:tcBorders>
          </w:tcPr>
          <w:p w14:paraId="30EE59AF"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0</w:t>
            </w:r>
          </w:p>
        </w:tc>
      </w:tr>
      <w:tr w:rsidR="004D2BFE" w14:paraId="5B081B5C" w14:textId="77777777" w:rsidTr="00FF2356">
        <w:tc>
          <w:tcPr>
            <w:tcW w:w="2361" w:type="dxa"/>
            <w:tcBorders>
              <w:top w:val="single" w:sz="4" w:space="0" w:color="auto"/>
              <w:left w:val="single" w:sz="4" w:space="0" w:color="auto"/>
              <w:bottom w:val="single" w:sz="4" w:space="0" w:color="auto"/>
              <w:right w:val="single" w:sz="4" w:space="0" w:color="auto"/>
            </w:tcBorders>
          </w:tcPr>
          <w:p w14:paraId="0F7AD65D" w14:textId="77777777" w:rsidR="004D2BFE" w:rsidRPr="00EE0A20" w:rsidRDefault="004D2BFE" w:rsidP="00FF2356">
            <w:pPr>
              <w:rPr>
                <w:rFonts w:cstheme="minorHAnsi"/>
              </w:rPr>
            </w:pPr>
            <w:r>
              <w:rPr>
                <w:rFonts w:cstheme="minorHAnsi"/>
              </w:rPr>
              <w:t>Freedom of a</w:t>
            </w:r>
            <w:r w:rsidRPr="00EE0A20">
              <w:rPr>
                <w:rFonts w:cstheme="minorHAnsi"/>
              </w:rPr>
              <w:t>ssociation</w:t>
            </w:r>
          </w:p>
        </w:tc>
        <w:tc>
          <w:tcPr>
            <w:tcW w:w="1178" w:type="dxa"/>
            <w:tcBorders>
              <w:top w:val="single" w:sz="4" w:space="0" w:color="auto"/>
              <w:left w:val="single" w:sz="4" w:space="0" w:color="auto"/>
              <w:bottom w:val="single" w:sz="4" w:space="0" w:color="auto"/>
              <w:right w:val="single" w:sz="4" w:space="0" w:color="auto"/>
            </w:tcBorders>
          </w:tcPr>
          <w:p w14:paraId="767E672D" w14:textId="77777777" w:rsidR="004D2BFE" w:rsidRPr="00EE0A20" w:rsidRDefault="004D2BFE" w:rsidP="00FF2356">
            <w:pPr>
              <w:jc w:val="right"/>
              <w:rPr>
                <w:rFonts w:cstheme="minorHAnsi"/>
              </w:rPr>
            </w:pPr>
            <w:r w:rsidRPr="00EE0A20">
              <w:rPr>
                <w:rFonts w:cstheme="minorHAnsi"/>
              </w:rPr>
              <w:t>4</w:t>
            </w:r>
          </w:p>
        </w:tc>
        <w:tc>
          <w:tcPr>
            <w:tcW w:w="1189" w:type="dxa"/>
            <w:tcBorders>
              <w:top w:val="single" w:sz="4" w:space="0" w:color="auto"/>
              <w:left w:val="single" w:sz="4" w:space="0" w:color="auto"/>
              <w:bottom w:val="single" w:sz="4" w:space="0" w:color="auto"/>
              <w:right w:val="single" w:sz="4" w:space="0" w:color="auto"/>
            </w:tcBorders>
            <w:vAlign w:val="center"/>
          </w:tcPr>
          <w:p w14:paraId="6A492ECB"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6.7%</w:t>
            </w:r>
          </w:p>
        </w:tc>
        <w:tc>
          <w:tcPr>
            <w:tcW w:w="1183" w:type="dxa"/>
            <w:tcBorders>
              <w:top w:val="single" w:sz="4" w:space="0" w:color="auto"/>
              <w:left w:val="single" w:sz="4" w:space="0" w:color="auto"/>
              <w:bottom w:val="single" w:sz="4" w:space="0" w:color="auto"/>
              <w:right w:val="single" w:sz="4" w:space="0" w:color="auto"/>
            </w:tcBorders>
          </w:tcPr>
          <w:p w14:paraId="14950EEB"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2</w:t>
            </w:r>
          </w:p>
        </w:tc>
        <w:tc>
          <w:tcPr>
            <w:tcW w:w="1176" w:type="dxa"/>
            <w:tcBorders>
              <w:top w:val="single" w:sz="4" w:space="0" w:color="auto"/>
              <w:left w:val="single" w:sz="4" w:space="0" w:color="auto"/>
              <w:bottom w:val="single" w:sz="4" w:space="0" w:color="auto"/>
              <w:right w:val="single" w:sz="4" w:space="0" w:color="auto"/>
            </w:tcBorders>
          </w:tcPr>
          <w:p w14:paraId="356A19CD"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2</w:t>
            </w:r>
          </w:p>
        </w:tc>
        <w:tc>
          <w:tcPr>
            <w:tcW w:w="1184" w:type="dxa"/>
            <w:tcBorders>
              <w:top w:val="single" w:sz="4" w:space="0" w:color="auto"/>
              <w:left w:val="single" w:sz="4" w:space="0" w:color="auto"/>
              <w:bottom w:val="single" w:sz="4" w:space="0" w:color="auto"/>
              <w:right w:val="single" w:sz="4" w:space="0" w:color="auto"/>
            </w:tcBorders>
          </w:tcPr>
          <w:p w14:paraId="426C8B70"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0</w:t>
            </w:r>
          </w:p>
        </w:tc>
        <w:tc>
          <w:tcPr>
            <w:tcW w:w="1172" w:type="dxa"/>
            <w:tcBorders>
              <w:top w:val="single" w:sz="4" w:space="0" w:color="auto"/>
              <w:left w:val="single" w:sz="4" w:space="0" w:color="auto"/>
              <w:bottom w:val="single" w:sz="4" w:space="0" w:color="auto"/>
              <w:right w:val="single" w:sz="4" w:space="0" w:color="auto"/>
            </w:tcBorders>
          </w:tcPr>
          <w:p w14:paraId="592E29D8" w14:textId="77777777" w:rsidR="004D2BFE" w:rsidRPr="00EE0A20" w:rsidRDefault="004D2BFE" w:rsidP="00FF2356">
            <w:pPr>
              <w:jc w:val="right"/>
              <w:rPr>
                <w:rFonts w:ascii="Calibri" w:hAnsi="Calibri" w:cs="Calibri"/>
                <w:color w:val="000000"/>
              </w:rPr>
            </w:pPr>
            <w:r w:rsidRPr="00EE0A20">
              <w:rPr>
                <w:rFonts w:ascii="Calibri" w:hAnsi="Calibri" w:cs="Calibri"/>
                <w:color w:val="000000"/>
              </w:rPr>
              <w:t>1</w:t>
            </w:r>
          </w:p>
        </w:tc>
      </w:tr>
      <w:tr w:rsidR="004D2BFE" w14:paraId="436BB29D" w14:textId="77777777" w:rsidTr="00FF2356">
        <w:tc>
          <w:tcPr>
            <w:tcW w:w="2361" w:type="dxa"/>
            <w:tcBorders>
              <w:top w:val="single" w:sz="4" w:space="0" w:color="auto"/>
              <w:left w:val="single" w:sz="4" w:space="0" w:color="auto"/>
              <w:bottom w:val="single" w:sz="4" w:space="0" w:color="auto"/>
              <w:right w:val="single" w:sz="4" w:space="0" w:color="auto"/>
            </w:tcBorders>
          </w:tcPr>
          <w:p w14:paraId="610E74BB" w14:textId="77777777" w:rsidR="004D2BFE" w:rsidRPr="00EE0A20" w:rsidRDefault="004D2BFE" w:rsidP="00FF2356">
            <w:pPr>
              <w:rPr>
                <w:rFonts w:cstheme="minorHAnsi"/>
              </w:rPr>
            </w:pPr>
            <w:r w:rsidRPr="00EE0A20">
              <w:rPr>
                <w:rFonts w:cstheme="minorHAnsi"/>
                <w:b/>
              </w:rPr>
              <w:t>Total</w:t>
            </w:r>
          </w:p>
        </w:tc>
        <w:tc>
          <w:tcPr>
            <w:tcW w:w="1178" w:type="dxa"/>
            <w:tcBorders>
              <w:top w:val="single" w:sz="4" w:space="0" w:color="auto"/>
              <w:left w:val="single" w:sz="4" w:space="0" w:color="auto"/>
              <w:bottom w:val="single" w:sz="4" w:space="0" w:color="auto"/>
              <w:right w:val="single" w:sz="4" w:space="0" w:color="auto"/>
            </w:tcBorders>
          </w:tcPr>
          <w:p w14:paraId="02A121BF" w14:textId="77777777" w:rsidR="004D2BFE" w:rsidRPr="00EE0A20" w:rsidRDefault="004D2BFE" w:rsidP="00FF2356">
            <w:pPr>
              <w:jc w:val="right"/>
              <w:rPr>
                <w:rFonts w:cstheme="minorHAnsi"/>
              </w:rPr>
            </w:pPr>
            <w:r w:rsidRPr="00EE0A20">
              <w:rPr>
                <w:rFonts w:cstheme="minorHAnsi"/>
                <w:b/>
              </w:rPr>
              <w:t>60</w:t>
            </w:r>
          </w:p>
        </w:tc>
        <w:tc>
          <w:tcPr>
            <w:tcW w:w="1189" w:type="dxa"/>
            <w:tcBorders>
              <w:top w:val="single" w:sz="4" w:space="0" w:color="auto"/>
              <w:left w:val="single" w:sz="4" w:space="0" w:color="auto"/>
              <w:bottom w:val="single" w:sz="4" w:space="0" w:color="auto"/>
              <w:right w:val="single" w:sz="4" w:space="0" w:color="auto"/>
            </w:tcBorders>
            <w:vAlign w:val="center"/>
          </w:tcPr>
          <w:p w14:paraId="7A9860DE" w14:textId="77777777" w:rsidR="004D2BFE" w:rsidRPr="00EE0A20" w:rsidRDefault="004D2BFE" w:rsidP="00FF2356">
            <w:pPr>
              <w:jc w:val="right"/>
              <w:rPr>
                <w:rFonts w:ascii="Calibri" w:hAnsi="Calibri" w:cs="Calibri"/>
                <w:color w:val="000000"/>
              </w:rPr>
            </w:pPr>
            <w:r w:rsidRPr="00EE0A20">
              <w:rPr>
                <w:rFonts w:ascii="Calibri" w:hAnsi="Calibri" w:cs="Calibri"/>
                <w:b/>
                <w:color w:val="000000"/>
              </w:rPr>
              <w:t>100.0%</w:t>
            </w:r>
          </w:p>
        </w:tc>
        <w:tc>
          <w:tcPr>
            <w:tcW w:w="1183" w:type="dxa"/>
            <w:tcBorders>
              <w:top w:val="single" w:sz="4" w:space="0" w:color="auto"/>
              <w:left w:val="single" w:sz="4" w:space="0" w:color="auto"/>
              <w:bottom w:val="single" w:sz="4" w:space="0" w:color="auto"/>
              <w:right w:val="single" w:sz="4" w:space="0" w:color="auto"/>
            </w:tcBorders>
          </w:tcPr>
          <w:p w14:paraId="42C9259A" w14:textId="77777777" w:rsidR="004D2BFE" w:rsidRPr="00EE0A20" w:rsidRDefault="004D2BFE" w:rsidP="00FF2356">
            <w:pPr>
              <w:jc w:val="right"/>
              <w:rPr>
                <w:rFonts w:ascii="Calibri" w:hAnsi="Calibri" w:cs="Calibri"/>
                <w:color w:val="000000"/>
              </w:rPr>
            </w:pPr>
            <w:r w:rsidRPr="00EE0A20">
              <w:rPr>
                <w:rFonts w:ascii="Calibri" w:hAnsi="Calibri" w:cs="Calibri"/>
                <w:b/>
                <w:color w:val="000000"/>
              </w:rPr>
              <w:t>36 (48.0%)</w:t>
            </w:r>
          </w:p>
        </w:tc>
        <w:tc>
          <w:tcPr>
            <w:tcW w:w="1176" w:type="dxa"/>
            <w:tcBorders>
              <w:top w:val="single" w:sz="4" w:space="0" w:color="auto"/>
              <w:left w:val="single" w:sz="4" w:space="0" w:color="auto"/>
              <w:bottom w:val="single" w:sz="4" w:space="0" w:color="auto"/>
              <w:right w:val="single" w:sz="4" w:space="0" w:color="auto"/>
            </w:tcBorders>
          </w:tcPr>
          <w:p w14:paraId="39B46694" w14:textId="77777777" w:rsidR="004D2BFE" w:rsidRPr="00EE0A20" w:rsidRDefault="004D2BFE" w:rsidP="00FF2356">
            <w:pPr>
              <w:jc w:val="right"/>
              <w:rPr>
                <w:rFonts w:ascii="Calibri" w:hAnsi="Calibri" w:cs="Calibri"/>
                <w:color w:val="000000"/>
              </w:rPr>
            </w:pPr>
            <w:r w:rsidRPr="00EE0A20">
              <w:rPr>
                <w:rFonts w:ascii="Calibri" w:hAnsi="Calibri" w:cs="Calibri"/>
                <w:b/>
                <w:color w:val="000000"/>
              </w:rPr>
              <w:t>27 (36.0%)</w:t>
            </w:r>
          </w:p>
        </w:tc>
        <w:tc>
          <w:tcPr>
            <w:tcW w:w="1184" w:type="dxa"/>
            <w:tcBorders>
              <w:top w:val="single" w:sz="4" w:space="0" w:color="auto"/>
              <w:left w:val="single" w:sz="4" w:space="0" w:color="auto"/>
              <w:bottom w:val="single" w:sz="4" w:space="0" w:color="auto"/>
              <w:right w:val="single" w:sz="4" w:space="0" w:color="auto"/>
            </w:tcBorders>
          </w:tcPr>
          <w:p w14:paraId="58D0093E" w14:textId="77777777" w:rsidR="004D2BFE" w:rsidRPr="00EE0A20" w:rsidRDefault="004D2BFE" w:rsidP="00FF2356">
            <w:pPr>
              <w:jc w:val="right"/>
              <w:rPr>
                <w:rFonts w:ascii="Calibri" w:hAnsi="Calibri" w:cs="Calibri"/>
                <w:color w:val="000000"/>
              </w:rPr>
            </w:pPr>
            <w:r w:rsidRPr="00EE0A20">
              <w:rPr>
                <w:rFonts w:ascii="Calibri" w:hAnsi="Calibri" w:cs="Calibri"/>
                <w:b/>
                <w:color w:val="000000"/>
              </w:rPr>
              <w:t>11 (14.7%)</w:t>
            </w:r>
          </w:p>
        </w:tc>
        <w:tc>
          <w:tcPr>
            <w:tcW w:w="1172" w:type="dxa"/>
            <w:tcBorders>
              <w:top w:val="single" w:sz="4" w:space="0" w:color="auto"/>
              <w:left w:val="single" w:sz="4" w:space="0" w:color="auto"/>
              <w:bottom w:val="single" w:sz="4" w:space="0" w:color="auto"/>
              <w:right w:val="single" w:sz="4" w:space="0" w:color="auto"/>
            </w:tcBorders>
          </w:tcPr>
          <w:p w14:paraId="3FFF6252" w14:textId="77777777" w:rsidR="004D2BFE" w:rsidRPr="00EE0A20" w:rsidRDefault="004D2BFE" w:rsidP="00FF2356">
            <w:pPr>
              <w:jc w:val="right"/>
              <w:rPr>
                <w:rFonts w:ascii="Calibri" w:hAnsi="Calibri" w:cs="Calibri"/>
                <w:color w:val="000000"/>
              </w:rPr>
            </w:pPr>
            <w:r w:rsidRPr="00EE0A20">
              <w:rPr>
                <w:rFonts w:ascii="Calibri" w:hAnsi="Calibri" w:cs="Calibri"/>
                <w:b/>
                <w:color w:val="000000"/>
              </w:rPr>
              <w:t>1 (1.3%)</w:t>
            </w:r>
          </w:p>
        </w:tc>
      </w:tr>
    </w:tbl>
    <w:p w14:paraId="15B00E2D" w14:textId="3504425D" w:rsidR="004D2BFE" w:rsidRDefault="004D2BFE" w:rsidP="00806BB7">
      <w:pPr>
        <w:pStyle w:val="Source"/>
        <w:spacing w:after="0"/>
      </w:pPr>
      <w:r w:rsidRPr="00B2722A">
        <w:t>Source</w:t>
      </w:r>
      <w:r>
        <w:t xml:space="preserve">: </w:t>
      </w:r>
      <w:r w:rsidR="00A85338" w:rsidRPr="00CB581A">
        <w:rPr>
          <w:b w:val="0"/>
        </w:rPr>
        <w:t>Unpublished data provided by the</w:t>
      </w:r>
      <w:r w:rsidR="00A85338">
        <w:t xml:space="preserve"> </w:t>
      </w:r>
      <w:r w:rsidR="00A85338" w:rsidRPr="00CF5855">
        <w:rPr>
          <w:b w:val="0"/>
        </w:rPr>
        <w:t>ABCC</w:t>
      </w:r>
    </w:p>
    <w:p w14:paraId="036FD138" w14:textId="763EB0F6" w:rsidR="00F72362" w:rsidRDefault="00F72362" w:rsidP="00806BB7">
      <w:pPr>
        <w:spacing w:after="0"/>
      </w:pPr>
    </w:p>
    <w:p w14:paraId="3224C8CC" w14:textId="1E82E464" w:rsidR="0006311E" w:rsidRDefault="0006311E" w:rsidP="0006311E">
      <w:pPr>
        <w:pStyle w:val="Caption"/>
        <w:keepNext/>
        <w:spacing w:before="0"/>
      </w:pPr>
      <w:r>
        <w:t xml:space="preserve">Table </w:t>
      </w:r>
      <w:r>
        <w:rPr>
          <w:noProof/>
        </w:rPr>
        <w:t xml:space="preserve">A.4: </w:t>
      </w:r>
      <w:r w:rsidRPr="00146647">
        <w:rPr>
          <w:noProof/>
        </w:rPr>
        <w:t>Investigations open during the</w:t>
      </w:r>
      <w:r>
        <w:rPr>
          <w:noProof/>
        </w:rPr>
        <w:t xml:space="preserve"> quarterly</w:t>
      </w:r>
      <w:r w:rsidRPr="00146647">
        <w:rPr>
          <w:noProof/>
        </w:rPr>
        <w:t xml:space="preserve"> reporting period</w:t>
      </w:r>
      <w:r>
        <w:rPr>
          <w:noProof/>
        </w:rPr>
        <w:t>s</w:t>
      </w:r>
    </w:p>
    <w:tbl>
      <w:tblPr>
        <w:tblStyle w:val="DEEWRTable"/>
        <w:tblW w:w="9413" w:type="dxa"/>
        <w:tblLook w:val="0420" w:firstRow="1" w:lastRow="0" w:firstColumn="0" w:lastColumn="0" w:noHBand="0" w:noVBand="1"/>
        <w:tblCaption w:val="Table A.4: Investigations open during the quarterly reporting periods"/>
        <w:tblDescription w:val="This table sets out the number and percentage of investigations open by subject for the quarterly reporting periods, January to March 2017, April to June 2017 and July to September 2017."/>
      </w:tblPr>
      <w:tblGrid>
        <w:gridCol w:w="2379"/>
        <w:gridCol w:w="1178"/>
        <w:gridCol w:w="1178"/>
        <w:gridCol w:w="1178"/>
        <w:gridCol w:w="1178"/>
        <w:gridCol w:w="1178"/>
        <w:gridCol w:w="1144"/>
      </w:tblGrid>
      <w:tr w:rsidR="0006311E" w:rsidRPr="00146647" w14:paraId="4A0C515C" w14:textId="77777777" w:rsidTr="000218CE">
        <w:trPr>
          <w:cnfStyle w:val="100000000000" w:firstRow="1" w:lastRow="0" w:firstColumn="0" w:lastColumn="0" w:oddVBand="0" w:evenVBand="0" w:oddHBand="0" w:evenHBand="0" w:firstRowFirstColumn="0" w:firstRowLastColumn="0" w:lastRowFirstColumn="0" w:lastRowLastColumn="0"/>
        </w:trPr>
        <w:tc>
          <w:tcPr>
            <w:tcW w:w="2379" w:type="dxa"/>
            <w:tcBorders>
              <w:top w:val="single" w:sz="4" w:space="0" w:color="auto"/>
              <w:left w:val="single" w:sz="4" w:space="0" w:color="auto"/>
              <w:bottom w:val="single" w:sz="4" w:space="0" w:color="auto"/>
              <w:right w:val="single" w:sz="4" w:space="0" w:color="auto"/>
            </w:tcBorders>
            <w:shd w:val="clear" w:color="auto" w:fill="1E3D6B"/>
          </w:tcPr>
          <w:p w14:paraId="4837F66D" w14:textId="77777777" w:rsidR="0006311E" w:rsidRPr="00146647" w:rsidRDefault="0006311E" w:rsidP="000B081C">
            <w:r w:rsidRPr="00146647">
              <w:rPr>
                <w:rFonts w:cstheme="minorHAnsi"/>
              </w:rPr>
              <w:t>Subject</w:t>
            </w:r>
          </w:p>
        </w:tc>
        <w:tc>
          <w:tcPr>
            <w:tcW w:w="1178" w:type="dxa"/>
            <w:tcBorders>
              <w:top w:val="single" w:sz="4" w:space="0" w:color="auto"/>
              <w:left w:val="single" w:sz="4" w:space="0" w:color="auto"/>
              <w:bottom w:val="single" w:sz="4" w:space="0" w:color="auto"/>
              <w:right w:val="single" w:sz="4" w:space="0" w:color="auto"/>
            </w:tcBorders>
            <w:shd w:val="clear" w:color="auto" w:fill="1E3D6B"/>
          </w:tcPr>
          <w:p w14:paraId="25F595E8" w14:textId="77777777" w:rsidR="0006311E" w:rsidRPr="00146647" w:rsidRDefault="0006311E" w:rsidP="000B081C">
            <w:pPr>
              <w:jc w:val="right"/>
              <w:rPr>
                <w:rFonts w:cstheme="minorHAnsi"/>
              </w:rPr>
            </w:pPr>
            <w:r>
              <w:rPr>
                <w:rFonts w:cstheme="minorHAnsi"/>
              </w:rPr>
              <w:t>Jan</w:t>
            </w:r>
            <w:r>
              <w:rPr>
                <w:rFonts w:cstheme="minorHAnsi"/>
              </w:rPr>
              <w:noBreakHyphen/>
              <w:t>Mar </w:t>
            </w:r>
            <w:r w:rsidRPr="00146647">
              <w:rPr>
                <w:rFonts w:cstheme="minorHAnsi"/>
              </w:rPr>
              <w:t>17</w:t>
            </w:r>
          </w:p>
        </w:tc>
        <w:tc>
          <w:tcPr>
            <w:tcW w:w="1178" w:type="dxa"/>
            <w:tcBorders>
              <w:top w:val="single" w:sz="4" w:space="0" w:color="auto"/>
              <w:left w:val="single" w:sz="4" w:space="0" w:color="auto"/>
              <w:bottom w:val="single" w:sz="4" w:space="0" w:color="auto"/>
              <w:right w:val="single" w:sz="4" w:space="0" w:color="auto"/>
            </w:tcBorders>
            <w:shd w:val="clear" w:color="auto" w:fill="1E3D6B"/>
          </w:tcPr>
          <w:p w14:paraId="5984A4BF" w14:textId="77777777" w:rsidR="0006311E" w:rsidRPr="00146647" w:rsidRDefault="0006311E" w:rsidP="000B081C">
            <w:pPr>
              <w:jc w:val="right"/>
              <w:rPr>
                <w:rFonts w:cstheme="minorHAnsi"/>
              </w:rPr>
            </w:pPr>
            <w:r w:rsidRPr="00146647">
              <w:rPr>
                <w:rFonts w:cstheme="minorHAnsi"/>
              </w:rPr>
              <w:t>%</w:t>
            </w:r>
          </w:p>
        </w:tc>
        <w:tc>
          <w:tcPr>
            <w:tcW w:w="1178" w:type="dxa"/>
            <w:tcBorders>
              <w:top w:val="single" w:sz="4" w:space="0" w:color="auto"/>
              <w:left w:val="single" w:sz="4" w:space="0" w:color="auto"/>
              <w:bottom w:val="single" w:sz="4" w:space="0" w:color="auto"/>
              <w:right w:val="single" w:sz="4" w:space="0" w:color="auto"/>
            </w:tcBorders>
            <w:shd w:val="clear" w:color="auto" w:fill="1E3D6B"/>
          </w:tcPr>
          <w:p w14:paraId="50B10775" w14:textId="77777777" w:rsidR="0006311E" w:rsidRPr="00146647" w:rsidRDefault="0006311E" w:rsidP="000B081C">
            <w:pPr>
              <w:jc w:val="right"/>
              <w:rPr>
                <w:rFonts w:cstheme="minorHAnsi"/>
              </w:rPr>
            </w:pPr>
            <w:r w:rsidRPr="00146647">
              <w:rPr>
                <w:rFonts w:cstheme="minorHAnsi"/>
              </w:rPr>
              <w:t>Apr</w:t>
            </w:r>
            <w:r>
              <w:rPr>
                <w:rFonts w:cstheme="minorHAnsi"/>
              </w:rPr>
              <w:noBreakHyphen/>
              <w:t>Jun </w:t>
            </w:r>
            <w:r w:rsidRPr="00146647">
              <w:rPr>
                <w:rFonts w:cstheme="minorHAnsi"/>
              </w:rPr>
              <w:t>17</w:t>
            </w:r>
          </w:p>
        </w:tc>
        <w:tc>
          <w:tcPr>
            <w:tcW w:w="1178" w:type="dxa"/>
            <w:tcBorders>
              <w:top w:val="single" w:sz="4" w:space="0" w:color="auto"/>
              <w:left w:val="single" w:sz="4" w:space="0" w:color="auto"/>
              <w:bottom w:val="single" w:sz="4" w:space="0" w:color="auto"/>
              <w:right w:val="single" w:sz="4" w:space="0" w:color="auto"/>
            </w:tcBorders>
            <w:shd w:val="clear" w:color="auto" w:fill="1E3D6B"/>
          </w:tcPr>
          <w:p w14:paraId="3277E5B4" w14:textId="77777777" w:rsidR="0006311E" w:rsidRPr="00146647" w:rsidRDefault="0006311E" w:rsidP="000B081C">
            <w:pPr>
              <w:jc w:val="right"/>
              <w:rPr>
                <w:rFonts w:cstheme="minorHAnsi"/>
              </w:rPr>
            </w:pPr>
            <w:r w:rsidRPr="00146647">
              <w:rPr>
                <w:rFonts w:cstheme="minorHAnsi"/>
              </w:rPr>
              <w:t>%</w:t>
            </w:r>
          </w:p>
        </w:tc>
        <w:tc>
          <w:tcPr>
            <w:tcW w:w="1178" w:type="dxa"/>
            <w:tcBorders>
              <w:top w:val="single" w:sz="4" w:space="0" w:color="auto"/>
              <w:left w:val="single" w:sz="4" w:space="0" w:color="auto"/>
              <w:bottom w:val="single" w:sz="4" w:space="0" w:color="auto"/>
              <w:right w:val="single" w:sz="4" w:space="0" w:color="auto"/>
            </w:tcBorders>
            <w:shd w:val="clear" w:color="auto" w:fill="1E3D6B"/>
          </w:tcPr>
          <w:p w14:paraId="3CB3E7D5" w14:textId="77777777" w:rsidR="0006311E" w:rsidRPr="00146647" w:rsidRDefault="0006311E" w:rsidP="000B081C">
            <w:pPr>
              <w:jc w:val="right"/>
            </w:pPr>
            <w:r w:rsidRPr="00146647">
              <w:rPr>
                <w:rFonts w:cstheme="minorHAnsi"/>
              </w:rPr>
              <w:t>Jul</w:t>
            </w:r>
            <w:r>
              <w:rPr>
                <w:rFonts w:cstheme="minorHAnsi"/>
              </w:rPr>
              <w:noBreakHyphen/>
              <w:t>Sep </w:t>
            </w:r>
            <w:r w:rsidRPr="00146647">
              <w:rPr>
                <w:rFonts w:cstheme="minorHAnsi"/>
              </w:rPr>
              <w:t>17</w:t>
            </w:r>
          </w:p>
        </w:tc>
        <w:tc>
          <w:tcPr>
            <w:tcW w:w="1144" w:type="dxa"/>
            <w:tcBorders>
              <w:top w:val="single" w:sz="4" w:space="0" w:color="auto"/>
              <w:left w:val="single" w:sz="4" w:space="0" w:color="auto"/>
              <w:bottom w:val="single" w:sz="4" w:space="0" w:color="auto"/>
              <w:right w:val="single" w:sz="4" w:space="0" w:color="auto"/>
            </w:tcBorders>
            <w:shd w:val="clear" w:color="auto" w:fill="1E3D6B"/>
          </w:tcPr>
          <w:p w14:paraId="5CD1AE1E" w14:textId="77777777" w:rsidR="0006311E" w:rsidRPr="00146647" w:rsidRDefault="0006311E" w:rsidP="000B081C">
            <w:pPr>
              <w:jc w:val="right"/>
            </w:pPr>
            <w:r w:rsidRPr="00146647">
              <w:rPr>
                <w:rFonts w:cstheme="minorHAnsi"/>
              </w:rPr>
              <w:t>%</w:t>
            </w:r>
          </w:p>
        </w:tc>
      </w:tr>
      <w:tr w:rsidR="0006311E" w14:paraId="47FCD97C" w14:textId="77777777" w:rsidTr="0006311E">
        <w:tc>
          <w:tcPr>
            <w:tcW w:w="2379" w:type="dxa"/>
            <w:tcBorders>
              <w:top w:val="single" w:sz="4" w:space="0" w:color="auto"/>
              <w:left w:val="single" w:sz="4" w:space="0" w:color="auto"/>
              <w:bottom w:val="single" w:sz="6" w:space="0" w:color="auto"/>
              <w:right w:val="single" w:sz="6" w:space="0" w:color="auto"/>
            </w:tcBorders>
          </w:tcPr>
          <w:p w14:paraId="559A09AB" w14:textId="77777777" w:rsidR="0006311E" w:rsidRDefault="0006311E" w:rsidP="000B081C">
            <w:r w:rsidRPr="00EE0A20">
              <w:rPr>
                <w:rFonts w:cstheme="minorHAnsi"/>
              </w:rPr>
              <w:t>Coercion</w:t>
            </w:r>
          </w:p>
        </w:tc>
        <w:tc>
          <w:tcPr>
            <w:tcW w:w="1178" w:type="dxa"/>
            <w:tcBorders>
              <w:top w:val="single" w:sz="4" w:space="0" w:color="auto"/>
              <w:left w:val="single" w:sz="6" w:space="0" w:color="auto"/>
              <w:bottom w:val="single" w:sz="6" w:space="0" w:color="auto"/>
              <w:right w:val="single" w:sz="6" w:space="0" w:color="auto"/>
            </w:tcBorders>
          </w:tcPr>
          <w:p w14:paraId="1171B765" w14:textId="77777777" w:rsidR="0006311E" w:rsidRPr="00EE0A20" w:rsidRDefault="0006311E" w:rsidP="000B081C">
            <w:pPr>
              <w:jc w:val="right"/>
              <w:rPr>
                <w:rFonts w:cstheme="minorHAnsi"/>
              </w:rPr>
            </w:pPr>
            <w:r w:rsidRPr="00EE0A20">
              <w:rPr>
                <w:rFonts w:cstheme="minorHAnsi"/>
              </w:rPr>
              <w:t>27</w:t>
            </w:r>
          </w:p>
        </w:tc>
        <w:tc>
          <w:tcPr>
            <w:tcW w:w="1178" w:type="dxa"/>
            <w:tcBorders>
              <w:top w:val="single" w:sz="4" w:space="0" w:color="auto"/>
              <w:left w:val="single" w:sz="6" w:space="0" w:color="auto"/>
              <w:bottom w:val="single" w:sz="6" w:space="0" w:color="auto"/>
              <w:right w:val="single" w:sz="6" w:space="0" w:color="auto"/>
            </w:tcBorders>
          </w:tcPr>
          <w:p w14:paraId="5295621A" w14:textId="77777777" w:rsidR="0006311E" w:rsidRPr="00EE0A20" w:rsidRDefault="0006311E" w:rsidP="000B081C">
            <w:pPr>
              <w:jc w:val="right"/>
              <w:rPr>
                <w:rFonts w:cstheme="minorHAnsi"/>
              </w:rPr>
            </w:pPr>
            <w:r w:rsidRPr="00EE0A20">
              <w:rPr>
                <w:rFonts w:ascii="Calibri" w:hAnsi="Calibri" w:cstheme="minorHAnsi"/>
                <w:color w:val="000000"/>
              </w:rPr>
              <w:t>33.3%</w:t>
            </w:r>
          </w:p>
        </w:tc>
        <w:tc>
          <w:tcPr>
            <w:tcW w:w="1178" w:type="dxa"/>
            <w:tcBorders>
              <w:top w:val="single" w:sz="4" w:space="0" w:color="auto"/>
              <w:left w:val="single" w:sz="6" w:space="0" w:color="auto"/>
              <w:bottom w:val="single" w:sz="6" w:space="0" w:color="auto"/>
              <w:right w:val="single" w:sz="6" w:space="0" w:color="auto"/>
            </w:tcBorders>
          </w:tcPr>
          <w:p w14:paraId="47E15311" w14:textId="77777777" w:rsidR="0006311E" w:rsidRPr="00EE0A20" w:rsidRDefault="0006311E" w:rsidP="000B081C">
            <w:pPr>
              <w:jc w:val="right"/>
              <w:rPr>
                <w:rFonts w:cstheme="minorHAnsi"/>
              </w:rPr>
            </w:pPr>
            <w:r w:rsidRPr="00EE0A20">
              <w:rPr>
                <w:rFonts w:cstheme="minorHAnsi"/>
              </w:rPr>
              <w:t>20</w:t>
            </w:r>
          </w:p>
        </w:tc>
        <w:tc>
          <w:tcPr>
            <w:tcW w:w="1178" w:type="dxa"/>
            <w:tcBorders>
              <w:top w:val="single" w:sz="4" w:space="0" w:color="auto"/>
              <w:left w:val="single" w:sz="6" w:space="0" w:color="auto"/>
              <w:bottom w:val="single" w:sz="6" w:space="0" w:color="auto"/>
              <w:right w:val="single" w:sz="6" w:space="0" w:color="auto"/>
            </w:tcBorders>
          </w:tcPr>
          <w:p w14:paraId="2A3C81ED" w14:textId="77777777" w:rsidR="0006311E" w:rsidRPr="00EE0A20" w:rsidRDefault="0006311E" w:rsidP="000B081C">
            <w:pPr>
              <w:jc w:val="right"/>
              <w:rPr>
                <w:rFonts w:cstheme="minorHAnsi"/>
              </w:rPr>
            </w:pPr>
            <w:r w:rsidRPr="00EE0A20">
              <w:rPr>
                <w:rFonts w:ascii="Calibri" w:hAnsi="Calibri" w:cstheme="minorHAnsi"/>
                <w:color w:val="000000"/>
              </w:rPr>
              <w:t>24.4%</w:t>
            </w:r>
          </w:p>
        </w:tc>
        <w:tc>
          <w:tcPr>
            <w:tcW w:w="1178" w:type="dxa"/>
            <w:tcBorders>
              <w:top w:val="single" w:sz="4" w:space="0" w:color="auto"/>
              <w:left w:val="single" w:sz="6" w:space="0" w:color="auto"/>
              <w:bottom w:val="single" w:sz="6" w:space="0" w:color="auto"/>
              <w:right w:val="single" w:sz="6" w:space="0" w:color="auto"/>
            </w:tcBorders>
          </w:tcPr>
          <w:p w14:paraId="6E513743" w14:textId="77777777" w:rsidR="0006311E" w:rsidRDefault="0006311E" w:rsidP="000B081C">
            <w:pPr>
              <w:jc w:val="right"/>
            </w:pPr>
            <w:r w:rsidRPr="00EE0A20">
              <w:rPr>
                <w:rFonts w:cstheme="minorHAnsi"/>
              </w:rPr>
              <w:t>21</w:t>
            </w:r>
          </w:p>
        </w:tc>
        <w:tc>
          <w:tcPr>
            <w:tcW w:w="1144" w:type="dxa"/>
            <w:tcBorders>
              <w:top w:val="single" w:sz="4" w:space="0" w:color="auto"/>
              <w:left w:val="single" w:sz="6" w:space="0" w:color="auto"/>
              <w:bottom w:val="single" w:sz="6" w:space="0" w:color="auto"/>
              <w:right w:val="single" w:sz="6" w:space="0" w:color="auto"/>
            </w:tcBorders>
          </w:tcPr>
          <w:p w14:paraId="3CC20132" w14:textId="77777777" w:rsidR="0006311E" w:rsidRDefault="0006311E" w:rsidP="000B081C">
            <w:pPr>
              <w:jc w:val="right"/>
            </w:pPr>
            <w:r w:rsidRPr="00EE0A20">
              <w:rPr>
                <w:rFonts w:ascii="Calibri" w:hAnsi="Calibri" w:cstheme="minorHAnsi"/>
                <w:color w:val="000000"/>
              </w:rPr>
              <w:t>25.6%</w:t>
            </w:r>
          </w:p>
        </w:tc>
      </w:tr>
      <w:tr w:rsidR="0006311E" w14:paraId="78DD5F04" w14:textId="77777777" w:rsidTr="0006311E">
        <w:tc>
          <w:tcPr>
            <w:tcW w:w="2379" w:type="dxa"/>
            <w:tcBorders>
              <w:top w:val="single" w:sz="6" w:space="0" w:color="auto"/>
              <w:left w:val="single" w:sz="4" w:space="0" w:color="auto"/>
              <w:bottom w:val="single" w:sz="6" w:space="0" w:color="auto"/>
              <w:right w:val="single" w:sz="6" w:space="0" w:color="auto"/>
            </w:tcBorders>
          </w:tcPr>
          <w:p w14:paraId="4A303CC4" w14:textId="77777777" w:rsidR="0006311E" w:rsidRDefault="0006311E" w:rsidP="000B081C">
            <w:r w:rsidRPr="00EE0A20">
              <w:rPr>
                <w:rFonts w:cstheme="minorHAnsi"/>
              </w:rPr>
              <w:t>Wages &amp; entitlements</w:t>
            </w:r>
          </w:p>
        </w:tc>
        <w:tc>
          <w:tcPr>
            <w:tcW w:w="1178" w:type="dxa"/>
            <w:tcBorders>
              <w:top w:val="single" w:sz="6" w:space="0" w:color="auto"/>
              <w:left w:val="single" w:sz="6" w:space="0" w:color="auto"/>
              <w:bottom w:val="single" w:sz="6" w:space="0" w:color="auto"/>
              <w:right w:val="single" w:sz="6" w:space="0" w:color="auto"/>
            </w:tcBorders>
          </w:tcPr>
          <w:p w14:paraId="3798196C" w14:textId="77777777" w:rsidR="0006311E" w:rsidRPr="00EE0A20" w:rsidRDefault="0006311E" w:rsidP="000B081C">
            <w:pPr>
              <w:jc w:val="right"/>
              <w:rPr>
                <w:rFonts w:cstheme="minorHAnsi"/>
              </w:rPr>
            </w:pPr>
            <w:r w:rsidRPr="00EE0A20">
              <w:rPr>
                <w:rFonts w:cstheme="minorHAnsi"/>
              </w:rPr>
              <w:t>10</w:t>
            </w:r>
          </w:p>
        </w:tc>
        <w:tc>
          <w:tcPr>
            <w:tcW w:w="1178" w:type="dxa"/>
            <w:tcBorders>
              <w:top w:val="single" w:sz="6" w:space="0" w:color="auto"/>
              <w:left w:val="single" w:sz="6" w:space="0" w:color="auto"/>
              <w:bottom w:val="single" w:sz="6" w:space="0" w:color="auto"/>
              <w:right w:val="single" w:sz="6" w:space="0" w:color="auto"/>
            </w:tcBorders>
          </w:tcPr>
          <w:p w14:paraId="6114257D" w14:textId="77777777" w:rsidR="0006311E" w:rsidRPr="00EE0A20" w:rsidRDefault="0006311E" w:rsidP="000B081C">
            <w:pPr>
              <w:jc w:val="right"/>
              <w:rPr>
                <w:rFonts w:cstheme="minorHAnsi"/>
              </w:rPr>
            </w:pPr>
            <w:r w:rsidRPr="00EE0A20">
              <w:rPr>
                <w:rFonts w:ascii="Calibri" w:hAnsi="Calibri" w:cstheme="minorHAnsi"/>
                <w:color w:val="000000"/>
              </w:rPr>
              <w:t>12.3%</w:t>
            </w:r>
          </w:p>
        </w:tc>
        <w:tc>
          <w:tcPr>
            <w:tcW w:w="1178" w:type="dxa"/>
            <w:tcBorders>
              <w:top w:val="single" w:sz="6" w:space="0" w:color="auto"/>
              <w:left w:val="single" w:sz="6" w:space="0" w:color="auto"/>
              <w:bottom w:val="single" w:sz="6" w:space="0" w:color="auto"/>
              <w:right w:val="single" w:sz="6" w:space="0" w:color="auto"/>
            </w:tcBorders>
          </w:tcPr>
          <w:p w14:paraId="5CEF23C5" w14:textId="77777777" w:rsidR="0006311E" w:rsidRPr="00EE0A20" w:rsidRDefault="0006311E" w:rsidP="000B081C">
            <w:pPr>
              <w:jc w:val="right"/>
              <w:rPr>
                <w:rFonts w:cstheme="minorHAnsi"/>
              </w:rPr>
            </w:pPr>
            <w:r w:rsidRPr="00EE0A20">
              <w:rPr>
                <w:rFonts w:cstheme="minorHAnsi"/>
              </w:rPr>
              <w:t>13</w:t>
            </w:r>
          </w:p>
        </w:tc>
        <w:tc>
          <w:tcPr>
            <w:tcW w:w="1178" w:type="dxa"/>
            <w:tcBorders>
              <w:top w:val="single" w:sz="6" w:space="0" w:color="auto"/>
              <w:left w:val="single" w:sz="6" w:space="0" w:color="auto"/>
              <w:bottom w:val="single" w:sz="6" w:space="0" w:color="auto"/>
              <w:right w:val="single" w:sz="6" w:space="0" w:color="auto"/>
            </w:tcBorders>
          </w:tcPr>
          <w:p w14:paraId="5D3C23F7" w14:textId="77777777" w:rsidR="0006311E" w:rsidRPr="00EE0A20" w:rsidRDefault="0006311E" w:rsidP="000B081C">
            <w:pPr>
              <w:jc w:val="right"/>
              <w:rPr>
                <w:rFonts w:cstheme="minorHAnsi"/>
              </w:rPr>
            </w:pPr>
            <w:r w:rsidRPr="00EE0A20">
              <w:rPr>
                <w:rFonts w:ascii="Calibri" w:hAnsi="Calibri" w:cstheme="minorHAnsi"/>
                <w:color w:val="000000"/>
              </w:rPr>
              <w:t>15.9%</w:t>
            </w:r>
          </w:p>
        </w:tc>
        <w:tc>
          <w:tcPr>
            <w:tcW w:w="1178" w:type="dxa"/>
            <w:tcBorders>
              <w:top w:val="single" w:sz="6" w:space="0" w:color="auto"/>
              <w:left w:val="single" w:sz="6" w:space="0" w:color="auto"/>
              <w:bottom w:val="single" w:sz="6" w:space="0" w:color="auto"/>
              <w:right w:val="single" w:sz="6" w:space="0" w:color="auto"/>
            </w:tcBorders>
          </w:tcPr>
          <w:p w14:paraId="673CAE0B" w14:textId="77777777" w:rsidR="0006311E" w:rsidRDefault="0006311E" w:rsidP="000B081C">
            <w:pPr>
              <w:jc w:val="right"/>
            </w:pPr>
            <w:r w:rsidRPr="00EE0A20">
              <w:rPr>
                <w:rFonts w:cstheme="minorHAnsi"/>
              </w:rPr>
              <w:t>20</w:t>
            </w:r>
          </w:p>
        </w:tc>
        <w:tc>
          <w:tcPr>
            <w:tcW w:w="1144" w:type="dxa"/>
            <w:tcBorders>
              <w:top w:val="single" w:sz="6" w:space="0" w:color="auto"/>
              <w:left w:val="single" w:sz="6" w:space="0" w:color="auto"/>
              <w:bottom w:val="single" w:sz="6" w:space="0" w:color="auto"/>
              <w:right w:val="single" w:sz="6" w:space="0" w:color="auto"/>
            </w:tcBorders>
          </w:tcPr>
          <w:p w14:paraId="1DEDCABE" w14:textId="77777777" w:rsidR="0006311E" w:rsidRDefault="0006311E" w:rsidP="000B081C">
            <w:pPr>
              <w:jc w:val="right"/>
            </w:pPr>
            <w:r w:rsidRPr="00EE0A20">
              <w:rPr>
                <w:rFonts w:ascii="Calibri" w:hAnsi="Calibri" w:cstheme="minorHAnsi"/>
                <w:color w:val="000000"/>
              </w:rPr>
              <w:t>24.4%</w:t>
            </w:r>
          </w:p>
        </w:tc>
      </w:tr>
      <w:tr w:rsidR="0006311E" w14:paraId="0B9B94EF" w14:textId="77777777" w:rsidTr="0006311E">
        <w:tc>
          <w:tcPr>
            <w:tcW w:w="2379" w:type="dxa"/>
            <w:tcBorders>
              <w:top w:val="single" w:sz="6" w:space="0" w:color="auto"/>
              <w:left w:val="single" w:sz="4" w:space="0" w:color="auto"/>
              <w:bottom w:val="single" w:sz="6" w:space="0" w:color="auto"/>
              <w:right w:val="single" w:sz="6" w:space="0" w:color="auto"/>
            </w:tcBorders>
          </w:tcPr>
          <w:p w14:paraId="5F93153C" w14:textId="77777777" w:rsidR="0006311E" w:rsidRDefault="0006311E" w:rsidP="000B081C">
            <w:r w:rsidRPr="00EE0A20">
              <w:rPr>
                <w:rFonts w:cstheme="minorHAnsi"/>
              </w:rPr>
              <w:t>Unlawful industrial action</w:t>
            </w:r>
          </w:p>
        </w:tc>
        <w:tc>
          <w:tcPr>
            <w:tcW w:w="1178" w:type="dxa"/>
            <w:tcBorders>
              <w:top w:val="single" w:sz="6" w:space="0" w:color="auto"/>
              <w:left w:val="single" w:sz="6" w:space="0" w:color="auto"/>
              <w:bottom w:val="single" w:sz="6" w:space="0" w:color="auto"/>
              <w:right w:val="single" w:sz="6" w:space="0" w:color="auto"/>
            </w:tcBorders>
          </w:tcPr>
          <w:p w14:paraId="28A29782" w14:textId="77777777" w:rsidR="0006311E" w:rsidRPr="00EE0A20" w:rsidRDefault="0006311E" w:rsidP="000B081C">
            <w:pPr>
              <w:jc w:val="right"/>
              <w:rPr>
                <w:rFonts w:cstheme="minorHAnsi"/>
              </w:rPr>
            </w:pPr>
            <w:r w:rsidRPr="00EE0A20">
              <w:rPr>
                <w:rFonts w:cstheme="minorHAnsi"/>
              </w:rPr>
              <w:t>17</w:t>
            </w:r>
          </w:p>
        </w:tc>
        <w:tc>
          <w:tcPr>
            <w:tcW w:w="1178" w:type="dxa"/>
            <w:tcBorders>
              <w:top w:val="single" w:sz="6" w:space="0" w:color="auto"/>
              <w:left w:val="single" w:sz="6" w:space="0" w:color="auto"/>
              <w:bottom w:val="single" w:sz="6" w:space="0" w:color="auto"/>
              <w:right w:val="single" w:sz="6" w:space="0" w:color="auto"/>
            </w:tcBorders>
          </w:tcPr>
          <w:p w14:paraId="009B219C" w14:textId="77777777" w:rsidR="0006311E" w:rsidRPr="00EE0A20" w:rsidRDefault="0006311E" w:rsidP="000B081C">
            <w:pPr>
              <w:jc w:val="right"/>
              <w:rPr>
                <w:rFonts w:cstheme="minorHAnsi"/>
              </w:rPr>
            </w:pPr>
            <w:r w:rsidRPr="00EE0A20">
              <w:rPr>
                <w:rFonts w:ascii="Calibri" w:hAnsi="Calibri" w:cs="Calibri"/>
                <w:color w:val="000000"/>
              </w:rPr>
              <w:t>21.0%</w:t>
            </w:r>
          </w:p>
        </w:tc>
        <w:tc>
          <w:tcPr>
            <w:tcW w:w="1178" w:type="dxa"/>
            <w:tcBorders>
              <w:top w:val="single" w:sz="6" w:space="0" w:color="auto"/>
              <w:left w:val="single" w:sz="6" w:space="0" w:color="auto"/>
              <w:bottom w:val="single" w:sz="6" w:space="0" w:color="auto"/>
              <w:right w:val="single" w:sz="6" w:space="0" w:color="auto"/>
            </w:tcBorders>
          </w:tcPr>
          <w:p w14:paraId="5A6506CE" w14:textId="77777777" w:rsidR="0006311E" w:rsidRPr="00EE0A20" w:rsidRDefault="0006311E" w:rsidP="000B081C">
            <w:pPr>
              <w:jc w:val="right"/>
              <w:rPr>
                <w:rFonts w:cstheme="minorHAnsi"/>
              </w:rPr>
            </w:pPr>
            <w:r w:rsidRPr="00EE0A20">
              <w:rPr>
                <w:rFonts w:cstheme="minorHAnsi"/>
              </w:rPr>
              <w:t>22</w:t>
            </w:r>
          </w:p>
        </w:tc>
        <w:tc>
          <w:tcPr>
            <w:tcW w:w="1178" w:type="dxa"/>
            <w:tcBorders>
              <w:top w:val="single" w:sz="6" w:space="0" w:color="auto"/>
              <w:left w:val="single" w:sz="6" w:space="0" w:color="auto"/>
              <w:bottom w:val="single" w:sz="6" w:space="0" w:color="auto"/>
              <w:right w:val="single" w:sz="6" w:space="0" w:color="auto"/>
            </w:tcBorders>
          </w:tcPr>
          <w:p w14:paraId="70C30252" w14:textId="77777777" w:rsidR="0006311E" w:rsidRPr="00EE0A20" w:rsidRDefault="0006311E" w:rsidP="000B081C">
            <w:pPr>
              <w:jc w:val="right"/>
              <w:rPr>
                <w:rFonts w:cstheme="minorHAnsi"/>
              </w:rPr>
            </w:pPr>
            <w:r w:rsidRPr="00EE0A20">
              <w:rPr>
                <w:rFonts w:ascii="Calibri" w:hAnsi="Calibri" w:cs="Calibri"/>
                <w:color w:val="000000"/>
              </w:rPr>
              <w:t>26.8%</w:t>
            </w:r>
          </w:p>
        </w:tc>
        <w:tc>
          <w:tcPr>
            <w:tcW w:w="1178" w:type="dxa"/>
            <w:tcBorders>
              <w:top w:val="single" w:sz="6" w:space="0" w:color="auto"/>
              <w:left w:val="single" w:sz="6" w:space="0" w:color="auto"/>
              <w:bottom w:val="single" w:sz="6" w:space="0" w:color="auto"/>
              <w:right w:val="single" w:sz="6" w:space="0" w:color="auto"/>
            </w:tcBorders>
          </w:tcPr>
          <w:p w14:paraId="043D0844" w14:textId="77777777" w:rsidR="0006311E" w:rsidRDefault="0006311E" w:rsidP="000B081C">
            <w:pPr>
              <w:jc w:val="right"/>
            </w:pPr>
            <w:r w:rsidRPr="00EE0A20">
              <w:rPr>
                <w:rFonts w:cstheme="minorHAnsi"/>
              </w:rPr>
              <w:t>14</w:t>
            </w:r>
          </w:p>
        </w:tc>
        <w:tc>
          <w:tcPr>
            <w:tcW w:w="1144" w:type="dxa"/>
            <w:tcBorders>
              <w:top w:val="single" w:sz="6" w:space="0" w:color="auto"/>
              <w:left w:val="single" w:sz="6" w:space="0" w:color="auto"/>
              <w:bottom w:val="single" w:sz="6" w:space="0" w:color="auto"/>
              <w:right w:val="single" w:sz="6" w:space="0" w:color="auto"/>
            </w:tcBorders>
          </w:tcPr>
          <w:p w14:paraId="3472D193" w14:textId="77777777" w:rsidR="0006311E" w:rsidRDefault="0006311E" w:rsidP="000B081C">
            <w:pPr>
              <w:jc w:val="right"/>
            </w:pPr>
            <w:r w:rsidRPr="00EE0A20">
              <w:rPr>
                <w:rFonts w:ascii="Calibri" w:hAnsi="Calibri" w:cs="Calibri"/>
                <w:color w:val="000000"/>
              </w:rPr>
              <w:t>17.1%</w:t>
            </w:r>
          </w:p>
        </w:tc>
      </w:tr>
      <w:tr w:rsidR="0006311E" w14:paraId="10446835" w14:textId="77777777" w:rsidTr="0006311E">
        <w:tc>
          <w:tcPr>
            <w:tcW w:w="2379" w:type="dxa"/>
            <w:tcBorders>
              <w:top w:val="single" w:sz="6" w:space="0" w:color="auto"/>
              <w:left w:val="single" w:sz="4" w:space="0" w:color="auto"/>
              <w:bottom w:val="single" w:sz="6" w:space="0" w:color="auto"/>
              <w:right w:val="single" w:sz="6" w:space="0" w:color="auto"/>
            </w:tcBorders>
          </w:tcPr>
          <w:p w14:paraId="6AAD43CD" w14:textId="77777777" w:rsidR="0006311E" w:rsidRDefault="0006311E" w:rsidP="000B081C">
            <w:r w:rsidRPr="00EE0A20">
              <w:rPr>
                <w:rFonts w:cstheme="minorHAnsi"/>
              </w:rPr>
              <w:t>Right of entry</w:t>
            </w:r>
          </w:p>
        </w:tc>
        <w:tc>
          <w:tcPr>
            <w:tcW w:w="1178" w:type="dxa"/>
            <w:tcBorders>
              <w:top w:val="single" w:sz="6" w:space="0" w:color="auto"/>
              <w:left w:val="single" w:sz="6" w:space="0" w:color="auto"/>
              <w:bottom w:val="single" w:sz="6" w:space="0" w:color="auto"/>
              <w:right w:val="single" w:sz="6" w:space="0" w:color="auto"/>
            </w:tcBorders>
          </w:tcPr>
          <w:p w14:paraId="140F0B68" w14:textId="77777777" w:rsidR="0006311E" w:rsidRPr="00EE0A20" w:rsidRDefault="0006311E" w:rsidP="000B081C">
            <w:pPr>
              <w:jc w:val="right"/>
              <w:rPr>
                <w:rFonts w:cstheme="minorHAnsi"/>
              </w:rPr>
            </w:pPr>
            <w:r w:rsidRPr="00EE0A20">
              <w:rPr>
                <w:rFonts w:cstheme="minorHAnsi"/>
              </w:rPr>
              <w:t>15</w:t>
            </w:r>
          </w:p>
        </w:tc>
        <w:tc>
          <w:tcPr>
            <w:tcW w:w="1178" w:type="dxa"/>
            <w:tcBorders>
              <w:top w:val="single" w:sz="6" w:space="0" w:color="auto"/>
              <w:left w:val="single" w:sz="6" w:space="0" w:color="auto"/>
              <w:bottom w:val="single" w:sz="6" w:space="0" w:color="auto"/>
              <w:right w:val="single" w:sz="6" w:space="0" w:color="auto"/>
            </w:tcBorders>
          </w:tcPr>
          <w:p w14:paraId="203558E5" w14:textId="77777777" w:rsidR="0006311E" w:rsidRPr="00EE0A20" w:rsidRDefault="0006311E" w:rsidP="000B081C">
            <w:pPr>
              <w:jc w:val="right"/>
              <w:rPr>
                <w:rFonts w:cstheme="minorHAnsi"/>
              </w:rPr>
            </w:pPr>
            <w:r w:rsidRPr="00EE0A20">
              <w:rPr>
                <w:rFonts w:ascii="Calibri" w:hAnsi="Calibri" w:cs="Calibri"/>
                <w:color w:val="000000"/>
              </w:rPr>
              <w:t>18.5%</w:t>
            </w:r>
          </w:p>
        </w:tc>
        <w:tc>
          <w:tcPr>
            <w:tcW w:w="1178" w:type="dxa"/>
            <w:tcBorders>
              <w:top w:val="single" w:sz="6" w:space="0" w:color="auto"/>
              <w:left w:val="single" w:sz="6" w:space="0" w:color="auto"/>
              <w:bottom w:val="single" w:sz="6" w:space="0" w:color="auto"/>
              <w:right w:val="single" w:sz="6" w:space="0" w:color="auto"/>
            </w:tcBorders>
          </w:tcPr>
          <w:p w14:paraId="39A000F0" w14:textId="77777777" w:rsidR="0006311E" w:rsidRPr="00EE0A20" w:rsidRDefault="0006311E" w:rsidP="000B081C">
            <w:pPr>
              <w:jc w:val="right"/>
              <w:rPr>
                <w:rFonts w:cstheme="minorHAnsi"/>
              </w:rPr>
            </w:pPr>
            <w:r w:rsidRPr="00EE0A20">
              <w:rPr>
                <w:rFonts w:cstheme="minorHAnsi"/>
              </w:rPr>
              <w:t>15</w:t>
            </w:r>
          </w:p>
        </w:tc>
        <w:tc>
          <w:tcPr>
            <w:tcW w:w="1178" w:type="dxa"/>
            <w:tcBorders>
              <w:top w:val="single" w:sz="6" w:space="0" w:color="auto"/>
              <w:left w:val="single" w:sz="6" w:space="0" w:color="auto"/>
              <w:bottom w:val="single" w:sz="6" w:space="0" w:color="auto"/>
              <w:right w:val="single" w:sz="6" w:space="0" w:color="auto"/>
            </w:tcBorders>
          </w:tcPr>
          <w:p w14:paraId="4A50D66C" w14:textId="77777777" w:rsidR="0006311E" w:rsidRPr="00EE0A20" w:rsidRDefault="0006311E" w:rsidP="000B081C">
            <w:pPr>
              <w:jc w:val="right"/>
              <w:rPr>
                <w:rFonts w:cstheme="minorHAnsi"/>
              </w:rPr>
            </w:pPr>
            <w:r w:rsidRPr="00EE0A20">
              <w:rPr>
                <w:rFonts w:ascii="Calibri" w:hAnsi="Calibri" w:cs="Calibri"/>
                <w:color w:val="000000"/>
              </w:rPr>
              <w:t>18.3%</w:t>
            </w:r>
          </w:p>
        </w:tc>
        <w:tc>
          <w:tcPr>
            <w:tcW w:w="1178" w:type="dxa"/>
            <w:tcBorders>
              <w:top w:val="single" w:sz="6" w:space="0" w:color="auto"/>
              <w:left w:val="single" w:sz="6" w:space="0" w:color="auto"/>
              <w:bottom w:val="single" w:sz="6" w:space="0" w:color="auto"/>
              <w:right w:val="single" w:sz="6" w:space="0" w:color="auto"/>
            </w:tcBorders>
          </w:tcPr>
          <w:p w14:paraId="1A3EC1E8" w14:textId="77777777" w:rsidR="0006311E" w:rsidRDefault="0006311E" w:rsidP="000B081C">
            <w:pPr>
              <w:jc w:val="right"/>
            </w:pPr>
            <w:r w:rsidRPr="00EE0A20">
              <w:rPr>
                <w:rFonts w:cstheme="minorHAnsi"/>
              </w:rPr>
              <w:t>14</w:t>
            </w:r>
          </w:p>
        </w:tc>
        <w:tc>
          <w:tcPr>
            <w:tcW w:w="1144" w:type="dxa"/>
            <w:tcBorders>
              <w:top w:val="single" w:sz="6" w:space="0" w:color="auto"/>
              <w:left w:val="single" w:sz="6" w:space="0" w:color="auto"/>
              <w:bottom w:val="single" w:sz="6" w:space="0" w:color="auto"/>
              <w:right w:val="single" w:sz="6" w:space="0" w:color="auto"/>
            </w:tcBorders>
          </w:tcPr>
          <w:p w14:paraId="74A19E7F" w14:textId="77777777" w:rsidR="0006311E" w:rsidRDefault="0006311E" w:rsidP="000B081C">
            <w:pPr>
              <w:jc w:val="right"/>
            </w:pPr>
            <w:r w:rsidRPr="00EE0A20">
              <w:rPr>
                <w:rFonts w:ascii="Calibri" w:hAnsi="Calibri" w:cs="Calibri"/>
                <w:color w:val="000000"/>
              </w:rPr>
              <w:t>17.1%</w:t>
            </w:r>
          </w:p>
        </w:tc>
      </w:tr>
      <w:tr w:rsidR="0006311E" w14:paraId="2C51B5F1" w14:textId="77777777" w:rsidTr="0006311E">
        <w:tc>
          <w:tcPr>
            <w:tcW w:w="2379" w:type="dxa"/>
            <w:tcBorders>
              <w:top w:val="single" w:sz="6" w:space="0" w:color="auto"/>
              <w:left w:val="single" w:sz="4" w:space="0" w:color="auto"/>
              <w:bottom w:val="single" w:sz="6" w:space="0" w:color="auto"/>
              <w:right w:val="single" w:sz="6" w:space="0" w:color="auto"/>
            </w:tcBorders>
          </w:tcPr>
          <w:p w14:paraId="2B5E7D5E" w14:textId="77777777" w:rsidR="0006311E" w:rsidRPr="00EE0A20" w:rsidRDefault="0006311E" w:rsidP="000B081C">
            <w:pPr>
              <w:rPr>
                <w:rFonts w:cstheme="minorHAnsi"/>
              </w:rPr>
            </w:pPr>
            <w:r w:rsidRPr="00EE0A20">
              <w:rPr>
                <w:rFonts w:cstheme="minorHAnsi"/>
              </w:rPr>
              <w:t>Freedom of association</w:t>
            </w:r>
          </w:p>
        </w:tc>
        <w:tc>
          <w:tcPr>
            <w:tcW w:w="1178" w:type="dxa"/>
            <w:tcBorders>
              <w:top w:val="single" w:sz="6" w:space="0" w:color="auto"/>
              <w:left w:val="single" w:sz="6" w:space="0" w:color="auto"/>
              <w:bottom w:val="single" w:sz="6" w:space="0" w:color="auto"/>
              <w:right w:val="single" w:sz="6" w:space="0" w:color="auto"/>
            </w:tcBorders>
          </w:tcPr>
          <w:p w14:paraId="62FC36E5" w14:textId="77777777" w:rsidR="0006311E" w:rsidRPr="00EE0A20" w:rsidRDefault="0006311E" w:rsidP="000B081C">
            <w:pPr>
              <w:jc w:val="right"/>
              <w:rPr>
                <w:rFonts w:cstheme="minorHAnsi"/>
              </w:rPr>
            </w:pPr>
            <w:r w:rsidRPr="00EE0A20">
              <w:rPr>
                <w:rFonts w:cstheme="minorHAnsi"/>
              </w:rPr>
              <w:t>7</w:t>
            </w:r>
          </w:p>
        </w:tc>
        <w:tc>
          <w:tcPr>
            <w:tcW w:w="1178" w:type="dxa"/>
            <w:tcBorders>
              <w:top w:val="single" w:sz="6" w:space="0" w:color="auto"/>
              <w:left w:val="single" w:sz="6" w:space="0" w:color="auto"/>
              <w:bottom w:val="single" w:sz="6" w:space="0" w:color="auto"/>
              <w:right w:val="single" w:sz="6" w:space="0" w:color="auto"/>
            </w:tcBorders>
          </w:tcPr>
          <w:p w14:paraId="00D2CE6E" w14:textId="77777777" w:rsidR="0006311E" w:rsidRPr="00EE0A20" w:rsidRDefault="0006311E" w:rsidP="000B081C">
            <w:pPr>
              <w:jc w:val="right"/>
              <w:rPr>
                <w:rFonts w:cstheme="minorHAnsi"/>
              </w:rPr>
            </w:pPr>
            <w:r w:rsidRPr="00EE0A20">
              <w:rPr>
                <w:rFonts w:ascii="Calibri" w:hAnsi="Calibri" w:cs="Calibri"/>
                <w:color w:val="000000"/>
              </w:rPr>
              <w:t>8.6%</w:t>
            </w:r>
          </w:p>
        </w:tc>
        <w:tc>
          <w:tcPr>
            <w:tcW w:w="1178" w:type="dxa"/>
            <w:tcBorders>
              <w:top w:val="single" w:sz="6" w:space="0" w:color="auto"/>
              <w:left w:val="single" w:sz="6" w:space="0" w:color="auto"/>
              <w:bottom w:val="single" w:sz="6" w:space="0" w:color="auto"/>
              <w:right w:val="single" w:sz="6" w:space="0" w:color="auto"/>
            </w:tcBorders>
          </w:tcPr>
          <w:p w14:paraId="32460045" w14:textId="77777777" w:rsidR="0006311E" w:rsidRPr="00EE0A20" w:rsidRDefault="0006311E" w:rsidP="000B081C">
            <w:pPr>
              <w:jc w:val="right"/>
              <w:rPr>
                <w:rFonts w:cstheme="minorHAnsi"/>
              </w:rPr>
            </w:pPr>
            <w:r w:rsidRPr="00EE0A20">
              <w:rPr>
                <w:rFonts w:cstheme="minorHAnsi"/>
              </w:rPr>
              <w:t>7</w:t>
            </w:r>
          </w:p>
        </w:tc>
        <w:tc>
          <w:tcPr>
            <w:tcW w:w="1178" w:type="dxa"/>
            <w:tcBorders>
              <w:top w:val="single" w:sz="6" w:space="0" w:color="auto"/>
              <w:left w:val="single" w:sz="6" w:space="0" w:color="auto"/>
              <w:bottom w:val="single" w:sz="6" w:space="0" w:color="auto"/>
              <w:right w:val="single" w:sz="6" w:space="0" w:color="auto"/>
            </w:tcBorders>
          </w:tcPr>
          <w:p w14:paraId="42851449" w14:textId="77777777" w:rsidR="0006311E" w:rsidRPr="00EE0A20" w:rsidRDefault="0006311E" w:rsidP="000B081C">
            <w:pPr>
              <w:jc w:val="right"/>
              <w:rPr>
                <w:rFonts w:cstheme="minorHAnsi"/>
              </w:rPr>
            </w:pPr>
            <w:r w:rsidRPr="00EE0A20">
              <w:rPr>
                <w:rFonts w:ascii="Calibri" w:hAnsi="Calibri" w:cs="Calibri"/>
                <w:color w:val="000000"/>
              </w:rPr>
              <w:t>8.5%</w:t>
            </w:r>
          </w:p>
        </w:tc>
        <w:tc>
          <w:tcPr>
            <w:tcW w:w="1178" w:type="dxa"/>
            <w:tcBorders>
              <w:top w:val="single" w:sz="6" w:space="0" w:color="auto"/>
              <w:left w:val="single" w:sz="6" w:space="0" w:color="auto"/>
              <w:bottom w:val="single" w:sz="6" w:space="0" w:color="auto"/>
              <w:right w:val="single" w:sz="6" w:space="0" w:color="auto"/>
            </w:tcBorders>
          </w:tcPr>
          <w:p w14:paraId="066802DC" w14:textId="77777777" w:rsidR="0006311E" w:rsidRPr="00EE0A20" w:rsidRDefault="0006311E" w:rsidP="000B081C">
            <w:pPr>
              <w:jc w:val="right"/>
              <w:rPr>
                <w:rFonts w:cstheme="minorHAnsi"/>
              </w:rPr>
            </w:pPr>
            <w:r w:rsidRPr="00EE0A20">
              <w:rPr>
                <w:rFonts w:cstheme="minorHAnsi"/>
              </w:rPr>
              <w:t>7</w:t>
            </w:r>
          </w:p>
        </w:tc>
        <w:tc>
          <w:tcPr>
            <w:tcW w:w="1144" w:type="dxa"/>
            <w:tcBorders>
              <w:top w:val="single" w:sz="6" w:space="0" w:color="auto"/>
              <w:left w:val="single" w:sz="6" w:space="0" w:color="auto"/>
              <w:bottom w:val="single" w:sz="6" w:space="0" w:color="auto"/>
              <w:right w:val="single" w:sz="6" w:space="0" w:color="auto"/>
            </w:tcBorders>
          </w:tcPr>
          <w:p w14:paraId="5F4274E8" w14:textId="77777777" w:rsidR="0006311E" w:rsidRPr="00EE0A20" w:rsidRDefault="0006311E" w:rsidP="000B081C">
            <w:pPr>
              <w:jc w:val="right"/>
              <w:rPr>
                <w:rFonts w:ascii="Calibri" w:hAnsi="Calibri" w:cs="Calibri"/>
                <w:color w:val="000000"/>
              </w:rPr>
            </w:pPr>
            <w:r w:rsidRPr="00EE0A20">
              <w:rPr>
                <w:rFonts w:ascii="Calibri" w:hAnsi="Calibri" w:cs="Calibri"/>
                <w:color w:val="000000"/>
              </w:rPr>
              <w:t>8.5%</w:t>
            </w:r>
          </w:p>
        </w:tc>
      </w:tr>
      <w:tr w:rsidR="0006311E" w14:paraId="5B729B76" w14:textId="77777777" w:rsidTr="0006311E">
        <w:tc>
          <w:tcPr>
            <w:tcW w:w="2379" w:type="dxa"/>
            <w:tcBorders>
              <w:top w:val="single" w:sz="6" w:space="0" w:color="auto"/>
              <w:left w:val="single" w:sz="4" w:space="0" w:color="auto"/>
              <w:bottom w:val="single" w:sz="6" w:space="0" w:color="auto"/>
              <w:right w:val="single" w:sz="6" w:space="0" w:color="auto"/>
            </w:tcBorders>
          </w:tcPr>
          <w:p w14:paraId="55BD9912" w14:textId="77777777" w:rsidR="0006311E" w:rsidRPr="00EE0A20" w:rsidRDefault="0006311E" w:rsidP="000B081C">
            <w:pPr>
              <w:rPr>
                <w:rFonts w:cstheme="minorHAnsi"/>
              </w:rPr>
            </w:pPr>
            <w:r w:rsidRPr="00EE0A20">
              <w:rPr>
                <w:rFonts w:cstheme="minorHAnsi"/>
              </w:rPr>
              <w:t>Misclassification/ sham contracting</w:t>
            </w:r>
          </w:p>
        </w:tc>
        <w:tc>
          <w:tcPr>
            <w:tcW w:w="1178" w:type="dxa"/>
            <w:tcBorders>
              <w:top w:val="single" w:sz="6" w:space="0" w:color="auto"/>
              <w:left w:val="single" w:sz="6" w:space="0" w:color="auto"/>
              <w:bottom w:val="single" w:sz="6" w:space="0" w:color="auto"/>
              <w:right w:val="single" w:sz="6" w:space="0" w:color="auto"/>
            </w:tcBorders>
            <w:vAlign w:val="bottom"/>
          </w:tcPr>
          <w:p w14:paraId="65A61C0E" w14:textId="77777777" w:rsidR="0006311E" w:rsidRPr="00EE0A20" w:rsidRDefault="0006311E" w:rsidP="000B081C">
            <w:pPr>
              <w:jc w:val="right"/>
              <w:rPr>
                <w:rFonts w:cstheme="minorHAnsi"/>
              </w:rPr>
            </w:pPr>
            <w:r w:rsidRPr="00EE0A20">
              <w:rPr>
                <w:rFonts w:cstheme="minorHAnsi"/>
              </w:rPr>
              <w:t>4</w:t>
            </w:r>
          </w:p>
        </w:tc>
        <w:tc>
          <w:tcPr>
            <w:tcW w:w="1178" w:type="dxa"/>
            <w:tcBorders>
              <w:top w:val="single" w:sz="6" w:space="0" w:color="auto"/>
              <w:left w:val="single" w:sz="6" w:space="0" w:color="auto"/>
              <w:bottom w:val="single" w:sz="6" w:space="0" w:color="auto"/>
              <w:right w:val="single" w:sz="6" w:space="0" w:color="auto"/>
            </w:tcBorders>
            <w:vAlign w:val="bottom"/>
          </w:tcPr>
          <w:p w14:paraId="308F4118" w14:textId="77777777" w:rsidR="0006311E" w:rsidRPr="00EE0A20" w:rsidRDefault="0006311E" w:rsidP="000B081C">
            <w:pPr>
              <w:jc w:val="right"/>
              <w:rPr>
                <w:rFonts w:cstheme="minorHAnsi"/>
              </w:rPr>
            </w:pPr>
            <w:r w:rsidRPr="00EE0A20">
              <w:rPr>
                <w:rFonts w:ascii="Calibri" w:hAnsi="Calibri" w:cs="Calibri"/>
                <w:color w:val="000000"/>
              </w:rPr>
              <w:t>4.9%</w:t>
            </w:r>
          </w:p>
        </w:tc>
        <w:tc>
          <w:tcPr>
            <w:tcW w:w="1178" w:type="dxa"/>
            <w:tcBorders>
              <w:top w:val="single" w:sz="6" w:space="0" w:color="auto"/>
              <w:left w:val="single" w:sz="6" w:space="0" w:color="auto"/>
              <w:bottom w:val="single" w:sz="6" w:space="0" w:color="auto"/>
              <w:right w:val="single" w:sz="6" w:space="0" w:color="auto"/>
            </w:tcBorders>
            <w:vAlign w:val="bottom"/>
          </w:tcPr>
          <w:p w14:paraId="02C100CD" w14:textId="77777777" w:rsidR="0006311E" w:rsidRPr="00EE0A20" w:rsidRDefault="0006311E" w:rsidP="000B081C">
            <w:pPr>
              <w:jc w:val="right"/>
              <w:rPr>
                <w:rFonts w:cstheme="minorHAnsi"/>
              </w:rPr>
            </w:pPr>
            <w:r w:rsidRPr="00EE0A20">
              <w:rPr>
                <w:rFonts w:cstheme="minorHAnsi"/>
              </w:rPr>
              <w:t>5</w:t>
            </w:r>
          </w:p>
        </w:tc>
        <w:tc>
          <w:tcPr>
            <w:tcW w:w="1178" w:type="dxa"/>
            <w:tcBorders>
              <w:top w:val="single" w:sz="6" w:space="0" w:color="auto"/>
              <w:left w:val="single" w:sz="6" w:space="0" w:color="auto"/>
              <w:bottom w:val="single" w:sz="6" w:space="0" w:color="auto"/>
              <w:right w:val="single" w:sz="6" w:space="0" w:color="auto"/>
            </w:tcBorders>
            <w:vAlign w:val="bottom"/>
          </w:tcPr>
          <w:p w14:paraId="41486C19" w14:textId="77777777" w:rsidR="0006311E" w:rsidRPr="00EE0A20" w:rsidRDefault="0006311E" w:rsidP="000B081C">
            <w:pPr>
              <w:jc w:val="right"/>
              <w:rPr>
                <w:rFonts w:cstheme="minorHAnsi"/>
              </w:rPr>
            </w:pPr>
            <w:r w:rsidRPr="00EE0A20">
              <w:rPr>
                <w:rFonts w:ascii="Calibri" w:hAnsi="Calibri" w:cs="Calibri"/>
                <w:color w:val="000000"/>
              </w:rPr>
              <w:t>6.1%</w:t>
            </w:r>
          </w:p>
        </w:tc>
        <w:tc>
          <w:tcPr>
            <w:tcW w:w="1178" w:type="dxa"/>
            <w:tcBorders>
              <w:top w:val="single" w:sz="6" w:space="0" w:color="auto"/>
              <w:left w:val="single" w:sz="6" w:space="0" w:color="auto"/>
              <w:bottom w:val="single" w:sz="6" w:space="0" w:color="auto"/>
              <w:right w:val="single" w:sz="6" w:space="0" w:color="auto"/>
            </w:tcBorders>
            <w:vAlign w:val="bottom"/>
          </w:tcPr>
          <w:p w14:paraId="1267DAB2" w14:textId="77777777" w:rsidR="0006311E" w:rsidRPr="00EE0A20" w:rsidRDefault="0006311E" w:rsidP="000B081C">
            <w:pPr>
              <w:jc w:val="right"/>
              <w:rPr>
                <w:rFonts w:cstheme="minorHAnsi"/>
              </w:rPr>
            </w:pPr>
            <w:r w:rsidRPr="00EE0A20">
              <w:rPr>
                <w:rFonts w:cstheme="minorHAnsi"/>
              </w:rPr>
              <w:t>6</w:t>
            </w:r>
          </w:p>
        </w:tc>
        <w:tc>
          <w:tcPr>
            <w:tcW w:w="1144" w:type="dxa"/>
            <w:tcBorders>
              <w:top w:val="single" w:sz="6" w:space="0" w:color="auto"/>
              <w:left w:val="single" w:sz="6" w:space="0" w:color="auto"/>
              <w:bottom w:val="single" w:sz="6" w:space="0" w:color="auto"/>
              <w:right w:val="single" w:sz="6" w:space="0" w:color="auto"/>
            </w:tcBorders>
            <w:vAlign w:val="bottom"/>
          </w:tcPr>
          <w:p w14:paraId="353DA074" w14:textId="77777777" w:rsidR="0006311E" w:rsidRPr="00EE0A20" w:rsidRDefault="0006311E" w:rsidP="000B081C">
            <w:pPr>
              <w:jc w:val="right"/>
              <w:rPr>
                <w:rFonts w:ascii="Calibri" w:hAnsi="Calibri" w:cs="Calibri"/>
                <w:color w:val="000000"/>
              </w:rPr>
            </w:pPr>
            <w:r w:rsidRPr="00EE0A20">
              <w:rPr>
                <w:rFonts w:ascii="Calibri" w:hAnsi="Calibri" w:cs="Calibri"/>
                <w:color w:val="000000"/>
              </w:rPr>
              <w:t>7.3%</w:t>
            </w:r>
          </w:p>
        </w:tc>
      </w:tr>
      <w:tr w:rsidR="0006311E" w14:paraId="19EA4752" w14:textId="77777777" w:rsidTr="0006311E">
        <w:tc>
          <w:tcPr>
            <w:tcW w:w="2379" w:type="dxa"/>
            <w:tcBorders>
              <w:top w:val="single" w:sz="6" w:space="0" w:color="auto"/>
              <w:left w:val="single" w:sz="4" w:space="0" w:color="auto"/>
              <w:bottom w:val="single" w:sz="4" w:space="0" w:color="auto"/>
              <w:right w:val="single" w:sz="6" w:space="0" w:color="auto"/>
            </w:tcBorders>
          </w:tcPr>
          <w:p w14:paraId="56C2EB43" w14:textId="77777777" w:rsidR="0006311E" w:rsidRPr="00EE0A20" w:rsidRDefault="0006311E" w:rsidP="000B081C">
            <w:pPr>
              <w:rPr>
                <w:rFonts w:cstheme="minorHAnsi"/>
              </w:rPr>
            </w:pPr>
            <w:r w:rsidRPr="00EE0A20">
              <w:rPr>
                <w:rFonts w:cstheme="minorHAnsi"/>
                <w:b/>
              </w:rPr>
              <w:t>Total</w:t>
            </w:r>
          </w:p>
        </w:tc>
        <w:tc>
          <w:tcPr>
            <w:tcW w:w="1178" w:type="dxa"/>
            <w:tcBorders>
              <w:top w:val="single" w:sz="6" w:space="0" w:color="auto"/>
              <w:left w:val="single" w:sz="6" w:space="0" w:color="auto"/>
              <w:bottom w:val="single" w:sz="4" w:space="0" w:color="auto"/>
              <w:right w:val="single" w:sz="6" w:space="0" w:color="auto"/>
            </w:tcBorders>
          </w:tcPr>
          <w:p w14:paraId="0EC84AAD" w14:textId="77777777" w:rsidR="0006311E" w:rsidRPr="00EE0A20" w:rsidRDefault="0006311E" w:rsidP="000B081C">
            <w:pPr>
              <w:jc w:val="right"/>
              <w:rPr>
                <w:rFonts w:cstheme="minorHAnsi"/>
                <w:b/>
              </w:rPr>
            </w:pPr>
            <w:r w:rsidRPr="00EE0A20">
              <w:rPr>
                <w:rFonts w:cstheme="minorHAnsi"/>
                <w:b/>
              </w:rPr>
              <w:t>81</w:t>
            </w:r>
          </w:p>
        </w:tc>
        <w:tc>
          <w:tcPr>
            <w:tcW w:w="1178" w:type="dxa"/>
            <w:tcBorders>
              <w:top w:val="single" w:sz="6" w:space="0" w:color="auto"/>
              <w:left w:val="single" w:sz="6" w:space="0" w:color="auto"/>
              <w:bottom w:val="single" w:sz="4" w:space="0" w:color="auto"/>
              <w:right w:val="single" w:sz="6" w:space="0" w:color="auto"/>
            </w:tcBorders>
            <w:vAlign w:val="center"/>
          </w:tcPr>
          <w:p w14:paraId="34E58074" w14:textId="77777777" w:rsidR="0006311E" w:rsidRPr="00EE0A20" w:rsidRDefault="0006311E" w:rsidP="000B081C">
            <w:pPr>
              <w:jc w:val="right"/>
              <w:rPr>
                <w:rFonts w:cstheme="minorHAnsi"/>
                <w:b/>
              </w:rPr>
            </w:pPr>
            <w:r w:rsidRPr="00EE0A20">
              <w:rPr>
                <w:rFonts w:ascii="Calibri" w:hAnsi="Calibri" w:cs="Calibri"/>
                <w:b/>
                <w:color w:val="000000"/>
              </w:rPr>
              <w:t>100.0%</w:t>
            </w:r>
          </w:p>
        </w:tc>
        <w:tc>
          <w:tcPr>
            <w:tcW w:w="1178" w:type="dxa"/>
            <w:tcBorders>
              <w:top w:val="single" w:sz="6" w:space="0" w:color="auto"/>
              <w:left w:val="single" w:sz="6" w:space="0" w:color="auto"/>
              <w:bottom w:val="single" w:sz="4" w:space="0" w:color="auto"/>
              <w:right w:val="single" w:sz="6" w:space="0" w:color="auto"/>
            </w:tcBorders>
          </w:tcPr>
          <w:p w14:paraId="637D9F0E" w14:textId="77777777" w:rsidR="0006311E" w:rsidRPr="00EE0A20" w:rsidRDefault="0006311E" w:rsidP="000B081C">
            <w:pPr>
              <w:jc w:val="right"/>
              <w:rPr>
                <w:rFonts w:cstheme="minorHAnsi"/>
                <w:b/>
              </w:rPr>
            </w:pPr>
            <w:r w:rsidRPr="00EE0A20">
              <w:rPr>
                <w:rFonts w:cstheme="minorHAnsi"/>
                <w:b/>
              </w:rPr>
              <w:t>82</w:t>
            </w:r>
          </w:p>
        </w:tc>
        <w:tc>
          <w:tcPr>
            <w:tcW w:w="1178" w:type="dxa"/>
            <w:tcBorders>
              <w:top w:val="single" w:sz="6" w:space="0" w:color="auto"/>
              <w:left w:val="single" w:sz="6" w:space="0" w:color="auto"/>
              <w:bottom w:val="single" w:sz="4" w:space="0" w:color="auto"/>
              <w:right w:val="single" w:sz="6" w:space="0" w:color="auto"/>
            </w:tcBorders>
            <w:vAlign w:val="center"/>
          </w:tcPr>
          <w:p w14:paraId="654BCFC6" w14:textId="77777777" w:rsidR="0006311E" w:rsidRPr="00EE0A20" w:rsidRDefault="0006311E" w:rsidP="000B081C">
            <w:pPr>
              <w:jc w:val="right"/>
              <w:rPr>
                <w:rFonts w:cstheme="minorHAnsi"/>
                <w:b/>
              </w:rPr>
            </w:pPr>
            <w:r w:rsidRPr="00EE0A20">
              <w:rPr>
                <w:rFonts w:ascii="Calibri" w:hAnsi="Calibri" w:cs="Calibri"/>
                <w:b/>
                <w:color w:val="000000"/>
              </w:rPr>
              <w:t>100.0%</w:t>
            </w:r>
          </w:p>
        </w:tc>
        <w:tc>
          <w:tcPr>
            <w:tcW w:w="1178" w:type="dxa"/>
            <w:tcBorders>
              <w:top w:val="single" w:sz="6" w:space="0" w:color="auto"/>
              <w:left w:val="single" w:sz="6" w:space="0" w:color="auto"/>
              <w:bottom w:val="single" w:sz="4" w:space="0" w:color="auto"/>
              <w:right w:val="single" w:sz="6" w:space="0" w:color="auto"/>
            </w:tcBorders>
          </w:tcPr>
          <w:p w14:paraId="286ECA27" w14:textId="77777777" w:rsidR="0006311E" w:rsidRPr="00EE0A20" w:rsidRDefault="0006311E" w:rsidP="000B081C">
            <w:pPr>
              <w:jc w:val="right"/>
              <w:rPr>
                <w:rFonts w:cstheme="minorHAnsi"/>
              </w:rPr>
            </w:pPr>
            <w:r w:rsidRPr="00EE0A20">
              <w:rPr>
                <w:rFonts w:cstheme="minorHAnsi"/>
                <w:b/>
              </w:rPr>
              <w:t>82</w:t>
            </w:r>
          </w:p>
        </w:tc>
        <w:tc>
          <w:tcPr>
            <w:tcW w:w="1144" w:type="dxa"/>
            <w:tcBorders>
              <w:top w:val="single" w:sz="6" w:space="0" w:color="auto"/>
              <w:left w:val="single" w:sz="6" w:space="0" w:color="auto"/>
              <w:bottom w:val="single" w:sz="4" w:space="0" w:color="auto"/>
              <w:right w:val="single" w:sz="6" w:space="0" w:color="auto"/>
            </w:tcBorders>
            <w:vAlign w:val="center"/>
          </w:tcPr>
          <w:p w14:paraId="3D4E113C" w14:textId="77777777" w:rsidR="0006311E" w:rsidRPr="00EE0A20" w:rsidRDefault="0006311E" w:rsidP="000B081C">
            <w:pPr>
              <w:jc w:val="right"/>
              <w:rPr>
                <w:rFonts w:ascii="Calibri" w:hAnsi="Calibri" w:cs="Calibri"/>
                <w:color w:val="000000"/>
              </w:rPr>
            </w:pPr>
            <w:r w:rsidRPr="00EE0A20">
              <w:rPr>
                <w:rFonts w:ascii="Calibri" w:hAnsi="Calibri" w:cs="Calibri"/>
                <w:b/>
                <w:color w:val="000000"/>
              </w:rPr>
              <w:t>100.0%</w:t>
            </w:r>
          </w:p>
        </w:tc>
      </w:tr>
    </w:tbl>
    <w:p w14:paraId="4BBED6BA" w14:textId="77777777" w:rsidR="0006311E" w:rsidRDefault="0006311E" w:rsidP="0006311E">
      <w:pPr>
        <w:pStyle w:val="Source"/>
        <w:spacing w:after="0"/>
      </w:pPr>
      <w:r w:rsidRPr="00B2722A">
        <w:t>Source</w:t>
      </w:r>
      <w:r>
        <w:t xml:space="preserve">: </w:t>
      </w:r>
      <w:r w:rsidRPr="00864B9A">
        <w:rPr>
          <w:b w:val="0"/>
        </w:rPr>
        <w:t>ABCC</w:t>
      </w:r>
      <w:r>
        <w:rPr>
          <w:b w:val="0"/>
        </w:rPr>
        <w:t xml:space="preserve"> Quarterly Reports</w:t>
      </w:r>
    </w:p>
    <w:p w14:paraId="5E17D6C9" w14:textId="77777777" w:rsidR="0006311E" w:rsidRDefault="0006311E" w:rsidP="00806BB7">
      <w:pPr>
        <w:spacing w:after="0"/>
      </w:pPr>
    </w:p>
    <w:p w14:paraId="1CB1BB30" w14:textId="77777777" w:rsidR="00F72362" w:rsidRDefault="00F72362" w:rsidP="005C3772">
      <w:pPr>
        <w:pStyle w:val="Caption"/>
        <w:keepNext/>
        <w:spacing w:before="0"/>
      </w:pPr>
      <w:r>
        <w:t xml:space="preserve">Table </w:t>
      </w:r>
      <w:r>
        <w:rPr>
          <w:noProof/>
        </w:rPr>
        <w:t xml:space="preserve">A.5: </w:t>
      </w:r>
      <w:r w:rsidRPr="00E65F52">
        <w:rPr>
          <w:noProof/>
        </w:rPr>
        <w:t>Wages and entitle</w:t>
      </w:r>
      <w:r>
        <w:rPr>
          <w:noProof/>
        </w:rPr>
        <w:t>ments investigations finalised, 2 December 2016</w:t>
      </w:r>
      <w:r>
        <w:rPr>
          <w:noProof/>
        </w:rPr>
        <w:noBreakHyphen/>
        <w:t>31 December </w:t>
      </w:r>
      <w:r w:rsidRPr="00E65F52">
        <w:rPr>
          <w:noProof/>
        </w:rPr>
        <w:t>2017</w:t>
      </w:r>
    </w:p>
    <w:tbl>
      <w:tblPr>
        <w:tblStyle w:val="DEEWRTable"/>
        <w:tblW w:w="5265" w:type="pct"/>
        <w:tblBorders>
          <w:top w:val="single" w:sz="4" w:space="0" w:color="auto"/>
          <w:left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Table A.5: Wages and entitlements investigations finalised, 2 December 2016 to 31 December 2017"/>
        <w:tblDescription w:val="This table provides by outcome the number and percentage of wages and entitlements investigations finalised for the period 2 December 2016 to 31 December 2017."/>
      </w:tblPr>
      <w:tblGrid>
        <w:gridCol w:w="4944"/>
        <w:gridCol w:w="2011"/>
        <w:gridCol w:w="2539"/>
      </w:tblGrid>
      <w:tr w:rsidR="00F72362" w:rsidRPr="00E65F52" w14:paraId="17032997" w14:textId="77777777" w:rsidTr="000218CE">
        <w:trPr>
          <w:cnfStyle w:val="100000000000" w:firstRow="1" w:lastRow="0" w:firstColumn="0" w:lastColumn="0" w:oddVBand="0" w:evenVBand="0" w:oddHBand="0" w:evenHBand="0" w:firstRowFirstColumn="0" w:firstRowLastColumn="0" w:lastRowFirstColumn="0" w:lastRowLastColumn="0"/>
        </w:trPr>
        <w:tc>
          <w:tcPr>
            <w:tcW w:w="4943" w:type="dxa"/>
            <w:shd w:val="clear" w:color="auto" w:fill="1E3D6B"/>
          </w:tcPr>
          <w:p w14:paraId="6966EF69" w14:textId="77777777" w:rsidR="00F72362" w:rsidRPr="00E65F52" w:rsidRDefault="00F72362" w:rsidP="00063683">
            <w:r w:rsidRPr="00E65F52">
              <w:rPr>
                <w:rFonts w:cstheme="minorHAnsi"/>
              </w:rPr>
              <w:t>Outcome</w:t>
            </w:r>
          </w:p>
        </w:tc>
        <w:tc>
          <w:tcPr>
            <w:tcW w:w="2011" w:type="dxa"/>
            <w:shd w:val="clear" w:color="auto" w:fill="1E3D6B"/>
            <w:vAlign w:val="bottom"/>
          </w:tcPr>
          <w:p w14:paraId="2CFB7A38" w14:textId="77777777" w:rsidR="00F72362" w:rsidRPr="00E65F52" w:rsidRDefault="00F72362" w:rsidP="00063683">
            <w:pPr>
              <w:jc w:val="center"/>
            </w:pPr>
            <w:r w:rsidRPr="00E65F52">
              <w:rPr>
                <w:rFonts w:cstheme="minorHAnsi"/>
              </w:rPr>
              <w:t>Number</w:t>
            </w:r>
          </w:p>
        </w:tc>
        <w:tc>
          <w:tcPr>
            <w:tcW w:w="2539" w:type="dxa"/>
            <w:shd w:val="clear" w:color="auto" w:fill="1E3D6B"/>
            <w:vAlign w:val="bottom"/>
          </w:tcPr>
          <w:p w14:paraId="468C7F79" w14:textId="77777777" w:rsidR="00F72362" w:rsidRPr="00E65F52" w:rsidRDefault="00F72362" w:rsidP="00063683">
            <w:pPr>
              <w:jc w:val="center"/>
            </w:pPr>
            <w:r w:rsidRPr="00E65F52">
              <w:rPr>
                <w:rFonts w:cstheme="minorHAnsi"/>
              </w:rPr>
              <w:t>Percentage</w:t>
            </w:r>
          </w:p>
        </w:tc>
      </w:tr>
      <w:tr w:rsidR="00F72362" w14:paraId="45408C40" w14:textId="77777777" w:rsidTr="000218CE">
        <w:tc>
          <w:tcPr>
            <w:tcW w:w="4943" w:type="dxa"/>
          </w:tcPr>
          <w:p w14:paraId="6F5F3728" w14:textId="77777777" w:rsidR="00F72362" w:rsidRDefault="00F72362" w:rsidP="00063683">
            <w:r w:rsidRPr="00EE0A20">
              <w:rPr>
                <w:rFonts w:cstheme="minorHAnsi"/>
              </w:rPr>
              <w:t>Letter of caution</w:t>
            </w:r>
          </w:p>
        </w:tc>
        <w:tc>
          <w:tcPr>
            <w:tcW w:w="2011" w:type="dxa"/>
            <w:vAlign w:val="bottom"/>
          </w:tcPr>
          <w:p w14:paraId="32D3E74D" w14:textId="77777777" w:rsidR="00F72362" w:rsidRDefault="00F72362" w:rsidP="00063683">
            <w:pPr>
              <w:jc w:val="right"/>
            </w:pPr>
            <w:r w:rsidRPr="00EE0A20">
              <w:rPr>
                <w:rFonts w:cstheme="minorHAnsi"/>
              </w:rPr>
              <w:t>1</w:t>
            </w:r>
          </w:p>
        </w:tc>
        <w:tc>
          <w:tcPr>
            <w:tcW w:w="2539" w:type="dxa"/>
            <w:vAlign w:val="bottom"/>
          </w:tcPr>
          <w:p w14:paraId="065D52DD" w14:textId="77777777" w:rsidR="00F72362" w:rsidRDefault="00F72362" w:rsidP="00063683">
            <w:pPr>
              <w:jc w:val="right"/>
            </w:pPr>
            <w:r w:rsidRPr="00EE0A20">
              <w:rPr>
                <w:rFonts w:ascii="Calibri" w:hAnsi="Calibri" w:cstheme="minorHAnsi"/>
                <w:color w:val="000000"/>
              </w:rPr>
              <w:t>5.9%</w:t>
            </w:r>
          </w:p>
        </w:tc>
      </w:tr>
      <w:tr w:rsidR="00F72362" w14:paraId="6E90C883" w14:textId="77777777" w:rsidTr="000218CE">
        <w:tc>
          <w:tcPr>
            <w:tcW w:w="4943" w:type="dxa"/>
          </w:tcPr>
          <w:p w14:paraId="58515448" w14:textId="77777777" w:rsidR="00F72362" w:rsidRDefault="00F72362" w:rsidP="00063683">
            <w:r w:rsidRPr="00EE0A20">
              <w:rPr>
                <w:rFonts w:cstheme="minorHAnsi"/>
              </w:rPr>
              <w:t>Voluntary settlement between parties</w:t>
            </w:r>
          </w:p>
        </w:tc>
        <w:tc>
          <w:tcPr>
            <w:tcW w:w="2011" w:type="dxa"/>
            <w:vAlign w:val="bottom"/>
          </w:tcPr>
          <w:p w14:paraId="431B309D" w14:textId="77777777" w:rsidR="00F72362" w:rsidRDefault="00F72362" w:rsidP="00063683">
            <w:pPr>
              <w:jc w:val="right"/>
            </w:pPr>
            <w:r w:rsidRPr="00EE0A20">
              <w:rPr>
                <w:rFonts w:cstheme="minorHAnsi"/>
              </w:rPr>
              <w:t>5</w:t>
            </w:r>
          </w:p>
        </w:tc>
        <w:tc>
          <w:tcPr>
            <w:tcW w:w="2539" w:type="dxa"/>
            <w:vAlign w:val="bottom"/>
          </w:tcPr>
          <w:p w14:paraId="0524C471" w14:textId="77777777" w:rsidR="00F72362" w:rsidRDefault="00F72362" w:rsidP="00063683">
            <w:pPr>
              <w:jc w:val="right"/>
            </w:pPr>
            <w:r w:rsidRPr="00EE0A20">
              <w:rPr>
                <w:rFonts w:ascii="Calibri" w:hAnsi="Calibri" w:cstheme="minorHAnsi"/>
                <w:color w:val="000000"/>
              </w:rPr>
              <w:t>29.4%</w:t>
            </w:r>
          </w:p>
        </w:tc>
      </w:tr>
      <w:tr w:rsidR="00F72362" w14:paraId="7E0CDBCC" w14:textId="77777777" w:rsidTr="000218CE">
        <w:tc>
          <w:tcPr>
            <w:tcW w:w="4943" w:type="dxa"/>
          </w:tcPr>
          <w:p w14:paraId="436942E6" w14:textId="77777777" w:rsidR="00F72362" w:rsidRDefault="00F72362" w:rsidP="00063683">
            <w:r w:rsidRPr="00EE0A20">
              <w:rPr>
                <w:rFonts w:cstheme="minorHAnsi"/>
              </w:rPr>
              <w:t>Employer insolvent – no further action</w:t>
            </w:r>
          </w:p>
        </w:tc>
        <w:tc>
          <w:tcPr>
            <w:tcW w:w="2011" w:type="dxa"/>
            <w:vAlign w:val="bottom"/>
          </w:tcPr>
          <w:p w14:paraId="38384E64" w14:textId="77777777" w:rsidR="00F72362" w:rsidRDefault="00F72362" w:rsidP="00063683">
            <w:pPr>
              <w:jc w:val="right"/>
            </w:pPr>
            <w:r w:rsidRPr="00EE0A20">
              <w:rPr>
                <w:rFonts w:cstheme="minorHAnsi"/>
              </w:rPr>
              <w:t>1</w:t>
            </w:r>
          </w:p>
        </w:tc>
        <w:tc>
          <w:tcPr>
            <w:tcW w:w="2539" w:type="dxa"/>
            <w:vAlign w:val="bottom"/>
          </w:tcPr>
          <w:p w14:paraId="63242E30" w14:textId="77777777" w:rsidR="00F72362" w:rsidRDefault="00F72362" w:rsidP="00063683">
            <w:pPr>
              <w:jc w:val="right"/>
            </w:pPr>
            <w:r w:rsidRPr="00EE0A20">
              <w:rPr>
                <w:rFonts w:ascii="Calibri" w:hAnsi="Calibri" w:cs="Calibri"/>
                <w:color w:val="000000"/>
              </w:rPr>
              <w:t>5.9%</w:t>
            </w:r>
          </w:p>
        </w:tc>
      </w:tr>
      <w:tr w:rsidR="00F72362" w14:paraId="494B7B49" w14:textId="77777777" w:rsidTr="000218CE">
        <w:tc>
          <w:tcPr>
            <w:tcW w:w="4943" w:type="dxa"/>
          </w:tcPr>
          <w:p w14:paraId="4E5924AF" w14:textId="77777777" w:rsidR="00F72362" w:rsidRDefault="00F72362" w:rsidP="00063683">
            <w:r w:rsidRPr="00EE0A20">
              <w:rPr>
                <w:rFonts w:cstheme="minorHAnsi"/>
              </w:rPr>
              <w:t>Insufficient evidence</w:t>
            </w:r>
          </w:p>
        </w:tc>
        <w:tc>
          <w:tcPr>
            <w:tcW w:w="2011" w:type="dxa"/>
            <w:vAlign w:val="bottom"/>
          </w:tcPr>
          <w:p w14:paraId="4CE125EA" w14:textId="77777777" w:rsidR="00F72362" w:rsidRDefault="00F72362" w:rsidP="00063683">
            <w:pPr>
              <w:jc w:val="right"/>
            </w:pPr>
            <w:r w:rsidRPr="00EE0A20">
              <w:rPr>
                <w:rFonts w:cstheme="minorHAnsi"/>
              </w:rPr>
              <w:t>1</w:t>
            </w:r>
          </w:p>
        </w:tc>
        <w:tc>
          <w:tcPr>
            <w:tcW w:w="2539" w:type="dxa"/>
            <w:vAlign w:val="bottom"/>
          </w:tcPr>
          <w:p w14:paraId="747861C3" w14:textId="77777777" w:rsidR="00F72362" w:rsidRDefault="00F72362" w:rsidP="00063683">
            <w:pPr>
              <w:jc w:val="right"/>
            </w:pPr>
            <w:r w:rsidRPr="00EE0A20">
              <w:rPr>
                <w:rFonts w:ascii="Calibri" w:hAnsi="Calibri" w:cs="Calibri"/>
                <w:color w:val="000000"/>
              </w:rPr>
              <w:t>5.9%</w:t>
            </w:r>
          </w:p>
        </w:tc>
      </w:tr>
      <w:tr w:rsidR="00F72362" w14:paraId="75954EB5" w14:textId="77777777" w:rsidTr="000218CE">
        <w:tc>
          <w:tcPr>
            <w:tcW w:w="4943" w:type="dxa"/>
          </w:tcPr>
          <w:p w14:paraId="6FC58CB0" w14:textId="77777777" w:rsidR="00F72362" w:rsidRPr="00EE0A20" w:rsidRDefault="00F72362" w:rsidP="00063683">
            <w:pPr>
              <w:rPr>
                <w:rFonts w:cstheme="minorHAnsi"/>
              </w:rPr>
            </w:pPr>
            <w:r w:rsidRPr="00EE0A20">
              <w:rPr>
                <w:rFonts w:cstheme="minorHAnsi"/>
              </w:rPr>
              <w:t>Not in the public interest</w:t>
            </w:r>
          </w:p>
        </w:tc>
        <w:tc>
          <w:tcPr>
            <w:tcW w:w="2011" w:type="dxa"/>
            <w:vAlign w:val="bottom"/>
          </w:tcPr>
          <w:p w14:paraId="08B32EBB" w14:textId="77777777" w:rsidR="00F72362" w:rsidRPr="00EE0A20" w:rsidRDefault="00F72362" w:rsidP="00063683">
            <w:pPr>
              <w:jc w:val="right"/>
              <w:rPr>
                <w:rFonts w:cstheme="minorHAnsi"/>
              </w:rPr>
            </w:pPr>
            <w:r w:rsidRPr="00EE0A20">
              <w:rPr>
                <w:rFonts w:cstheme="minorHAnsi"/>
              </w:rPr>
              <w:t>2</w:t>
            </w:r>
          </w:p>
        </w:tc>
        <w:tc>
          <w:tcPr>
            <w:tcW w:w="2539" w:type="dxa"/>
            <w:vAlign w:val="bottom"/>
          </w:tcPr>
          <w:p w14:paraId="5D1479E6" w14:textId="77777777" w:rsidR="00F72362" w:rsidRPr="00EE0A20" w:rsidRDefault="00F72362" w:rsidP="00063683">
            <w:pPr>
              <w:jc w:val="right"/>
              <w:rPr>
                <w:rFonts w:ascii="Calibri" w:hAnsi="Calibri" w:cs="Calibri"/>
                <w:color w:val="000000"/>
              </w:rPr>
            </w:pPr>
            <w:r w:rsidRPr="00EE0A20">
              <w:rPr>
                <w:rFonts w:ascii="Calibri" w:hAnsi="Calibri" w:cs="Calibri"/>
                <w:color w:val="000000"/>
              </w:rPr>
              <w:t>11.8%</w:t>
            </w:r>
          </w:p>
        </w:tc>
      </w:tr>
      <w:tr w:rsidR="00F72362" w14:paraId="73AC15DF" w14:textId="77777777" w:rsidTr="000218CE">
        <w:tc>
          <w:tcPr>
            <w:tcW w:w="4943" w:type="dxa"/>
          </w:tcPr>
          <w:p w14:paraId="7BF97401" w14:textId="77777777" w:rsidR="00F72362" w:rsidRPr="00EE0A20" w:rsidRDefault="00F72362" w:rsidP="00063683">
            <w:pPr>
              <w:rPr>
                <w:rFonts w:cstheme="minorHAnsi"/>
              </w:rPr>
            </w:pPr>
            <w:r w:rsidRPr="00EE0A20">
              <w:rPr>
                <w:rFonts w:cstheme="minorHAnsi"/>
              </w:rPr>
              <w:t>No breach identified</w:t>
            </w:r>
          </w:p>
        </w:tc>
        <w:tc>
          <w:tcPr>
            <w:tcW w:w="2011" w:type="dxa"/>
            <w:vAlign w:val="bottom"/>
          </w:tcPr>
          <w:p w14:paraId="2BE44D1D" w14:textId="77777777" w:rsidR="00F72362" w:rsidRPr="00EE0A20" w:rsidRDefault="00F72362" w:rsidP="00063683">
            <w:pPr>
              <w:jc w:val="right"/>
              <w:rPr>
                <w:rFonts w:cstheme="minorHAnsi"/>
              </w:rPr>
            </w:pPr>
            <w:r w:rsidRPr="00EE0A20">
              <w:rPr>
                <w:rFonts w:cstheme="minorHAnsi"/>
              </w:rPr>
              <w:t>7</w:t>
            </w:r>
          </w:p>
        </w:tc>
        <w:tc>
          <w:tcPr>
            <w:tcW w:w="2539" w:type="dxa"/>
            <w:vAlign w:val="bottom"/>
          </w:tcPr>
          <w:p w14:paraId="706F2A06" w14:textId="77777777" w:rsidR="00F72362" w:rsidRPr="00EE0A20" w:rsidRDefault="00F72362" w:rsidP="00063683">
            <w:pPr>
              <w:jc w:val="right"/>
              <w:rPr>
                <w:rFonts w:ascii="Calibri" w:hAnsi="Calibri" w:cs="Calibri"/>
                <w:color w:val="000000"/>
              </w:rPr>
            </w:pPr>
            <w:r w:rsidRPr="00EE0A20">
              <w:rPr>
                <w:rFonts w:ascii="Calibri" w:hAnsi="Calibri" w:cs="Calibri"/>
                <w:color w:val="000000"/>
              </w:rPr>
              <w:t>41.2%</w:t>
            </w:r>
          </w:p>
        </w:tc>
      </w:tr>
      <w:tr w:rsidR="00F72362" w14:paraId="4A775274" w14:textId="77777777" w:rsidTr="000218CE">
        <w:tc>
          <w:tcPr>
            <w:tcW w:w="4943" w:type="dxa"/>
          </w:tcPr>
          <w:p w14:paraId="2BD00938" w14:textId="77777777" w:rsidR="00F72362" w:rsidRPr="00EE0A20" w:rsidRDefault="00F72362" w:rsidP="00063683">
            <w:pPr>
              <w:rPr>
                <w:rFonts w:cstheme="minorHAnsi"/>
              </w:rPr>
            </w:pPr>
            <w:r w:rsidRPr="00EE0A20">
              <w:rPr>
                <w:rFonts w:cstheme="minorHAnsi"/>
                <w:b/>
              </w:rPr>
              <w:t>Total</w:t>
            </w:r>
          </w:p>
        </w:tc>
        <w:tc>
          <w:tcPr>
            <w:tcW w:w="2011" w:type="dxa"/>
            <w:vAlign w:val="bottom"/>
          </w:tcPr>
          <w:p w14:paraId="66FE70E6" w14:textId="77777777" w:rsidR="00F72362" w:rsidRPr="00EE0A20" w:rsidRDefault="00F72362" w:rsidP="00063683">
            <w:pPr>
              <w:jc w:val="right"/>
              <w:rPr>
                <w:rFonts w:cstheme="minorHAnsi"/>
              </w:rPr>
            </w:pPr>
            <w:r w:rsidRPr="00EE0A20">
              <w:rPr>
                <w:rFonts w:cstheme="minorHAnsi"/>
                <w:b/>
              </w:rPr>
              <w:t>17</w:t>
            </w:r>
          </w:p>
        </w:tc>
        <w:tc>
          <w:tcPr>
            <w:tcW w:w="2539" w:type="dxa"/>
            <w:vAlign w:val="bottom"/>
          </w:tcPr>
          <w:p w14:paraId="4A3E134D" w14:textId="77777777" w:rsidR="00F72362" w:rsidRPr="00EE0A20" w:rsidRDefault="00F72362" w:rsidP="00063683">
            <w:pPr>
              <w:jc w:val="right"/>
              <w:rPr>
                <w:rFonts w:ascii="Calibri" w:hAnsi="Calibri" w:cs="Calibri"/>
                <w:color w:val="000000"/>
              </w:rPr>
            </w:pPr>
            <w:r w:rsidRPr="00EE0A20">
              <w:rPr>
                <w:rFonts w:ascii="Calibri" w:hAnsi="Calibri" w:cs="Calibri"/>
                <w:b/>
                <w:color w:val="000000"/>
              </w:rPr>
              <w:t>100.0%</w:t>
            </w:r>
          </w:p>
        </w:tc>
      </w:tr>
    </w:tbl>
    <w:p w14:paraId="3411183A" w14:textId="7748DA75" w:rsidR="00E9213E" w:rsidRPr="00EE0A20" w:rsidRDefault="00F72362" w:rsidP="005C3772">
      <w:pPr>
        <w:pStyle w:val="Source"/>
        <w:sectPr w:rsidR="00E9213E" w:rsidRPr="00EE0A20" w:rsidSect="005B385F">
          <w:pgSz w:w="11906" w:h="16838" w:code="9"/>
          <w:pgMar w:top="1440" w:right="1440" w:bottom="1440" w:left="1440" w:header="709" w:footer="1009" w:gutter="0"/>
          <w:cols w:space="708"/>
          <w:docGrid w:linePitch="360"/>
        </w:sectPr>
      </w:pPr>
      <w:r w:rsidRPr="00B2722A">
        <w:t>Source</w:t>
      </w:r>
      <w:r>
        <w:t xml:space="preserve">: </w:t>
      </w:r>
      <w:r w:rsidR="00A85338" w:rsidRPr="00CB581A">
        <w:rPr>
          <w:b w:val="0"/>
        </w:rPr>
        <w:t>Unpublished data provided by the</w:t>
      </w:r>
      <w:r w:rsidR="00A85338">
        <w:t xml:space="preserve"> </w:t>
      </w:r>
      <w:r w:rsidR="00A85338" w:rsidRPr="00CF5855">
        <w:rPr>
          <w:b w:val="0"/>
        </w:rPr>
        <w:t>ABCC</w:t>
      </w:r>
      <w:r w:rsidR="00E9213E" w:rsidRPr="00EE0A20">
        <w:br w:type="page"/>
      </w:r>
    </w:p>
    <w:p w14:paraId="0EDB2F5B" w14:textId="0ADA5364" w:rsidR="00E9213E" w:rsidRPr="00EE0A20" w:rsidRDefault="006F0241" w:rsidP="00E9213E">
      <w:pPr>
        <w:pStyle w:val="Heading1"/>
        <w:tabs>
          <w:tab w:val="left" w:pos="1985"/>
        </w:tabs>
        <w:ind w:right="-188"/>
      </w:pPr>
      <w:bookmarkStart w:id="206" w:name="_Toc523154958"/>
      <w:bookmarkStart w:id="207" w:name="_Toc527633062"/>
      <w:r w:rsidRPr="00787274">
        <w:rPr>
          <w:noProof/>
          <w:lang w:eastAsia="en-AU"/>
        </w:rPr>
        <w:lastRenderedPageBreak/>
        <w:drawing>
          <wp:anchor distT="0" distB="0" distL="114300" distR="114300" simplePos="0" relativeHeight="251668480" behindDoc="0" locked="0" layoutInCell="1" allowOverlap="1" wp14:anchorId="34D2678D" wp14:editId="4A56E988">
            <wp:simplePos x="0" y="0"/>
            <wp:positionH relativeFrom="column">
              <wp:posOffset>-447675</wp:posOffset>
            </wp:positionH>
            <wp:positionV relativeFrom="paragraph">
              <wp:posOffset>476250</wp:posOffset>
            </wp:positionV>
            <wp:extent cx="9644932" cy="4452053"/>
            <wp:effectExtent l="0" t="0" r="0" b="5715"/>
            <wp:wrapNone/>
            <wp:docPr id="5" name="Picture 5" descr="Flow chart of the history of the BCIIP Act and previous legislation. Text described 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0276\AppData\Local\Microsoft\Windows\INetCache\Content.Outlook\P0W2EA29\JSB18-0301 History of the BCIIP Act_Timeline_AW (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44932" cy="4452053"/>
                    </a:xfrm>
                    <a:prstGeom prst="rect">
                      <a:avLst/>
                    </a:prstGeom>
                    <a:noFill/>
                    <a:ln>
                      <a:noFill/>
                    </a:ln>
                  </pic:spPr>
                </pic:pic>
              </a:graphicData>
            </a:graphic>
            <wp14:sizeRelH relativeFrom="page">
              <wp14:pctWidth>0</wp14:pctWidth>
            </wp14:sizeRelH>
            <wp14:sizeRelV relativeFrom="page">
              <wp14:pctHeight>0</wp14:pctHeight>
            </wp14:sizeRelV>
          </wp:anchor>
        </w:drawing>
      </w:r>
      <w:r w:rsidR="00E9213E" w:rsidRPr="00EE0A20">
        <w:t>Appendix 2:</w:t>
      </w:r>
      <w:r w:rsidR="00E9213E" w:rsidRPr="00EE0A20">
        <w:tab/>
        <w:t>History of the BCIIP Act and previous legislation</w:t>
      </w:r>
      <w:bookmarkEnd w:id="206"/>
      <w:bookmarkEnd w:id="207"/>
    </w:p>
    <w:p w14:paraId="09B47813" w14:textId="77777777" w:rsidR="00E9213E" w:rsidRPr="00EE0A20" w:rsidRDefault="00E9213E" w:rsidP="00E9213E">
      <w:pPr>
        <w:sectPr w:rsidR="00E9213E" w:rsidRPr="00EE0A20" w:rsidSect="005B385F">
          <w:pgSz w:w="16838" w:h="11906" w:orient="landscape" w:code="9"/>
          <w:pgMar w:top="1440" w:right="1440" w:bottom="1440" w:left="1440" w:header="709" w:footer="709" w:gutter="0"/>
          <w:cols w:space="708"/>
          <w:docGrid w:linePitch="360"/>
        </w:sectPr>
      </w:pPr>
    </w:p>
    <w:p w14:paraId="42BAB3FD" w14:textId="46A38962" w:rsidR="006F0241" w:rsidRPr="006F0241" w:rsidRDefault="006F0241" w:rsidP="006F0241">
      <w:pPr>
        <w:pStyle w:val="Heading2"/>
        <w:rPr>
          <w:color w:val="FFFFFF" w:themeColor="background1"/>
        </w:rPr>
      </w:pPr>
      <w:r w:rsidRPr="006F0241">
        <w:rPr>
          <w:color w:val="FFFFFF" w:themeColor="background1"/>
        </w:rPr>
        <w:t>Building Industry Taskforce</w:t>
      </w:r>
    </w:p>
    <w:p w14:paraId="0F97BEEA" w14:textId="77777777" w:rsidR="006F0241" w:rsidRPr="006F0241" w:rsidRDefault="006F0241" w:rsidP="006F0241">
      <w:pPr>
        <w:rPr>
          <w:color w:val="FFFFFF" w:themeColor="background1"/>
        </w:rPr>
      </w:pPr>
      <w:r w:rsidRPr="006F0241">
        <w:rPr>
          <w:color w:val="FFFFFF" w:themeColor="background1"/>
        </w:rPr>
        <w:t>October 2002 – Interim Building Industry Taskforce established</w:t>
      </w:r>
    </w:p>
    <w:p w14:paraId="4B83CDDB" w14:textId="77777777" w:rsidR="006F0241" w:rsidRPr="006F0241" w:rsidRDefault="006F0241" w:rsidP="006F0241">
      <w:pPr>
        <w:rPr>
          <w:color w:val="FFFFFF" w:themeColor="background1"/>
        </w:rPr>
      </w:pPr>
      <w:r w:rsidRPr="006F0241">
        <w:rPr>
          <w:color w:val="FFFFFF" w:themeColor="background1"/>
        </w:rPr>
        <w:t>March 2003 – Final Report of the Cole Royal Commission into the Building and Construction Industry released</w:t>
      </w:r>
    </w:p>
    <w:p w14:paraId="1A7D22E7" w14:textId="2F8E49DD" w:rsidR="006F0241" w:rsidRPr="006F0241" w:rsidRDefault="006F0241" w:rsidP="006F0241">
      <w:pPr>
        <w:rPr>
          <w:color w:val="FFFFFF" w:themeColor="background1"/>
        </w:rPr>
      </w:pPr>
      <w:r w:rsidRPr="006F0241">
        <w:rPr>
          <w:color w:val="FFFFFF" w:themeColor="background1"/>
        </w:rPr>
        <w:t>March 2004 – Building Industry Taskforce became permanent</w:t>
      </w:r>
    </w:p>
    <w:p w14:paraId="0E8F2926" w14:textId="6343677A" w:rsidR="006F0241" w:rsidRPr="006F0241" w:rsidRDefault="006F0241" w:rsidP="006F0241">
      <w:pPr>
        <w:pStyle w:val="Heading2"/>
        <w:rPr>
          <w:color w:val="FFFFFF" w:themeColor="background1"/>
        </w:rPr>
      </w:pPr>
      <w:r w:rsidRPr="006F0241">
        <w:rPr>
          <w:color w:val="FFFFFF" w:themeColor="background1"/>
        </w:rPr>
        <w:t>Australian Building and Construction Commission (ABCC)</w:t>
      </w:r>
    </w:p>
    <w:p w14:paraId="252A5D8A" w14:textId="67143287" w:rsidR="006F0241" w:rsidRPr="006F0241" w:rsidRDefault="006F0241" w:rsidP="006F0241">
      <w:pPr>
        <w:rPr>
          <w:color w:val="FFFFFF" w:themeColor="background1"/>
        </w:rPr>
      </w:pPr>
      <w:r w:rsidRPr="006F0241">
        <w:rPr>
          <w:color w:val="FFFFFF" w:themeColor="background1"/>
        </w:rPr>
        <w:t>October 2005 – ABCC commenced operation under the Building and Construction Industry Improvement Act 2005</w:t>
      </w:r>
    </w:p>
    <w:p w14:paraId="65533C97" w14:textId="2BF5835E" w:rsidR="006F0241" w:rsidRPr="006F0241" w:rsidRDefault="006F0241" w:rsidP="006F0241">
      <w:pPr>
        <w:rPr>
          <w:color w:val="FFFFFF" w:themeColor="background1"/>
        </w:rPr>
      </w:pPr>
      <w:r w:rsidRPr="006F0241">
        <w:rPr>
          <w:color w:val="FFFFFF" w:themeColor="background1"/>
        </w:rPr>
        <w:t>March 2006 – Substantive provisions of the Workplace Relations Amendment (Work Choices) Act 2005 commenced</w:t>
      </w:r>
    </w:p>
    <w:p w14:paraId="4548554E" w14:textId="77777777" w:rsidR="006F0241" w:rsidRPr="006F0241" w:rsidRDefault="006F0241" w:rsidP="006F0241">
      <w:pPr>
        <w:rPr>
          <w:color w:val="FFFFFF" w:themeColor="background1"/>
        </w:rPr>
      </w:pPr>
      <w:r w:rsidRPr="006F0241">
        <w:rPr>
          <w:color w:val="FFFFFF" w:themeColor="background1"/>
        </w:rPr>
        <w:t>March 2007 – Substantive provisions of the Independent Contractors Act 2006 commenced</w:t>
      </w:r>
    </w:p>
    <w:p w14:paraId="02FD731F" w14:textId="21CCD5FE" w:rsidR="006F0241" w:rsidRPr="006F0241" w:rsidRDefault="006F0241" w:rsidP="006F0241">
      <w:pPr>
        <w:rPr>
          <w:color w:val="FFFFFF" w:themeColor="background1"/>
        </w:rPr>
      </w:pPr>
      <w:r w:rsidRPr="006F0241">
        <w:rPr>
          <w:color w:val="FFFFFF" w:themeColor="background1"/>
        </w:rPr>
        <w:t>April 2009 – Wilcox Report Transition to Fair Work Australia for the Building and Construction Industry released</w:t>
      </w:r>
    </w:p>
    <w:p w14:paraId="5036214F" w14:textId="77777777" w:rsidR="006F0241" w:rsidRPr="006F0241" w:rsidRDefault="006F0241" w:rsidP="006F0241">
      <w:pPr>
        <w:rPr>
          <w:color w:val="FFFFFF" w:themeColor="background1"/>
        </w:rPr>
      </w:pPr>
      <w:r w:rsidRPr="006F0241">
        <w:rPr>
          <w:color w:val="FFFFFF" w:themeColor="background1"/>
        </w:rPr>
        <w:t>July 2009 – Substantive provisions of the Fair Work Act 2009 commenced</w:t>
      </w:r>
    </w:p>
    <w:p w14:paraId="47A8C49E" w14:textId="7179F5C0" w:rsidR="006F0241" w:rsidRPr="006F0241" w:rsidRDefault="006F0241" w:rsidP="006F0241">
      <w:pPr>
        <w:rPr>
          <w:color w:val="FFFFFF" w:themeColor="background1"/>
        </w:rPr>
      </w:pPr>
      <w:r w:rsidRPr="006F0241">
        <w:rPr>
          <w:color w:val="FFFFFF" w:themeColor="background1"/>
        </w:rPr>
        <w:t>July 2009 – Fair Work Ombudsman commenced operation</w:t>
      </w:r>
    </w:p>
    <w:p w14:paraId="7D838ED8" w14:textId="77777777" w:rsidR="006F0241" w:rsidRPr="006F0241" w:rsidRDefault="006F0241" w:rsidP="006F0241">
      <w:pPr>
        <w:pStyle w:val="Heading2"/>
        <w:rPr>
          <w:color w:val="FFFFFF" w:themeColor="background1"/>
        </w:rPr>
      </w:pPr>
      <w:r w:rsidRPr="006F0241">
        <w:rPr>
          <w:color w:val="FFFFFF" w:themeColor="background1"/>
        </w:rPr>
        <w:t>Fair Work Building and Construction (FWBC)</w:t>
      </w:r>
    </w:p>
    <w:p w14:paraId="3B0BEA2F" w14:textId="77777777" w:rsidR="006F0241" w:rsidRPr="006F0241" w:rsidRDefault="006F0241" w:rsidP="006F0241">
      <w:pPr>
        <w:rPr>
          <w:color w:val="FFFFFF" w:themeColor="background1"/>
        </w:rPr>
      </w:pPr>
      <w:r w:rsidRPr="006F0241">
        <w:rPr>
          <w:color w:val="FFFFFF" w:themeColor="background1"/>
        </w:rPr>
        <w:t>June 2012 – FWBC commenced operation under the Fair Work Building Industry Act 2012</w:t>
      </w:r>
    </w:p>
    <w:p w14:paraId="5323CE56" w14:textId="77777777" w:rsidR="006F0241" w:rsidRPr="006F0241" w:rsidRDefault="006F0241" w:rsidP="006F0241">
      <w:pPr>
        <w:rPr>
          <w:color w:val="FFFFFF" w:themeColor="background1"/>
        </w:rPr>
      </w:pPr>
      <w:r w:rsidRPr="006F0241">
        <w:rPr>
          <w:color w:val="FFFFFF" w:themeColor="background1"/>
        </w:rPr>
        <w:t>February 2013 – Building Code 2013 (under FWBI Act) commenced</w:t>
      </w:r>
    </w:p>
    <w:p w14:paraId="1FAF9B1A" w14:textId="5E4470A4" w:rsidR="006F0241" w:rsidRPr="006F0241" w:rsidRDefault="006F0241" w:rsidP="006F0241">
      <w:pPr>
        <w:rPr>
          <w:color w:val="FFFFFF" w:themeColor="background1"/>
        </w:rPr>
      </w:pPr>
      <w:r w:rsidRPr="006F0241">
        <w:rPr>
          <w:color w:val="FFFFFF" w:themeColor="background1"/>
        </w:rPr>
        <w:t xml:space="preserve">December 2015 – Final Report of the </w:t>
      </w:r>
      <w:proofErr w:type="spellStart"/>
      <w:r w:rsidRPr="006F0241">
        <w:rPr>
          <w:color w:val="FFFFFF" w:themeColor="background1"/>
        </w:rPr>
        <w:t>Heydon</w:t>
      </w:r>
      <w:proofErr w:type="spellEnd"/>
      <w:r w:rsidRPr="006F0241">
        <w:rPr>
          <w:color w:val="FFFFFF" w:themeColor="background1"/>
        </w:rPr>
        <w:t xml:space="preserve"> Royal Commission into Trade Union Governance and Corruption released</w:t>
      </w:r>
    </w:p>
    <w:p w14:paraId="135ECBAB" w14:textId="77777777" w:rsidR="006F0241" w:rsidRPr="006F0241" w:rsidRDefault="006F0241" w:rsidP="006F0241">
      <w:pPr>
        <w:pStyle w:val="Heading2"/>
        <w:rPr>
          <w:color w:val="FFFFFF" w:themeColor="background1"/>
        </w:rPr>
      </w:pPr>
      <w:r w:rsidRPr="006F0241">
        <w:rPr>
          <w:color w:val="FFFFFF" w:themeColor="background1"/>
        </w:rPr>
        <w:t>Re-established Australian Building and Construction Commission (ABCC)</w:t>
      </w:r>
    </w:p>
    <w:p w14:paraId="36B808B5" w14:textId="77777777" w:rsidR="006F0241" w:rsidRPr="006F0241" w:rsidRDefault="006F0241" w:rsidP="006F0241">
      <w:pPr>
        <w:rPr>
          <w:color w:val="FFFFFF" w:themeColor="background1"/>
        </w:rPr>
      </w:pPr>
      <w:r w:rsidRPr="006F0241">
        <w:rPr>
          <w:color w:val="FFFFFF" w:themeColor="background1"/>
        </w:rPr>
        <w:t>December 2016 – ABCC re-established under the Building Industry (Improving Productivity) Act 2016 and the Code for the Tendering and Performance of Building Work 2016 commenced</w:t>
      </w:r>
    </w:p>
    <w:p w14:paraId="769AAC00" w14:textId="43440F1D" w:rsidR="00E9213E" w:rsidRPr="006F0241" w:rsidRDefault="006F0241" w:rsidP="00E9213E">
      <w:pPr>
        <w:rPr>
          <w:color w:val="FFFFFF" w:themeColor="background1"/>
        </w:rPr>
        <w:sectPr w:rsidR="00E9213E" w:rsidRPr="006F0241" w:rsidSect="007C45AC">
          <w:type w:val="continuous"/>
          <w:pgSz w:w="16838" w:h="11906" w:orient="landscape" w:code="9"/>
          <w:pgMar w:top="1440" w:right="1440" w:bottom="1440" w:left="1440" w:header="709" w:footer="709" w:gutter="0"/>
          <w:pgNumType w:start="1"/>
          <w:cols w:space="708"/>
          <w:docGrid w:linePitch="360"/>
        </w:sectPr>
      </w:pPr>
      <w:r w:rsidRPr="006F0241">
        <w:rPr>
          <w:color w:val="FFFFFF" w:themeColor="background1"/>
        </w:rPr>
        <w:t>May 2017 – Fair Work (Registered Organisations) Act 2009 and the Registered Organisations Commission commenced operation</w:t>
      </w:r>
      <w:r w:rsidR="00E9213E" w:rsidRPr="00EE0A20">
        <w:br w:type="page"/>
      </w:r>
    </w:p>
    <w:p w14:paraId="26C56294" w14:textId="39930112" w:rsidR="00E9213E" w:rsidRPr="00EE0A20" w:rsidRDefault="00E9213E" w:rsidP="00E9213E">
      <w:pPr>
        <w:pStyle w:val="Heading1"/>
        <w:tabs>
          <w:tab w:val="left" w:pos="1985"/>
        </w:tabs>
        <w:ind w:right="-188"/>
      </w:pPr>
      <w:bookmarkStart w:id="208" w:name="_Toc523154959"/>
      <w:bookmarkStart w:id="209" w:name="_Toc527633063"/>
      <w:r w:rsidRPr="00EE0A20">
        <w:lastRenderedPageBreak/>
        <w:t>Appendix 3: Comparison of key provisions – BCIIP Act, FWBI Act &amp; BCII Act</w:t>
      </w:r>
      <w:bookmarkEnd w:id="208"/>
      <w:bookmarkEnd w:id="209"/>
    </w:p>
    <w:p w14:paraId="35E304BD" w14:textId="26E1E6B6" w:rsidR="00441502" w:rsidRPr="00EE0A20" w:rsidRDefault="00441502" w:rsidP="00E9213E">
      <w:pPr>
        <w:sectPr w:rsidR="00441502" w:rsidRPr="00EE0A20" w:rsidSect="002566A2">
          <w:pgSz w:w="16838" w:h="11906" w:orient="landscape" w:code="9"/>
          <w:pgMar w:top="1440" w:right="1440" w:bottom="1440" w:left="1440" w:header="709" w:footer="709" w:gutter="0"/>
          <w:pgNumType w:start="73"/>
          <w:cols w:space="708"/>
          <w:docGrid w:linePitch="360"/>
        </w:sectPr>
      </w:pPr>
    </w:p>
    <w:p w14:paraId="5122940D" w14:textId="77777777" w:rsidR="00441502" w:rsidRPr="007B2B59" w:rsidRDefault="00441502" w:rsidP="007B2B59">
      <w:pPr>
        <w:pStyle w:val="Heading2tables"/>
        <w:ind w:right="-217"/>
        <w:rPr>
          <w:color w:val="auto"/>
        </w:rPr>
      </w:pPr>
      <w:r w:rsidRPr="007B2B59">
        <w:rPr>
          <w:color w:val="auto"/>
        </w:rPr>
        <w:t>Regulator</w:t>
      </w:r>
    </w:p>
    <w:tbl>
      <w:tblPr>
        <w:tblStyle w:val="TableGrid"/>
        <w:tblW w:w="14847" w:type="dxa"/>
        <w:tblInd w:w="-572" w:type="dxa"/>
        <w:tblLook w:val="04A0" w:firstRow="1" w:lastRow="0" w:firstColumn="1" w:lastColumn="0" w:noHBand="0" w:noVBand="1"/>
        <w:tblCaption w:val="Appendix 3: Comparison of key provisions - BCIIP Act, FWBI Act and BCII Act"/>
        <w:tblDescription w:val="This table compares key provisions of the BCIIP Act, FWBI Act and BCII Act."/>
      </w:tblPr>
      <w:tblGrid>
        <w:gridCol w:w="1694"/>
        <w:gridCol w:w="4687"/>
        <w:gridCol w:w="4396"/>
        <w:gridCol w:w="4070"/>
      </w:tblGrid>
      <w:tr w:rsidR="00441502" w14:paraId="60D11725" w14:textId="77777777" w:rsidTr="00441502">
        <w:trPr>
          <w:tblHeader/>
        </w:trPr>
        <w:tc>
          <w:tcPr>
            <w:tcW w:w="169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696889F" w14:textId="77777777" w:rsidR="00441502" w:rsidRDefault="00441502">
            <w:pPr>
              <w:spacing w:after="120"/>
              <w:rPr>
                <w:b/>
                <w:sz w:val="20"/>
                <w:szCs w:val="20"/>
              </w:rPr>
            </w:pPr>
            <w:r>
              <w:rPr>
                <w:b/>
                <w:sz w:val="20"/>
                <w:szCs w:val="20"/>
              </w:rPr>
              <w:t xml:space="preserve">Key provisions </w:t>
            </w:r>
          </w:p>
        </w:tc>
        <w:tc>
          <w:tcPr>
            <w:tcW w:w="4687" w:type="dxa"/>
            <w:tcBorders>
              <w:top w:val="single" w:sz="4" w:space="0" w:color="auto"/>
              <w:left w:val="single" w:sz="4" w:space="0" w:color="auto"/>
              <w:bottom w:val="single" w:sz="4" w:space="0" w:color="auto"/>
              <w:right w:val="single" w:sz="18" w:space="0" w:color="auto"/>
            </w:tcBorders>
            <w:shd w:val="clear" w:color="auto" w:fill="9CC2E5" w:themeFill="accent1" w:themeFillTint="99"/>
            <w:hideMark/>
          </w:tcPr>
          <w:p w14:paraId="480403B1" w14:textId="77777777" w:rsidR="00441502" w:rsidRDefault="00441502">
            <w:pPr>
              <w:spacing w:after="120"/>
              <w:rPr>
                <w:b/>
                <w:i/>
                <w:sz w:val="20"/>
                <w:szCs w:val="20"/>
              </w:rPr>
            </w:pPr>
            <w:r>
              <w:rPr>
                <w:b/>
                <w:i/>
                <w:sz w:val="20"/>
                <w:szCs w:val="20"/>
              </w:rPr>
              <w:t>Building and Construction Industry (Improving Productivity) Act 2016</w:t>
            </w:r>
          </w:p>
        </w:tc>
        <w:tc>
          <w:tcPr>
            <w:tcW w:w="439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D0E8586" w14:textId="77777777" w:rsidR="00441502" w:rsidRDefault="00441502">
            <w:pPr>
              <w:spacing w:after="120"/>
              <w:rPr>
                <w:b/>
                <w:sz w:val="20"/>
                <w:szCs w:val="20"/>
              </w:rPr>
            </w:pPr>
            <w:r>
              <w:rPr>
                <w:b/>
                <w:i/>
                <w:sz w:val="20"/>
                <w:szCs w:val="20"/>
              </w:rPr>
              <w:t>Fair Work (Building Industry) Act 2012</w:t>
            </w:r>
            <w:r>
              <w:rPr>
                <w:b/>
                <w:sz w:val="20"/>
                <w:szCs w:val="20"/>
              </w:rPr>
              <w:t xml:space="preserve"> (and </w:t>
            </w:r>
            <w:r>
              <w:rPr>
                <w:b/>
                <w:i/>
                <w:sz w:val="20"/>
                <w:szCs w:val="20"/>
              </w:rPr>
              <w:t xml:space="preserve">Fair Work Act 2009 </w:t>
            </w:r>
            <w:r>
              <w:rPr>
                <w:b/>
                <w:sz w:val="20"/>
                <w:szCs w:val="20"/>
              </w:rPr>
              <w:t>where appropriate)</w:t>
            </w:r>
          </w:p>
        </w:tc>
        <w:tc>
          <w:tcPr>
            <w:tcW w:w="40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12558EC" w14:textId="77777777" w:rsidR="00441502" w:rsidRDefault="00441502">
            <w:pPr>
              <w:spacing w:after="120"/>
              <w:rPr>
                <w:b/>
                <w:i/>
                <w:sz w:val="20"/>
                <w:szCs w:val="20"/>
              </w:rPr>
            </w:pPr>
            <w:r>
              <w:rPr>
                <w:b/>
                <w:i/>
                <w:sz w:val="20"/>
                <w:szCs w:val="20"/>
              </w:rPr>
              <w:t>Building and Construction Industry Improvement Act 2005</w:t>
            </w:r>
          </w:p>
        </w:tc>
      </w:tr>
      <w:tr w:rsidR="00441502" w14:paraId="32EBE2BB" w14:textId="77777777" w:rsidTr="00441502">
        <w:tc>
          <w:tcPr>
            <w:tcW w:w="1694" w:type="dxa"/>
            <w:tcBorders>
              <w:top w:val="single" w:sz="4" w:space="0" w:color="auto"/>
              <w:left w:val="single" w:sz="4" w:space="0" w:color="auto"/>
              <w:bottom w:val="single" w:sz="4" w:space="0" w:color="auto"/>
              <w:right w:val="single" w:sz="4" w:space="0" w:color="auto"/>
            </w:tcBorders>
            <w:hideMark/>
          </w:tcPr>
          <w:p w14:paraId="5071D63C" w14:textId="77777777" w:rsidR="00441502" w:rsidRDefault="00441502">
            <w:pPr>
              <w:spacing w:after="120"/>
              <w:rPr>
                <w:sz w:val="20"/>
                <w:szCs w:val="20"/>
              </w:rPr>
            </w:pPr>
            <w:r>
              <w:rPr>
                <w:sz w:val="20"/>
                <w:szCs w:val="20"/>
              </w:rPr>
              <w:t>Functions</w:t>
            </w:r>
          </w:p>
        </w:tc>
        <w:tc>
          <w:tcPr>
            <w:tcW w:w="4687" w:type="dxa"/>
            <w:tcBorders>
              <w:top w:val="single" w:sz="4" w:space="0" w:color="auto"/>
              <w:left w:val="single" w:sz="4" w:space="0" w:color="auto"/>
              <w:bottom w:val="single" w:sz="4" w:space="0" w:color="auto"/>
              <w:right w:val="single" w:sz="18" w:space="0" w:color="auto"/>
            </w:tcBorders>
            <w:hideMark/>
          </w:tcPr>
          <w:p w14:paraId="3A3495F0" w14:textId="77777777" w:rsidR="00441502" w:rsidRDefault="00441502">
            <w:pPr>
              <w:spacing w:after="120"/>
              <w:rPr>
                <w:sz w:val="20"/>
                <w:szCs w:val="20"/>
              </w:rPr>
            </w:pPr>
            <w:r>
              <w:rPr>
                <w:sz w:val="20"/>
                <w:szCs w:val="20"/>
              </w:rPr>
              <w:t xml:space="preserve">The functions of the Australian Building and Construction Commissioner include: </w:t>
            </w:r>
          </w:p>
          <w:p w14:paraId="0E68DF5F"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Promoting the objects of the Act; and</w:t>
            </w:r>
          </w:p>
          <w:p w14:paraId="684E086A"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Ensuring building and building contractors comply with their obligations under the Act, designated building laws and Building Code </w:t>
            </w:r>
          </w:p>
          <w:p w14:paraId="14A5C099" w14:textId="77777777" w:rsidR="00441502" w:rsidRDefault="00441502">
            <w:pPr>
              <w:rPr>
                <w:sz w:val="20"/>
                <w:szCs w:val="20"/>
              </w:rPr>
            </w:pPr>
            <w:r>
              <w:rPr>
                <w:sz w:val="20"/>
                <w:szCs w:val="20"/>
              </w:rPr>
              <w:t>The ABC Commissioner must:</w:t>
            </w:r>
          </w:p>
          <w:p w14:paraId="35DA6B40" w14:textId="77777777" w:rsidR="00441502" w:rsidRDefault="00441502" w:rsidP="00441502">
            <w:pPr>
              <w:pStyle w:val="ListParagraph"/>
              <w:numPr>
                <w:ilvl w:val="0"/>
                <w:numId w:val="28"/>
              </w:numPr>
              <w:spacing w:after="120" w:line="240" w:lineRule="auto"/>
              <w:ind w:left="321" w:hanging="284"/>
              <w:rPr>
                <w:rFonts w:ascii="Times New Roman" w:hAnsi="Times New Roman" w:cs="Times New Roman"/>
                <w:sz w:val="20"/>
                <w:szCs w:val="20"/>
                <w:lang w:eastAsia="en-AU"/>
              </w:rPr>
            </w:pPr>
            <w:r>
              <w:rPr>
                <w:sz w:val="20"/>
                <w:szCs w:val="20"/>
              </w:rPr>
              <w:t xml:space="preserve"> perform</w:t>
            </w:r>
            <w:r>
              <w:rPr>
                <w:rFonts w:cstheme="minorHAnsi"/>
                <w:bCs/>
                <w:color w:val="000000"/>
                <w:sz w:val="20"/>
                <w:szCs w:val="20"/>
              </w:rPr>
              <w:t xml:space="preserve"> his or her functions and allocate resources in a reasonable and proportionate manner to each of the categories of building industry participants; and</w:t>
            </w:r>
          </w:p>
          <w:p w14:paraId="17513C89"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perform his or her functions in relation to certain provisions of the Fair Work Act (</w:t>
            </w:r>
            <w:proofErr w:type="spellStart"/>
            <w:r>
              <w:rPr>
                <w:sz w:val="20"/>
                <w:szCs w:val="20"/>
              </w:rPr>
              <w:t>ie</w:t>
            </w:r>
            <w:proofErr w:type="spellEnd"/>
            <w:r>
              <w:rPr>
                <w:sz w:val="20"/>
                <w:szCs w:val="20"/>
              </w:rPr>
              <w:t xml:space="preserve"> be a ‘full service regulator’).</w:t>
            </w:r>
          </w:p>
        </w:tc>
        <w:tc>
          <w:tcPr>
            <w:tcW w:w="4396" w:type="dxa"/>
            <w:tcBorders>
              <w:top w:val="single" w:sz="4" w:space="0" w:color="auto"/>
              <w:left w:val="single" w:sz="4" w:space="0" w:color="auto"/>
              <w:bottom w:val="single" w:sz="4" w:space="0" w:color="auto"/>
              <w:right w:val="single" w:sz="4" w:space="0" w:color="auto"/>
            </w:tcBorders>
            <w:hideMark/>
          </w:tcPr>
          <w:p w14:paraId="228C15C9" w14:textId="77777777" w:rsidR="00441502" w:rsidRDefault="00441502">
            <w:pPr>
              <w:spacing w:after="120"/>
              <w:rPr>
                <w:sz w:val="20"/>
                <w:szCs w:val="20"/>
              </w:rPr>
            </w:pPr>
            <w:r>
              <w:rPr>
                <w:sz w:val="20"/>
                <w:szCs w:val="20"/>
              </w:rPr>
              <w:t xml:space="preserve">The Director of the Fair Work Building Industry Inspectorate had similar functions but it did not include: </w:t>
            </w:r>
          </w:p>
          <w:p w14:paraId="732C7477"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Promoting the objects of the Act; and</w:t>
            </w:r>
          </w:p>
          <w:p w14:paraId="0B7CFF22"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Ensuring building and building contractors comply with their obligations under the Act, designated building laws and Building Code. </w:t>
            </w:r>
          </w:p>
          <w:p w14:paraId="55545F3E" w14:textId="77777777" w:rsidR="00441502" w:rsidRDefault="00441502">
            <w:pPr>
              <w:spacing w:after="120"/>
              <w:rPr>
                <w:sz w:val="20"/>
                <w:szCs w:val="20"/>
              </w:rPr>
            </w:pPr>
            <w:r>
              <w:rPr>
                <w:sz w:val="20"/>
                <w:szCs w:val="20"/>
              </w:rPr>
              <w:t>No performance requirements.</w:t>
            </w:r>
          </w:p>
        </w:tc>
        <w:tc>
          <w:tcPr>
            <w:tcW w:w="4070" w:type="dxa"/>
            <w:tcBorders>
              <w:top w:val="single" w:sz="4" w:space="0" w:color="auto"/>
              <w:left w:val="single" w:sz="4" w:space="0" w:color="auto"/>
              <w:bottom w:val="single" w:sz="4" w:space="0" w:color="auto"/>
              <w:right w:val="single" w:sz="4" w:space="0" w:color="auto"/>
            </w:tcBorders>
            <w:hideMark/>
          </w:tcPr>
          <w:p w14:paraId="20D6A797" w14:textId="77777777" w:rsidR="00441502" w:rsidRDefault="00441502">
            <w:pPr>
              <w:spacing w:after="120"/>
              <w:rPr>
                <w:sz w:val="20"/>
                <w:szCs w:val="20"/>
              </w:rPr>
            </w:pPr>
            <w:r>
              <w:rPr>
                <w:sz w:val="20"/>
                <w:szCs w:val="20"/>
              </w:rPr>
              <w:t xml:space="preserve">The Australian Building and Construction Commissioner had similar functions but it did not include: </w:t>
            </w:r>
          </w:p>
          <w:p w14:paraId="65E80C11"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Promoting the objects of the Act; and</w:t>
            </w:r>
          </w:p>
          <w:p w14:paraId="1223DB92"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Ensuring building and building contractors comply with their obligations under the Act, designated building laws and Building Code.</w:t>
            </w:r>
          </w:p>
          <w:p w14:paraId="04AB1907" w14:textId="77777777" w:rsidR="00441502" w:rsidRDefault="00441502">
            <w:pPr>
              <w:spacing w:after="120"/>
              <w:ind w:left="37"/>
              <w:rPr>
                <w:sz w:val="20"/>
                <w:szCs w:val="20"/>
              </w:rPr>
            </w:pPr>
            <w:r>
              <w:rPr>
                <w:sz w:val="20"/>
                <w:szCs w:val="20"/>
              </w:rPr>
              <w:t>No performance requirements.</w:t>
            </w:r>
          </w:p>
        </w:tc>
      </w:tr>
    </w:tbl>
    <w:p w14:paraId="1E65FAD3" w14:textId="77777777" w:rsidR="00441502" w:rsidRPr="007B2B59" w:rsidRDefault="00441502" w:rsidP="007B2B59">
      <w:pPr>
        <w:pStyle w:val="Heading2tables"/>
        <w:ind w:right="-217"/>
        <w:rPr>
          <w:color w:val="auto"/>
        </w:rPr>
      </w:pPr>
      <w:r w:rsidRPr="007B2B59">
        <w:rPr>
          <w:color w:val="auto"/>
        </w:rPr>
        <w:t>Information gathering powers</w:t>
      </w:r>
    </w:p>
    <w:tbl>
      <w:tblPr>
        <w:tblStyle w:val="TableGrid"/>
        <w:tblW w:w="14847" w:type="dxa"/>
        <w:tblInd w:w="-572" w:type="dxa"/>
        <w:tblLook w:val="04A0" w:firstRow="1" w:lastRow="0" w:firstColumn="1" w:lastColumn="0" w:noHBand="0" w:noVBand="1"/>
        <w:tblCaption w:val="Appendix 3: Comparison of key provisions - BCIIP Act, FWBI Act and BCII Act"/>
        <w:tblDescription w:val="This table compares key provisions of the BCIIP Act, FWBI Act and BCII Act."/>
      </w:tblPr>
      <w:tblGrid>
        <w:gridCol w:w="1694"/>
        <w:gridCol w:w="4687"/>
        <w:gridCol w:w="4396"/>
        <w:gridCol w:w="4070"/>
      </w:tblGrid>
      <w:tr w:rsidR="00441502" w14:paraId="655D4213" w14:textId="77777777" w:rsidTr="00441502">
        <w:trPr>
          <w:tblHeader/>
        </w:trPr>
        <w:tc>
          <w:tcPr>
            <w:tcW w:w="169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95430CA" w14:textId="77777777" w:rsidR="00441502" w:rsidRDefault="00441502">
            <w:pPr>
              <w:spacing w:after="120"/>
              <w:rPr>
                <w:b/>
                <w:sz w:val="20"/>
                <w:szCs w:val="20"/>
              </w:rPr>
            </w:pPr>
            <w:r>
              <w:rPr>
                <w:b/>
                <w:sz w:val="20"/>
                <w:szCs w:val="20"/>
              </w:rPr>
              <w:t xml:space="preserve">Key provisions </w:t>
            </w:r>
          </w:p>
        </w:tc>
        <w:tc>
          <w:tcPr>
            <w:tcW w:w="4687" w:type="dxa"/>
            <w:tcBorders>
              <w:top w:val="single" w:sz="4" w:space="0" w:color="auto"/>
              <w:left w:val="single" w:sz="4" w:space="0" w:color="auto"/>
              <w:bottom w:val="single" w:sz="4" w:space="0" w:color="auto"/>
              <w:right w:val="single" w:sz="18" w:space="0" w:color="auto"/>
            </w:tcBorders>
            <w:shd w:val="clear" w:color="auto" w:fill="9CC2E5" w:themeFill="accent1" w:themeFillTint="99"/>
            <w:hideMark/>
          </w:tcPr>
          <w:p w14:paraId="3DE0A1CE" w14:textId="77777777" w:rsidR="00441502" w:rsidRDefault="00441502">
            <w:pPr>
              <w:spacing w:after="120"/>
              <w:rPr>
                <w:b/>
                <w:i/>
                <w:sz w:val="20"/>
                <w:szCs w:val="20"/>
              </w:rPr>
            </w:pPr>
            <w:r>
              <w:rPr>
                <w:b/>
                <w:i/>
                <w:sz w:val="20"/>
                <w:szCs w:val="20"/>
              </w:rPr>
              <w:t>Building and Construction Industry (Improving Productivity) Act 2016</w:t>
            </w:r>
          </w:p>
        </w:tc>
        <w:tc>
          <w:tcPr>
            <w:tcW w:w="439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AC2F4E" w14:textId="77777777" w:rsidR="00441502" w:rsidRDefault="00441502">
            <w:pPr>
              <w:spacing w:after="120"/>
              <w:rPr>
                <w:b/>
                <w:sz w:val="20"/>
                <w:szCs w:val="20"/>
              </w:rPr>
            </w:pPr>
            <w:r>
              <w:rPr>
                <w:b/>
                <w:i/>
                <w:sz w:val="20"/>
                <w:szCs w:val="20"/>
              </w:rPr>
              <w:t>Fair Work (Building Industry) Act 2012</w:t>
            </w:r>
            <w:r>
              <w:rPr>
                <w:b/>
                <w:sz w:val="20"/>
                <w:szCs w:val="20"/>
              </w:rPr>
              <w:t xml:space="preserve"> (and </w:t>
            </w:r>
            <w:r>
              <w:rPr>
                <w:b/>
                <w:i/>
                <w:sz w:val="20"/>
                <w:szCs w:val="20"/>
              </w:rPr>
              <w:t xml:space="preserve">Fair Work Act 2009 </w:t>
            </w:r>
            <w:r>
              <w:rPr>
                <w:b/>
                <w:sz w:val="20"/>
                <w:szCs w:val="20"/>
              </w:rPr>
              <w:t>where appropriate)</w:t>
            </w:r>
          </w:p>
        </w:tc>
        <w:tc>
          <w:tcPr>
            <w:tcW w:w="40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19FAA84" w14:textId="77777777" w:rsidR="00441502" w:rsidRDefault="00441502">
            <w:pPr>
              <w:spacing w:after="120"/>
              <w:rPr>
                <w:b/>
                <w:i/>
                <w:sz w:val="20"/>
                <w:szCs w:val="20"/>
              </w:rPr>
            </w:pPr>
            <w:r>
              <w:rPr>
                <w:b/>
                <w:i/>
                <w:sz w:val="20"/>
                <w:szCs w:val="20"/>
              </w:rPr>
              <w:t>Building and Construction Industry Improvement Act 2005</w:t>
            </w:r>
          </w:p>
        </w:tc>
      </w:tr>
      <w:tr w:rsidR="00441502" w14:paraId="48279DC2" w14:textId="77777777" w:rsidTr="00441502">
        <w:tc>
          <w:tcPr>
            <w:tcW w:w="1694" w:type="dxa"/>
            <w:tcBorders>
              <w:top w:val="single" w:sz="4" w:space="0" w:color="auto"/>
              <w:left w:val="single" w:sz="4" w:space="0" w:color="auto"/>
              <w:bottom w:val="single" w:sz="4" w:space="0" w:color="auto"/>
              <w:right w:val="single" w:sz="4" w:space="0" w:color="auto"/>
            </w:tcBorders>
            <w:hideMark/>
          </w:tcPr>
          <w:p w14:paraId="45BCAE9E" w14:textId="77777777" w:rsidR="00441502" w:rsidRDefault="00441502">
            <w:pPr>
              <w:spacing w:after="120"/>
              <w:rPr>
                <w:sz w:val="20"/>
                <w:szCs w:val="20"/>
              </w:rPr>
            </w:pPr>
            <w:r>
              <w:rPr>
                <w:sz w:val="20"/>
                <w:szCs w:val="20"/>
              </w:rPr>
              <w:t>Power to issue an examination notice</w:t>
            </w:r>
          </w:p>
        </w:tc>
        <w:tc>
          <w:tcPr>
            <w:tcW w:w="4687" w:type="dxa"/>
            <w:tcBorders>
              <w:top w:val="single" w:sz="4" w:space="0" w:color="auto"/>
              <w:left w:val="single" w:sz="4" w:space="0" w:color="auto"/>
              <w:bottom w:val="single" w:sz="4" w:space="0" w:color="auto"/>
              <w:right w:val="single" w:sz="18" w:space="0" w:color="auto"/>
            </w:tcBorders>
            <w:hideMark/>
          </w:tcPr>
          <w:p w14:paraId="7283AEEC" w14:textId="77777777" w:rsidR="00441502" w:rsidRDefault="00441502">
            <w:pPr>
              <w:spacing w:after="120"/>
              <w:rPr>
                <w:sz w:val="20"/>
                <w:szCs w:val="20"/>
              </w:rPr>
            </w:pPr>
            <w:r>
              <w:rPr>
                <w:sz w:val="20"/>
                <w:szCs w:val="20"/>
              </w:rPr>
              <w:t>Issued by nominated AAT presidential members on application by the ABC Commissioner.</w:t>
            </w:r>
          </w:p>
          <w:p w14:paraId="40DA9789" w14:textId="77777777" w:rsidR="00441502" w:rsidRDefault="00441502">
            <w:pPr>
              <w:spacing w:after="120"/>
              <w:rPr>
                <w:sz w:val="20"/>
                <w:szCs w:val="20"/>
              </w:rPr>
            </w:pPr>
            <w:r>
              <w:rPr>
                <w:sz w:val="20"/>
                <w:szCs w:val="20"/>
              </w:rPr>
              <w:t>A person subject to an examination notice:</w:t>
            </w:r>
          </w:p>
          <w:p w14:paraId="1CF429BB"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Must not be required to give non-disclosure undertakings;</w:t>
            </w:r>
          </w:p>
          <w:p w14:paraId="5DF19EEF"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Can be represented by a lawyer of their choice</w:t>
            </w:r>
          </w:p>
          <w:p w14:paraId="196B12EA"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Is entitled to reimbursement of reasonable expenses (excluding legal expenses).</w:t>
            </w:r>
          </w:p>
          <w:p w14:paraId="3BC1578D" w14:textId="77777777" w:rsidR="00441502" w:rsidRDefault="00441502">
            <w:pPr>
              <w:spacing w:after="120"/>
              <w:rPr>
                <w:sz w:val="20"/>
                <w:szCs w:val="20"/>
              </w:rPr>
            </w:pPr>
            <w:r>
              <w:rPr>
                <w:sz w:val="20"/>
                <w:szCs w:val="20"/>
              </w:rPr>
              <w:lastRenderedPageBreak/>
              <w:t>The Commonwealth Ombudsman oversees the exercise of the examination notice powers and prepares quarterly reports for Parliament.</w:t>
            </w:r>
          </w:p>
        </w:tc>
        <w:tc>
          <w:tcPr>
            <w:tcW w:w="4396" w:type="dxa"/>
            <w:tcBorders>
              <w:top w:val="single" w:sz="4" w:space="0" w:color="auto"/>
              <w:left w:val="single" w:sz="4" w:space="0" w:color="auto"/>
              <w:bottom w:val="single" w:sz="4" w:space="0" w:color="auto"/>
              <w:right w:val="single" w:sz="4" w:space="0" w:color="auto"/>
            </w:tcBorders>
            <w:hideMark/>
          </w:tcPr>
          <w:p w14:paraId="03488D13" w14:textId="77777777" w:rsidR="00441502" w:rsidRDefault="00441502">
            <w:pPr>
              <w:spacing w:after="120"/>
              <w:rPr>
                <w:sz w:val="20"/>
                <w:szCs w:val="20"/>
              </w:rPr>
            </w:pPr>
            <w:r>
              <w:rPr>
                <w:sz w:val="20"/>
                <w:szCs w:val="20"/>
              </w:rPr>
              <w:lastRenderedPageBreak/>
              <w:t xml:space="preserve">Substantially similar except: </w:t>
            </w:r>
          </w:p>
          <w:p w14:paraId="1158C502"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The Commonwealth Ombudsman prepared annual reports for Parliament (rather than quarterly); </w:t>
            </w:r>
          </w:p>
          <w:p w14:paraId="158A8C90" w14:textId="77777777" w:rsidR="00441502" w:rsidRDefault="00441502" w:rsidP="00441502">
            <w:pPr>
              <w:pStyle w:val="ListParagraph"/>
              <w:numPr>
                <w:ilvl w:val="0"/>
                <w:numId w:val="28"/>
              </w:numPr>
              <w:spacing w:after="120" w:line="240" w:lineRule="auto"/>
              <w:ind w:left="321" w:hanging="284"/>
              <w:rPr>
                <w:rFonts w:cstheme="minorHAnsi"/>
                <w:sz w:val="20"/>
                <w:szCs w:val="20"/>
              </w:rPr>
            </w:pPr>
            <w:r>
              <w:rPr>
                <w:rFonts w:cstheme="minorHAnsi"/>
                <w:sz w:val="20"/>
                <w:szCs w:val="20"/>
              </w:rPr>
              <w:t>The Independent Assessor could determine (on application) that examination notices were not available in relation to a particular project;</w:t>
            </w:r>
          </w:p>
          <w:p w14:paraId="7F3F2895" w14:textId="77777777" w:rsidR="00441502" w:rsidRDefault="00441502" w:rsidP="00441502">
            <w:pPr>
              <w:pStyle w:val="ListParagraph"/>
              <w:numPr>
                <w:ilvl w:val="0"/>
                <w:numId w:val="28"/>
              </w:numPr>
              <w:spacing w:after="120" w:line="240" w:lineRule="auto"/>
              <w:ind w:left="321" w:hanging="284"/>
              <w:rPr>
                <w:rFonts w:cstheme="minorHAnsi"/>
                <w:sz w:val="20"/>
                <w:szCs w:val="20"/>
              </w:rPr>
            </w:pPr>
            <w:r>
              <w:rPr>
                <w:sz w:val="20"/>
                <w:szCs w:val="20"/>
              </w:rPr>
              <w:lastRenderedPageBreak/>
              <w:t>A person was entitled to reimbursement of reasonable expenses incurred (including legal expenses) in attending an examination.</w:t>
            </w:r>
          </w:p>
        </w:tc>
        <w:tc>
          <w:tcPr>
            <w:tcW w:w="4070" w:type="dxa"/>
            <w:tcBorders>
              <w:top w:val="single" w:sz="4" w:space="0" w:color="auto"/>
              <w:left w:val="single" w:sz="4" w:space="0" w:color="auto"/>
              <w:bottom w:val="single" w:sz="4" w:space="0" w:color="auto"/>
              <w:right w:val="single" w:sz="4" w:space="0" w:color="auto"/>
            </w:tcBorders>
            <w:hideMark/>
          </w:tcPr>
          <w:p w14:paraId="3504C5C7" w14:textId="77777777" w:rsidR="00441502" w:rsidRDefault="00441502">
            <w:pPr>
              <w:pStyle w:val="Default"/>
              <w:spacing w:after="120"/>
              <w:rPr>
                <w:rFonts w:asciiTheme="minorHAnsi" w:hAnsiTheme="minorHAnsi" w:cstheme="minorBidi"/>
                <w:color w:val="auto"/>
                <w:sz w:val="20"/>
                <w:szCs w:val="20"/>
              </w:rPr>
            </w:pPr>
            <w:r>
              <w:rPr>
                <w:rFonts w:asciiTheme="minorHAnsi" w:hAnsiTheme="minorHAnsi" w:cstheme="minorBidi"/>
                <w:color w:val="auto"/>
                <w:sz w:val="20"/>
                <w:szCs w:val="20"/>
              </w:rPr>
              <w:lastRenderedPageBreak/>
              <w:t>Different to the BCIIP Act in that:</w:t>
            </w:r>
          </w:p>
          <w:p w14:paraId="132441A1"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No AAT oversight;</w:t>
            </w:r>
          </w:p>
          <w:p w14:paraId="70F68B43"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A person could be legally represented in an examination but no clear right to lawyer ‘of choice’;</w:t>
            </w:r>
          </w:p>
          <w:p w14:paraId="3D497802"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No right to reimbursement of reasonable expenses; </w:t>
            </w:r>
          </w:p>
          <w:p w14:paraId="468DC981"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No Commonwealth Ombudsman oversight.</w:t>
            </w:r>
          </w:p>
          <w:p w14:paraId="48783F77"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lastRenderedPageBreak/>
              <w:t>No prohibition against a person being required to give non-disclosure undertakings.</w:t>
            </w:r>
          </w:p>
        </w:tc>
      </w:tr>
      <w:tr w:rsidR="00441502" w14:paraId="6FDCB322" w14:textId="77777777" w:rsidTr="00441502">
        <w:tc>
          <w:tcPr>
            <w:tcW w:w="1694" w:type="dxa"/>
            <w:tcBorders>
              <w:top w:val="single" w:sz="4" w:space="0" w:color="auto"/>
              <w:left w:val="single" w:sz="4" w:space="0" w:color="auto"/>
              <w:bottom w:val="single" w:sz="4" w:space="0" w:color="auto"/>
              <w:right w:val="single" w:sz="4" w:space="0" w:color="auto"/>
            </w:tcBorders>
            <w:hideMark/>
          </w:tcPr>
          <w:p w14:paraId="32DBFA0A" w14:textId="77777777" w:rsidR="00441502" w:rsidRDefault="00441502">
            <w:pPr>
              <w:spacing w:after="120"/>
              <w:rPr>
                <w:sz w:val="20"/>
                <w:szCs w:val="20"/>
              </w:rPr>
            </w:pPr>
            <w:r>
              <w:rPr>
                <w:sz w:val="20"/>
                <w:szCs w:val="20"/>
              </w:rPr>
              <w:lastRenderedPageBreak/>
              <w:t>Australian Building and Construction (ABC) Inspectors</w:t>
            </w:r>
          </w:p>
        </w:tc>
        <w:tc>
          <w:tcPr>
            <w:tcW w:w="4687" w:type="dxa"/>
            <w:tcBorders>
              <w:top w:val="single" w:sz="4" w:space="0" w:color="auto"/>
              <w:left w:val="single" w:sz="4" w:space="0" w:color="auto"/>
              <w:bottom w:val="single" w:sz="4" w:space="0" w:color="auto"/>
              <w:right w:val="single" w:sz="18" w:space="0" w:color="auto"/>
            </w:tcBorders>
            <w:hideMark/>
          </w:tcPr>
          <w:p w14:paraId="3C140DF3" w14:textId="77777777" w:rsidR="00441502" w:rsidRDefault="00441502">
            <w:pPr>
              <w:spacing w:after="120"/>
              <w:rPr>
                <w:sz w:val="20"/>
                <w:szCs w:val="20"/>
              </w:rPr>
            </w:pPr>
            <w:r>
              <w:rPr>
                <w:rFonts w:cstheme="minorHAnsi"/>
                <w:sz w:val="20"/>
                <w:szCs w:val="20"/>
              </w:rPr>
              <w:t xml:space="preserve">ABC Inspectors have similar compliance powers as Fair Work Inspectors, but in addition </w:t>
            </w:r>
            <w:r>
              <w:rPr>
                <w:sz w:val="20"/>
                <w:szCs w:val="20"/>
              </w:rPr>
              <w:t xml:space="preserve">can: </w:t>
            </w:r>
          </w:p>
          <w:p w14:paraId="68680595"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Enter premises if they reasonably believe a breach of a relevant law has occurred, is occurring or is likely to occur;</w:t>
            </w:r>
          </w:p>
          <w:p w14:paraId="79AB0AF4"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Enter business premises if they reasonably believe a person who ordinarily performs work or conducts business at the premises has relevant information; </w:t>
            </w:r>
          </w:p>
          <w:p w14:paraId="31D02D13" w14:textId="77777777" w:rsidR="00441502" w:rsidRDefault="00441502">
            <w:pPr>
              <w:spacing w:after="120"/>
              <w:rPr>
                <w:rFonts w:cstheme="minorHAnsi"/>
                <w:sz w:val="20"/>
                <w:szCs w:val="20"/>
              </w:rPr>
            </w:pPr>
            <w:r>
              <w:rPr>
                <w:rFonts w:cstheme="minorHAnsi"/>
                <w:sz w:val="20"/>
                <w:szCs w:val="20"/>
              </w:rPr>
              <w:t xml:space="preserve">A civil remedy provision prohibits a person from intentionally hindering or obstructing an inspector. </w:t>
            </w:r>
            <w:r>
              <w:rPr>
                <w:sz w:val="20"/>
                <w:szCs w:val="20"/>
              </w:rPr>
              <w:t>Maximum penalty: 1000 penalty units for a body corporate and 200 penalty units for a natural person.</w:t>
            </w:r>
          </w:p>
        </w:tc>
        <w:tc>
          <w:tcPr>
            <w:tcW w:w="4396" w:type="dxa"/>
            <w:tcBorders>
              <w:top w:val="single" w:sz="4" w:space="0" w:color="auto"/>
              <w:left w:val="single" w:sz="4" w:space="0" w:color="auto"/>
              <w:bottom w:val="single" w:sz="4" w:space="0" w:color="auto"/>
              <w:right w:val="single" w:sz="4" w:space="0" w:color="auto"/>
            </w:tcBorders>
            <w:hideMark/>
          </w:tcPr>
          <w:p w14:paraId="1A5E0440" w14:textId="77777777" w:rsidR="00441502" w:rsidRDefault="00441502">
            <w:pPr>
              <w:spacing w:after="120"/>
              <w:rPr>
                <w:rFonts w:cstheme="minorHAnsi"/>
                <w:sz w:val="20"/>
                <w:szCs w:val="20"/>
              </w:rPr>
            </w:pPr>
            <w:r>
              <w:rPr>
                <w:sz w:val="20"/>
                <w:szCs w:val="20"/>
              </w:rPr>
              <w:t xml:space="preserve">FWBC inspectors had the same functions and powers as Fair Work Inspectors in relation to building matters. This did not include: </w:t>
            </w:r>
          </w:p>
          <w:p w14:paraId="23D5D6A1"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Enter premises if they reasonably believed a breach of a relevant law had occurred, was occurring or was likely to occur;</w:t>
            </w:r>
          </w:p>
          <w:p w14:paraId="5D97ADFC"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Enter business premises if they reasonably believed a person who ordinarily performs work or conducts business at the premises had relevant information. </w:t>
            </w:r>
          </w:p>
          <w:p w14:paraId="1EFA9209" w14:textId="77777777" w:rsidR="00441502" w:rsidRDefault="00441502">
            <w:pPr>
              <w:spacing w:after="120"/>
              <w:rPr>
                <w:sz w:val="20"/>
                <w:szCs w:val="20"/>
              </w:rPr>
            </w:pPr>
            <w:r>
              <w:rPr>
                <w:rFonts w:cstheme="minorHAnsi"/>
                <w:sz w:val="20"/>
                <w:szCs w:val="20"/>
              </w:rPr>
              <w:t>The Fair Work Act in force at that time did not prohibit a person intentionally hindering or obstructing an inspector.</w:t>
            </w:r>
          </w:p>
        </w:tc>
        <w:tc>
          <w:tcPr>
            <w:tcW w:w="4070" w:type="dxa"/>
            <w:tcBorders>
              <w:top w:val="single" w:sz="4" w:space="0" w:color="auto"/>
              <w:left w:val="single" w:sz="4" w:space="0" w:color="auto"/>
              <w:bottom w:val="single" w:sz="4" w:space="0" w:color="auto"/>
              <w:right w:val="single" w:sz="4" w:space="0" w:color="auto"/>
            </w:tcBorders>
            <w:hideMark/>
          </w:tcPr>
          <w:p w14:paraId="0DC135EB" w14:textId="77777777" w:rsidR="00441502" w:rsidRDefault="00441502">
            <w:pPr>
              <w:spacing w:after="120"/>
              <w:rPr>
                <w:sz w:val="20"/>
                <w:szCs w:val="20"/>
              </w:rPr>
            </w:pPr>
            <w:r>
              <w:rPr>
                <w:sz w:val="20"/>
                <w:szCs w:val="20"/>
              </w:rPr>
              <w:t>Similar powers but ABC Inspectors could not:</w:t>
            </w:r>
          </w:p>
          <w:p w14:paraId="483E3942"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require a person’s name and address;</w:t>
            </w:r>
          </w:p>
          <w:p w14:paraId="16277E5B"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Issue a notice requiring the production of a record or a document.</w:t>
            </w:r>
          </w:p>
          <w:p w14:paraId="042739AF" w14:textId="77777777" w:rsidR="00441502" w:rsidRDefault="00441502">
            <w:pPr>
              <w:spacing w:after="120"/>
              <w:rPr>
                <w:rFonts w:cstheme="minorHAnsi"/>
                <w:sz w:val="20"/>
                <w:szCs w:val="20"/>
              </w:rPr>
            </w:pPr>
            <w:r>
              <w:rPr>
                <w:sz w:val="20"/>
                <w:szCs w:val="20"/>
              </w:rPr>
              <w:t xml:space="preserve">No prohibition on a </w:t>
            </w:r>
            <w:r>
              <w:rPr>
                <w:rFonts w:cstheme="minorHAnsi"/>
                <w:sz w:val="20"/>
                <w:szCs w:val="20"/>
              </w:rPr>
              <w:t>person intentionally hindering or obstructing an inspector.</w:t>
            </w:r>
          </w:p>
        </w:tc>
      </w:tr>
      <w:tr w:rsidR="00441502" w14:paraId="68DC6A32" w14:textId="77777777" w:rsidTr="00441502">
        <w:tc>
          <w:tcPr>
            <w:tcW w:w="1694" w:type="dxa"/>
            <w:tcBorders>
              <w:top w:val="single" w:sz="4" w:space="0" w:color="auto"/>
              <w:left w:val="single" w:sz="4" w:space="0" w:color="auto"/>
              <w:bottom w:val="single" w:sz="4" w:space="0" w:color="auto"/>
              <w:right w:val="single" w:sz="4" w:space="0" w:color="auto"/>
            </w:tcBorders>
            <w:hideMark/>
          </w:tcPr>
          <w:p w14:paraId="00D100EA" w14:textId="77777777" w:rsidR="00441502" w:rsidRDefault="00441502">
            <w:pPr>
              <w:spacing w:after="120"/>
              <w:rPr>
                <w:sz w:val="20"/>
                <w:szCs w:val="20"/>
              </w:rPr>
            </w:pPr>
            <w:r>
              <w:rPr>
                <w:sz w:val="20"/>
                <w:szCs w:val="20"/>
              </w:rPr>
              <w:t xml:space="preserve">Federal Safety Officers </w:t>
            </w:r>
          </w:p>
        </w:tc>
        <w:tc>
          <w:tcPr>
            <w:tcW w:w="4687" w:type="dxa"/>
            <w:tcBorders>
              <w:top w:val="single" w:sz="4" w:space="0" w:color="auto"/>
              <w:left w:val="single" w:sz="4" w:space="0" w:color="auto"/>
              <w:bottom w:val="single" w:sz="4" w:space="0" w:color="auto"/>
              <w:right w:val="single" w:sz="18" w:space="0" w:color="auto"/>
            </w:tcBorders>
            <w:hideMark/>
          </w:tcPr>
          <w:p w14:paraId="6D1CB14D" w14:textId="77777777" w:rsidR="00441502" w:rsidRDefault="00441502">
            <w:pPr>
              <w:spacing w:after="120"/>
              <w:rPr>
                <w:sz w:val="20"/>
                <w:szCs w:val="20"/>
              </w:rPr>
            </w:pPr>
            <w:r>
              <w:rPr>
                <w:sz w:val="20"/>
                <w:szCs w:val="20"/>
              </w:rPr>
              <w:t>Can exercise compliance powers in relation to the accreditation scheme.</w:t>
            </w:r>
          </w:p>
        </w:tc>
        <w:tc>
          <w:tcPr>
            <w:tcW w:w="4396" w:type="dxa"/>
            <w:tcBorders>
              <w:top w:val="single" w:sz="4" w:space="0" w:color="auto"/>
              <w:left w:val="single" w:sz="4" w:space="0" w:color="auto"/>
              <w:bottom w:val="single" w:sz="4" w:space="0" w:color="auto"/>
              <w:right w:val="single" w:sz="4" w:space="0" w:color="auto"/>
            </w:tcBorders>
            <w:hideMark/>
          </w:tcPr>
          <w:p w14:paraId="00CABBD5" w14:textId="77777777" w:rsidR="00441502" w:rsidRDefault="00441502">
            <w:pPr>
              <w:spacing w:after="120"/>
              <w:rPr>
                <w:sz w:val="20"/>
                <w:szCs w:val="20"/>
              </w:rPr>
            </w:pPr>
            <w:r>
              <w:rPr>
                <w:sz w:val="20"/>
                <w:szCs w:val="20"/>
              </w:rPr>
              <w:t xml:space="preserve">Could exercise powers in relation to both the Building Code and the accreditation scheme. </w:t>
            </w:r>
          </w:p>
        </w:tc>
        <w:tc>
          <w:tcPr>
            <w:tcW w:w="4070" w:type="dxa"/>
            <w:tcBorders>
              <w:top w:val="single" w:sz="4" w:space="0" w:color="auto"/>
              <w:left w:val="single" w:sz="4" w:space="0" w:color="auto"/>
              <w:bottom w:val="single" w:sz="4" w:space="0" w:color="auto"/>
              <w:right w:val="single" w:sz="4" w:space="0" w:color="auto"/>
            </w:tcBorders>
            <w:hideMark/>
          </w:tcPr>
          <w:p w14:paraId="7C9485C2" w14:textId="77777777" w:rsidR="00441502" w:rsidRDefault="00441502">
            <w:pPr>
              <w:spacing w:after="120"/>
              <w:rPr>
                <w:sz w:val="20"/>
                <w:szCs w:val="20"/>
              </w:rPr>
            </w:pPr>
            <w:r>
              <w:rPr>
                <w:sz w:val="20"/>
                <w:szCs w:val="20"/>
              </w:rPr>
              <w:t>Same as FWBI Act.</w:t>
            </w:r>
          </w:p>
        </w:tc>
      </w:tr>
    </w:tbl>
    <w:p w14:paraId="6AE2FC2B" w14:textId="77777777" w:rsidR="00441502" w:rsidRPr="007B2B59" w:rsidRDefault="00441502" w:rsidP="007B2B59">
      <w:pPr>
        <w:pStyle w:val="Heading2tables"/>
        <w:ind w:right="-217"/>
        <w:rPr>
          <w:color w:val="auto"/>
        </w:rPr>
      </w:pPr>
      <w:r w:rsidRPr="007B2B59">
        <w:rPr>
          <w:color w:val="auto"/>
        </w:rPr>
        <w:t>Federal Safety Commissioner</w:t>
      </w:r>
    </w:p>
    <w:tbl>
      <w:tblPr>
        <w:tblStyle w:val="TableGrid"/>
        <w:tblW w:w="14847" w:type="dxa"/>
        <w:tblInd w:w="-572" w:type="dxa"/>
        <w:tblLook w:val="04A0" w:firstRow="1" w:lastRow="0" w:firstColumn="1" w:lastColumn="0" w:noHBand="0" w:noVBand="1"/>
        <w:tblCaption w:val="Appendix 3: Comparison of key provisions - BCIIP Act, FWBI Act and BCII Act"/>
        <w:tblDescription w:val="This table compares key provisions of the BCIIP Act, FWBI Act and BCII Act."/>
      </w:tblPr>
      <w:tblGrid>
        <w:gridCol w:w="1694"/>
        <w:gridCol w:w="4687"/>
        <w:gridCol w:w="4396"/>
        <w:gridCol w:w="4070"/>
      </w:tblGrid>
      <w:tr w:rsidR="00441502" w14:paraId="53E651AC" w14:textId="77777777" w:rsidTr="00441502">
        <w:trPr>
          <w:tblHeader/>
        </w:trPr>
        <w:tc>
          <w:tcPr>
            <w:tcW w:w="169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0F0EF11" w14:textId="77777777" w:rsidR="00441502" w:rsidRDefault="00441502">
            <w:pPr>
              <w:spacing w:after="120"/>
              <w:rPr>
                <w:b/>
                <w:sz w:val="20"/>
                <w:szCs w:val="20"/>
              </w:rPr>
            </w:pPr>
            <w:r>
              <w:rPr>
                <w:b/>
                <w:sz w:val="20"/>
                <w:szCs w:val="20"/>
              </w:rPr>
              <w:t xml:space="preserve">Key provisions </w:t>
            </w:r>
          </w:p>
        </w:tc>
        <w:tc>
          <w:tcPr>
            <w:tcW w:w="4687" w:type="dxa"/>
            <w:tcBorders>
              <w:top w:val="single" w:sz="4" w:space="0" w:color="auto"/>
              <w:left w:val="single" w:sz="4" w:space="0" w:color="auto"/>
              <w:bottom w:val="single" w:sz="4" w:space="0" w:color="auto"/>
              <w:right w:val="single" w:sz="18" w:space="0" w:color="auto"/>
            </w:tcBorders>
            <w:shd w:val="clear" w:color="auto" w:fill="9CC2E5" w:themeFill="accent1" w:themeFillTint="99"/>
            <w:hideMark/>
          </w:tcPr>
          <w:p w14:paraId="561012F3" w14:textId="77777777" w:rsidR="00441502" w:rsidRDefault="00441502">
            <w:pPr>
              <w:spacing w:after="120"/>
              <w:rPr>
                <w:b/>
                <w:i/>
                <w:sz w:val="20"/>
                <w:szCs w:val="20"/>
              </w:rPr>
            </w:pPr>
            <w:r>
              <w:rPr>
                <w:b/>
                <w:i/>
                <w:sz w:val="20"/>
                <w:szCs w:val="20"/>
              </w:rPr>
              <w:t>Building and Construction Industry (Improving Productivity) Act 2016</w:t>
            </w:r>
          </w:p>
        </w:tc>
        <w:tc>
          <w:tcPr>
            <w:tcW w:w="439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1B3E1D3" w14:textId="77777777" w:rsidR="00441502" w:rsidRDefault="00441502">
            <w:pPr>
              <w:spacing w:after="120"/>
              <w:rPr>
                <w:b/>
                <w:sz w:val="20"/>
                <w:szCs w:val="20"/>
              </w:rPr>
            </w:pPr>
            <w:r>
              <w:rPr>
                <w:b/>
                <w:i/>
                <w:sz w:val="20"/>
                <w:szCs w:val="20"/>
              </w:rPr>
              <w:t>Fair Work (Building Industry) Act 2012</w:t>
            </w:r>
            <w:r>
              <w:rPr>
                <w:b/>
                <w:sz w:val="20"/>
                <w:szCs w:val="20"/>
              </w:rPr>
              <w:t xml:space="preserve"> (and </w:t>
            </w:r>
            <w:r>
              <w:rPr>
                <w:b/>
                <w:i/>
                <w:sz w:val="20"/>
                <w:szCs w:val="20"/>
              </w:rPr>
              <w:t xml:space="preserve">Fair Work Act 2009 </w:t>
            </w:r>
            <w:r>
              <w:rPr>
                <w:b/>
                <w:sz w:val="20"/>
                <w:szCs w:val="20"/>
              </w:rPr>
              <w:t>where appropriate)</w:t>
            </w:r>
          </w:p>
        </w:tc>
        <w:tc>
          <w:tcPr>
            <w:tcW w:w="40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CEB248F" w14:textId="77777777" w:rsidR="00441502" w:rsidRDefault="00441502">
            <w:pPr>
              <w:spacing w:after="120"/>
              <w:rPr>
                <w:b/>
                <w:i/>
                <w:sz w:val="20"/>
                <w:szCs w:val="20"/>
              </w:rPr>
            </w:pPr>
            <w:r>
              <w:rPr>
                <w:b/>
                <w:i/>
                <w:sz w:val="20"/>
                <w:szCs w:val="20"/>
              </w:rPr>
              <w:t>Building and Construction Industry Improvement Act 2005</w:t>
            </w:r>
          </w:p>
        </w:tc>
      </w:tr>
      <w:tr w:rsidR="00441502" w14:paraId="3465FEA5" w14:textId="77777777" w:rsidTr="00441502">
        <w:tc>
          <w:tcPr>
            <w:tcW w:w="1694" w:type="dxa"/>
            <w:tcBorders>
              <w:top w:val="single" w:sz="4" w:space="0" w:color="auto"/>
              <w:left w:val="single" w:sz="4" w:space="0" w:color="auto"/>
              <w:bottom w:val="single" w:sz="4" w:space="0" w:color="auto"/>
              <w:right w:val="single" w:sz="4" w:space="0" w:color="auto"/>
            </w:tcBorders>
            <w:hideMark/>
          </w:tcPr>
          <w:p w14:paraId="45D81783" w14:textId="77777777" w:rsidR="00441502" w:rsidRDefault="00441502">
            <w:pPr>
              <w:spacing w:after="120"/>
              <w:rPr>
                <w:sz w:val="20"/>
                <w:szCs w:val="20"/>
              </w:rPr>
            </w:pPr>
            <w:r>
              <w:rPr>
                <w:sz w:val="20"/>
                <w:szCs w:val="20"/>
              </w:rPr>
              <w:t xml:space="preserve">Federal Safety Commissioner </w:t>
            </w:r>
          </w:p>
        </w:tc>
        <w:tc>
          <w:tcPr>
            <w:tcW w:w="4687" w:type="dxa"/>
            <w:tcBorders>
              <w:top w:val="single" w:sz="4" w:space="0" w:color="auto"/>
              <w:left w:val="single" w:sz="4" w:space="0" w:color="auto"/>
              <w:bottom w:val="single" w:sz="4" w:space="0" w:color="auto"/>
              <w:right w:val="single" w:sz="18" w:space="0" w:color="auto"/>
            </w:tcBorders>
            <w:hideMark/>
          </w:tcPr>
          <w:p w14:paraId="0E0AE93D" w14:textId="77777777" w:rsidR="00441502" w:rsidRDefault="00441502">
            <w:pPr>
              <w:spacing w:after="120"/>
              <w:rPr>
                <w:sz w:val="20"/>
                <w:szCs w:val="20"/>
              </w:rPr>
            </w:pPr>
            <w:r>
              <w:rPr>
                <w:sz w:val="20"/>
                <w:szCs w:val="20"/>
              </w:rPr>
              <w:t>Functions include auditing compliance with the National Construction Code performance requirements in relation to building materials.</w:t>
            </w:r>
          </w:p>
        </w:tc>
        <w:tc>
          <w:tcPr>
            <w:tcW w:w="4396" w:type="dxa"/>
            <w:tcBorders>
              <w:top w:val="single" w:sz="4" w:space="0" w:color="auto"/>
              <w:left w:val="single" w:sz="4" w:space="0" w:color="auto"/>
              <w:bottom w:val="single" w:sz="4" w:space="0" w:color="auto"/>
              <w:right w:val="single" w:sz="4" w:space="0" w:color="auto"/>
            </w:tcBorders>
            <w:hideMark/>
          </w:tcPr>
          <w:p w14:paraId="53A28B2C" w14:textId="77777777" w:rsidR="00441502" w:rsidRDefault="00441502">
            <w:pPr>
              <w:spacing w:after="120"/>
              <w:rPr>
                <w:sz w:val="20"/>
                <w:szCs w:val="20"/>
              </w:rPr>
            </w:pPr>
            <w:r>
              <w:rPr>
                <w:sz w:val="20"/>
                <w:szCs w:val="20"/>
              </w:rPr>
              <w:t xml:space="preserve">No function relating to the National Construction Code but had functions in relation to both the accreditation scheme and the Building Code. </w:t>
            </w:r>
          </w:p>
        </w:tc>
        <w:tc>
          <w:tcPr>
            <w:tcW w:w="4070" w:type="dxa"/>
            <w:tcBorders>
              <w:top w:val="single" w:sz="4" w:space="0" w:color="auto"/>
              <w:left w:val="single" w:sz="4" w:space="0" w:color="auto"/>
              <w:bottom w:val="single" w:sz="4" w:space="0" w:color="auto"/>
              <w:right w:val="single" w:sz="4" w:space="0" w:color="auto"/>
            </w:tcBorders>
            <w:hideMark/>
          </w:tcPr>
          <w:p w14:paraId="1DC1F1CD" w14:textId="77777777" w:rsidR="00441502" w:rsidRDefault="00441502">
            <w:pPr>
              <w:spacing w:after="120"/>
              <w:rPr>
                <w:sz w:val="20"/>
                <w:szCs w:val="20"/>
              </w:rPr>
            </w:pPr>
            <w:r>
              <w:rPr>
                <w:sz w:val="20"/>
                <w:szCs w:val="20"/>
              </w:rPr>
              <w:t>Same as FWBI Act.</w:t>
            </w:r>
          </w:p>
        </w:tc>
      </w:tr>
    </w:tbl>
    <w:p w14:paraId="47E6CA1F" w14:textId="77777777" w:rsidR="00441502" w:rsidRDefault="00441502" w:rsidP="00441502">
      <w:r>
        <w:br w:type="page"/>
      </w:r>
    </w:p>
    <w:p w14:paraId="7BE4DA5B" w14:textId="77777777" w:rsidR="00441502" w:rsidRPr="007B2B59" w:rsidRDefault="00441502" w:rsidP="007B2B59">
      <w:pPr>
        <w:pStyle w:val="Heading2tables"/>
        <w:ind w:right="-217"/>
        <w:rPr>
          <w:color w:val="auto"/>
        </w:rPr>
      </w:pPr>
      <w:r w:rsidRPr="007B2B59">
        <w:rPr>
          <w:color w:val="auto"/>
        </w:rPr>
        <w:lastRenderedPageBreak/>
        <w:t>Civil remedy provisions and enforcement</w:t>
      </w:r>
    </w:p>
    <w:tbl>
      <w:tblPr>
        <w:tblStyle w:val="TableGrid"/>
        <w:tblW w:w="14847" w:type="dxa"/>
        <w:tblInd w:w="-572" w:type="dxa"/>
        <w:tblLook w:val="04A0" w:firstRow="1" w:lastRow="0" w:firstColumn="1" w:lastColumn="0" w:noHBand="0" w:noVBand="1"/>
        <w:tblCaption w:val="Appendix 3: Comparison of key provisions - BCIIP Act, FWBI Act and BCII Act"/>
        <w:tblDescription w:val="This table compares key provisions of the BCIIP Act, FWBI Act and BCII Act."/>
      </w:tblPr>
      <w:tblGrid>
        <w:gridCol w:w="1695"/>
        <w:gridCol w:w="4685"/>
        <w:gridCol w:w="4394"/>
        <w:gridCol w:w="4067"/>
        <w:gridCol w:w="6"/>
      </w:tblGrid>
      <w:tr w:rsidR="00441502" w14:paraId="4B47EC7F" w14:textId="77777777" w:rsidTr="00441502">
        <w:trPr>
          <w:tblHeader/>
        </w:trPr>
        <w:tc>
          <w:tcPr>
            <w:tcW w:w="169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599BFC2" w14:textId="77777777" w:rsidR="00441502" w:rsidRDefault="00441502">
            <w:pPr>
              <w:spacing w:after="120"/>
              <w:rPr>
                <w:b/>
                <w:sz w:val="20"/>
                <w:szCs w:val="20"/>
              </w:rPr>
            </w:pPr>
            <w:r>
              <w:rPr>
                <w:b/>
                <w:sz w:val="20"/>
                <w:szCs w:val="20"/>
              </w:rPr>
              <w:t xml:space="preserve">Key provisions </w:t>
            </w:r>
          </w:p>
        </w:tc>
        <w:tc>
          <w:tcPr>
            <w:tcW w:w="4685" w:type="dxa"/>
            <w:tcBorders>
              <w:top w:val="single" w:sz="4" w:space="0" w:color="auto"/>
              <w:left w:val="single" w:sz="4" w:space="0" w:color="auto"/>
              <w:bottom w:val="single" w:sz="4" w:space="0" w:color="auto"/>
              <w:right w:val="single" w:sz="18" w:space="0" w:color="auto"/>
            </w:tcBorders>
            <w:shd w:val="clear" w:color="auto" w:fill="9CC2E5" w:themeFill="accent1" w:themeFillTint="99"/>
            <w:hideMark/>
          </w:tcPr>
          <w:p w14:paraId="465E4221" w14:textId="77777777" w:rsidR="00441502" w:rsidRDefault="00441502">
            <w:pPr>
              <w:spacing w:after="120"/>
              <w:rPr>
                <w:b/>
                <w:i/>
                <w:sz w:val="20"/>
                <w:szCs w:val="20"/>
              </w:rPr>
            </w:pPr>
            <w:r>
              <w:rPr>
                <w:b/>
                <w:i/>
                <w:sz w:val="20"/>
                <w:szCs w:val="20"/>
              </w:rPr>
              <w:t>Building and Construction Industry (Improving Productivity) Act 2016</w:t>
            </w:r>
          </w:p>
        </w:tc>
        <w:tc>
          <w:tcPr>
            <w:tcW w:w="439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91BBEDC" w14:textId="77777777" w:rsidR="00441502" w:rsidRDefault="00441502">
            <w:pPr>
              <w:spacing w:after="120"/>
              <w:rPr>
                <w:b/>
                <w:sz w:val="20"/>
                <w:szCs w:val="20"/>
              </w:rPr>
            </w:pPr>
            <w:r>
              <w:rPr>
                <w:b/>
                <w:i/>
                <w:sz w:val="20"/>
                <w:szCs w:val="20"/>
              </w:rPr>
              <w:t>Fair Work (Building Industry) Act 2012</w:t>
            </w:r>
            <w:r>
              <w:rPr>
                <w:b/>
                <w:sz w:val="20"/>
                <w:szCs w:val="20"/>
              </w:rPr>
              <w:t xml:space="preserve"> (and </w:t>
            </w:r>
            <w:r>
              <w:rPr>
                <w:b/>
                <w:i/>
                <w:sz w:val="20"/>
                <w:szCs w:val="20"/>
              </w:rPr>
              <w:t xml:space="preserve">Fair Work Act 2009 </w:t>
            </w:r>
            <w:r>
              <w:rPr>
                <w:b/>
                <w:sz w:val="20"/>
                <w:szCs w:val="20"/>
              </w:rPr>
              <w:t>where appropriate)</w:t>
            </w:r>
          </w:p>
        </w:tc>
        <w:tc>
          <w:tcPr>
            <w:tcW w:w="407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875D3B7" w14:textId="77777777" w:rsidR="00441502" w:rsidRDefault="00441502">
            <w:pPr>
              <w:spacing w:after="120"/>
              <w:rPr>
                <w:b/>
                <w:i/>
                <w:sz w:val="20"/>
                <w:szCs w:val="20"/>
              </w:rPr>
            </w:pPr>
            <w:r>
              <w:rPr>
                <w:b/>
                <w:i/>
                <w:sz w:val="20"/>
                <w:szCs w:val="20"/>
              </w:rPr>
              <w:t>Building and Construction Industry Improvement Act 2005</w:t>
            </w:r>
          </w:p>
        </w:tc>
      </w:tr>
      <w:tr w:rsidR="00441502" w14:paraId="353684A3" w14:textId="77777777" w:rsidTr="00441502">
        <w:trPr>
          <w:gridAfter w:val="1"/>
          <w:wAfter w:w="6" w:type="dxa"/>
        </w:trPr>
        <w:tc>
          <w:tcPr>
            <w:tcW w:w="1695" w:type="dxa"/>
            <w:tcBorders>
              <w:top w:val="single" w:sz="4" w:space="0" w:color="auto"/>
              <w:left w:val="single" w:sz="4" w:space="0" w:color="auto"/>
              <w:bottom w:val="single" w:sz="4" w:space="0" w:color="auto"/>
              <w:right w:val="single" w:sz="4" w:space="0" w:color="auto"/>
            </w:tcBorders>
            <w:hideMark/>
          </w:tcPr>
          <w:p w14:paraId="214895E3" w14:textId="77777777" w:rsidR="00441502" w:rsidRDefault="00441502">
            <w:pPr>
              <w:spacing w:after="120"/>
              <w:rPr>
                <w:sz w:val="20"/>
                <w:szCs w:val="20"/>
              </w:rPr>
            </w:pPr>
            <w:r>
              <w:rPr>
                <w:sz w:val="20"/>
                <w:szCs w:val="20"/>
              </w:rPr>
              <w:t xml:space="preserve">Coercion and discrimination </w:t>
            </w:r>
          </w:p>
        </w:tc>
        <w:tc>
          <w:tcPr>
            <w:tcW w:w="4685" w:type="dxa"/>
            <w:tcBorders>
              <w:top w:val="single" w:sz="4" w:space="0" w:color="auto"/>
              <w:left w:val="single" w:sz="4" w:space="0" w:color="auto"/>
              <w:bottom w:val="single" w:sz="4" w:space="0" w:color="auto"/>
              <w:right w:val="single" w:sz="18" w:space="0" w:color="auto"/>
            </w:tcBorders>
            <w:hideMark/>
          </w:tcPr>
          <w:p w14:paraId="78AADF75" w14:textId="77777777" w:rsidR="00441502" w:rsidRDefault="00441502">
            <w:pPr>
              <w:spacing w:after="120"/>
              <w:rPr>
                <w:sz w:val="20"/>
                <w:szCs w:val="20"/>
              </w:rPr>
            </w:pPr>
            <w:r>
              <w:rPr>
                <w:sz w:val="20"/>
                <w:szCs w:val="20"/>
              </w:rPr>
              <w:t xml:space="preserve">Civil remedy provisions prohibit: </w:t>
            </w:r>
          </w:p>
          <w:p w14:paraId="4E4B7BF9"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Coercion in relation to the engagement of contractors and employees, allocation of duties or responsibilities, or choice of superannuation fund;</w:t>
            </w:r>
          </w:p>
          <w:p w14:paraId="40DFCBA9"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Coercion or undue pressure in relation to making varying or terminating building enterprise agreements, or the appointment of bargaining representatives; </w:t>
            </w:r>
          </w:p>
          <w:p w14:paraId="6494E1D1" w14:textId="77777777" w:rsidR="00441502" w:rsidRDefault="00441502" w:rsidP="00441502">
            <w:pPr>
              <w:pStyle w:val="ListParagraph"/>
              <w:numPr>
                <w:ilvl w:val="0"/>
                <w:numId w:val="28"/>
              </w:numPr>
              <w:spacing w:after="120" w:line="240" w:lineRule="auto"/>
              <w:ind w:left="321" w:hanging="284"/>
              <w:rPr>
                <w:sz w:val="20"/>
                <w:szCs w:val="20"/>
              </w:rPr>
            </w:pPr>
            <w:proofErr w:type="gramStart"/>
            <w:r>
              <w:rPr>
                <w:sz w:val="20"/>
                <w:szCs w:val="20"/>
              </w:rPr>
              <w:t>Taking action</w:t>
            </w:r>
            <w:proofErr w:type="gramEnd"/>
            <w:r>
              <w:rPr>
                <w:sz w:val="20"/>
                <w:szCs w:val="20"/>
              </w:rPr>
              <w:t xml:space="preserve"> against a building employer because building employees are or are not covered by a Commonwealth industrial instrument.</w:t>
            </w:r>
          </w:p>
          <w:p w14:paraId="3EA7FD72" w14:textId="77777777" w:rsidR="00441502" w:rsidRDefault="00441502">
            <w:pPr>
              <w:spacing w:after="120"/>
              <w:rPr>
                <w:sz w:val="20"/>
                <w:szCs w:val="20"/>
              </w:rPr>
            </w:pPr>
            <w:r>
              <w:rPr>
                <w:sz w:val="20"/>
                <w:szCs w:val="20"/>
              </w:rPr>
              <w:t xml:space="preserve">Maximum penalty: 1000 penalty units for a body corporate and 200 penalty units for a natural person. </w:t>
            </w:r>
          </w:p>
        </w:tc>
        <w:tc>
          <w:tcPr>
            <w:tcW w:w="4394" w:type="dxa"/>
            <w:tcBorders>
              <w:top w:val="single" w:sz="4" w:space="0" w:color="auto"/>
              <w:left w:val="single" w:sz="4" w:space="0" w:color="auto"/>
              <w:bottom w:val="single" w:sz="4" w:space="0" w:color="auto"/>
              <w:right w:val="single" w:sz="4" w:space="0" w:color="auto"/>
            </w:tcBorders>
            <w:hideMark/>
          </w:tcPr>
          <w:p w14:paraId="4DB2D52E" w14:textId="77777777" w:rsidR="00441502" w:rsidRDefault="00441502">
            <w:pPr>
              <w:spacing w:after="120"/>
              <w:rPr>
                <w:sz w:val="20"/>
                <w:szCs w:val="20"/>
              </w:rPr>
            </w:pPr>
            <w:r>
              <w:rPr>
                <w:sz w:val="20"/>
                <w:szCs w:val="20"/>
              </w:rPr>
              <w:t>No building industry specific civil remedy provisions. The Fair Work Act protects workplace rights and the exercise of those rights from unlawful actions including adverse action, coercion, misrepresentations and undue influence (see Part 3-1).</w:t>
            </w:r>
          </w:p>
          <w:p w14:paraId="60A92C96" w14:textId="77777777" w:rsidR="00441502" w:rsidRDefault="00441502">
            <w:pPr>
              <w:spacing w:after="120"/>
              <w:rPr>
                <w:sz w:val="20"/>
                <w:szCs w:val="20"/>
              </w:rPr>
            </w:pPr>
            <w:r>
              <w:rPr>
                <w:sz w:val="20"/>
                <w:szCs w:val="20"/>
              </w:rPr>
              <w:t>Maximum penalty: 300 penalty units for a body corporate and 60 penalty units for a natural person.</w:t>
            </w:r>
          </w:p>
        </w:tc>
        <w:tc>
          <w:tcPr>
            <w:tcW w:w="4067" w:type="dxa"/>
            <w:tcBorders>
              <w:top w:val="single" w:sz="4" w:space="0" w:color="auto"/>
              <w:left w:val="single" w:sz="4" w:space="0" w:color="auto"/>
              <w:bottom w:val="single" w:sz="4" w:space="0" w:color="auto"/>
              <w:right w:val="single" w:sz="4" w:space="0" w:color="auto"/>
            </w:tcBorders>
            <w:hideMark/>
          </w:tcPr>
          <w:p w14:paraId="55205F64" w14:textId="77777777" w:rsidR="00441502" w:rsidRDefault="00441502">
            <w:pPr>
              <w:spacing w:after="120"/>
              <w:rPr>
                <w:sz w:val="20"/>
                <w:szCs w:val="20"/>
              </w:rPr>
            </w:pPr>
            <w:r>
              <w:rPr>
                <w:rFonts w:ascii="Calibri" w:hAnsi="Calibri" w:cs="Calibri"/>
                <w:sz w:val="20"/>
                <w:szCs w:val="20"/>
                <w:lang w:val="en-US"/>
              </w:rPr>
              <w:t xml:space="preserve">Similar provisions to the BCIIP Act but did not include a prohibition on coercion in relation </w:t>
            </w:r>
            <w:proofErr w:type="gramStart"/>
            <w:r>
              <w:rPr>
                <w:rFonts w:ascii="Calibri" w:hAnsi="Calibri" w:cs="Calibri"/>
                <w:sz w:val="20"/>
                <w:szCs w:val="20"/>
                <w:lang w:val="en-US"/>
              </w:rPr>
              <w:t xml:space="preserve">to </w:t>
            </w:r>
            <w:r>
              <w:rPr>
                <w:sz w:val="20"/>
                <w:szCs w:val="20"/>
              </w:rPr>
              <w:t>choice</w:t>
            </w:r>
            <w:proofErr w:type="gramEnd"/>
            <w:r>
              <w:rPr>
                <w:sz w:val="20"/>
                <w:szCs w:val="20"/>
              </w:rPr>
              <w:t xml:space="preserve"> of superannuation fund.</w:t>
            </w:r>
          </w:p>
          <w:p w14:paraId="55F8648E" w14:textId="77777777" w:rsidR="00441502" w:rsidRDefault="00441502">
            <w:pPr>
              <w:spacing w:after="120"/>
              <w:rPr>
                <w:sz w:val="20"/>
                <w:szCs w:val="20"/>
              </w:rPr>
            </w:pPr>
            <w:r>
              <w:rPr>
                <w:sz w:val="20"/>
                <w:szCs w:val="20"/>
              </w:rPr>
              <w:t>Same maximum penalties applied.</w:t>
            </w:r>
          </w:p>
        </w:tc>
      </w:tr>
      <w:tr w:rsidR="00441502" w14:paraId="64DCC753" w14:textId="77777777" w:rsidTr="00441502">
        <w:trPr>
          <w:gridAfter w:val="1"/>
          <w:wAfter w:w="6" w:type="dxa"/>
        </w:trPr>
        <w:tc>
          <w:tcPr>
            <w:tcW w:w="1695" w:type="dxa"/>
            <w:tcBorders>
              <w:top w:val="single" w:sz="4" w:space="0" w:color="auto"/>
              <w:left w:val="single" w:sz="4" w:space="0" w:color="auto"/>
              <w:bottom w:val="single" w:sz="4" w:space="0" w:color="auto"/>
              <w:right w:val="single" w:sz="4" w:space="0" w:color="auto"/>
            </w:tcBorders>
            <w:hideMark/>
          </w:tcPr>
          <w:p w14:paraId="078B2E05" w14:textId="77777777" w:rsidR="00441502" w:rsidRDefault="00441502">
            <w:pPr>
              <w:spacing w:after="120"/>
              <w:rPr>
                <w:sz w:val="20"/>
                <w:szCs w:val="20"/>
              </w:rPr>
            </w:pPr>
            <w:r>
              <w:rPr>
                <w:sz w:val="20"/>
                <w:szCs w:val="20"/>
              </w:rPr>
              <w:t>Industrial action</w:t>
            </w:r>
          </w:p>
        </w:tc>
        <w:tc>
          <w:tcPr>
            <w:tcW w:w="4685" w:type="dxa"/>
            <w:tcBorders>
              <w:top w:val="single" w:sz="4" w:space="0" w:color="auto"/>
              <w:left w:val="single" w:sz="4" w:space="0" w:color="auto"/>
              <w:bottom w:val="single" w:sz="4" w:space="0" w:color="auto"/>
              <w:right w:val="single" w:sz="18" w:space="0" w:color="auto"/>
            </w:tcBorders>
            <w:hideMark/>
          </w:tcPr>
          <w:p w14:paraId="01713044" w14:textId="77777777" w:rsidR="00441502" w:rsidRDefault="00441502">
            <w:pPr>
              <w:spacing w:after="120"/>
              <w:rPr>
                <w:sz w:val="20"/>
                <w:szCs w:val="20"/>
              </w:rPr>
            </w:pPr>
            <w:r>
              <w:rPr>
                <w:sz w:val="20"/>
                <w:szCs w:val="20"/>
              </w:rPr>
              <w:t xml:space="preserve">Civil remedy provision prohibits unlawful industrial action (i.e. unprotected industrial action or protected industrial action that is engaged in in concert with unprotected persons). </w:t>
            </w:r>
          </w:p>
          <w:p w14:paraId="6E5547E3" w14:textId="77777777" w:rsidR="00441502" w:rsidRDefault="00441502">
            <w:pPr>
              <w:spacing w:after="120"/>
              <w:rPr>
                <w:sz w:val="20"/>
                <w:szCs w:val="20"/>
              </w:rPr>
            </w:pPr>
            <w:r>
              <w:rPr>
                <w:sz w:val="20"/>
                <w:szCs w:val="20"/>
              </w:rPr>
              <w:t xml:space="preserve">Industrial action defined in the same manner as in the Fair Work Act, but action authorised by the employer or employees is only excluded from the definition if it is given in advance and in writing. </w:t>
            </w:r>
          </w:p>
          <w:p w14:paraId="58B3CF98" w14:textId="77777777" w:rsidR="00441502" w:rsidRDefault="00441502">
            <w:pPr>
              <w:spacing w:after="120"/>
              <w:rPr>
                <w:sz w:val="20"/>
                <w:szCs w:val="20"/>
              </w:rPr>
            </w:pPr>
            <w:r>
              <w:rPr>
                <w:sz w:val="20"/>
                <w:szCs w:val="20"/>
              </w:rPr>
              <w:t xml:space="preserve">Maximum penalty: 1000 penalty units for a body corporate and 200 penalty units for a natural person. </w:t>
            </w:r>
          </w:p>
          <w:p w14:paraId="052FD077" w14:textId="77777777" w:rsidR="00441502" w:rsidRDefault="00441502">
            <w:pPr>
              <w:spacing w:after="120"/>
              <w:rPr>
                <w:sz w:val="20"/>
                <w:szCs w:val="20"/>
              </w:rPr>
            </w:pPr>
            <w:r>
              <w:rPr>
                <w:sz w:val="20"/>
                <w:szCs w:val="20"/>
              </w:rPr>
              <w:t>Higher penalties also apply to a breach of the Fair Work Act strike pay provisions.</w:t>
            </w:r>
          </w:p>
        </w:tc>
        <w:tc>
          <w:tcPr>
            <w:tcW w:w="4394" w:type="dxa"/>
            <w:tcBorders>
              <w:top w:val="single" w:sz="4" w:space="0" w:color="auto"/>
              <w:left w:val="single" w:sz="4" w:space="0" w:color="auto"/>
              <w:bottom w:val="single" w:sz="4" w:space="0" w:color="auto"/>
              <w:right w:val="single" w:sz="4" w:space="0" w:color="auto"/>
            </w:tcBorders>
            <w:hideMark/>
          </w:tcPr>
          <w:p w14:paraId="165D1B55" w14:textId="77777777" w:rsidR="00441502" w:rsidRDefault="00441502">
            <w:pPr>
              <w:spacing w:after="120"/>
              <w:rPr>
                <w:sz w:val="20"/>
                <w:szCs w:val="20"/>
              </w:rPr>
            </w:pPr>
            <w:r>
              <w:rPr>
                <w:sz w:val="20"/>
                <w:szCs w:val="20"/>
              </w:rPr>
              <w:t xml:space="preserve">No building industry specific civil remedy provisions. </w:t>
            </w:r>
          </w:p>
          <w:p w14:paraId="0CEE44E7" w14:textId="77777777" w:rsidR="00441502" w:rsidRDefault="00441502">
            <w:pPr>
              <w:spacing w:after="120"/>
              <w:rPr>
                <w:sz w:val="20"/>
                <w:szCs w:val="20"/>
              </w:rPr>
            </w:pPr>
            <w:r>
              <w:rPr>
                <w:sz w:val="20"/>
                <w:szCs w:val="20"/>
              </w:rPr>
              <w:t>Under the Fair Work Act:</w:t>
            </w:r>
          </w:p>
          <w:p w14:paraId="2BD60E29"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The Fair Work Commission can issue an order to stop or prevent unprotected industrial action. </w:t>
            </w:r>
          </w:p>
          <w:p w14:paraId="4DEA163B"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Industrial action must not be organised or engaged in before the nominal expiry date of an enterprise agreement. Maximum penalty: 300 penalty units for a body corporate and 60 penalty units for a natural person. </w:t>
            </w:r>
          </w:p>
        </w:tc>
        <w:tc>
          <w:tcPr>
            <w:tcW w:w="4067" w:type="dxa"/>
            <w:tcBorders>
              <w:top w:val="single" w:sz="4" w:space="0" w:color="auto"/>
              <w:left w:val="single" w:sz="4" w:space="0" w:color="auto"/>
              <w:bottom w:val="single" w:sz="4" w:space="0" w:color="auto"/>
              <w:right w:val="single" w:sz="4" w:space="0" w:color="auto"/>
            </w:tcBorders>
            <w:hideMark/>
          </w:tcPr>
          <w:p w14:paraId="2863BF62" w14:textId="77777777" w:rsidR="00441502" w:rsidRDefault="00441502">
            <w:pPr>
              <w:spacing w:after="120"/>
              <w:rPr>
                <w:sz w:val="20"/>
                <w:szCs w:val="20"/>
              </w:rPr>
            </w:pPr>
            <w:r>
              <w:rPr>
                <w:sz w:val="20"/>
                <w:szCs w:val="20"/>
              </w:rPr>
              <w:t>Similar civil remedy provision to the BCIIP Act.</w:t>
            </w:r>
          </w:p>
          <w:p w14:paraId="15B1E64D" w14:textId="77777777" w:rsidR="00441502" w:rsidRDefault="00441502">
            <w:pPr>
              <w:spacing w:after="120"/>
              <w:rPr>
                <w:sz w:val="20"/>
                <w:szCs w:val="20"/>
              </w:rPr>
            </w:pPr>
            <w:r>
              <w:rPr>
                <w:sz w:val="20"/>
                <w:szCs w:val="20"/>
              </w:rPr>
              <w:t>Same maximum penalty.</w:t>
            </w:r>
          </w:p>
        </w:tc>
      </w:tr>
      <w:tr w:rsidR="00441502" w14:paraId="4FFA0DFB" w14:textId="77777777" w:rsidTr="00441502">
        <w:trPr>
          <w:gridAfter w:val="1"/>
          <w:wAfter w:w="6" w:type="dxa"/>
        </w:trPr>
        <w:tc>
          <w:tcPr>
            <w:tcW w:w="1695" w:type="dxa"/>
            <w:tcBorders>
              <w:top w:val="single" w:sz="4" w:space="0" w:color="auto"/>
              <w:left w:val="single" w:sz="4" w:space="0" w:color="auto"/>
              <w:bottom w:val="single" w:sz="4" w:space="0" w:color="auto"/>
              <w:right w:val="single" w:sz="4" w:space="0" w:color="auto"/>
            </w:tcBorders>
            <w:hideMark/>
          </w:tcPr>
          <w:p w14:paraId="04D7B391" w14:textId="77777777" w:rsidR="00441502" w:rsidRDefault="00441502">
            <w:pPr>
              <w:spacing w:after="120"/>
              <w:rPr>
                <w:sz w:val="20"/>
                <w:szCs w:val="20"/>
              </w:rPr>
            </w:pPr>
            <w:r>
              <w:rPr>
                <w:sz w:val="20"/>
                <w:szCs w:val="20"/>
              </w:rPr>
              <w:t>Unlawful Picketing</w:t>
            </w:r>
          </w:p>
        </w:tc>
        <w:tc>
          <w:tcPr>
            <w:tcW w:w="4685" w:type="dxa"/>
            <w:tcBorders>
              <w:top w:val="single" w:sz="4" w:space="0" w:color="auto"/>
              <w:left w:val="single" w:sz="4" w:space="0" w:color="auto"/>
              <w:bottom w:val="single" w:sz="4" w:space="0" w:color="auto"/>
              <w:right w:val="single" w:sz="18" w:space="0" w:color="auto"/>
            </w:tcBorders>
            <w:hideMark/>
          </w:tcPr>
          <w:p w14:paraId="6210712E" w14:textId="77777777" w:rsidR="00441502" w:rsidRDefault="00441502">
            <w:pPr>
              <w:spacing w:after="120"/>
              <w:rPr>
                <w:sz w:val="20"/>
                <w:szCs w:val="20"/>
              </w:rPr>
            </w:pPr>
            <w:r>
              <w:rPr>
                <w:sz w:val="20"/>
                <w:szCs w:val="20"/>
              </w:rPr>
              <w:t xml:space="preserve">Prohibits unlawful picketing. </w:t>
            </w:r>
          </w:p>
          <w:p w14:paraId="2BD2D1B2" w14:textId="77777777" w:rsidR="00441502" w:rsidRDefault="00441502">
            <w:pPr>
              <w:spacing w:after="120"/>
              <w:rPr>
                <w:sz w:val="20"/>
                <w:szCs w:val="20"/>
              </w:rPr>
            </w:pPr>
            <w:r>
              <w:rPr>
                <w:sz w:val="20"/>
                <w:szCs w:val="20"/>
              </w:rPr>
              <w:t>Maximum penalty: 1000 penalty units for a body corporate and 200 penalty units for a natural person.</w:t>
            </w:r>
          </w:p>
        </w:tc>
        <w:tc>
          <w:tcPr>
            <w:tcW w:w="4394" w:type="dxa"/>
            <w:tcBorders>
              <w:top w:val="single" w:sz="4" w:space="0" w:color="auto"/>
              <w:left w:val="single" w:sz="4" w:space="0" w:color="auto"/>
              <w:bottom w:val="single" w:sz="4" w:space="0" w:color="auto"/>
              <w:right w:val="single" w:sz="4" w:space="0" w:color="auto"/>
            </w:tcBorders>
            <w:hideMark/>
          </w:tcPr>
          <w:p w14:paraId="51C3674A" w14:textId="77777777" w:rsidR="00441502" w:rsidRDefault="00441502">
            <w:pPr>
              <w:spacing w:after="120"/>
              <w:rPr>
                <w:sz w:val="20"/>
                <w:szCs w:val="20"/>
              </w:rPr>
            </w:pPr>
            <w:r>
              <w:rPr>
                <w:sz w:val="20"/>
                <w:szCs w:val="20"/>
              </w:rPr>
              <w:t xml:space="preserve">No civil remedy provision </w:t>
            </w:r>
          </w:p>
        </w:tc>
        <w:tc>
          <w:tcPr>
            <w:tcW w:w="4067" w:type="dxa"/>
            <w:tcBorders>
              <w:top w:val="single" w:sz="4" w:space="0" w:color="auto"/>
              <w:left w:val="single" w:sz="4" w:space="0" w:color="auto"/>
              <w:bottom w:val="single" w:sz="4" w:space="0" w:color="auto"/>
              <w:right w:val="single" w:sz="4" w:space="0" w:color="auto"/>
            </w:tcBorders>
            <w:hideMark/>
          </w:tcPr>
          <w:p w14:paraId="505E629D" w14:textId="77777777" w:rsidR="00441502" w:rsidRDefault="00441502">
            <w:pPr>
              <w:spacing w:after="120"/>
              <w:rPr>
                <w:sz w:val="20"/>
                <w:szCs w:val="20"/>
              </w:rPr>
            </w:pPr>
            <w:r>
              <w:rPr>
                <w:sz w:val="20"/>
                <w:szCs w:val="20"/>
              </w:rPr>
              <w:t xml:space="preserve">No civil remedy </w:t>
            </w:r>
            <w:proofErr w:type="gramStart"/>
            <w:r>
              <w:rPr>
                <w:sz w:val="20"/>
                <w:szCs w:val="20"/>
              </w:rPr>
              <w:t>provision</w:t>
            </w:r>
            <w:proofErr w:type="gramEnd"/>
            <w:r>
              <w:rPr>
                <w:sz w:val="20"/>
                <w:szCs w:val="20"/>
              </w:rPr>
              <w:t>.</w:t>
            </w:r>
          </w:p>
        </w:tc>
      </w:tr>
    </w:tbl>
    <w:p w14:paraId="46F73412" w14:textId="77777777" w:rsidR="00441502" w:rsidRPr="007B2B59" w:rsidRDefault="00441502" w:rsidP="007B2B59">
      <w:pPr>
        <w:pStyle w:val="Heading2tables"/>
        <w:ind w:right="-217"/>
        <w:rPr>
          <w:color w:val="auto"/>
        </w:rPr>
      </w:pPr>
      <w:r w:rsidRPr="007B2B59">
        <w:rPr>
          <w:color w:val="auto"/>
        </w:rPr>
        <w:lastRenderedPageBreak/>
        <w:t>Other matters</w:t>
      </w:r>
    </w:p>
    <w:tbl>
      <w:tblPr>
        <w:tblStyle w:val="TableGrid"/>
        <w:tblW w:w="14847" w:type="dxa"/>
        <w:tblInd w:w="-572" w:type="dxa"/>
        <w:tblLook w:val="04A0" w:firstRow="1" w:lastRow="0" w:firstColumn="1" w:lastColumn="0" w:noHBand="0" w:noVBand="1"/>
        <w:tblCaption w:val="Appendix 3: Comparison of key provisions - BCIIP Act, FWBI Act and BCII Act"/>
        <w:tblDescription w:val="This table compares key provisions of the BCIIP Act, FWBI Act and BCII Act."/>
      </w:tblPr>
      <w:tblGrid>
        <w:gridCol w:w="1695"/>
        <w:gridCol w:w="4685"/>
        <w:gridCol w:w="4394"/>
        <w:gridCol w:w="4067"/>
        <w:gridCol w:w="6"/>
      </w:tblGrid>
      <w:tr w:rsidR="00441502" w14:paraId="071DEF83" w14:textId="77777777" w:rsidTr="00441502">
        <w:trPr>
          <w:tblHeader/>
        </w:trPr>
        <w:tc>
          <w:tcPr>
            <w:tcW w:w="1695"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49560DF" w14:textId="77777777" w:rsidR="00441502" w:rsidRDefault="00441502">
            <w:pPr>
              <w:spacing w:after="120"/>
              <w:rPr>
                <w:b/>
                <w:sz w:val="20"/>
                <w:szCs w:val="20"/>
              </w:rPr>
            </w:pPr>
            <w:r>
              <w:rPr>
                <w:b/>
                <w:sz w:val="20"/>
                <w:szCs w:val="20"/>
              </w:rPr>
              <w:t xml:space="preserve">Key provisions </w:t>
            </w:r>
          </w:p>
        </w:tc>
        <w:tc>
          <w:tcPr>
            <w:tcW w:w="4685" w:type="dxa"/>
            <w:tcBorders>
              <w:top w:val="single" w:sz="4" w:space="0" w:color="auto"/>
              <w:left w:val="single" w:sz="4" w:space="0" w:color="auto"/>
              <w:bottom w:val="single" w:sz="4" w:space="0" w:color="auto"/>
              <w:right w:val="single" w:sz="18" w:space="0" w:color="auto"/>
            </w:tcBorders>
            <w:shd w:val="clear" w:color="auto" w:fill="9CC2E5" w:themeFill="accent1" w:themeFillTint="99"/>
            <w:hideMark/>
          </w:tcPr>
          <w:p w14:paraId="41B205AE" w14:textId="77777777" w:rsidR="00441502" w:rsidRDefault="00441502">
            <w:pPr>
              <w:spacing w:after="120"/>
              <w:rPr>
                <w:b/>
                <w:i/>
                <w:sz w:val="20"/>
                <w:szCs w:val="20"/>
              </w:rPr>
            </w:pPr>
            <w:r>
              <w:rPr>
                <w:b/>
                <w:i/>
                <w:sz w:val="20"/>
                <w:szCs w:val="20"/>
              </w:rPr>
              <w:t>Building and Construction Industry (Improving Productivity) Act 2016</w:t>
            </w:r>
          </w:p>
        </w:tc>
        <w:tc>
          <w:tcPr>
            <w:tcW w:w="439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590C6AA" w14:textId="77777777" w:rsidR="00441502" w:rsidRDefault="00441502">
            <w:pPr>
              <w:spacing w:after="120"/>
              <w:rPr>
                <w:b/>
                <w:sz w:val="20"/>
                <w:szCs w:val="20"/>
              </w:rPr>
            </w:pPr>
            <w:r>
              <w:rPr>
                <w:b/>
                <w:i/>
                <w:sz w:val="20"/>
                <w:szCs w:val="20"/>
              </w:rPr>
              <w:t>Fair Work (Building Industry) Act 2012</w:t>
            </w:r>
            <w:r>
              <w:rPr>
                <w:b/>
                <w:sz w:val="20"/>
                <w:szCs w:val="20"/>
              </w:rPr>
              <w:t xml:space="preserve"> (and </w:t>
            </w:r>
            <w:r>
              <w:rPr>
                <w:b/>
                <w:i/>
                <w:sz w:val="20"/>
                <w:szCs w:val="20"/>
              </w:rPr>
              <w:t xml:space="preserve">Fair Work Act 2009 </w:t>
            </w:r>
            <w:r>
              <w:rPr>
                <w:b/>
                <w:sz w:val="20"/>
                <w:szCs w:val="20"/>
              </w:rPr>
              <w:t>where appropriate)</w:t>
            </w:r>
          </w:p>
        </w:tc>
        <w:tc>
          <w:tcPr>
            <w:tcW w:w="407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E225B85" w14:textId="77777777" w:rsidR="00441502" w:rsidRDefault="00441502">
            <w:pPr>
              <w:spacing w:after="120"/>
              <w:rPr>
                <w:b/>
                <w:i/>
                <w:sz w:val="20"/>
                <w:szCs w:val="20"/>
              </w:rPr>
            </w:pPr>
            <w:r>
              <w:rPr>
                <w:b/>
                <w:i/>
                <w:sz w:val="20"/>
                <w:szCs w:val="20"/>
              </w:rPr>
              <w:t>Building and Construction Industry Improvement Act 2005</w:t>
            </w:r>
          </w:p>
        </w:tc>
      </w:tr>
      <w:tr w:rsidR="00441502" w14:paraId="283090E0" w14:textId="77777777" w:rsidTr="00441502">
        <w:trPr>
          <w:gridAfter w:val="1"/>
          <w:wAfter w:w="6" w:type="dxa"/>
        </w:trPr>
        <w:tc>
          <w:tcPr>
            <w:tcW w:w="1695" w:type="dxa"/>
            <w:tcBorders>
              <w:top w:val="single" w:sz="4" w:space="0" w:color="auto"/>
              <w:left w:val="single" w:sz="4" w:space="0" w:color="auto"/>
              <w:bottom w:val="single" w:sz="4" w:space="0" w:color="auto"/>
              <w:right w:val="single" w:sz="4" w:space="0" w:color="auto"/>
            </w:tcBorders>
            <w:hideMark/>
          </w:tcPr>
          <w:p w14:paraId="227A212D" w14:textId="77777777" w:rsidR="00441502" w:rsidRDefault="00441502">
            <w:pPr>
              <w:spacing w:after="120"/>
              <w:rPr>
                <w:sz w:val="20"/>
                <w:szCs w:val="20"/>
              </w:rPr>
            </w:pPr>
            <w:r>
              <w:rPr>
                <w:sz w:val="20"/>
                <w:szCs w:val="20"/>
              </w:rPr>
              <w:t>Building Code making power</w:t>
            </w:r>
          </w:p>
        </w:tc>
        <w:tc>
          <w:tcPr>
            <w:tcW w:w="4685" w:type="dxa"/>
            <w:tcBorders>
              <w:top w:val="single" w:sz="4" w:space="0" w:color="auto"/>
              <w:left w:val="single" w:sz="4" w:space="0" w:color="auto"/>
              <w:bottom w:val="single" w:sz="4" w:space="0" w:color="auto"/>
              <w:right w:val="single" w:sz="18" w:space="0" w:color="auto"/>
            </w:tcBorders>
            <w:hideMark/>
          </w:tcPr>
          <w:p w14:paraId="425771BF" w14:textId="77777777" w:rsidR="00441502" w:rsidRDefault="00441502">
            <w:pPr>
              <w:pStyle w:val="TableParagraph"/>
              <w:spacing w:after="120"/>
              <w:ind w:left="0"/>
              <w:rPr>
                <w:rFonts w:asciiTheme="minorHAnsi" w:hAnsiTheme="minorHAnsi" w:cstheme="minorBidi"/>
                <w:sz w:val="20"/>
                <w:szCs w:val="20"/>
                <w:lang w:eastAsia="en-US"/>
              </w:rPr>
            </w:pPr>
            <w:r>
              <w:rPr>
                <w:sz w:val="20"/>
                <w:szCs w:val="20"/>
                <w:lang w:eastAsia="en-US"/>
              </w:rPr>
              <w:t xml:space="preserve">The Code can place obligations on certain building industry participants (reflecting constitutional limitations), the </w:t>
            </w:r>
            <w:r>
              <w:rPr>
                <w:rFonts w:asciiTheme="minorHAnsi" w:hAnsiTheme="minorHAnsi" w:cstheme="minorBidi"/>
                <w:sz w:val="20"/>
                <w:szCs w:val="20"/>
                <w:lang w:eastAsia="en-US"/>
              </w:rPr>
              <w:t xml:space="preserve">Commonwealth and corporate Commonwealth entities. </w:t>
            </w:r>
          </w:p>
          <w:p w14:paraId="2FB38148" w14:textId="77777777" w:rsidR="00441502" w:rsidRDefault="00441502">
            <w:pPr>
              <w:spacing w:after="120"/>
              <w:rPr>
                <w:sz w:val="20"/>
                <w:szCs w:val="20"/>
              </w:rPr>
            </w:pPr>
            <w:r>
              <w:rPr>
                <w:sz w:val="20"/>
                <w:szCs w:val="20"/>
              </w:rPr>
              <w:t>The Building Code must include specific requirements in relation to procurement and the engagement of non-citizens and non-residents.</w:t>
            </w:r>
          </w:p>
        </w:tc>
        <w:tc>
          <w:tcPr>
            <w:tcW w:w="4394" w:type="dxa"/>
            <w:tcBorders>
              <w:top w:val="single" w:sz="4" w:space="0" w:color="auto"/>
              <w:left w:val="single" w:sz="4" w:space="0" w:color="auto"/>
              <w:bottom w:val="single" w:sz="4" w:space="0" w:color="auto"/>
              <w:right w:val="single" w:sz="4" w:space="0" w:color="auto"/>
            </w:tcBorders>
            <w:hideMark/>
          </w:tcPr>
          <w:p w14:paraId="14737948" w14:textId="77777777" w:rsidR="00441502" w:rsidRDefault="00441502">
            <w:pPr>
              <w:spacing w:after="120"/>
              <w:rPr>
                <w:sz w:val="20"/>
                <w:szCs w:val="20"/>
              </w:rPr>
            </w:pPr>
            <w:r>
              <w:rPr>
                <w:sz w:val="20"/>
                <w:szCs w:val="20"/>
              </w:rPr>
              <w:t xml:space="preserve">The Code could only place obligations on certain building industry participants (reflecting constitutional limitations). </w:t>
            </w:r>
          </w:p>
          <w:p w14:paraId="2D0075A1" w14:textId="77777777" w:rsidR="00441502" w:rsidRDefault="00441502">
            <w:pPr>
              <w:spacing w:after="120"/>
              <w:rPr>
                <w:sz w:val="20"/>
                <w:szCs w:val="20"/>
              </w:rPr>
            </w:pPr>
            <w:r>
              <w:rPr>
                <w:sz w:val="20"/>
                <w:szCs w:val="20"/>
              </w:rPr>
              <w:t>Separate policy guidelines outlined the obligations of the Australian Government when procuring Commonwealth-funded building work.</w:t>
            </w:r>
          </w:p>
          <w:p w14:paraId="05AD7D5B" w14:textId="77777777" w:rsidR="00441502" w:rsidRDefault="00441502">
            <w:pPr>
              <w:spacing w:after="120"/>
              <w:rPr>
                <w:sz w:val="20"/>
                <w:szCs w:val="20"/>
              </w:rPr>
            </w:pPr>
            <w:r>
              <w:rPr>
                <w:sz w:val="20"/>
                <w:szCs w:val="20"/>
              </w:rPr>
              <w:t xml:space="preserve">The Code did not have to include the specific procurement or engagement requirements. </w:t>
            </w:r>
          </w:p>
        </w:tc>
        <w:tc>
          <w:tcPr>
            <w:tcW w:w="4067" w:type="dxa"/>
            <w:tcBorders>
              <w:top w:val="single" w:sz="4" w:space="0" w:color="auto"/>
              <w:left w:val="single" w:sz="4" w:space="0" w:color="auto"/>
              <w:bottom w:val="single" w:sz="4" w:space="0" w:color="auto"/>
              <w:right w:val="single" w:sz="4" w:space="0" w:color="auto"/>
            </w:tcBorders>
            <w:hideMark/>
          </w:tcPr>
          <w:p w14:paraId="6BAEB3B1" w14:textId="77777777" w:rsidR="00441502" w:rsidRDefault="00441502">
            <w:pPr>
              <w:spacing w:after="120"/>
              <w:rPr>
                <w:sz w:val="20"/>
                <w:szCs w:val="20"/>
              </w:rPr>
            </w:pPr>
            <w:r>
              <w:rPr>
                <w:sz w:val="20"/>
                <w:szCs w:val="20"/>
              </w:rPr>
              <w:t>Same as FWBI Act.</w:t>
            </w:r>
          </w:p>
        </w:tc>
      </w:tr>
      <w:tr w:rsidR="00441502" w14:paraId="7CC3D6E9" w14:textId="77777777" w:rsidTr="00441502">
        <w:trPr>
          <w:gridAfter w:val="1"/>
          <w:wAfter w:w="6" w:type="dxa"/>
        </w:trPr>
        <w:tc>
          <w:tcPr>
            <w:tcW w:w="1695" w:type="dxa"/>
            <w:tcBorders>
              <w:top w:val="single" w:sz="4" w:space="0" w:color="auto"/>
              <w:left w:val="single" w:sz="4" w:space="0" w:color="auto"/>
              <w:bottom w:val="single" w:sz="4" w:space="0" w:color="auto"/>
              <w:right w:val="single" w:sz="4" w:space="0" w:color="auto"/>
            </w:tcBorders>
            <w:hideMark/>
          </w:tcPr>
          <w:p w14:paraId="6A32B9B7" w14:textId="77777777" w:rsidR="00441502" w:rsidRDefault="00441502">
            <w:pPr>
              <w:spacing w:after="120"/>
              <w:rPr>
                <w:sz w:val="20"/>
                <w:szCs w:val="20"/>
              </w:rPr>
            </w:pPr>
            <w:r>
              <w:rPr>
                <w:sz w:val="20"/>
                <w:szCs w:val="20"/>
              </w:rPr>
              <w:t>Building Work</w:t>
            </w:r>
          </w:p>
        </w:tc>
        <w:tc>
          <w:tcPr>
            <w:tcW w:w="4685" w:type="dxa"/>
            <w:tcBorders>
              <w:top w:val="single" w:sz="4" w:space="0" w:color="auto"/>
              <w:left w:val="single" w:sz="4" w:space="0" w:color="auto"/>
              <w:bottom w:val="single" w:sz="4" w:space="0" w:color="auto"/>
              <w:right w:val="single" w:sz="18" w:space="0" w:color="auto"/>
            </w:tcBorders>
            <w:hideMark/>
          </w:tcPr>
          <w:p w14:paraId="370B813D" w14:textId="77777777" w:rsidR="00441502" w:rsidRDefault="00441502">
            <w:pPr>
              <w:pStyle w:val="TableParagraph"/>
              <w:spacing w:after="120"/>
              <w:ind w:left="0"/>
              <w:rPr>
                <w:sz w:val="20"/>
                <w:szCs w:val="20"/>
                <w:lang w:eastAsia="en-US"/>
              </w:rPr>
            </w:pPr>
            <w:r>
              <w:rPr>
                <w:sz w:val="20"/>
                <w:szCs w:val="20"/>
                <w:lang w:eastAsia="en-US"/>
              </w:rPr>
              <w:t>Definition includes a number of activities that relate to buildings, structures or works that form, or are to form, part of land (including land beneath water), whether or not permanent.</w:t>
            </w:r>
          </w:p>
          <w:p w14:paraId="4F69E03E" w14:textId="77777777" w:rsidR="00441502" w:rsidRDefault="00441502">
            <w:pPr>
              <w:pStyle w:val="TableParagraph"/>
              <w:spacing w:after="120"/>
              <w:ind w:left="0"/>
              <w:rPr>
                <w:sz w:val="20"/>
                <w:szCs w:val="20"/>
                <w:lang w:eastAsia="en-US"/>
              </w:rPr>
            </w:pPr>
            <w:r>
              <w:rPr>
                <w:sz w:val="20"/>
                <w:szCs w:val="20"/>
                <w:lang w:eastAsia="en-US"/>
              </w:rPr>
              <w:t>It also includes:</w:t>
            </w:r>
          </w:p>
          <w:p w14:paraId="2BCC979F"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the off-site prefabrication of made-to-order components that form part of any building structure or works; or </w:t>
            </w:r>
          </w:p>
          <w:p w14:paraId="62E17438"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the transport and supply of goods and materials directly to building sites.</w:t>
            </w:r>
          </w:p>
        </w:tc>
        <w:tc>
          <w:tcPr>
            <w:tcW w:w="4394" w:type="dxa"/>
            <w:tcBorders>
              <w:top w:val="single" w:sz="4" w:space="0" w:color="auto"/>
              <w:left w:val="single" w:sz="4" w:space="0" w:color="auto"/>
              <w:bottom w:val="single" w:sz="4" w:space="0" w:color="auto"/>
              <w:right w:val="single" w:sz="4" w:space="0" w:color="auto"/>
            </w:tcBorders>
            <w:hideMark/>
          </w:tcPr>
          <w:p w14:paraId="7E3470CA" w14:textId="77777777" w:rsidR="00441502" w:rsidRDefault="00441502">
            <w:pPr>
              <w:spacing w:after="120"/>
              <w:rPr>
                <w:sz w:val="20"/>
                <w:szCs w:val="20"/>
              </w:rPr>
            </w:pPr>
            <w:r>
              <w:rPr>
                <w:sz w:val="20"/>
                <w:szCs w:val="20"/>
              </w:rPr>
              <w:t xml:space="preserve">Definition did not include: </w:t>
            </w:r>
          </w:p>
          <w:p w14:paraId="3CD7FD87"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 xml:space="preserve">the off-site prefabrication of made-to-order components that form part of any building structure or works; or </w:t>
            </w:r>
          </w:p>
          <w:p w14:paraId="4525FF88" w14:textId="77777777" w:rsidR="00441502" w:rsidRDefault="00441502" w:rsidP="00441502">
            <w:pPr>
              <w:pStyle w:val="ListParagraph"/>
              <w:numPr>
                <w:ilvl w:val="0"/>
                <w:numId w:val="28"/>
              </w:numPr>
              <w:spacing w:after="120" w:line="240" w:lineRule="auto"/>
              <w:ind w:left="321" w:hanging="284"/>
              <w:rPr>
                <w:sz w:val="20"/>
                <w:szCs w:val="20"/>
              </w:rPr>
            </w:pPr>
            <w:r>
              <w:rPr>
                <w:sz w:val="20"/>
                <w:szCs w:val="20"/>
              </w:rPr>
              <w:t>the transport and supply of goods and materials directly to building sites.</w:t>
            </w:r>
          </w:p>
        </w:tc>
        <w:tc>
          <w:tcPr>
            <w:tcW w:w="4067" w:type="dxa"/>
            <w:tcBorders>
              <w:top w:val="single" w:sz="4" w:space="0" w:color="auto"/>
              <w:left w:val="single" w:sz="4" w:space="0" w:color="auto"/>
              <w:bottom w:val="single" w:sz="4" w:space="0" w:color="auto"/>
              <w:right w:val="single" w:sz="4" w:space="0" w:color="auto"/>
            </w:tcBorders>
            <w:hideMark/>
          </w:tcPr>
          <w:p w14:paraId="5DC8D5ED" w14:textId="77777777" w:rsidR="00441502" w:rsidRDefault="00441502">
            <w:pPr>
              <w:spacing w:after="120"/>
              <w:rPr>
                <w:sz w:val="20"/>
                <w:szCs w:val="20"/>
              </w:rPr>
            </w:pPr>
            <w:r>
              <w:rPr>
                <w:sz w:val="20"/>
                <w:szCs w:val="20"/>
              </w:rPr>
              <w:t>Did not include the transport and supply of goods and materials directly to building sites.</w:t>
            </w:r>
          </w:p>
        </w:tc>
      </w:tr>
      <w:tr w:rsidR="00441502" w14:paraId="5E636432" w14:textId="77777777" w:rsidTr="00441502">
        <w:trPr>
          <w:gridAfter w:val="1"/>
          <w:wAfter w:w="6" w:type="dxa"/>
        </w:trPr>
        <w:tc>
          <w:tcPr>
            <w:tcW w:w="1695" w:type="dxa"/>
            <w:tcBorders>
              <w:top w:val="single" w:sz="4" w:space="0" w:color="auto"/>
              <w:left w:val="single" w:sz="4" w:space="0" w:color="auto"/>
              <w:bottom w:val="single" w:sz="4" w:space="0" w:color="auto"/>
              <w:right w:val="single" w:sz="4" w:space="0" w:color="auto"/>
            </w:tcBorders>
            <w:hideMark/>
          </w:tcPr>
          <w:p w14:paraId="0018A57B" w14:textId="77777777" w:rsidR="00441502" w:rsidRDefault="00441502">
            <w:pPr>
              <w:spacing w:after="120"/>
              <w:rPr>
                <w:sz w:val="20"/>
                <w:szCs w:val="20"/>
              </w:rPr>
            </w:pPr>
            <w:r>
              <w:rPr>
                <w:sz w:val="20"/>
                <w:szCs w:val="20"/>
              </w:rPr>
              <w:t>Project agreements</w:t>
            </w:r>
          </w:p>
        </w:tc>
        <w:tc>
          <w:tcPr>
            <w:tcW w:w="4685" w:type="dxa"/>
            <w:tcBorders>
              <w:top w:val="single" w:sz="4" w:space="0" w:color="auto"/>
              <w:left w:val="single" w:sz="4" w:space="0" w:color="auto"/>
              <w:bottom w:val="single" w:sz="4" w:space="0" w:color="auto"/>
              <w:right w:val="single" w:sz="18" w:space="0" w:color="auto"/>
            </w:tcBorders>
            <w:hideMark/>
          </w:tcPr>
          <w:p w14:paraId="4C910479" w14:textId="77777777" w:rsidR="00441502" w:rsidRDefault="00441502">
            <w:pPr>
              <w:spacing w:after="120"/>
              <w:rPr>
                <w:sz w:val="20"/>
                <w:szCs w:val="20"/>
              </w:rPr>
            </w:pPr>
            <w:r>
              <w:rPr>
                <w:sz w:val="20"/>
                <w:szCs w:val="20"/>
              </w:rPr>
              <w:t>Provides that project agreements are not enforceable.</w:t>
            </w:r>
          </w:p>
        </w:tc>
        <w:tc>
          <w:tcPr>
            <w:tcW w:w="4394" w:type="dxa"/>
            <w:tcBorders>
              <w:top w:val="single" w:sz="4" w:space="0" w:color="auto"/>
              <w:left w:val="single" w:sz="4" w:space="0" w:color="auto"/>
              <w:bottom w:val="single" w:sz="4" w:space="0" w:color="auto"/>
              <w:right w:val="single" w:sz="4" w:space="0" w:color="auto"/>
            </w:tcBorders>
            <w:hideMark/>
          </w:tcPr>
          <w:p w14:paraId="726576EA" w14:textId="77777777" w:rsidR="00441502" w:rsidRDefault="00441502">
            <w:pPr>
              <w:spacing w:after="120"/>
              <w:rPr>
                <w:sz w:val="20"/>
                <w:szCs w:val="20"/>
              </w:rPr>
            </w:pPr>
            <w:r>
              <w:rPr>
                <w:sz w:val="20"/>
                <w:szCs w:val="20"/>
              </w:rPr>
              <w:t>No provision.</w:t>
            </w:r>
          </w:p>
        </w:tc>
        <w:tc>
          <w:tcPr>
            <w:tcW w:w="4067" w:type="dxa"/>
            <w:tcBorders>
              <w:top w:val="single" w:sz="4" w:space="0" w:color="auto"/>
              <w:left w:val="single" w:sz="4" w:space="0" w:color="auto"/>
              <w:bottom w:val="single" w:sz="4" w:space="0" w:color="auto"/>
              <w:right w:val="single" w:sz="4" w:space="0" w:color="auto"/>
            </w:tcBorders>
            <w:hideMark/>
          </w:tcPr>
          <w:p w14:paraId="398FD822" w14:textId="77777777" w:rsidR="00441502" w:rsidRDefault="00441502">
            <w:pPr>
              <w:spacing w:after="120"/>
              <w:rPr>
                <w:sz w:val="20"/>
                <w:szCs w:val="20"/>
              </w:rPr>
            </w:pPr>
            <w:r>
              <w:rPr>
                <w:sz w:val="20"/>
                <w:szCs w:val="20"/>
              </w:rPr>
              <w:t>Similar provision to BCIIP Act.</w:t>
            </w:r>
          </w:p>
        </w:tc>
      </w:tr>
      <w:tr w:rsidR="00441502" w14:paraId="3FBA57DA" w14:textId="77777777" w:rsidTr="00441502">
        <w:trPr>
          <w:gridAfter w:val="1"/>
          <w:wAfter w:w="6" w:type="dxa"/>
        </w:trPr>
        <w:tc>
          <w:tcPr>
            <w:tcW w:w="1695" w:type="dxa"/>
            <w:tcBorders>
              <w:top w:val="single" w:sz="4" w:space="0" w:color="auto"/>
              <w:left w:val="single" w:sz="4" w:space="0" w:color="auto"/>
              <w:bottom w:val="single" w:sz="4" w:space="0" w:color="auto"/>
              <w:right w:val="single" w:sz="4" w:space="0" w:color="auto"/>
            </w:tcBorders>
            <w:hideMark/>
          </w:tcPr>
          <w:p w14:paraId="2607B5D2" w14:textId="77777777" w:rsidR="00441502" w:rsidRDefault="00441502">
            <w:pPr>
              <w:spacing w:after="120"/>
              <w:rPr>
                <w:sz w:val="20"/>
                <w:szCs w:val="20"/>
              </w:rPr>
            </w:pPr>
            <w:r>
              <w:rPr>
                <w:sz w:val="20"/>
                <w:szCs w:val="20"/>
              </w:rPr>
              <w:t>Security of Payments Working Group</w:t>
            </w:r>
          </w:p>
        </w:tc>
        <w:tc>
          <w:tcPr>
            <w:tcW w:w="4685" w:type="dxa"/>
            <w:tcBorders>
              <w:top w:val="single" w:sz="4" w:space="0" w:color="auto"/>
              <w:left w:val="single" w:sz="4" w:space="0" w:color="auto"/>
              <w:bottom w:val="single" w:sz="4" w:space="0" w:color="auto"/>
              <w:right w:val="single" w:sz="18" w:space="0" w:color="auto"/>
            </w:tcBorders>
            <w:hideMark/>
          </w:tcPr>
          <w:p w14:paraId="10D70319" w14:textId="77777777" w:rsidR="00441502" w:rsidRDefault="00441502">
            <w:pPr>
              <w:spacing w:after="120"/>
              <w:rPr>
                <w:sz w:val="20"/>
                <w:szCs w:val="20"/>
              </w:rPr>
            </w:pPr>
            <w:r>
              <w:rPr>
                <w:rFonts w:cstheme="minorHAnsi"/>
                <w:sz w:val="20"/>
                <w:szCs w:val="20"/>
              </w:rPr>
              <w:t>Establishes the Security of Payments Working Group</w:t>
            </w:r>
          </w:p>
        </w:tc>
        <w:tc>
          <w:tcPr>
            <w:tcW w:w="4394" w:type="dxa"/>
            <w:tcBorders>
              <w:top w:val="single" w:sz="4" w:space="0" w:color="auto"/>
              <w:left w:val="single" w:sz="4" w:space="0" w:color="auto"/>
              <w:bottom w:val="single" w:sz="4" w:space="0" w:color="auto"/>
              <w:right w:val="single" w:sz="4" w:space="0" w:color="auto"/>
            </w:tcBorders>
            <w:hideMark/>
          </w:tcPr>
          <w:p w14:paraId="239E8657" w14:textId="77777777" w:rsidR="00441502" w:rsidRDefault="00441502">
            <w:pPr>
              <w:spacing w:after="120"/>
              <w:rPr>
                <w:sz w:val="20"/>
                <w:szCs w:val="20"/>
              </w:rPr>
            </w:pPr>
            <w:r>
              <w:rPr>
                <w:sz w:val="20"/>
                <w:szCs w:val="20"/>
              </w:rPr>
              <w:t>No provision</w:t>
            </w:r>
          </w:p>
        </w:tc>
        <w:tc>
          <w:tcPr>
            <w:tcW w:w="4067" w:type="dxa"/>
            <w:tcBorders>
              <w:top w:val="single" w:sz="4" w:space="0" w:color="auto"/>
              <w:left w:val="single" w:sz="4" w:space="0" w:color="auto"/>
              <w:bottom w:val="single" w:sz="4" w:space="0" w:color="auto"/>
              <w:right w:val="single" w:sz="4" w:space="0" w:color="auto"/>
            </w:tcBorders>
            <w:hideMark/>
          </w:tcPr>
          <w:p w14:paraId="13946A2F" w14:textId="77777777" w:rsidR="00441502" w:rsidRDefault="00441502">
            <w:pPr>
              <w:spacing w:after="120"/>
              <w:rPr>
                <w:sz w:val="20"/>
                <w:szCs w:val="20"/>
              </w:rPr>
            </w:pPr>
            <w:r>
              <w:rPr>
                <w:sz w:val="20"/>
                <w:szCs w:val="20"/>
              </w:rPr>
              <w:t>No provision</w:t>
            </w:r>
          </w:p>
        </w:tc>
      </w:tr>
    </w:tbl>
    <w:p w14:paraId="06D85B95" w14:textId="77777777" w:rsidR="00441502" w:rsidRPr="00EE0A20" w:rsidRDefault="00441502" w:rsidP="00E9213E"/>
    <w:p w14:paraId="5E537F64" w14:textId="77777777" w:rsidR="00E9213E" w:rsidRPr="00EE0A20" w:rsidRDefault="00E9213E" w:rsidP="00E9213E">
      <w:pPr>
        <w:sectPr w:rsidR="00E9213E" w:rsidRPr="00EE0A20" w:rsidSect="00091247">
          <w:type w:val="continuous"/>
          <w:pgSz w:w="16838" w:h="11906" w:orient="landscape" w:code="9"/>
          <w:pgMar w:top="1440" w:right="1440" w:bottom="1440" w:left="1440" w:header="709" w:footer="709" w:gutter="0"/>
          <w:cols w:space="708"/>
          <w:docGrid w:linePitch="360"/>
        </w:sectPr>
      </w:pPr>
    </w:p>
    <w:p w14:paraId="0AE11CD3" w14:textId="539A4057" w:rsidR="00E9213E" w:rsidRPr="004F647D" w:rsidRDefault="00E9213E" w:rsidP="004F647D">
      <w:pPr>
        <w:pStyle w:val="Heading1"/>
        <w:tabs>
          <w:tab w:val="left" w:pos="1985"/>
        </w:tabs>
        <w:ind w:right="-188"/>
        <w:rPr>
          <w:sz w:val="28"/>
        </w:rPr>
      </w:pPr>
      <w:bookmarkStart w:id="210" w:name="_Toc523154960"/>
      <w:bookmarkStart w:id="211" w:name="_Toc527633064"/>
      <w:r w:rsidRPr="00EE0A20">
        <w:rPr>
          <w:sz w:val="28"/>
        </w:rPr>
        <w:lastRenderedPageBreak/>
        <w:t>Appendix 4: Comparison of compulsory examination powers – safeguards</w:t>
      </w:r>
      <w:bookmarkEnd w:id="210"/>
      <w:bookmarkEnd w:id="211"/>
    </w:p>
    <w:tbl>
      <w:tblPr>
        <w:tblStyle w:val="TableGrid"/>
        <w:tblW w:w="10604" w:type="dxa"/>
        <w:tblInd w:w="-714" w:type="dxa"/>
        <w:tblLook w:val="04A0" w:firstRow="1" w:lastRow="0" w:firstColumn="1" w:lastColumn="0" w:noHBand="0" w:noVBand="1"/>
        <w:tblCaption w:val="Appendix 4: Comparison of compulsory examination powers - safeguards"/>
        <w:tblDescription w:val="This table sets out the safegard provisions for the compulsory examination powers under the BCII Act, FWBI Act and BCIIP Act."/>
      </w:tblPr>
      <w:tblGrid>
        <w:gridCol w:w="4537"/>
        <w:gridCol w:w="2126"/>
        <w:gridCol w:w="1985"/>
        <w:gridCol w:w="1956"/>
      </w:tblGrid>
      <w:tr w:rsidR="00E9213E" w:rsidRPr="004F647D" w14:paraId="135F71EF" w14:textId="77777777" w:rsidTr="005B385F">
        <w:trPr>
          <w:tblHeader/>
        </w:trPr>
        <w:tc>
          <w:tcPr>
            <w:tcW w:w="4537" w:type="dxa"/>
            <w:shd w:val="clear" w:color="auto" w:fill="9CC2E5" w:themeFill="accent1" w:themeFillTint="99"/>
          </w:tcPr>
          <w:p w14:paraId="791B7476" w14:textId="5348C95F" w:rsidR="00E9213E" w:rsidRPr="004F647D" w:rsidRDefault="00A97412" w:rsidP="007C45AC">
            <w:pPr>
              <w:spacing w:after="120"/>
              <w:jc w:val="center"/>
              <w:rPr>
                <w:rFonts w:cstheme="minorHAnsi"/>
                <w:b/>
                <w:sz w:val="20"/>
                <w:szCs w:val="20"/>
              </w:rPr>
            </w:pPr>
            <w:r>
              <w:rPr>
                <w:rFonts w:cstheme="minorHAnsi"/>
                <w:b/>
                <w:sz w:val="20"/>
                <w:szCs w:val="20"/>
              </w:rPr>
              <w:t>Safeguard</w:t>
            </w:r>
          </w:p>
        </w:tc>
        <w:tc>
          <w:tcPr>
            <w:tcW w:w="2126" w:type="dxa"/>
            <w:shd w:val="clear" w:color="auto" w:fill="9CC2E5" w:themeFill="accent1" w:themeFillTint="99"/>
          </w:tcPr>
          <w:p w14:paraId="2D4FBA58" w14:textId="7F436B6F" w:rsidR="00E9213E" w:rsidRPr="004F647D" w:rsidRDefault="00C01C9D" w:rsidP="00C01C9D">
            <w:pPr>
              <w:jc w:val="center"/>
              <w:rPr>
                <w:rFonts w:cstheme="minorHAnsi"/>
                <w:b/>
                <w:sz w:val="20"/>
                <w:szCs w:val="20"/>
              </w:rPr>
            </w:pPr>
            <w:r w:rsidRPr="004F647D">
              <w:rPr>
                <w:rFonts w:cstheme="minorHAnsi"/>
                <w:b/>
                <w:sz w:val="20"/>
                <w:szCs w:val="20"/>
              </w:rPr>
              <w:t>BCII Act</w:t>
            </w:r>
          </w:p>
        </w:tc>
        <w:tc>
          <w:tcPr>
            <w:tcW w:w="1985" w:type="dxa"/>
            <w:shd w:val="clear" w:color="auto" w:fill="9CC2E5" w:themeFill="accent1" w:themeFillTint="99"/>
          </w:tcPr>
          <w:p w14:paraId="66AC95F6" w14:textId="1593494D" w:rsidR="00E9213E" w:rsidRPr="004F647D" w:rsidRDefault="00E9213E" w:rsidP="007C45AC">
            <w:pPr>
              <w:jc w:val="center"/>
              <w:rPr>
                <w:rFonts w:cstheme="minorHAnsi"/>
                <w:b/>
                <w:sz w:val="20"/>
                <w:szCs w:val="20"/>
              </w:rPr>
            </w:pPr>
            <w:r w:rsidRPr="004F647D">
              <w:rPr>
                <w:rFonts w:cstheme="minorHAnsi"/>
                <w:b/>
                <w:sz w:val="20"/>
                <w:szCs w:val="20"/>
              </w:rPr>
              <w:t>F</w:t>
            </w:r>
            <w:r w:rsidR="00C01C9D" w:rsidRPr="004F647D">
              <w:rPr>
                <w:rFonts w:cstheme="minorHAnsi"/>
                <w:b/>
                <w:sz w:val="20"/>
                <w:szCs w:val="20"/>
              </w:rPr>
              <w:t>WBI </w:t>
            </w:r>
            <w:r w:rsidRPr="004F647D">
              <w:rPr>
                <w:rFonts w:cstheme="minorHAnsi"/>
                <w:b/>
                <w:sz w:val="20"/>
                <w:szCs w:val="20"/>
              </w:rPr>
              <w:t>Act</w:t>
            </w:r>
          </w:p>
        </w:tc>
        <w:tc>
          <w:tcPr>
            <w:tcW w:w="1956" w:type="dxa"/>
            <w:shd w:val="clear" w:color="auto" w:fill="9CC2E5" w:themeFill="accent1" w:themeFillTint="99"/>
          </w:tcPr>
          <w:p w14:paraId="0601EFF6" w14:textId="16A913D7" w:rsidR="00E9213E" w:rsidRPr="004F647D" w:rsidRDefault="00C01C9D" w:rsidP="007C45AC">
            <w:pPr>
              <w:jc w:val="center"/>
              <w:rPr>
                <w:rFonts w:cstheme="minorHAnsi"/>
                <w:b/>
                <w:sz w:val="20"/>
                <w:szCs w:val="20"/>
              </w:rPr>
            </w:pPr>
            <w:r w:rsidRPr="004F647D">
              <w:rPr>
                <w:rFonts w:cstheme="minorHAnsi"/>
                <w:b/>
                <w:sz w:val="20"/>
                <w:szCs w:val="20"/>
              </w:rPr>
              <w:t>BCIIP </w:t>
            </w:r>
            <w:r w:rsidR="00E9213E" w:rsidRPr="004F647D">
              <w:rPr>
                <w:rFonts w:cstheme="minorHAnsi"/>
                <w:b/>
                <w:sz w:val="20"/>
                <w:szCs w:val="20"/>
              </w:rPr>
              <w:t>Act</w:t>
            </w:r>
          </w:p>
        </w:tc>
      </w:tr>
      <w:tr w:rsidR="00E9213E" w:rsidRPr="004F647D" w14:paraId="547EA396" w14:textId="77777777" w:rsidTr="005B385F">
        <w:tc>
          <w:tcPr>
            <w:tcW w:w="4537" w:type="dxa"/>
          </w:tcPr>
          <w:p w14:paraId="4FA28ED4" w14:textId="77777777" w:rsidR="00E9213E" w:rsidRPr="004F647D" w:rsidRDefault="00E9213E" w:rsidP="007C45AC">
            <w:pPr>
              <w:rPr>
                <w:rFonts w:cstheme="minorHAnsi"/>
                <w:b/>
                <w:sz w:val="20"/>
                <w:szCs w:val="20"/>
              </w:rPr>
            </w:pPr>
            <w:r w:rsidRPr="004F647D">
              <w:rPr>
                <w:rFonts w:cstheme="minorHAnsi"/>
                <w:b/>
                <w:sz w:val="20"/>
                <w:szCs w:val="20"/>
              </w:rPr>
              <w:t>Notice to attend</w:t>
            </w:r>
          </w:p>
          <w:p w14:paraId="2A4E2CEA" w14:textId="77777777" w:rsidR="00E9213E" w:rsidRPr="004F647D" w:rsidRDefault="00E9213E" w:rsidP="007C45AC">
            <w:pPr>
              <w:rPr>
                <w:rFonts w:cstheme="minorHAnsi"/>
                <w:sz w:val="20"/>
                <w:szCs w:val="20"/>
              </w:rPr>
            </w:pPr>
            <w:r w:rsidRPr="004F647D">
              <w:rPr>
                <w:rFonts w:cstheme="minorHAnsi"/>
                <w:sz w:val="20"/>
                <w:szCs w:val="20"/>
              </w:rPr>
              <w:t>A person required to attend an examination has at least 14 days written notice that they will need to appear and there is an ability to set a different time.</w:t>
            </w:r>
          </w:p>
        </w:tc>
        <w:tc>
          <w:tcPr>
            <w:tcW w:w="2126" w:type="dxa"/>
          </w:tcPr>
          <w:p w14:paraId="141DD4F1"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577EE369" w14:textId="77777777" w:rsidR="00E9213E" w:rsidRPr="004F647D" w:rsidRDefault="00E9213E" w:rsidP="007C45AC">
            <w:pPr>
              <w:jc w:val="center"/>
              <w:rPr>
                <w:rFonts w:cstheme="minorHAnsi"/>
                <w:sz w:val="20"/>
                <w:szCs w:val="20"/>
              </w:rPr>
            </w:pPr>
            <w:r w:rsidRPr="004F647D">
              <w:rPr>
                <w:rFonts w:cstheme="minorHAnsi"/>
                <w:sz w:val="20"/>
                <w:szCs w:val="20"/>
              </w:rPr>
              <w:t xml:space="preserve">But no provision to set an alternative date. </w:t>
            </w:r>
          </w:p>
          <w:p w14:paraId="39E72663" w14:textId="77777777" w:rsidR="00E9213E" w:rsidRPr="004F647D" w:rsidRDefault="00E9213E" w:rsidP="007C45AC">
            <w:pPr>
              <w:jc w:val="center"/>
              <w:rPr>
                <w:rFonts w:cstheme="minorHAnsi"/>
                <w:sz w:val="20"/>
                <w:szCs w:val="20"/>
              </w:rPr>
            </w:pPr>
            <w:r w:rsidRPr="004F647D">
              <w:rPr>
                <w:rFonts w:cstheme="minorHAnsi"/>
                <w:sz w:val="20"/>
                <w:szCs w:val="20"/>
              </w:rPr>
              <w:t>s 52(2)</w:t>
            </w:r>
          </w:p>
        </w:tc>
        <w:tc>
          <w:tcPr>
            <w:tcW w:w="1985" w:type="dxa"/>
          </w:tcPr>
          <w:p w14:paraId="73B86560"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041603AC" w14:textId="77777777" w:rsidR="00E9213E" w:rsidRPr="004F647D" w:rsidRDefault="00E9213E" w:rsidP="007C45AC">
            <w:pPr>
              <w:jc w:val="center"/>
              <w:rPr>
                <w:rFonts w:cstheme="minorHAnsi"/>
                <w:sz w:val="20"/>
                <w:szCs w:val="20"/>
              </w:rPr>
            </w:pPr>
            <w:r w:rsidRPr="004F647D">
              <w:rPr>
                <w:rFonts w:cstheme="minorHAnsi"/>
                <w:sz w:val="20"/>
                <w:szCs w:val="20"/>
              </w:rPr>
              <w:t>s 50</w:t>
            </w:r>
          </w:p>
        </w:tc>
        <w:tc>
          <w:tcPr>
            <w:tcW w:w="1956" w:type="dxa"/>
          </w:tcPr>
          <w:p w14:paraId="5B979142"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60AC7E85" w14:textId="77777777" w:rsidR="00E9213E" w:rsidRPr="004F647D" w:rsidRDefault="00E9213E" w:rsidP="007C45AC">
            <w:pPr>
              <w:jc w:val="center"/>
              <w:rPr>
                <w:rFonts w:cstheme="minorHAnsi"/>
                <w:sz w:val="20"/>
                <w:szCs w:val="20"/>
              </w:rPr>
            </w:pPr>
            <w:r w:rsidRPr="004F647D">
              <w:rPr>
                <w:rFonts w:cstheme="minorHAnsi"/>
                <w:sz w:val="20"/>
                <w:szCs w:val="20"/>
              </w:rPr>
              <w:t>s 61E</w:t>
            </w:r>
          </w:p>
        </w:tc>
      </w:tr>
      <w:tr w:rsidR="00E9213E" w:rsidRPr="004F647D" w14:paraId="3F60D047" w14:textId="77777777" w:rsidTr="005B385F">
        <w:tc>
          <w:tcPr>
            <w:tcW w:w="4537" w:type="dxa"/>
          </w:tcPr>
          <w:p w14:paraId="19568138" w14:textId="77777777" w:rsidR="00E9213E" w:rsidRPr="004F647D" w:rsidRDefault="00E9213E" w:rsidP="007C45AC">
            <w:pPr>
              <w:rPr>
                <w:rFonts w:cstheme="minorHAnsi"/>
                <w:b/>
                <w:sz w:val="20"/>
                <w:szCs w:val="20"/>
              </w:rPr>
            </w:pPr>
            <w:r w:rsidRPr="004F647D">
              <w:rPr>
                <w:rFonts w:cstheme="minorHAnsi"/>
                <w:b/>
                <w:sz w:val="20"/>
                <w:szCs w:val="20"/>
              </w:rPr>
              <w:t>Right to representation</w:t>
            </w:r>
          </w:p>
          <w:p w14:paraId="26A7FF03" w14:textId="77777777" w:rsidR="00E9213E" w:rsidRPr="004F647D" w:rsidRDefault="00E9213E" w:rsidP="007C45AC">
            <w:pPr>
              <w:rPr>
                <w:rFonts w:cstheme="minorHAnsi"/>
                <w:sz w:val="20"/>
                <w:szCs w:val="20"/>
              </w:rPr>
            </w:pPr>
            <w:r w:rsidRPr="004F647D">
              <w:rPr>
                <w:rFonts w:cstheme="minorHAnsi"/>
                <w:sz w:val="20"/>
                <w:szCs w:val="20"/>
              </w:rPr>
              <w:t>A person required to attend an examination is entitled to be represented by a lawyer.</w:t>
            </w:r>
          </w:p>
        </w:tc>
        <w:tc>
          <w:tcPr>
            <w:tcW w:w="2126" w:type="dxa"/>
          </w:tcPr>
          <w:p w14:paraId="15EEDC60"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078910E4" w14:textId="77777777" w:rsidR="00E9213E" w:rsidRPr="004F647D" w:rsidRDefault="00E9213E" w:rsidP="007C45AC">
            <w:pPr>
              <w:jc w:val="center"/>
              <w:rPr>
                <w:rFonts w:cstheme="minorHAnsi"/>
                <w:sz w:val="20"/>
                <w:szCs w:val="20"/>
              </w:rPr>
            </w:pPr>
            <w:r w:rsidRPr="004F647D">
              <w:rPr>
                <w:rFonts w:cstheme="minorHAnsi"/>
                <w:sz w:val="20"/>
                <w:szCs w:val="20"/>
              </w:rPr>
              <w:t>s 52 (3)</w:t>
            </w:r>
          </w:p>
        </w:tc>
        <w:tc>
          <w:tcPr>
            <w:tcW w:w="1985" w:type="dxa"/>
          </w:tcPr>
          <w:p w14:paraId="3059AF47"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7BA61653" w14:textId="77777777" w:rsidR="00E9213E" w:rsidRPr="004F647D" w:rsidRDefault="00E9213E" w:rsidP="007C45AC">
            <w:pPr>
              <w:jc w:val="center"/>
              <w:rPr>
                <w:rFonts w:cstheme="minorHAnsi"/>
                <w:i/>
                <w:sz w:val="20"/>
                <w:szCs w:val="20"/>
              </w:rPr>
            </w:pPr>
            <w:r w:rsidRPr="004F647D">
              <w:rPr>
                <w:rFonts w:cstheme="minorHAnsi"/>
                <w:sz w:val="20"/>
                <w:szCs w:val="20"/>
              </w:rPr>
              <w:t xml:space="preserve">The person may be represented </w:t>
            </w:r>
            <w:r w:rsidRPr="004F647D">
              <w:rPr>
                <w:rFonts w:cstheme="minorHAnsi"/>
                <w:i/>
                <w:sz w:val="20"/>
                <w:szCs w:val="20"/>
              </w:rPr>
              <w:t>by a lawyer of the person’s choice.</w:t>
            </w:r>
          </w:p>
          <w:p w14:paraId="2DB35EB2" w14:textId="77777777" w:rsidR="00E9213E" w:rsidRPr="004F647D" w:rsidRDefault="00E9213E" w:rsidP="007C45AC">
            <w:pPr>
              <w:jc w:val="center"/>
              <w:rPr>
                <w:rFonts w:cstheme="minorHAnsi"/>
                <w:sz w:val="20"/>
                <w:szCs w:val="20"/>
              </w:rPr>
            </w:pPr>
            <w:r w:rsidRPr="004F647D">
              <w:rPr>
                <w:rFonts w:cstheme="minorHAnsi"/>
                <w:sz w:val="20"/>
                <w:szCs w:val="20"/>
              </w:rPr>
              <w:t>s 51(3)</w:t>
            </w:r>
          </w:p>
        </w:tc>
        <w:tc>
          <w:tcPr>
            <w:tcW w:w="1956" w:type="dxa"/>
          </w:tcPr>
          <w:p w14:paraId="5544A5E9"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459DADEA" w14:textId="77777777" w:rsidR="00E9213E" w:rsidRPr="004F647D" w:rsidRDefault="00E9213E" w:rsidP="007C45AC">
            <w:pPr>
              <w:jc w:val="center"/>
              <w:rPr>
                <w:rFonts w:cstheme="minorHAnsi"/>
                <w:sz w:val="20"/>
                <w:szCs w:val="20"/>
              </w:rPr>
            </w:pPr>
            <w:r w:rsidRPr="004F647D">
              <w:rPr>
                <w:rFonts w:cstheme="minorHAnsi"/>
                <w:sz w:val="20"/>
                <w:szCs w:val="20"/>
              </w:rPr>
              <w:t xml:space="preserve">The person may be represented </w:t>
            </w:r>
            <w:r w:rsidRPr="004F647D">
              <w:rPr>
                <w:rFonts w:cstheme="minorHAnsi"/>
                <w:i/>
                <w:sz w:val="20"/>
                <w:szCs w:val="20"/>
              </w:rPr>
              <w:t>by a lawyer of the person’s choice.</w:t>
            </w:r>
            <w:r w:rsidRPr="004F647D">
              <w:rPr>
                <w:rFonts w:cstheme="minorHAnsi"/>
                <w:sz w:val="20"/>
                <w:szCs w:val="20"/>
              </w:rPr>
              <w:t xml:space="preserve"> </w:t>
            </w:r>
          </w:p>
          <w:p w14:paraId="4D25D4C8" w14:textId="77777777" w:rsidR="00E9213E" w:rsidRPr="004F647D" w:rsidRDefault="00E9213E" w:rsidP="007C45AC">
            <w:pPr>
              <w:jc w:val="center"/>
              <w:rPr>
                <w:rFonts w:cstheme="minorHAnsi"/>
                <w:sz w:val="20"/>
                <w:szCs w:val="20"/>
              </w:rPr>
            </w:pPr>
            <w:r w:rsidRPr="004F647D">
              <w:rPr>
                <w:rFonts w:cstheme="minorHAnsi"/>
                <w:sz w:val="20"/>
                <w:szCs w:val="20"/>
              </w:rPr>
              <w:t>s 61F</w:t>
            </w:r>
          </w:p>
        </w:tc>
      </w:tr>
      <w:tr w:rsidR="00E9213E" w:rsidRPr="004F647D" w14:paraId="29E93B23" w14:textId="77777777" w:rsidTr="005B385F">
        <w:tc>
          <w:tcPr>
            <w:tcW w:w="4537" w:type="dxa"/>
          </w:tcPr>
          <w:p w14:paraId="0023028C" w14:textId="77777777" w:rsidR="00E9213E" w:rsidRPr="004F647D" w:rsidRDefault="00E9213E" w:rsidP="007C45AC">
            <w:pPr>
              <w:rPr>
                <w:rFonts w:cstheme="minorHAnsi"/>
                <w:b/>
                <w:sz w:val="20"/>
                <w:szCs w:val="20"/>
              </w:rPr>
            </w:pPr>
            <w:r w:rsidRPr="004F647D">
              <w:rPr>
                <w:rFonts w:cstheme="minorHAnsi"/>
                <w:b/>
                <w:sz w:val="20"/>
                <w:szCs w:val="20"/>
              </w:rPr>
              <w:t xml:space="preserve">Reasonable expenses reimbursed </w:t>
            </w:r>
          </w:p>
          <w:p w14:paraId="5A2564AA" w14:textId="77777777" w:rsidR="00E9213E" w:rsidRPr="004F647D" w:rsidRDefault="00E9213E" w:rsidP="007C45AC">
            <w:pPr>
              <w:rPr>
                <w:rFonts w:cstheme="minorHAnsi"/>
                <w:sz w:val="20"/>
                <w:szCs w:val="20"/>
              </w:rPr>
            </w:pPr>
            <w:r w:rsidRPr="004F647D">
              <w:rPr>
                <w:rFonts w:cstheme="minorHAnsi"/>
                <w:sz w:val="20"/>
                <w:szCs w:val="20"/>
              </w:rPr>
              <w:t>A person required to attend an examination will be reimbursed for their reasonable expenses including legal representation, travel, accommodation and lost earnings.</w:t>
            </w:r>
          </w:p>
        </w:tc>
        <w:tc>
          <w:tcPr>
            <w:tcW w:w="2126" w:type="dxa"/>
          </w:tcPr>
          <w:p w14:paraId="6793A340" w14:textId="77777777" w:rsidR="00E9213E" w:rsidRPr="004F647D" w:rsidRDefault="00E9213E" w:rsidP="007C45AC">
            <w:pPr>
              <w:jc w:val="center"/>
              <w:rPr>
                <w:rFonts w:cstheme="minorHAnsi"/>
                <w:sz w:val="20"/>
                <w:szCs w:val="20"/>
              </w:rPr>
            </w:pPr>
            <w:r w:rsidRPr="004F647D">
              <w:rPr>
                <w:rFonts w:cstheme="minorHAnsi"/>
                <w:sz w:val="20"/>
                <w:szCs w:val="20"/>
              </w:rPr>
              <w:t>No</w:t>
            </w:r>
          </w:p>
        </w:tc>
        <w:tc>
          <w:tcPr>
            <w:tcW w:w="1985" w:type="dxa"/>
          </w:tcPr>
          <w:p w14:paraId="25EAC025"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39DA0284" w14:textId="77777777" w:rsidR="00E9213E" w:rsidRPr="004F647D" w:rsidRDefault="00E9213E" w:rsidP="007C45AC">
            <w:pPr>
              <w:jc w:val="center"/>
              <w:rPr>
                <w:rFonts w:cstheme="minorHAnsi"/>
                <w:sz w:val="20"/>
                <w:szCs w:val="20"/>
              </w:rPr>
            </w:pPr>
            <w:r w:rsidRPr="004F647D">
              <w:rPr>
                <w:rFonts w:cstheme="minorHAnsi"/>
                <w:sz w:val="20"/>
                <w:szCs w:val="20"/>
              </w:rPr>
              <w:t>s 58</w:t>
            </w:r>
          </w:p>
        </w:tc>
        <w:tc>
          <w:tcPr>
            <w:tcW w:w="1956" w:type="dxa"/>
          </w:tcPr>
          <w:p w14:paraId="7B9F48D5"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28BA0D24" w14:textId="77777777" w:rsidR="00E9213E" w:rsidRPr="004F647D" w:rsidRDefault="00E9213E" w:rsidP="007C45AC">
            <w:pPr>
              <w:jc w:val="center"/>
              <w:rPr>
                <w:rFonts w:cstheme="minorHAnsi"/>
                <w:sz w:val="20"/>
                <w:szCs w:val="20"/>
              </w:rPr>
            </w:pPr>
            <w:r w:rsidRPr="004F647D">
              <w:rPr>
                <w:rFonts w:cstheme="minorHAnsi"/>
                <w:sz w:val="20"/>
                <w:szCs w:val="20"/>
              </w:rPr>
              <w:t xml:space="preserve">(But does </w:t>
            </w:r>
            <w:r w:rsidRPr="004F647D">
              <w:rPr>
                <w:rFonts w:cstheme="minorHAnsi"/>
                <w:i/>
                <w:sz w:val="20"/>
                <w:szCs w:val="20"/>
              </w:rPr>
              <w:t>not</w:t>
            </w:r>
            <w:r w:rsidRPr="004F647D">
              <w:rPr>
                <w:rFonts w:cstheme="minorHAnsi"/>
                <w:sz w:val="20"/>
                <w:szCs w:val="20"/>
              </w:rPr>
              <w:t xml:space="preserve"> include legal expenses).</w:t>
            </w:r>
          </w:p>
          <w:p w14:paraId="0496D800" w14:textId="4B8F4237" w:rsidR="00E9213E" w:rsidRPr="004F647D" w:rsidRDefault="00E9213E" w:rsidP="007C45AC">
            <w:pPr>
              <w:jc w:val="center"/>
              <w:rPr>
                <w:rFonts w:cstheme="minorHAnsi"/>
                <w:sz w:val="20"/>
                <w:szCs w:val="20"/>
              </w:rPr>
            </w:pPr>
            <w:r w:rsidRPr="004F647D">
              <w:rPr>
                <w:rFonts w:cstheme="minorHAnsi"/>
                <w:sz w:val="20"/>
                <w:szCs w:val="20"/>
              </w:rPr>
              <w:t>s 63</w:t>
            </w:r>
          </w:p>
        </w:tc>
      </w:tr>
      <w:tr w:rsidR="00E9213E" w:rsidRPr="004F647D" w14:paraId="77226EEA" w14:textId="77777777" w:rsidTr="005B385F">
        <w:tc>
          <w:tcPr>
            <w:tcW w:w="4537" w:type="dxa"/>
          </w:tcPr>
          <w:p w14:paraId="738E7DF6" w14:textId="77777777" w:rsidR="00E9213E" w:rsidRPr="004F647D" w:rsidRDefault="00E9213E" w:rsidP="007C45AC">
            <w:pPr>
              <w:rPr>
                <w:rFonts w:cstheme="minorHAnsi"/>
                <w:b/>
                <w:sz w:val="20"/>
                <w:szCs w:val="20"/>
              </w:rPr>
            </w:pPr>
            <w:r w:rsidRPr="004F647D">
              <w:rPr>
                <w:rFonts w:cstheme="minorHAnsi"/>
                <w:b/>
                <w:sz w:val="20"/>
                <w:szCs w:val="20"/>
              </w:rPr>
              <w:t>Protection from liability</w:t>
            </w:r>
          </w:p>
          <w:p w14:paraId="3C8334D0" w14:textId="77777777" w:rsidR="00E9213E" w:rsidRPr="004F647D" w:rsidRDefault="00E9213E" w:rsidP="007C45AC">
            <w:pPr>
              <w:rPr>
                <w:rFonts w:cstheme="minorHAnsi"/>
                <w:sz w:val="20"/>
                <w:szCs w:val="20"/>
              </w:rPr>
            </w:pPr>
            <w:r w:rsidRPr="004F647D">
              <w:rPr>
                <w:rFonts w:cstheme="minorHAnsi"/>
                <w:sz w:val="20"/>
                <w:szCs w:val="20"/>
              </w:rPr>
              <w:t>A person who discloses information in good faith under an examination notice is protected from proceedings for contravening any other law and from civil action for damages because of that disclosure.</w:t>
            </w:r>
          </w:p>
        </w:tc>
        <w:tc>
          <w:tcPr>
            <w:tcW w:w="2126" w:type="dxa"/>
          </w:tcPr>
          <w:p w14:paraId="108DDF84"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2DC4772A" w14:textId="77777777" w:rsidR="00E9213E" w:rsidRPr="004F647D" w:rsidRDefault="00E9213E" w:rsidP="007C45AC">
            <w:pPr>
              <w:jc w:val="center"/>
              <w:rPr>
                <w:rFonts w:cstheme="minorHAnsi"/>
                <w:sz w:val="20"/>
                <w:szCs w:val="20"/>
              </w:rPr>
            </w:pPr>
            <w:r w:rsidRPr="004F647D">
              <w:rPr>
                <w:rFonts w:cstheme="minorHAnsi"/>
                <w:sz w:val="20"/>
                <w:szCs w:val="20"/>
              </w:rPr>
              <w:t>s 54</w:t>
            </w:r>
          </w:p>
        </w:tc>
        <w:tc>
          <w:tcPr>
            <w:tcW w:w="1985" w:type="dxa"/>
          </w:tcPr>
          <w:p w14:paraId="651C402D"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07D6E7DA" w14:textId="77777777" w:rsidR="00E9213E" w:rsidRPr="004F647D" w:rsidRDefault="00E9213E" w:rsidP="007C45AC">
            <w:pPr>
              <w:jc w:val="center"/>
              <w:rPr>
                <w:rFonts w:cstheme="minorHAnsi"/>
                <w:sz w:val="20"/>
                <w:szCs w:val="20"/>
              </w:rPr>
            </w:pPr>
            <w:r w:rsidRPr="004F647D">
              <w:rPr>
                <w:rFonts w:cstheme="minorHAnsi"/>
                <w:sz w:val="20"/>
                <w:szCs w:val="20"/>
              </w:rPr>
              <w:t>s 54</w:t>
            </w:r>
          </w:p>
        </w:tc>
        <w:tc>
          <w:tcPr>
            <w:tcW w:w="1956" w:type="dxa"/>
          </w:tcPr>
          <w:p w14:paraId="5A894014"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5E6C2DB5" w14:textId="77777777" w:rsidR="00E9213E" w:rsidRPr="004F647D" w:rsidRDefault="00E9213E" w:rsidP="007C45AC">
            <w:pPr>
              <w:jc w:val="center"/>
              <w:rPr>
                <w:rFonts w:cstheme="minorHAnsi"/>
                <w:sz w:val="20"/>
                <w:szCs w:val="20"/>
              </w:rPr>
            </w:pPr>
            <w:r w:rsidRPr="004F647D">
              <w:rPr>
                <w:rFonts w:cstheme="minorHAnsi"/>
                <w:sz w:val="20"/>
                <w:szCs w:val="20"/>
              </w:rPr>
              <w:t xml:space="preserve">s 103 </w:t>
            </w:r>
          </w:p>
        </w:tc>
      </w:tr>
      <w:tr w:rsidR="00E9213E" w:rsidRPr="004F647D" w14:paraId="1B84F651" w14:textId="77777777" w:rsidTr="005B385F">
        <w:tc>
          <w:tcPr>
            <w:tcW w:w="4537" w:type="dxa"/>
          </w:tcPr>
          <w:p w14:paraId="7F05F200" w14:textId="77777777" w:rsidR="00E9213E" w:rsidRPr="004F647D" w:rsidRDefault="00E9213E" w:rsidP="007C45AC">
            <w:pPr>
              <w:rPr>
                <w:rFonts w:cstheme="minorHAnsi"/>
                <w:b/>
                <w:sz w:val="20"/>
                <w:szCs w:val="20"/>
              </w:rPr>
            </w:pPr>
            <w:r w:rsidRPr="004F647D">
              <w:rPr>
                <w:rFonts w:cstheme="minorHAnsi"/>
                <w:b/>
                <w:sz w:val="20"/>
                <w:szCs w:val="20"/>
              </w:rPr>
              <w:t>Privilege against self-incrimination/</w:t>
            </w:r>
          </w:p>
          <w:p w14:paraId="2221F8E4" w14:textId="77777777" w:rsidR="00E9213E" w:rsidRPr="004F647D" w:rsidRDefault="00E9213E" w:rsidP="007C45AC">
            <w:pPr>
              <w:rPr>
                <w:rFonts w:cstheme="minorHAnsi"/>
                <w:b/>
                <w:sz w:val="20"/>
                <w:szCs w:val="20"/>
              </w:rPr>
            </w:pPr>
            <w:r w:rsidRPr="004F647D">
              <w:rPr>
                <w:rFonts w:cstheme="minorHAnsi"/>
                <w:b/>
                <w:sz w:val="20"/>
                <w:szCs w:val="20"/>
              </w:rPr>
              <w:t>Use/derivate use indemnity</w:t>
            </w:r>
          </w:p>
          <w:p w14:paraId="0C56054B" w14:textId="77777777" w:rsidR="00E9213E" w:rsidRPr="004F647D" w:rsidRDefault="00E9213E" w:rsidP="007C45AC">
            <w:pPr>
              <w:rPr>
                <w:rFonts w:cstheme="minorHAnsi"/>
                <w:sz w:val="20"/>
                <w:szCs w:val="20"/>
              </w:rPr>
            </w:pPr>
            <w:r w:rsidRPr="004F647D">
              <w:rPr>
                <w:rFonts w:cstheme="minorHAnsi"/>
                <w:sz w:val="20"/>
                <w:szCs w:val="20"/>
              </w:rPr>
              <w:t>Although a person cannot refuse to provide information on the grounds that it might incriminate them or contravene another law, any information, answers or documents obtained as a result of an examination notice is inadmissible in almost all* criminal or civil court proceedings against them.</w:t>
            </w:r>
          </w:p>
        </w:tc>
        <w:tc>
          <w:tcPr>
            <w:tcW w:w="2126" w:type="dxa"/>
          </w:tcPr>
          <w:p w14:paraId="5B15C624"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6D5F403F" w14:textId="77777777" w:rsidR="00E9213E" w:rsidRPr="004F647D" w:rsidRDefault="00E9213E" w:rsidP="007C45AC">
            <w:pPr>
              <w:jc w:val="center"/>
              <w:rPr>
                <w:rFonts w:cstheme="minorHAnsi"/>
                <w:sz w:val="20"/>
                <w:szCs w:val="20"/>
              </w:rPr>
            </w:pPr>
            <w:r w:rsidRPr="004F647D">
              <w:rPr>
                <w:rFonts w:cstheme="minorHAnsi"/>
                <w:sz w:val="20"/>
                <w:szCs w:val="20"/>
              </w:rPr>
              <w:t>s 53</w:t>
            </w:r>
          </w:p>
        </w:tc>
        <w:tc>
          <w:tcPr>
            <w:tcW w:w="1985" w:type="dxa"/>
          </w:tcPr>
          <w:p w14:paraId="7A30A3AC"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3704082D" w14:textId="77777777" w:rsidR="00E9213E" w:rsidRPr="004F647D" w:rsidRDefault="00E9213E" w:rsidP="007C45AC">
            <w:pPr>
              <w:jc w:val="center"/>
              <w:rPr>
                <w:rFonts w:cstheme="minorHAnsi"/>
                <w:sz w:val="20"/>
                <w:szCs w:val="20"/>
              </w:rPr>
            </w:pPr>
            <w:r w:rsidRPr="004F647D">
              <w:rPr>
                <w:rFonts w:cstheme="minorHAnsi"/>
                <w:sz w:val="20"/>
                <w:szCs w:val="20"/>
              </w:rPr>
              <w:t>s 52(2) &amp; 53</w:t>
            </w:r>
          </w:p>
        </w:tc>
        <w:tc>
          <w:tcPr>
            <w:tcW w:w="1956" w:type="dxa"/>
          </w:tcPr>
          <w:p w14:paraId="30BA8894"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7F16749F" w14:textId="77777777" w:rsidR="00E9213E" w:rsidRPr="004F647D" w:rsidRDefault="00E9213E" w:rsidP="007C45AC">
            <w:pPr>
              <w:jc w:val="center"/>
              <w:rPr>
                <w:rFonts w:cstheme="minorHAnsi"/>
                <w:sz w:val="20"/>
                <w:szCs w:val="20"/>
              </w:rPr>
            </w:pPr>
            <w:r w:rsidRPr="004F647D">
              <w:rPr>
                <w:rFonts w:cstheme="minorHAnsi"/>
                <w:sz w:val="20"/>
                <w:szCs w:val="20"/>
              </w:rPr>
              <w:t>s 102</w:t>
            </w:r>
          </w:p>
        </w:tc>
      </w:tr>
      <w:tr w:rsidR="00E9213E" w:rsidRPr="004F647D" w14:paraId="7D02A686" w14:textId="77777777" w:rsidTr="005B385F">
        <w:tc>
          <w:tcPr>
            <w:tcW w:w="4537" w:type="dxa"/>
          </w:tcPr>
          <w:p w14:paraId="56EA5352" w14:textId="77777777" w:rsidR="00E9213E" w:rsidRPr="004F647D" w:rsidRDefault="00E9213E" w:rsidP="007C45AC">
            <w:pPr>
              <w:rPr>
                <w:rFonts w:cstheme="minorHAnsi"/>
                <w:sz w:val="20"/>
                <w:szCs w:val="20"/>
              </w:rPr>
            </w:pPr>
            <w:r w:rsidRPr="004F647D">
              <w:rPr>
                <w:rFonts w:cstheme="minorHAnsi"/>
                <w:b/>
                <w:sz w:val="20"/>
                <w:szCs w:val="20"/>
              </w:rPr>
              <w:t>Protection of information</w:t>
            </w:r>
            <w:r w:rsidRPr="004F647D">
              <w:rPr>
                <w:rFonts w:cstheme="minorHAnsi"/>
                <w:sz w:val="20"/>
                <w:szCs w:val="20"/>
              </w:rPr>
              <w:t xml:space="preserve"> </w:t>
            </w:r>
          </w:p>
          <w:p w14:paraId="768B5F15" w14:textId="7E117824" w:rsidR="00E9213E" w:rsidRPr="004F647D" w:rsidRDefault="00E9213E" w:rsidP="007C45AC">
            <w:pPr>
              <w:rPr>
                <w:rFonts w:cstheme="minorHAnsi"/>
                <w:sz w:val="20"/>
                <w:szCs w:val="20"/>
              </w:rPr>
            </w:pPr>
            <w:r w:rsidRPr="004F647D">
              <w:rPr>
                <w:rFonts w:cstheme="minorHAnsi"/>
                <w:sz w:val="20"/>
                <w:szCs w:val="20"/>
              </w:rPr>
              <w:t xml:space="preserve">Certain persons must keep any information acquired under an examination notice confidential. </w:t>
            </w:r>
            <w:proofErr w:type="gramStart"/>
            <w:r w:rsidRPr="004F647D">
              <w:rPr>
                <w:rFonts w:cstheme="minorHAnsi"/>
                <w:sz w:val="20"/>
                <w:szCs w:val="20"/>
              </w:rPr>
              <w:t>Also</w:t>
            </w:r>
            <w:proofErr w:type="gramEnd"/>
            <w:r w:rsidRPr="004F647D">
              <w:rPr>
                <w:rFonts w:cstheme="minorHAnsi"/>
                <w:sz w:val="20"/>
                <w:szCs w:val="20"/>
              </w:rPr>
              <w:t xml:space="preserve"> information obtained can only be disclosed in ve</w:t>
            </w:r>
            <w:r w:rsidR="00470579" w:rsidRPr="004F647D">
              <w:rPr>
                <w:rFonts w:cstheme="minorHAnsi"/>
                <w:sz w:val="20"/>
                <w:szCs w:val="20"/>
              </w:rPr>
              <w:t>ry limited circumstances.</w:t>
            </w:r>
          </w:p>
        </w:tc>
        <w:tc>
          <w:tcPr>
            <w:tcW w:w="2126" w:type="dxa"/>
          </w:tcPr>
          <w:p w14:paraId="5BCB90DA"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2B80EE83" w14:textId="77777777" w:rsidR="00E9213E" w:rsidRPr="004F647D" w:rsidRDefault="00E9213E" w:rsidP="007C45AC">
            <w:pPr>
              <w:jc w:val="center"/>
              <w:rPr>
                <w:rFonts w:cstheme="minorHAnsi"/>
                <w:sz w:val="20"/>
                <w:szCs w:val="20"/>
              </w:rPr>
            </w:pPr>
            <w:r w:rsidRPr="004F647D">
              <w:rPr>
                <w:rFonts w:cstheme="minorHAnsi"/>
                <w:sz w:val="20"/>
                <w:szCs w:val="20"/>
              </w:rPr>
              <w:t>s 65</w:t>
            </w:r>
          </w:p>
        </w:tc>
        <w:tc>
          <w:tcPr>
            <w:tcW w:w="1985" w:type="dxa"/>
          </w:tcPr>
          <w:p w14:paraId="0C4ADFF9"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2F7F18C4" w14:textId="77777777" w:rsidR="00E9213E" w:rsidRPr="004F647D" w:rsidRDefault="00E9213E" w:rsidP="007C45AC">
            <w:pPr>
              <w:jc w:val="center"/>
              <w:rPr>
                <w:rFonts w:cstheme="minorHAnsi"/>
                <w:sz w:val="20"/>
                <w:szCs w:val="20"/>
              </w:rPr>
            </w:pPr>
            <w:r w:rsidRPr="004F647D">
              <w:rPr>
                <w:rFonts w:cstheme="minorHAnsi"/>
                <w:sz w:val="20"/>
                <w:szCs w:val="20"/>
              </w:rPr>
              <w:t>s 65</w:t>
            </w:r>
          </w:p>
        </w:tc>
        <w:tc>
          <w:tcPr>
            <w:tcW w:w="1956" w:type="dxa"/>
          </w:tcPr>
          <w:p w14:paraId="39E5F1B8"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4576E381" w14:textId="77777777" w:rsidR="00E9213E" w:rsidRPr="004F647D" w:rsidRDefault="00E9213E" w:rsidP="007C45AC">
            <w:pPr>
              <w:jc w:val="center"/>
              <w:rPr>
                <w:rFonts w:cstheme="minorHAnsi"/>
                <w:sz w:val="20"/>
                <w:szCs w:val="20"/>
              </w:rPr>
            </w:pPr>
            <w:r w:rsidRPr="004F647D">
              <w:rPr>
                <w:rFonts w:cstheme="minorHAnsi"/>
                <w:sz w:val="20"/>
                <w:szCs w:val="20"/>
              </w:rPr>
              <w:t>s 106</w:t>
            </w:r>
          </w:p>
        </w:tc>
      </w:tr>
      <w:tr w:rsidR="00E9213E" w:rsidRPr="004F647D" w14:paraId="6BFDC56F" w14:textId="77777777" w:rsidTr="005B385F">
        <w:tc>
          <w:tcPr>
            <w:tcW w:w="4537" w:type="dxa"/>
          </w:tcPr>
          <w:p w14:paraId="69BB5AA3" w14:textId="77777777" w:rsidR="00E9213E" w:rsidRPr="004F647D" w:rsidRDefault="00E9213E" w:rsidP="007C45AC">
            <w:pPr>
              <w:rPr>
                <w:rFonts w:cstheme="minorHAnsi"/>
                <w:b/>
                <w:sz w:val="20"/>
                <w:szCs w:val="20"/>
              </w:rPr>
            </w:pPr>
            <w:r w:rsidRPr="004F647D">
              <w:rPr>
                <w:rFonts w:cstheme="minorHAnsi"/>
                <w:b/>
                <w:sz w:val="20"/>
                <w:szCs w:val="20"/>
              </w:rPr>
              <w:t>Giving of undertakings</w:t>
            </w:r>
          </w:p>
          <w:p w14:paraId="53911813" w14:textId="77777777" w:rsidR="00E9213E" w:rsidRPr="004F647D" w:rsidRDefault="00E9213E" w:rsidP="007C45AC">
            <w:pPr>
              <w:rPr>
                <w:rFonts w:cstheme="minorHAnsi"/>
                <w:sz w:val="20"/>
                <w:szCs w:val="20"/>
              </w:rPr>
            </w:pPr>
            <w:r w:rsidRPr="004F647D">
              <w:rPr>
                <w:rFonts w:cstheme="minorHAnsi"/>
                <w:sz w:val="20"/>
                <w:szCs w:val="20"/>
              </w:rPr>
              <w:t>The Commissioner/Director cannot require a person to give an undertaking not to disclose information or answers given at the examination or discuss the matters relating to the examination with another person.</w:t>
            </w:r>
          </w:p>
        </w:tc>
        <w:tc>
          <w:tcPr>
            <w:tcW w:w="2126" w:type="dxa"/>
          </w:tcPr>
          <w:p w14:paraId="00556A39" w14:textId="77777777" w:rsidR="00E9213E" w:rsidRPr="004F647D" w:rsidRDefault="00E9213E" w:rsidP="007C45AC">
            <w:pPr>
              <w:jc w:val="center"/>
              <w:rPr>
                <w:rFonts w:cstheme="minorHAnsi"/>
                <w:sz w:val="20"/>
                <w:szCs w:val="20"/>
              </w:rPr>
            </w:pPr>
            <w:r w:rsidRPr="004F647D">
              <w:rPr>
                <w:rFonts w:cstheme="minorHAnsi"/>
                <w:sz w:val="20"/>
                <w:szCs w:val="20"/>
              </w:rPr>
              <w:t>No</w:t>
            </w:r>
          </w:p>
        </w:tc>
        <w:tc>
          <w:tcPr>
            <w:tcW w:w="1985" w:type="dxa"/>
          </w:tcPr>
          <w:p w14:paraId="67D8AD99"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7E88BCD1" w14:textId="77777777" w:rsidR="00E9213E" w:rsidRPr="004F647D" w:rsidRDefault="00E9213E" w:rsidP="007C45AC">
            <w:pPr>
              <w:jc w:val="center"/>
              <w:rPr>
                <w:rFonts w:cstheme="minorHAnsi"/>
                <w:sz w:val="20"/>
                <w:szCs w:val="20"/>
              </w:rPr>
            </w:pPr>
            <w:r w:rsidRPr="004F647D">
              <w:rPr>
                <w:rFonts w:cstheme="minorHAnsi"/>
                <w:sz w:val="20"/>
                <w:szCs w:val="20"/>
              </w:rPr>
              <w:t>s 51(6)</w:t>
            </w:r>
          </w:p>
        </w:tc>
        <w:tc>
          <w:tcPr>
            <w:tcW w:w="1956" w:type="dxa"/>
          </w:tcPr>
          <w:p w14:paraId="5EC09E47"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1E84E97B" w14:textId="77777777" w:rsidR="00E9213E" w:rsidRPr="004F647D" w:rsidRDefault="00E9213E" w:rsidP="007C45AC">
            <w:pPr>
              <w:jc w:val="center"/>
              <w:rPr>
                <w:rFonts w:cstheme="minorHAnsi"/>
                <w:sz w:val="20"/>
                <w:szCs w:val="20"/>
              </w:rPr>
            </w:pPr>
            <w:r w:rsidRPr="004F647D">
              <w:rPr>
                <w:rFonts w:cstheme="minorHAnsi"/>
                <w:sz w:val="20"/>
                <w:szCs w:val="20"/>
              </w:rPr>
              <w:t>s 61</w:t>
            </w:r>
            <w:proofErr w:type="gramStart"/>
            <w:r w:rsidRPr="004F647D">
              <w:rPr>
                <w:rFonts w:cstheme="minorHAnsi"/>
                <w:sz w:val="20"/>
                <w:szCs w:val="20"/>
              </w:rPr>
              <w:t>F(</w:t>
            </w:r>
            <w:proofErr w:type="gramEnd"/>
            <w:r w:rsidRPr="004F647D">
              <w:rPr>
                <w:rFonts w:cstheme="minorHAnsi"/>
                <w:sz w:val="20"/>
                <w:szCs w:val="20"/>
              </w:rPr>
              <w:t>6)</w:t>
            </w:r>
          </w:p>
        </w:tc>
      </w:tr>
      <w:tr w:rsidR="00E9213E" w:rsidRPr="004F647D" w14:paraId="6F2A86F0" w14:textId="77777777" w:rsidTr="005B385F">
        <w:trPr>
          <w:trHeight w:val="1719"/>
        </w:trPr>
        <w:tc>
          <w:tcPr>
            <w:tcW w:w="4537" w:type="dxa"/>
          </w:tcPr>
          <w:p w14:paraId="018C248C" w14:textId="77777777" w:rsidR="00E9213E" w:rsidRPr="004F647D" w:rsidRDefault="00E9213E" w:rsidP="007C45AC">
            <w:pPr>
              <w:rPr>
                <w:rFonts w:cstheme="minorHAnsi"/>
                <w:b/>
                <w:sz w:val="20"/>
                <w:szCs w:val="20"/>
              </w:rPr>
            </w:pPr>
            <w:r w:rsidRPr="004F647D">
              <w:rPr>
                <w:rFonts w:cstheme="minorHAnsi"/>
                <w:b/>
                <w:sz w:val="20"/>
                <w:szCs w:val="20"/>
              </w:rPr>
              <w:t>Commonwealth Ombudsman oversight</w:t>
            </w:r>
          </w:p>
          <w:p w14:paraId="7862ADA7" w14:textId="77777777" w:rsidR="00E9213E" w:rsidRPr="004F647D" w:rsidRDefault="00E9213E" w:rsidP="004F647D">
            <w:pPr>
              <w:pStyle w:val="ListParagraph"/>
              <w:numPr>
                <w:ilvl w:val="0"/>
                <w:numId w:val="13"/>
              </w:numPr>
              <w:spacing w:line="240" w:lineRule="auto"/>
              <w:ind w:left="175" w:hanging="142"/>
              <w:rPr>
                <w:rFonts w:cstheme="minorHAnsi"/>
                <w:sz w:val="20"/>
                <w:szCs w:val="20"/>
              </w:rPr>
            </w:pPr>
            <w:r w:rsidRPr="004F647D">
              <w:rPr>
                <w:rFonts w:cstheme="minorHAnsi"/>
                <w:sz w:val="20"/>
                <w:szCs w:val="20"/>
              </w:rPr>
              <w:t>Ombudsman notified of issuing of notice</w:t>
            </w:r>
          </w:p>
          <w:p w14:paraId="7CACD29B" w14:textId="77777777" w:rsidR="00E9213E" w:rsidRPr="004F647D" w:rsidRDefault="00E9213E" w:rsidP="004F647D">
            <w:pPr>
              <w:pStyle w:val="ListParagraph"/>
              <w:numPr>
                <w:ilvl w:val="0"/>
                <w:numId w:val="13"/>
              </w:numPr>
              <w:spacing w:line="240" w:lineRule="auto"/>
              <w:ind w:left="175" w:hanging="142"/>
              <w:rPr>
                <w:rFonts w:cstheme="minorHAnsi"/>
                <w:sz w:val="20"/>
                <w:szCs w:val="20"/>
              </w:rPr>
            </w:pPr>
            <w:r w:rsidRPr="004F647D">
              <w:rPr>
                <w:rFonts w:cstheme="minorHAnsi"/>
                <w:sz w:val="20"/>
                <w:szCs w:val="20"/>
              </w:rPr>
              <w:t>All examinations are videotaped and a video and transcript of the examination is given to the Ombudsman</w:t>
            </w:r>
          </w:p>
          <w:p w14:paraId="0D18821E" w14:textId="77777777" w:rsidR="00E9213E" w:rsidRPr="004F647D" w:rsidRDefault="00E9213E" w:rsidP="004F647D">
            <w:pPr>
              <w:pStyle w:val="ListParagraph"/>
              <w:numPr>
                <w:ilvl w:val="0"/>
                <w:numId w:val="13"/>
              </w:numPr>
              <w:spacing w:line="240" w:lineRule="auto"/>
              <w:ind w:left="175" w:hanging="142"/>
              <w:rPr>
                <w:rFonts w:cstheme="minorHAnsi"/>
                <w:sz w:val="20"/>
                <w:szCs w:val="20"/>
              </w:rPr>
            </w:pPr>
            <w:r w:rsidRPr="004F647D">
              <w:rPr>
                <w:rFonts w:cstheme="minorHAnsi"/>
                <w:sz w:val="20"/>
                <w:szCs w:val="20"/>
              </w:rPr>
              <w:t>Ombudsman is required to report to Parliament at least annually on the exercise of the powers.</w:t>
            </w:r>
          </w:p>
        </w:tc>
        <w:tc>
          <w:tcPr>
            <w:tcW w:w="2126" w:type="dxa"/>
          </w:tcPr>
          <w:p w14:paraId="00446B7B" w14:textId="77777777" w:rsidR="00E9213E" w:rsidRPr="004F647D" w:rsidRDefault="00E9213E" w:rsidP="007C45AC">
            <w:pPr>
              <w:jc w:val="center"/>
              <w:rPr>
                <w:rFonts w:cstheme="minorHAnsi"/>
                <w:sz w:val="20"/>
                <w:szCs w:val="20"/>
              </w:rPr>
            </w:pPr>
            <w:r w:rsidRPr="004F647D">
              <w:rPr>
                <w:rFonts w:cstheme="minorHAnsi"/>
                <w:sz w:val="20"/>
                <w:szCs w:val="20"/>
              </w:rPr>
              <w:t>No</w:t>
            </w:r>
          </w:p>
        </w:tc>
        <w:tc>
          <w:tcPr>
            <w:tcW w:w="1985" w:type="dxa"/>
          </w:tcPr>
          <w:p w14:paraId="5BDBF219"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1FE38D91" w14:textId="77777777" w:rsidR="00E9213E" w:rsidRPr="004F647D" w:rsidRDefault="00E9213E" w:rsidP="007C45AC">
            <w:pPr>
              <w:jc w:val="center"/>
              <w:rPr>
                <w:rFonts w:cstheme="minorHAnsi"/>
                <w:sz w:val="20"/>
                <w:szCs w:val="20"/>
              </w:rPr>
            </w:pPr>
            <w:r w:rsidRPr="004F647D">
              <w:rPr>
                <w:rFonts w:cstheme="minorHAnsi"/>
                <w:sz w:val="20"/>
                <w:szCs w:val="20"/>
              </w:rPr>
              <w:t>s 49</w:t>
            </w:r>
          </w:p>
          <w:p w14:paraId="77BAA56D" w14:textId="77777777" w:rsidR="00E9213E" w:rsidRPr="004F647D" w:rsidRDefault="00E9213E" w:rsidP="007C45AC">
            <w:pPr>
              <w:jc w:val="center"/>
              <w:rPr>
                <w:rFonts w:cstheme="minorHAnsi"/>
                <w:sz w:val="20"/>
                <w:szCs w:val="20"/>
              </w:rPr>
            </w:pPr>
            <w:r w:rsidRPr="004F647D">
              <w:rPr>
                <w:rFonts w:cstheme="minorHAnsi"/>
                <w:sz w:val="20"/>
                <w:szCs w:val="20"/>
              </w:rPr>
              <w:t>s 54A</w:t>
            </w:r>
          </w:p>
        </w:tc>
        <w:tc>
          <w:tcPr>
            <w:tcW w:w="1956" w:type="dxa"/>
          </w:tcPr>
          <w:p w14:paraId="4E6937D0"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358F1216" w14:textId="77777777" w:rsidR="00E9213E" w:rsidRPr="004F647D" w:rsidRDefault="00E9213E" w:rsidP="007C45AC">
            <w:pPr>
              <w:jc w:val="center"/>
              <w:rPr>
                <w:rFonts w:cstheme="minorHAnsi"/>
                <w:sz w:val="20"/>
                <w:szCs w:val="20"/>
              </w:rPr>
            </w:pPr>
            <w:r w:rsidRPr="004F647D">
              <w:rPr>
                <w:rFonts w:cstheme="minorHAnsi"/>
                <w:sz w:val="20"/>
                <w:szCs w:val="20"/>
              </w:rPr>
              <w:t>Commonwealth Ombudsman is required to report quarterly.</w:t>
            </w:r>
          </w:p>
          <w:p w14:paraId="4CB5A292" w14:textId="483A5D34" w:rsidR="00E9213E" w:rsidRPr="004F647D" w:rsidRDefault="00C94CBC" w:rsidP="00C94CBC">
            <w:pPr>
              <w:jc w:val="center"/>
              <w:rPr>
                <w:rFonts w:cstheme="minorHAnsi"/>
                <w:sz w:val="20"/>
                <w:szCs w:val="20"/>
              </w:rPr>
            </w:pPr>
            <w:r>
              <w:rPr>
                <w:rFonts w:cstheme="minorHAnsi"/>
                <w:sz w:val="20"/>
                <w:szCs w:val="20"/>
              </w:rPr>
              <w:t xml:space="preserve">s 64 &amp; </w:t>
            </w:r>
            <w:r w:rsidR="00E9213E" w:rsidRPr="004F647D">
              <w:rPr>
                <w:rFonts w:cstheme="minorHAnsi"/>
                <w:sz w:val="20"/>
                <w:szCs w:val="20"/>
              </w:rPr>
              <w:t>65</w:t>
            </w:r>
          </w:p>
        </w:tc>
      </w:tr>
      <w:tr w:rsidR="00E9213E" w:rsidRPr="004F647D" w14:paraId="0C7C2F2B" w14:textId="77777777" w:rsidTr="005B385F">
        <w:tc>
          <w:tcPr>
            <w:tcW w:w="4537" w:type="dxa"/>
          </w:tcPr>
          <w:p w14:paraId="4D87A577" w14:textId="77777777" w:rsidR="00E9213E" w:rsidRPr="004F647D" w:rsidRDefault="00E9213E" w:rsidP="007C45AC">
            <w:pPr>
              <w:rPr>
                <w:rFonts w:cstheme="minorHAnsi"/>
                <w:b/>
                <w:sz w:val="20"/>
                <w:szCs w:val="20"/>
              </w:rPr>
            </w:pPr>
            <w:r w:rsidRPr="004F647D">
              <w:rPr>
                <w:rFonts w:cstheme="minorHAnsi"/>
                <w:b/>
                <w:sz w:val="20"/>
                <w:szCs w:val="20"/>
              </w:rPr>
              <w:t>Independent assessor</w:t>
            </w:r>
          </w:p>
          <w:p w14:paraId="67E39EDE" w14:textId="77777777" w:rsidR="00E9213E" w:rsidRPr="004F647D" w:rsidRDefault="00E9213E" w:rsidP="007C45AC">
            <w:pPr>
              <w:rPr>
                <w:rFonts w:cstheme="minorHAnsi"/>
                <w:sz w:val="20"/>
                <w:szCs w:val="20"/>
              </w:rPr>
            </w:pPr>
            <w:r w:rsidRPr="004F647D">
              <w:rPr>
                <w:rFonts w:cstheme="minorHAnsi"/>
                <w:sz w:val="20"/>
                <w:szCs w:val="20"/>
              </w:rPr>
              <w:t xml:space="preserve">Apply to Independent Assessor – Special Building Industry Powers to have the ability to apply for a compulsory examination </w:t>
            </w:r>
            <w:proofErr w:type="spellStart"/>
            <w:r w:rsidRPr="004F647D">
              <w:rPr>
                <w:rFonts w:cstheme="minorHAnsi"/>
                <w:sz w:val="20"/>
                <w:szCs w:val="20"/>
              </w:rPr>
              <w:t>switchoff</w:t>
            </w:r>
            <w:proofErr w:type="spellEnd"/>
            <w:r w:rsidRPr="004F647D">
              <w:rPr>
                <w:rFonts w:cstheme="minorHAnsi"/>
                <w:sz w:val="20"/>
                <w:szCs w:val="20"/>
              </w:rPr>
              <w:t>.</w:t>
            </w:r>
          </w:p>
        </w:tc>
        <w:tc>
          <w:tcPr>
            <w:tcW w:w="2126" w:type="dxa"/>
          </w:tcPr>
          <w:p w14:paraId="2252A648" w14:textId="77777777" w:rsidR="00E9213E" w:rsidRPr="004F647D" w:rsidRDefault="00E9213E" w:rsidP="007C45AC">
            <w:pPr>
              <w:jc w:val="center"/>
              <w:rPr>
                <w:rFonts w:cstheme="minorHAnsi"/>
                <w:sz w:val="20"/>
                <w:szCs w:val="20"/>
              </w:rPr>
            </w:pPr>
            <w:r w:rsidRPr="004F647D">
              <w:rPr>
                <w:rFonts w:cstheme="minorHAnsi"/>
                <w:sz w:val="20"/>
                <w:szCs w:val="20"/>
              </w:rPr>
              <w:t>No</w:t>
            </w:r>
          </w:p>
        </w:tc>
        <w:tc>
          <w:tcPr>
            <w:tcW w:w="1985" w:type="dxa"/>
          </w:tcPr>
          <w:p w14:paraId="57C1E6C1"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44BE68B5" w14:textId="77777777" w:rsidR="00E9213E" w:rsidRPr="004F647D" w:rsidRDefault="00E9213E" w:rsidP="007C45AC">
            <w:pPr>
              <w:jc w:val="center"/>
              <w:rPr>
                <w:rFonts w:cstheme="minorHAnsi"/>
                <w:sz w:val="20"/>
                <w:szCs w:val="20"/>
              </w:rPr>
            </w:pPr>
            <w:r w:rsidRPr="004F647D">
              <w:rPr>
                <w:rFonts w:cstheme="minorHAnsi"/>
                <w:sz w:val="20"/>
                <w:szCs w:val="20"/>
              </w:rPr>
              <w:t>s 40</w:t>
            </w:r>
          </w:p>
        </w:tc>
        <w:tc>
          <w:tcPr>
            <w:tcW w:w="1956" w:type="dxa"/>
          </w:tcPr>
          <w:p w14:paraId="57C3C57D" w14:textId="77777777" w:rsidR="00E9213E" w:rsidRPr="004F647D" w:rsidRDefault="00E9213E" w:rsidP="007C45AC">
            <w:pPr>
              <w:jc w:val="center"/>
              <w:rPr>
                <w:rFonts w:cstheme="minorHAnsi"/>
                <w:sz w:val="20"/>
                <w:szCs w:val="20"/>
              </w:rPr>
            </w:pPr>
            <w:r w:rsidRPr="004F647D">
              <w:rPr>
                <w:rFonts w:cstheme="minorHAnsi"/>
                <w:sz w:val="20"/>
                <w:szCs w:val="20"/>
              </w:rPr>
              <w:t>No</w:t>
            </w:r>
          </w:p>
        </w:tc>
      </w:tr>
      <w:tr w:rsidR="00E9213E" w:rsidRPr="004F647D" w14:paraId="02C1DA90" w14:textId="77777777" w:rsidTr="005B385F">
        <w:trPr>
          <w:cantSplit/>
        </w:trPr>
        <w:tc>
          <w:tcPr>
            <w:tcW w:w="4537" w:type="dxa"/>
          </w:tcPr>
          <w:p w14:paraId="132A4789" w14:textId="77777777" w:rsidR="00E9213E" w:rsidRPr="004F647D" w:rsidRDefault="00E9213E" w:rsidP="007C45AC">
            <w:pPr>
              <w:rPr>
                <w:rFonts w:cstheme="minorHAnsi"/>
                <w:b/>
                <w:sz w:val="20"/>
                <w:szCs w:val="20"/>
              </w:rPr>
            </w:pPr>
            <w:r w:rsidRPr="004F647D">
              <w:rPr>
                <w:rFonts w:cstheme="minorHAnsi"/>
                <w:b/>
                <w:sz w:val="20"/>
                <w:szCs w:val="20"/>
              </w:rPr>
              <w:lastRenderedPageBreak/>
              <w:t>AAT oversight</w:t>
            </w:r>
          </w:p>
          <w:p w14:paraId="58070E1D" w14:textId="77777777" w:rsidR="00E9213E" w:rsidRPr="004F647D" w:rsidRDefault="00E9213E" w:rsidP="007C45AC">
            <w:pPr>
              <w:rPr>
                <w:rFonts w:cstheme="minorHAnsi"/>
                <w:sz w:val="20"/>
                <w:szCs w:val="20"/>
              </w:rPr>
            </w:pPr>
            <w:r w:rsidRPr="004F647D">
              <w:rPr>
                <w:rFonts w:cstheme="minorHAnsi"/>
                <w:sz w:val="20"/>
                <w:szCs w:val="20"/>
              </w:rPr>
              <w:t>The Commissioner/Director must apply to AAT presidential member for the issue of an examination notice.</w:t>
            </w:r>
          </w:p>
        </w:tc>
        <w:tc>
          <w:tcPr>
            <w:tcW w:w="2126" w:type="dxa"/>
          </w:tcPr>
          <w:p w14:paraId="21B542FB" w14:textId="77777777" w:rsidR="00E9213E" w:rsidRPr="004F647D" w:rsidRDefault="00E9213E" w:rsidP="007C45AC">
            <w:pPr>
              <w:jc w:val="center"/>
              <w:rPr>
                <w:rFonts w:cstheme="minorHAnsi"/>
                <w:sz w:val="20"/>
                <w:szCs w:val="20"/>
              </w:rPr>
            </w:pPr>
            <w:r w:rsidRPr="004F647D">
              <w:rPr>
                <w:rFonts w:cstheme="minorHAnsi"/>
                <w:sz w:val="20"/>
                <w:szCs w:val="20"/>
              </w:rPr>
              <w:t>No</w:t>
            </w:r>
          </w:p>
          <w:p w14:paraId="41D765DC" w14:textId="77777777" w:rsidR="00E9213E" w:rsidRPr="004F647D" w:rsidRDefault="00E9213E" w:rsidP="007C45AC">
            <w:pPr>
              <w:jc w:val="center"/>
              <w:rPr>
                <w:rFonts w:cstheme="minorHAnsi"/>
                <w:sz w:val="20"/>
                <w:szCs w:val="20"/>
              </w:rPr>
            </w:pPr>
            <w:r w:rsidRPr="004F647D">
              <w:rPr>
                <w:rFonts w:cstheme="minorHAnsi"/>
                <w:sz w:val="20"/>
                <w:szCs w:val="20"/>
              </w:rPr>
              <w:t>Commissioner has the power to issue the examination notice.</w:t>
            </w:r>
          </w:p>
          <w:p w14:paraId="7F6B781E" w14:textId="3F673589" w:rsidR="00E9213E" w:rsidRPr="004F647D" w:rsidRDefault="0020074E" w:rsidP="007C45AC">
            <w:pPr>
              <w:jc w:val="center"/>
              <w:rPr>
                <w:rFonts w:cstheme="minorHAnsi"/>
                <w:sz w:val="20"/>
                <w:szCs w:val="20"/>
              </w:rPr>
            </w:pPr>
            <w:r w:rsidRPr="004F647D">
              <w:rPr>
                <w:rFonts w:cstheme="minorHAnsi"/>
                <w:sz w:val="20"/>
                <w:szCs w:val="20"/>
              </w:rPr>
              <w:t>s 52(1)</w:t>
            </w:r>
          </w:p>
        </w:tc>
        <w:tc>
          <w:tcPr>
            <w:tcW w:w="1985" w:type="dxa"/>
          </w:tcPr>
          <w:p w14:paraId="58EC16E0"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74367281" w14:textId="767684A4" w:rsidR="00E9213E" w:rsidRPr="004F647D" w:rsidRDefault="00C94CBC" w:rsidP="00C94CBC">
            <w:pPr>
              <w:jc w:val="center"/>
              <w:rPr>
                <w:rFonts w:cstheme="minorHAnsi"/>
                <w:sz w:val="20"/>
                <w:szCs w:val="20"/>
              </w:rPr>
            </w:pPr>
            <w:r>
              <w:rPr>
                <w:rFonts w:cstheme="minorHAnsi"/>
                <w:sz w:val="20"/>
                <w:szCs w:val="20"/>
              </w:rPr>
              <w:t xml:space="preserve">s </w:t>
            </w:r>
            <w:r w:rsidR="009D2459" w:rsidRPr="004F647D">
              <w:rPr>
                <w:rFonts w:cstheme="minorHAnsi"/>
                <w:sz w:val="20"/>
                <w:szCs w:val="20"/>
              </w:rPr>
              <w:t>44</w:t>
            </w:r>
            <w:r w:rsidR="009D2459" w:rsidRPr="004F647D">
              <w:rPr>
                <w:rFonts w:cstheme="minorHAnsi"/>
                <w:sz w:val="20"/>
                <w:szCs w:val="20"/>
              </w:rPr>
              <w:noBreakHyphen/>
            </w:r>
            <w:r w:rsidR="00E9213E" w:rsidRPr="004F647D">
              <w:rPr>
                <w:rFonts w:cstheme="minorHAnsi"/>
                <w:sz w:val="20"/>
                <w:szCs w:val="20"/>
              </w:rPr>
              <w:t>47</w:t>
            </w:r>
          </w:p>
        </w:tc>
        <w:tc>
          <w:tcPr>
            <w:tcW w:w="1956" w:type="dxa"/>
          </w:tcPr>
          <w:p w14:paraId="67D3A49D" w14:textId="77777777" w:rsidR="00E9213E" w:rsidRPr="004F647D" w:rsidRDefault="00E9213E" w:rsidP="007C45AC">
            <w:pPr>
              <w:jc w:val="center"/>
              <w:rPr>
                <w:rFonts w:cstheme="minorHAnsi"/>
                <w:sz w:val="20"/>
                <w:szCs w:val="20"/>
              </w:rPr>
            </w:pPr>
            <w:r w:rsidRPr="004F647D">
              <w:rPr>
                <w:rFonts w:cstheme="minorHAnsi"/>
                <w:sz w:val="20"/>
                <w:szCs w:val="20"/>
              </w:rPr>
              <w:t>Yes</w:t>
            </w:r>
          </w:p>
          <w:p w14:paraId="3D5F0EA6" w14:textId="169D0307" w:rsidR="00E9213E" w:rsidRPr="004F647D" w:rsidRDefault="00C94CBC" w:rsidP="00C94CBC">
            <w:pPr>
              <w:jc w:val="center"/>
              <w:rPr>
                <w:rFonts w:cstheme="minorHAnsi"/>
                <w:sz w:val="20"/>
                <w:szCs w:val="20"/>
              </w:rPr>
            </w:pPr>
            <w:r>
              <w:rPr>
                <w:rFonts w:cstheme="minorHAnsi"/>
                <w:sz w:val="20"/>
                <w:szCs w:val="20"/>
              </w:rPr>
              <w:t xml:space="preserve">s </w:t>
            </w:r>
            <w:r w:rsidR="009D2459" w:rsidRPr="004F647D">
              <w:rPr>
                <w:rFonts w:cstheme="minorHAnsi"/>
                <w:sz w:val="20"/>
                <w:szCs w:val="20"/>
              </w:rPr>
              <w:t>61A</w:t>
            </w:r>
            <w:r w:rsidR="009D2459" w:rsidRPr="004F647D">
              <w:rPr>
                <w:rFonts w:cstheme="minorHAnsi"/>
                <w:sz w:val="20"/>
                <w:szCs w:val="20"/>
              </w:rPr>
              <w:noBreakHyphen/>
            </w:r>
            <w:r w:rsidR="00E9213E" w:rsidRPr="004F647D">
              <w:rPr>
                <w:rFonts w:cstheme="minorHAnsi"/>
                <w:sz w:val="20"/>
                <w:szCs w:val="20"/>
              </w:rPr>
              <w:t>61C</w:t>
            </w:r>
          </w:p>
        </w:tc>
      </w:tr>
      <w:tr w:rsidR="0020074E" w:rsidRPr="004F647D" w14:paraId="26879E4D" w14:textId="77777777" w:rsidTr="005B385F">
        <w:tc>
          <w:tcPr>
            <w:tcW w:w="4537" w:type="dxa"/>
          </w:tcPr>
          <w:p w14:paraId="21917D69" w14:textId="77777777" w:rsidR="0020074E" w:rsidRPr="004F647D" w:rsidRDefault="0020074E" w:rsidP="0020074E">
            <w:pPr>
              <w:rPr>
                <w:rFonts w:cstheme="minorHAnsi"/>
                <w:b/>
                <w:sz w:val="20"/>
                <w:szCs w:val="20"/>
              </w:rPr>
            </w:pPr>
            <w:r w:rsidRPr="004F647D">
              <w:rPr>
                <w:rFonts w:cstheme="minorHAnsi"/>
                <w:b/>
                <w:sz w:val="20"/>
                <w:szCs w:val="20"/>
              </w:rPr>
              <w:t>Requirement to report on use of powers</w:t>
            </w:r>
          </w:p>
          <w:p w14:paraId="553134EC" w14:textId="6F5338B1" w:rsidR="0020074E" w:rsidRPr="004F647D" w:rsidRDefault="0020074E" w:rsidP="0020074E">
            <w:pPr>
              <w:rPr>
                <w:rFonts w:cstheme="minorHAnsi"/>
                <w:b/>
                <w:sz w:val="20"/>
                <w:szCs w:val="20"/>
              </w:rPr>
            </w:pPr>
            <w:r w:rsidRPr="004F647D">
              <w:rPr>
                <w:rFonts w:cstheme="minorHAnsi"/>
                <w:sz w:val="20"/>
                <w:szCs w:val="20"/>
              </w:rPr>
              <w:t>The Commissioner/Director must report on the performance of functions and exercise of powers (including examination powers) to the Minister.</w:t>
            </w:r>
          </w:p>
        </w:tc>
        <w:tc>
          <w:tcPr>
            <w:tcW w:w="2126" w:type="dxa"/>
          </w:tcPr>
          <w:p w14:paraId="36F5FD02" w14:textId="77777777" w:rsidR="0020074E" w:rsidRPr="004F647D" w:rsidRDefault="0020074E" w:rsidP="0020074E">
            <w:pPr>
              <w:jc w:val="center"/>
              <w:rPr>
                <w:rFonts w:cstheme="minorHAnsi"/>
                <w:sz w:val="20"/>
                <w:szCs w:val="20"/>
              </w:rPr>
            </w:pPr>
            <w:r w:rsidRPr="004F647D">
              <w:rPr>
                <w:rFonts w:cstheme="minorHAnsi"/>
                <w:sz w:val="20"/>
                <w:szCs w:val="20"/>
              </w:rPr>
              <w:t xml:space="preserve">Yes </w:t>
            </w:r>
          </w:p>
          <w:p w14:paraId="15F7F917" w14:textId="77777777" w:rsidR="0020074E" w:rsidRPr="004F647D" w:rsidRDefault="0020074E" w:rsidP="0020074E">
            <w:pPr>
              <w:jc w:val="center"/>
              <w:rPr>
                <w:rFonts w:cstheme="minorHAnsi"/>
                <w:sz w:val="20"/>
                <w:szCs w:val="20"/>
              </w:rPr>
            </w:pPr>
            <w:r w:rsidRPr="004F647D">
              <w:rPr>
                <w:rFonts w:cstheme="minorHAnsi"/>
                <w:sz w:val="20"/>
                <w:szCs w:val="20"/>
              </w:rPr>
              <w:t>Annual report.</w:t>
            </w:r>
          </w:p>
          <w:p w14:paraId="5BC821CB" w14:textId="651BA625" w:rsidR="0020074E" w:rsidRPr="004F647D" w:rsidRDefault="0020074E" w:rsidP="0020074E">
            <w:pPr>
              <w:jc w:val="center"/>
              <w:rPr>
                <w:rFonts w:cstheme="minorHAnsi"/>
                <w:sz w:val="20"/>
                <w:szCs w:val="20"/>
              </w:rPr>
            </w:pPr>
            <w:r w:rsidRPr="004F647D">
              <w:rPr>
                <w:rFonts w:cstheme="minorHAnsi"/>
                <w:sz w:val="20"/>
                <w:szCs w:val="20"/>
              </w:rPr>
              <w:t>s 14</w:t>
            </w:r>
          </w:p>
        </w:tc>
        <w:tc>
          <w:tcPr>
            <w:tcW w:w="1985" w:type="dxa"/>
          </w:tcPr>
          <w:p w14:paraId="64A5FE7B" w14:textId="77777777" w:rsidR="0020074E" w:rsidRPr="004F647D" w:rsidRDefault="0020074E" w:rsidP="0020074E">
            <w:pPr>
              <w:jc w:val="center"/>
              <w:rPr>
                <w:rFonts w:cstheme="minorHAnsi"/>
                <w:sz w:val="20"/>
                <w:szCs w:val="20"/>
              </w:rPr>
            </w:pPr>
            <w:r w:rsidRPr="004F647D">
              <w:rPr>
                <w:rFonts w:cstheme="minorHAnsi"/>
                <w:sz w:val="20"/>
                <w:szCs w:val="20"/>
              </w:rPr>
              <w:t>Yes</w:t>
            </w:r>
          </w:p>
          <w:p w14:paraId="4F209783" w14:textId="7DE06A73" w:rsidR="0020074E" w:rsidRPr="004F647D" w:rsidRDefault="0020074E" w:rsidP="0020074E">
            <w:pPr>
              <w:jc w:val="center"/>
              <w:rPr>
                <w:rFonts w:cstheme="minorHAnsi"/>
                <w:sz w:val="20"/>
                <w:szCs w:val="20"/>
              </w:rPr>
            </w:pPr>
            <w:r w:rsidRPr="004F647D">
              <w:rPr>
                <w:rFonts w:cstheme="minorHAnsi"/>
                <w:sz w:val="20"/>
                <w:szCs w:val="20"/>
              </w:rPr>
              <w:t>Annual report</w:t>
            </w:r>
            <w:r w:rsidR="002754AD" w:rsidRPr="004F647D">
              <w:rPr>
                <w:rFonts w:cstheme="minorHAnsi"/>
                <w:sz w:val="20"/>
                <w:szCs w:val="20"/>
              </w:rPr>
              <w:t>.</w:t>
            </w:r>
          </w:p>
          <w:p w14:paraId="27C53D58" w14:textId="30616CD5" w:rsidR="0020074E" w:rsidRPr="004F647D" w:rsidRDefault="0020074E" w:rsidP="0020074E">
            <w:pPr>
              <w:jc w:val="center"/>
              <w:rPr>
                <w:rFonts w:cstheme="minorHAnsi"/>
                <w:sz w:val="20"/>
                <w:szCs w:val="20"/>
              </w:rPr>
            </w:pPr>
            <w:r w:rsidRPr="004F647D">
              <w:rPr>
                <w:rFonts w:cstheme="minorHAnsi"/>
                <w:sz w:val="20"/>
                <w:szCs w:val="20"/>
              </w:rPr>
              <w:t>s 14</w:t>
            </w:r>
          </w:p>
        </w:tc>
        <w:tc>
          <w:tcPr>
            <w:tcW w:w="1956" w:type="dxa"/>
          </w:tcPr>
          <w:p w14:paraId="43B7E9BD" w14:textId="77777777" w:rsidR="0020074E" w:rsidRPr="004F647D" w:rsidRDefault="0020074E" w:rsidP="0020074E">
            <w:pPr>
              <w:jc w:val="center"/>
              <w:rPr>
                <w:rFonts w:cstheme="minorHAnsi"/>
                <w:sz w:val="20"/>
                <w:szCs w:val="20"/>
              </w:rPr>
            </w:pPr>
            <w:r w:rsidRPr="004F647D">
              <w:rPr>
                <w:rFonts w:cstheme="minorHAnsi"/>
                <w:sz w:val="20"/>
                <w:szCs w:val="20"/>
              </w:rPr>
              <w:t>Yes</w:t>
            </w:r>
          </w:p>
          <w:p w14:paraId="018ED9E5" w14:textId="0AF34CAC" w:rsidR="0020074E" w:rsidRPr="004F647D" w:rsidRDefault="0020074E" w:rsidP="0020074E">
            <w:pPr>
              <w:ind w:left="-110"/>
              <w:jc w:val="center"/>
              <w:rPr>
                <w:rFonts w:cstheme="minorHAnsi"/>
                <w:sz w:val="20"/>
                <w:szCs w:val="20"/>
              </w:rPr>
            </w:pPr>
            <w:r w:rsidRPr="004F647D">
              <w:rPr>
                <w:rFonts w:cstheme="minorHAnsi"/>
                <w:sz w:val="20"/>
                <w:szCs w:val="20"/>
              </w:rPr>
              <w:t>Quarterly and annual reports (specific requirement to detail the number, and type, of matters for which examination notices were issued)</w:t>
            </w:r>
            <w:r w:rsidR="002754AD" w:rsidRPr="004F647D">
              <w:rPr>
                <w:rFonts w:cstheme="minorHAnsi"/>
                <w:sz w:val="20"/>
                <w:szCs w:val="20"/>
              </w:rPr>
              <w:t>.</w:t>
            </w:r>
          </w:p>
          <w:p w14:paraId="54CF0F37" w14:textId="6049DEB0" w:rsidR="0020074E" w:rsidRPr="004F647D" w:rsidRDefault="0020074E" w:rsidP="0020074E">
            <w:pPr>
              <w:jc w:val="center"/>
              <w:rPr>
                <w:rFonts w:cstheme="minorHAnsi"/>
                <w:sz w:val="20"/>
                <w:szCs w:val="20"/>
              </w:rPr>
            </w:pPr>
            <w:r w:rsidRPr="004F647D">
              <w:rPr>
                <w:rFonts w:cstheme="minorHAnsi"/>
                <w:sz w:val="20"/>
                <w:szCs w:val="20"/>
              </w:rPr>
              <w:t>s 20</w:t>
            </w:r>
          </w:p>
        </w:tc>
      </w:tr>
    </w:tbl>
    <w:p w14:paraId="49D6FC8F" w14:textId="49ACBB68" w:rsidR="00D31A55" w:rsidRPr="00D31A55" w:rsidRDefault="00E9213E" w:rsidP="003603EC">
      <w:pPr>
        <w:ind w:left="-567"/>
        <w:rPr>
          <w:rFonts w:cstheme="minorHAnsi"/>
          <w:sz w:val="17"/>
          <w:szCs w:val="17"/>
        </w:rPr>
      </w:pPr>
      <w:r w:rsidRPr="00EE0A20">
        <w:rPr>
          <w:rFonts w:cstheme="minorHAnsi"/>
          <w:sz w:val="17"/>
          <w:szCs w:val="17"/>
        </w:rPr>
        <w:t>*</w:t>
      </w:r>
      <w:r w:rsidR="00D31A55">
        <w:rPr>
          <w:rFonts w:cstheme="minorHAnsi"/>
          <w:sz w:val="17"/>
          <w:szCs w:val="17"/>
        </w:rPr>
        <w:t xml:space="preserve"> </w:t>
      </w:r>
      <w:r w:rsidRPr="00EE0A20">
        <w:rPr>
          <w:rFonts w:cstheme="minorHAnsi"/>
          <w:sz w:val="17"/>
          <w:szCs w:val="17"/>
        </w:rPr>
        <w:t>The exceptions to this otherwise complete immunity relate to failure to comply with an examination notice, a witness knowingly perjuring themselves by giving false testimony or refusing to answer questions or obstructing Commonwealth public officials</w:t>
      </w:r>
      <w:r w:rsidR="00D31A55">
        <w:rPr>
          <w:rFonts w:cstheme="minorHAnsi"/>
          <w:sz w:val="17"/>
          <w:szCs w:val="17"/>
        </w:rPr>
        <w:t>. Refer ss. </w:t>
      </w:r>
      <w:r w:rsidRPr="00EE0A20">
        <w:rPr>
          <w:rFonts w:cstheme="minorHAnsi"/>
          <w:sz w:val="17"/>
          <w:szCs w:val="17"/>
        </w:rPr>
        <w:t>53(2</w:t>
      </w:r>
      <w:r w:rsidRPr="00D31A55">
        <w:rPr>
          <w:rFonts w:cstheme="minorHAnsi"/>
          <w:sz w:val="17"/>
          <w:szCs w:val="17"/>
        </w:rPr>
        <w:t xml:space="preserve">) of </w:t>
      </w:r>
      <w:r w:rsidRPr="00EE0A20">
        <w:rPr>
          <w:rFonts w:cstheme="minorHAnsi"/>
          <w:i/>
          <w:sz w:val="17"/>
          <w:szCs w:val="17"/>
        </w:rPr>
        <w:t>Fa</w:t>
      </w:r>
      <w:r w:rsidR="00C01C9D">
        <w:rPr>
          <w:rFonts w:cstheme="minorHAnsi"/>
          <w:i/>
          <w:sz w:val="17"/>
          <w:szCs w:val="17"/>
        </w:rPr>
        <w:t>ir Work (Building Industry) Act </w:t>
      </w:r>
      <w:r w:rsidRPr="00EE0A20">
        <w:rPr>
          <w:rFonts w:cstheme="minorHAnsi"/>
          <w:i/>
          <w:sz w:val="17"/>
          <w:szCs w:val="17"/>
        </w:rPr>
        <w:t>2012</w:t>
      </w:r>
      <w:r w:rsidRPr="00EE0A20">
        <w:rPr>
          <w:rFonts w:cstheme="minorHAnsi"/>
          <w:sz w:val="17"/>
          <w:szCs w:val="17"/>
        </w:rPr>
        <w:t xml:space="preserve"> and</w:t>
      </w:r>
      <w:r w:rsidR="00D31A55">
        <w:rPr>
          <w:rFonts w:cstheme="minorHAnsi"/>
          <w:sz w:val="17"/>
          <w:szCs w:val="17"/>
        </w:rPr>
        <w:t xml:space="preserve"> </w:t>
      </w:r>
      <w:r w:rsidR="00D31A55" w:rsidRPr="00D31A55">
        <w:rPr>
          <w:rFonts w:cstheme="minorHAnsi"/>
          <w:sz w:val="17"/>
          <w:szCs w:val="17"/>
        </w:rPr>
        <w:t>ss. </w:t>
      </w:r>
      <w:r w:rsidRPr="00D31A55">
        <w:rPr>
          <w:rFonts w:cstheme="minorHAnsi"/>
          <w:sz w:val="17"/>
          <w:szCs w:val="17"/>
        </w:rPr>
        <w:t>102(2) of the</w:t>
      </w:r>
      <w:r w:rsidRPr="00EE0A20">
        <w:rPr>
          <w:rFonts w:cstheme="minorHAnsi"/>
          <w:i/>
          <w:sz w:val="17"/>
          <w:szCs w:val="17"/>
        </w:rPr>
        <w:t xml:space="preserve"> Building and Construction Indust</w:t>
      </w:r>
      <w:r w:rsidR="00C01C9D">
        <w:rPr>
          <w:rFonts w:cstheme="minorHAnsi"/>
          <w:i/>
          <w:sz w:val="17"/>
          <w:szCs w:val="17"/>
        </w:rPr>
        <w:t>ry (Improving Productivity) Act </w:t>
      </w:r>
      <w:r w:rsidRPr="00EE0A20">
        <w:rPr>
          <w:rFonts w:cstheme="minorHAnsi"/>
          <w:i/>
          <w:sz w:val="17"/>
          <w:szCs w:val="17"/>
        </w:rPr>
        <w:t>2016</w:t>
      </w:r>
      <w:r w:rsidR="00D31A55">
        <w:rPr>
          <w:rFonts w:cstheme="minorHAnsi"/>
          <w:i/>
          <w:sz w:val="17"/>
          <w:szCs w:val="17"/>
        </w:rPr>
        <w:t>.</w:t>
      </w:r>
    </w:p>
    <w:sectPr w:rsidR="00D31A55" w:rsidRPr="00D31A55" w:rsidSect="005B385F">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9870C" w14:textId="77777777" w:rsidR="004F17A1" w:rsidRDefault="004F17A1" w:rsidP="00241F1D">
      <w:pPr>
        <w:spacing w:after="0" w:line="240" w:lineRule="auto"/>
      </w:pPr>
      <w:r>
        <w:separator/>
      </w:r>
    </w:p>
  </w:endnote>
  <w:endnote w:type="continuationSeparator" w:id="0">
    <w:p w14:paraId="33177B6A" w14:textId="77777777" w:rsidR="004F17A1" w:rsidRDefault="004F17A1" w:rsidP="00241F1D">
      <w:pPr>
        <w:spacing w:after="0" w:line="240" w:lineRule="auto"/>
      </w:pPr>
      <w:r>
        <w:continuationSeparator/>
      </w:r>
    </w:p>
  </w:endnote>
  <w:endnote w:type="continuationNotice" w:id="1">
    <w:p w14:paraId="6D472E51" w14:textId="77777777" w:rsidR="004F17A1" w:rsidRDefault="004F1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7BEF1" w14:textId="77777777" w:rsidR="009F2BC6" w:rsidRDefault="009F2BC6" w:rsidP="000B41D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E1B7F" w14:textId="3B52B789" w:rsidR="009F2BC6" w:rsidRDefault="009F2BC6" w:rsidP="00AE1F8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139675"/>
      <w:docPartObj>
        <w:docPartGallery w:val="Page Numbers (Bottom of Page)"/>
        <w:docPartUnique/>
      </w:docPartObj>
    </w:sdtPr>
    <w:sdtEndPr>
      <w:rPr>
        <w:noProof/>
      </w:rPr>
    </w:sdtEndPr>
    <w:sdtContent>
      <w:p w14:paraId="1FBBE93A" w14:textId="15B40429" w:rsidR="009F2BC6" w:rsidRDefault="009F2BC6" w:rsidP="002566A2">
        <w:pPr>
          <w:pStyle w:val="Footer"/>
          <w:jc w:val="right"/>
        </w:pPr>
        <w:r>
          <w:fldChar w:fldCharType="begin"/>
        </w:r>
        <w:r>
          <w:instrText xml:space="preserve"> PAGE   \* MERGEFORMAT </w:instrText>
        </w:r>
        <w:r>
          <w:fldChar w:fldCharType="separate"/>
        </w:r>
        <w:r w:rsidR="00052657">
          <w:rPr>
            <w:noProof/>
          </w:rPr>
          <w:t>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708563"/>
      <w:docPartObj>
        <w:docPartGallery w:val="Page Numbers (Bottom of Page)"/>
        <w:docPartUnique/>
      </w:docPartObj>
    </w:sdtPr>
    <w:sdtEndPr>
      <w:rPr>
        <w:noProof/>
      </w:rPr>
    </w:sdtEndPr>
    <w:sdtContent>
      <w:p w14:paraId="7C42D759" w14:textId="7A49FA01" w:rsidR="009F2BC6" w:rsidRDefault="009F2BC6" w:rsidP="00F91B6C">
        <w:pPr>
          <w:pStyle w:val="Footer"/>
          <w:jc w:val="right"/>
        </w:pPr>
        <w:r>
          <w:fldChar w:fldCharType="begin"/>
        </w:r>
        <w:r>
          <w:instrText xml:space="preserve"> PAGE   \* MERGEFORMAT </w:instrText>
        </w:r>
        <w:r>
          <w:fldChar w:fldCharType="separate"/>
        </w:r>
        <w:r w:rsidR="00052657">
          <w:rPr>
            <w:noProof/>
          </w:rPr>
          <w:t>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00F34" w14:textId="1BF9254B" w:rsidR="009F2BC6" w:rsidRPr="00F91B6C" w:rsidRDefault="004F17A1" w:rsidP="00F91B6C">
    <w:pPr>
      <w:pStyle w:val="Footer"/>
      <w:tabs>
        <w:tab w:val="clear" w:pos="9026"/>
        <w:tab w:val="right" w:pos="8647"/>
      </w:tabs>
      <w:ind w:firstLine="720"/>
      <w:jc w:val="right"/>
    </w:pPr>
    <w:sdt>
      <w:sdtPr>
        <w:id w:val="156202142"/>
        <w:docPartObj>
          <w:docPartGallery w:val="Page Numbers (Bottom of Page)"/>
          <w:docPartUnique/>
        </w:docPartObj>
      </w:sdtPr>
      <w:sdtEndPr>
        <w:rPr>
          <w:noProof/>
        </w:rPr>
      </w:sdtEndPr>
      <w:sdtContent>
        <w:r w:rsidR="009F2BC6">
          <w:fldChar w:fldCharType="begin"/>
        </w:r>
        <w:r w:rsidR="009F2BC6">
          <w:instrText xml:space="preserve"> PAGE   \* MERGEFORMAT </w:instrText>
        </w:r>
        <w:r w:rsidR="009F2BC6">
          <w:fldChar w:fldCharType="separate"/>
        </w:r>
        <w:r w:rsidR="00052657">
          <w:rPr>
            <w:noProof/>
          </w:rPr>
          <w:t>78</w:t>
        </w:r>
        <w:r w:rsidR="009F2BC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E39F5" w14:textId="77777777" w:rsidR="004F17A1" w:rsidRDefault="004F17A1" w:rsidP="00241F1D">
      <w:pPr>
        <w:spacing w:after="0" w:line="240" w:lineRule="auto"/>
      </w:pPr>
      <w:r>
        <w:separator/>
      </w:r>
    </w:p>
  </w:footnote>
  <w:footnote w:type="continuationSeparator" w:id="0">
    <w:p w14:paraId="519B71D3" w14:textId="77777777" w:rsidR="004F17A1" w:rsidRDefault="004F17A1" w:rsidP="00241F1D">
      <w:pPr>
        <w:spacing w:after="0" w:line="240" w:lineRule="auto"/>
      </w:pPr>
      <w:r>
        <w:continuationSeparator/>
      </w:r>
    </w:p>
  </w:footnote>
  <w:footnote w:type="continuationNotice" w:id="1">
    <w:p w14:paraId="37ACEEAA" w14:textId="77777777" w:rsidR="004F17A1" w:rsidRDefault="004F17A1">
      <w:pPr>
        <w:spacing w:after="0" w:line="240" w:lineRule="auto"/>
      </w:pPr>
    </w:p>
  </w:footnote>
  <w:footnote w:id="2">
    <w:p w14:paraId="35D3EA31" w14:textId="1A04D901" w:rsidR="009F2BC6" w:rsidRPr="00623F8A" w:rsidRDefault="009F2BC6" w:rsidP="004334B0">
      <w:pPr>
        <w:pStyle w:val="FootnoteText"/>
        <w:rPr>
          <w:rFonts w:cstheme="minorHAnsi"/>
          <w:sz w:val="18"/>
          <w:szCs w:val="18"/>
        </w:rPr>
      </w:pPr>
      <w:r w:rsidRPr="00623F8A">
        <w:rPr>
          <w:rStyle w:val="FootnoteReference"/>
          <w:rFonts w:cstheme="minorHAnsi"/>
          <w:sz w:val="18"/>
          <w:szCs w:val="18"/>
        </w:rPr>
        <w:footnoteRef/>
      </w:r>
      <w:r w:rsidRPr="00623F8A">
        <w:rPr>
          <w:rFonts w:cstheme="minorHAnsi"/>
          <w:sz w:val="18"/>
          <w:szCs w:val="18"/>
        </w:rPr>
        <w:t xml:space="preserve"> </w:t>
      </w:r>
      <w:r w:rsidRPr="008E3D06">
        <w:rPr>
          <w:rFonts w:cstheme="minorHAnsi"/>
          <w:sz w:val="18"/>
          <w:szCs w:val="18"/>
        </w:rPr>
        <w:t>Section 5 of the BCIIP Act defines ‘building industry participant’ as a building employer, a building employee, a building contractor, a person who enters into a contract with a building contractor under which the building contractor agrees to carry out building work or to arrange for building work to be carried out, a building association, or an officer, delegate or other representative of a building association.</w:t>
      </w:r>
    </w:p>
  </w:footnote>
  <w:footnote w:id="3">
    <w:p w14:paraId="1DCC2C4D" w14:textId="701E3ABE" w:rsidR="009F2BC6" w:rsidRPr="00DD2937" w:rsidRDefault="009F2BC6" w:rsidP="004334B0">
      <w:pPr>
        <w:pStyle w:val="FootnoteText"/>
        <w:rPr>
          <w:sz w:val="18"/>
          <w:szCs w:val="18"/>
        </w:rPr>
      </w:pPr>
      <w:r w:rsidRPr="00DD2937">
        <w:rPr>
          <w:rStyle w:val="FootnoteReference"/>
          <w:sz w:val="18"/>
          <w:szCs w:val="18"/>
        </w:rPr>
        <w:footnoteRef/>
      </w:r>
      <w:r w:rsidRPr="00DD2937">
        <w:rPr>
          <w:sz w:val="18"/>
          <w:szCs w:val="18"/>
        </w:rPr>
        <w:t xml:space="preserve"> </w:t>
      </w:r>
      <w:r w:rsidRPr="008568AA">
        <w:rPr>
          <w:sz w:val="18"/>
          <w:szCs w:val="18"/>
        </w:rPr>
        <w:t xml:space="preserve">Commonwealth Ombudsman 2017, Annual Report by the Commonwealth Ombudsman under s 13(1) of the </w:t>
      </w:r>
      <w:r w:rsidRPr="00696A50">
        <w:rPr>
          <w:i/>
          <w:sz w:val="18"/>
          <w:szCs w:val="18"/>
        </w:rPr>
        <w:t>Building and Construction Industry (Consequential and Transitional Provisions) Act 2016</w:t>
      </w:r>
      <w:r w:rsidRPr="008568AA">
        <w:rPr>
          <w:sz w:val="18"/>
          <w:szCs w:val="18"/>
        </w:rPr>
        <w:t xml:space="preserve"> for the period 1 July 2015 to 30 June 2016, Commonwealth Ombudsman, Canberra.</w:t>
      </w:r>
    </w:p>
  </w:footnote>
  <w:footnote w:id="4">
    <w:p w14:paraId="524F8CED" w14:textId="365BB1F2" w:rsidR="009F2BC6" w:rsidRPr="00623F8A" w:rsidRDefault="009F2BC6" w:rsidP="00241F1D">
      <w:pPr>
        <w:pStyle w:val="FootnoteText"/>
        <w:rPr>
          <w:rFonts w:cstheme="minorHAnsi"/>
          <w:sz w:val="18"/>
          <w:szCs w:val="18"/>
        </w:rPr>
      </w:pPr>
      <w:r w:rsidRPr="00623F8A">
        <w:rPr>
          <w:rStyle w:val="FootnoteReference"/>
          <w:rFonts w:cstheme="minorHAnsi"/>
          <w:sz w:val="18"/>
          <w:szCs w:val="18"/>
        </w:rPr>
        <w:footnoteRef/>
      </w:r>
      <w:r w:rsidRPr="00623F8A">
        <w:rPr>
          <w:rFonts w:cstheme="minorHAnsi"/>
          <w:sz w:val="18"/>
          <w:szCs w:val="18"/>
        </w:rPr>
        <w:t xml:space="preserve"> </w:t>
      </w:r>
      <w:r w:rsidRPr="00696A50">
        <w:rPr>
          <w:rFonts w:cstheme="minorHAnsi"/>
          <w:sz w:val="18"/>
          <w:szCs w:val="18"/>
        </w:rPr>
        <w:t>Section 5 of the BCIIP Act defines ‘building industry participant’ as a building employer, a building employee, a building contractor, a person who enters into a contract with a building contractor under which the building contractor agrees to carry out building work or to arrange for building work to be carried out, a building association, or an officer, delegate or other representative of a building association.</w:t>
      </w:r>
    </w:p>
  </w:footnote>
  <w:footnote w:id="5">
    <w:p w14:paraId="3B66A308" w14:textId="5C51F8D2" w:rsidR="009F2BC6" w:rsidRPr="00056F60" w:rsidRDefault="009F2BC6">
      <w:pPr>
        <w:pStyle w:val="FootnoteText"/>
        <w:rPr>
          <w:sz w:val="18"/>
          <w:szCs w:val="18"/>
        </w:rPr>
      </w:pPr>
      <w:r w:rsidRPr="00056F60">
        <w:rPr>
          <w:rStyle w:val="FootnoteReference"/>
          <w:sz w:val="18"/>
          <w:szCs w:val="18"/>
        </w:rPr>
        <w:footnoteRef/>
      </w:r>
      <w:r w:rsidRPr="00056F60">
        <w:rPr>
          <w:sz w:val="18"/>
          <w:szCs w:val="18"/>
        </w:rPr>
        <w:t xml:space="preserve"> The </w:t>
      </w:r>
      <w:r w:rsidRPr="00056F60">
        <w:rPr>
          <w:i/>
          <w:sz w:val="18"/>
          <w:szCs w:val="18"/>
        </w:rPr>
        <w:t>Independent Contractors Act 2006</w:t>
      </w:r>
      <w:r w:rsidRPr="00056F60">
        <w:rPr>
          <w:sz w:val="18"/>
          <w:szCs w:val="18"/>
        </w:rPr>
        <w:t xml:space="preserve">, </w:t>
      </w:r>
      <w:r w:rsidRPr="00056F60">
        <w:rPr>
          <w:i/>
          <w:sz w:val="18"/>
          <w:szCs w:val="18"/>
        </w:rPr>
        <w:t>Fair Work (Transitional Provisions and Consequential Amendments) Act 2009</w:t>
      </w:r>
      <w:r w:rsidRPr="00056F60">
        <w:rPr>
          <w:sz w:val="18"/>
          <w:szCs w:val="18"/>
        </w:rPr>
        <w:t xml:space="preserve"> and ‘a Commonwealth industrial agreement’ are also defined in section 5 as designated building laws.</w:t>
      </w:r>
    </w:p>
  </w:footnote>
  <w:footnote w:id="6">
    <w:p w14:paraId="6B894371" w14:textId="0A4F46B8" w:rsidR="009F2BC6" w:rsidRPr="00056F60" w:rsidRDefault="009F2BC6">
      <w:pPr>
        <w:pStyle w:val="FootnoteText"/>
        <w:rPr>
          <w:sz w:val="18"/>
          <w:szCs w:val="18"/>
        </w:rPr>
      </w:pPr>
      <w:r w:rsidRPr="00056F60">
        <w:rPr>
          <w:rStyle w:val="FootnoteReference"/>
          <w:sz w:val="18"/>
          <w:szCs w:val="18"/>
        </w:rPr>
        <w:footnoteRef/>
      </w:r>
      <w:r w:rsidRPr="00056F60">
        <w:rPr>
          <w:sz w:val="18"/>
          <w:szCs w:val="18"/>
        </w:rPr>
        <w:t xml:space="preserve"> Johns, Leigh 2012, Regulation in the </w:t>
      </w:r>
      <w:r>
        <w:rPr>
          <w:sz w:val="18"/>
          <w:szCs w:val="18"/>
        </w:rPr>
        <w:t>B</w:t>
      </w:r>
      <w:r w:rsidRPr="00056F60">
        <w:rPr>
          <w:sz w:val="18"/>
          <w:szCs w:val="18"/>
        </w:rPr>
        <w:t xml:space="preserve">uilding and </w:t>
      </w:r>
      <w:r>
        <w:rPr>
          <w:sz w:val="18"/>
          <w:szCs w:val="18"/>
        </w:rPr>
        <w:t>Construction I</w:t>
      </w:r>
      <w:r w:rsidRPr="00056F60">
        <w:rPr>
          <w:sz w:val="18"/>
          <w:szCs w:val="18"/>
        </w:rPr>
        <w:t>ndustry</w:t>
      </w:r>
      <w:r>
        <w:rPr>
          <w:sz w:val="18"/>
          <w:szCs w:val="18"/>
        </w:rPr>
        <w:t>:</w:t>
      </w:r>
      <w:r w:rsidRPr="00056F60">
        <w:rPr>
          <w:sz w:val="18"/>
          <w:szCs w:val="18"/>
        </w:rPr>
        <w:t xml:space="preserve"> Then, </w:t>
      </w:r>
      <w:r>
        <w:rPr>
          <w:sz w:val="18"/>
          <w:szCs w:val="18"/>
        </w:rPr>
        <w:t>N</w:t>
      </w:r>
      <w:r w:rsidRPr="00056F60">
        <w:rPr>
          <w:sz w:val="18"/>
          <w:szCs w:val="18"/>
        </w:rPr>
        <w:t xml:space="preserve">ow, and the </w:t>
      </w:r>
      <w:r>
        <w:rPr>
          <w:sz w:val="18"/>
          <w:szCs w:val="18"/>
        </w:rPr>
        <w:t>F</w:t>
      </w:r>
      <w:r w:rsidRPr="00056F60">
        <w:rPr>
          <w:sz w:val="18"/>
          <w:szCs w:val="18"/>
        </w:rPr>
        <w:t>uture, speech, Address to the 2012 AMMA West Coast Conference, Perth, WA, 24 October, viewed 3 October 2018, (</w:t>
      </w:r>
      <w:r w:rsidRPr="00056F60">
        <w:rPr>
          <w:sz w:val="18"/>
          <w:szCs w:val="18"/>
          <w:u w:val="single"/>
        </w:rPr>
        <w:t>web.archive.org/web/20180323042005/https://www.abcc.gov.au/address-2012-amma-west-coast-conference</w:t>
      </w:r>
      <w:r w:rsidRPr="00056F60">
        <w:rPr>
          <w:sz w:val="18"/>
          <w:szCs w:val="18"/>
        </w:rPr>
        <w:t>).</w:t>
      </w:r>
    </w:p>
  </w:footnote>
  <w:footnote w:id="7">
    <w:p w14:paraId="6CB89C7B" w14:textId="52F369A0" w:rsidR="009F2BC6" w:rsidRPr="00B21AD8" w:rsidRDefault="009F2BC6">
      <w:pPr>
        <w:pStyle w:val="FootnoteText"/>
        <w:rPr>
          <w:sz w:val="18"/>
        </w:rPr>
      </w:pPr>
      <w:r w:rsidRPr="00056F60">
        <w:rPr>
          <w:rStyle w:val="FootnoteReference"/>
          <w:sz w:val="18"/>
          <w:szCs w:val="18"/>
        </w:rPr>
        <w:footnoteRef/>
      </w:r>
      <w:r w:rsidRPr="00056F60">
        <w:rPr>
          <w:sz w:val="18"/>
          <w:szCs w:val="18"/>
        </w:rPr>
        <w:t xml:space="preserve"> Fair Work Building and Construction 2014, Annual Report 2013–14, FWBC, Melbourne, p. 48.</w:t>
      </w:r>
    </w:p>
  </w:footnote>
  <w:footnote w:id="8">
    <w:p w14:paraId="0BED4894" w14:textId="40E9DB5C" w:rsidR="009F2BC6" w:rsidRPr="00056F60" w:rsidRDefault="009F2BC6" w:rsidP="00474EEF">
      <w:pPr>
        <w:pStyle w:val="FootnoteText"/>
        <w:rPr>
          <w:sz w:val="18"/>
          <w:szCs w:val="18"/>
        </w:rPr>
      </w:pPr>
      <w:r w:rsidRPr="00056F60">
        <w:rPr>
          <w:rStyle w:val="FootnoteReference"/>
          <w:sz w:val="18"/>
          <w:szCs w:val="18"/>
        </w:rPr>
        <w:footnoteRef/>
      </w:r>
      <w:r w:rsidRPr="00056F60">
        <w:rPr>
          <w:sz w:val="18"/>
          <w:szCs w:val="18"/>
        </w:rPr>
        <w:t xml:space="preserve"> Wilcox, M 2009, Transition to Fair Work Australia for the Building and Construction Industry: Report, Department of Jobs and Small Business, Canberra, p. 94.</w:t>
      </w:r>
    </w:p>
  </w:footnote>
  <w:footnote w:id="9">
    <w:p w14:paraId="3FC28019" w14:textId="2E82E41F" w:rsidR="009F2BC6" w:rsidRPr="00056F60" w:rsidRDefault="009F2BC6" w:rsidP="00AC6569">
      <w:pPr>
        <w:pStyle w:val="CommentText"/>
        <w:spacing w:after="0"/>
        <w:rPr>
          <w:sz w:val="18"/>
        </w:rPr>
      </w:pPr>
      <w:r w:rsidRPr="00056F60">
        <w:rPr>
          <w:rStyle w:val="FootnoteReference"/>
          <w:sz w:val="18"/>
          <w:szCs w:val="18"/>
        </w:rPr>
        <w:footnoteRef/>
      </w:r>
      <w:r w:rsidRPr="00056F60">
        <w:rPr>
          <w:sz w:val="18"/>
          <w:szCs w:val="18"/>
        </w:rPr>
        <w:t xml:space="preserve"> Australia, Senate Education and Employment Committee, Additional Estimates 2016-17, Hansard transcript, 2 March 2017, pp. 53</w:t>
      </w:r>
      <w:r w:rsidRPr="00056F60">
        <w:rPr>
          <w:sz w:val="18"/>
          <w:szCs w:val="18"/>
        </w:rPr>
        <w:noBreakHyphen/>
        <w:t>54.</w:t>
      </w:r>
    </w:p>
  </w:footnote>
  <w:footnote w:id="10">
    <w:p w14:paraId="69CAE9BB" w14:textId="5EA285CB" w:rsidR="009F2BC6" w:rsidRPr="00056F60" w:rsidRDefault="009F2BC6">
      <w:pPr>
        <w:pStyle w:val="FootnoteText"/>
        <w:rPr>
          <w:rFonts w:cstheme="minorHAnsi"/>
          <w:color w:val="000000"/>
          <w:sz w:val="18"/>
          <w:szCs w:val="18"/>
        </w:rPr>
      </w:pPr>
      <w:r w:rsidRPr="00056F60">
        <w:rPr>
          <w:rStyle w:val="FootnoteReference"/>
          <w:sz w:val="18"/>
          <w:szCs w:val="18"/>
        </w:rPr>
        <w:footnoteRef/>
      </w:r>
      <w:r w:rsidRPr="00056F60">
        <w:rPr>
          <w:sz w:val="18"/>
          <w:szCs w:val="18"/>
        </w:rPr>
        <w:t xml:space="preserve"> </w:t>
      </w:r>
      <w:r w:rsidRPr="00056F60">
        <w:rPr>
          <w:rFonts w:cstheme="minorHAnsi"/>
          <w:color w:val="000000"/>
          <w:sz w:val="18"/>
          <w:szCs w:val="18"/>
        </w:rPr>
        <w:t xml:space="preserve">As noted in the </w:t>
      </w:r>
      <w:r w:rsidRPr="00056F60">
        <w:rPr>
          <w:sz w:val="18"/>
          <w:szCs w:val="18"/>
        </w:rPr>
        <w:t>Australian Council of Trade Unions</w:t>
      </w:r>
      <w:r>
        <w:rPr>
          <w:sz w:val="18"/>
          <w:szCs w:val="18"/>
        </w:rPr>
        <w:t xml:space="preserve"> 2018,</w:t>
      </w:r>
      <w:r w:rsidRPr="00056F60">
        <w:rPr>
          <w:sz w:val="18"/>
          <w:szCs w:val="18"/>
        </w:rPr>
        <w:t xml:space="preserve"> </w:t>
      </w:r>
      <w:r>
        <w:rPr>
          <w:sz w:val="18"/>
          <w:szCs w:val="18"/>
        </w:rPr>
        <w:t xml:space="preserve">written </w:t>
      </w:r>
      <w:r>
        <w:rPr>
          <w:rFonts w:cstheme="minorHAnsi"/>
          <w:color w:val="000000"/>
          <w:sz w:val="18"/>
          <w:szCs w:val="18"/>
        </w:rPr>
        <w:t>s</w:t>
      </w:r>
      <w:r w:rsidRPr="00056F60">
        <w:rPr>
          <w:rFonts w:cstheme="minorHAnsi"/>
          <w:color w:val="000000"/>
          <w:sz w:val="18"/>
          <w:szCs w:val="18"/>
        </w:rPr>
        <w:t>ubmission, subsection 21(3)(c) specifically requires the Minister to appoint a person as ABC Commissioner if satisfied that they will ‘uphold the APS values,’ including by performing their functions in an apolitical manner and acting impartially and professionally.</w:t>
      </w:r>
    </w:p>
  </w:footnote>
  <w:footnote w:id="11">
    <w:p w14:paraId="2875963C" w14:textId="3A79645C" w:rsidR="009F2BC6" w:rsidRPr="00056F60" w:rsidRDefault="009F2BC6" w:rsidP="00E93DF4">
      <w:pPr>
        <w:pStyle w:val="FootnoteText"/>
        <w:rPr>
          <w:sz w:val="18"/>
          <w:szCs w:val="18"/>
        </w:rPr>
      </w:pPr>
      <w:r w:rsidRPr="00056F60">
        <w:rPr>
          <w:rStyle w:val="FootnoteReference"/>
          <w:sz w:val="18"/>
          <w:szCs w:val="18"/>
        </w:rPr>
        <w:footnoteRef/>
      </w:r>
      <w:r w:rsidRPr="00056F60">
        <w:rPr>
          <w:sz w:val="18"/>
          <w:szCs w:val="18"/>
        </w:rPr>
        <w:t xml:space="preserve"> Australian Council of Trade Unions 2018, </w:t>
      </w:r>
      <w:r>
        <w:rPr>
          <w:sz w:val="18"/>
          <w:szCs w:val="18"/>
        </w:rPr>
        <w:t>s</w:t>
      </w:r>
      <w:r w:rsidRPr="00056F60">
        <w:rPr>
          <w:sz w:val="18"/>
          <w:szCs w:val="18"/>
        </w:rPr>
        <w:t xml:space="preserve">upplementary </w:t>
      </w:r>
      <w:r>
        <w:rPr>
          <w:sz w:val="18"/>
          <w:szCs w:val="18"/>
        </w:rPr>
        <w:t>written s</w:t>
      </w:r>
      <w:r w:rsidRPr="00056F60">
        <w:rPr>
          <w:sz w:val="18"/>
          <w:szCs w:val="18"/>
        </w:rPr>
        <w:t>ubmission, p. 2.</w:t>
      </w:r>
    </w:p>
  </w:footnote>
  <w:footnote w:id="12">
    <w:p w14:paraId="42113378" w14:textId="6A7A5FC6" w:rsidR="009F2BC6" w:rsidRPr="00056F60" w:rsidRDefault="009F2BC6">
      <w:pPr>
        <w:pStyle w:val="FootnoteText"/>
        <w:rPr>
          <w:sz w:val="18"/>
          <w:szCs w:val="18"/>
        </w:rPr>
      </w:pPr>
      <w:r w:rsidRPr="00056F60">
        <w:rPr>
          <w:rStyle w:val="FootnoteReference"/>
          <w:sz w:val="18"/>
          <w:szCs w:val="18"/>
        </w:rPr>
        <w:footnoteRef/>
      </w:r>
      <w:r w:rsidRPr="00056F60">
        <w:rPr>
          <w:sz w:val="18"/>
          <w:szCs w:val="18"/>
        </w:rPr>
        <w:t xml:space="preserve"> </w:t>
      </w:r>
      <w:r w:rsidRPr="00056F60">
        <w:rPr>
          <w:rFonts w:cstheme="minorHAnsi"/>
          <w:sz w:val="18"/>
          <w:szCs w:val="18"/>
        </w:rPr>
        <w:t>Australian Building and Construction Commissioner v Construction, Forestry, Mining and Energy Union (The Cup of Tea Case) [2018] FCA 402.</w:t>
      </w:r>
    </w:p>
  </w:footnote>
  <w:footnote w:id="13">
    <w:p w14:paraId="28F05ADC" w14:textId="6C065D67" w:rsidR="009F2BC6" w:rsidRPr="00056F60" w:rsidRDefault="009F2BC6">
      <w:pPr>
        <w:pStyle w:val="FootnoteText"/>
        <w:rPr>
          <w:rFonts w:cstheme="minorHAnsi"/>
          <w:sz w:val="18"/>
          <w:szCs w:val="18"/>
        </w:rPr>
      </w:pPr>
      <w:r w:rsidRPr="00056F60">
        <w:rPr>
          <w:rStyle w:val="FootnoteReference"/>
          <w:sz w:val="18"/>
          <w:szCs w:val="18"/>
        </w:rPr>
        <w:footnoteRef/>
      </w:r>
      <w:r w:rsidRPr="00056F60">
        <w:rPr>
          <w:sz w:val="18"/>
          <w:szCs w:val="18"/>
        </w:rPr>
        <w:t xml:space="preserve"> </w:t>
      </w:r>
      <w:r w:rsidRPr="00056F60">
        <w:rPr>
          <w:rFonts w:cstheme="minorHAnsi"/>
          <w:sz w:val="18"/>
          <w:szCs w:val="18"/>
        </w:rPr>
        <w:t>Mr Hadgkiss was found (on his own admission) to have contravened section 503 of the FW Act, which prohibits misrepresentations about provisions of the Act.</w:t>
      </w:r>
      <w:r>
        <w:rPr>
          <w:rFonts w:cstheme="minorHAnsi"/>
          <w:sz w:val="18"/>
          <w:szCs w:val="18"/>
        </w:rPr>
        <w:t xml:space="preserve"> </w:t>
      </w:r>
      <w:r w:rsidRPr="00056F60">
        <w:rPr>
          <w:rFonts w:cstheme="minorHAnsi"/>
          <w:sz w:val="18"/>
          <w:szCs w:val="18"/>
        </w:rPr>
        <w:t>Construction, Forestry, Mining and Energy Union v Director of the Fair Work Building Industry Inspectorate [2017] FCA 1166.</w:t>
      </w:r>
    </w:p>
  </w:footnote>
  <w:footnote w:id="14">
    <w:p w14:paraId="27DA82B7" w14:textId="4532D8FF" w:rsidR="009F2BC6" w:rsidRPr="00056F60" w:rsidRDefault="009F2BC6">
      <w:pPr>
        <w:pStyle w:val="FootnoteText"/>
        <w:rPr>
          <w:rFonts w:cstheme="minorHAnsi"/>
          <w:sz w:val="18"/>
          <w:szCs w:val="18"/>
        </w:rPr>
      </w:pPr>
      <w:r w:rsidRPr="00056F60">
        <w:rPr>
          <w:rStyle w:val="FootnoteReference"/>
          <w:sz w:val="18"/>
          <w:szCs w:val="18"/>
        </w:rPr>
        <w:footnoteRef/>
      </w:r>
      <w:r w:rsidRPr="00056F60">
        <w:rPr>
          <w:sz w:val="18"/>
          <w:szCs w:val="18"/>
        </w:rPr>
        <w:t xml:space="preserve"> </w:t>
      </w:r>
      <w:r w:rsidRPr="00056F60">
        <w:rPr>
          <w:rFonts w:cstheme="minorHAnsi"/>
          <w:sz w:val="18"/>
          <w:szCs w:val="18"/>
        </w:rPr>
        <w:t>Mr McBurney served as Assistant Commissioner of the ABCC from 2006</w:t>
      </w:r>
      <w:r w:rsidRPr="00056F60">
        <w:rPr>
          <w:rFonts w:cstheme="minorHAnsi"/>
          <w:sz w:val="18"/>
          <w:szCs w:val="18"/>
        </w:rPr>
        <w:noBreakHyphen/>
        <w:t xml:space="preserve">2008, while Mr Hadgkiss was not appointed </w:t>
      </w:r>
      <w:r>
        <w:rPr>
          <w:rFonts w:cstheme="minorHAnsi"/>
          <w:sz w:val="18"/>
          <w:szCs w:val="18"/>
        </w:rPr>
        <w:t>FWBC </w:t>
      </w:r>
      <w:r w:rsidRPr="00056F60">
        <w:rPr>
          <w:rFonts w:cstheme="minorHAnsi"/>
          <w:sz w:val="18"/>
          <w:szCs w:val="18"/>
        </w:rPr>
        <w:t>Director</w:t>
      </w:r>
      <w:r>
        <w:rPr>
          <w:rFonts w:cstheme="minorHAnsi"/>
          <w:sz w:val="18"/>
          <w:szCs w:val="18"/>
        </w:rPr>
        <w:t xml:space="preserve"> </w:t>
      </w:r>
      <w:r w:rsidRPr="00056F60">
        <w:rPr>
          <w:rFonts w:cstheme="minorHAnsi"/>
          <w:sz w:val="18"/>
          <w:szCs w:val="18"/>
        </w:rPr>
        <w:t>until 2013.</w:t>
      </w:r>
    </w:p>
  </w:footnote>
  <w:footnote w:id="15">
    <w:p w14:paraId="767C1A61" w14:textId="57FA2DEC" w:rsidR="009F2BC6" w:rsidRPr="00273660" w:rsidRDefault="009F2BC6" w:rsidP="00832E31">
      <w:pPr>
        <w:pStyle w:val="FootnoteText"/>
        <w:rPr>
          <w:rFonts w:cstheme="minorHAnsi"/>
          <w:sz w:val="18"/>
          <w:szCs w:val="18"/>
        </w:rPr>
      </w:pPr>
      <w:r w:rsidRPr="00025DFC">
        <w:rPr>
          <w:rStyle w:val="FootnoteReference"/>
          <w:rFonts w:cstheme="minorHAnsi"/>
          <w:sz w:val="18"/>
          <w:szCs w:val="18"/>
        </w:rPr>
        <w:footnoteRef/>
      </w:r>
      <w:r w:rsidRPr="00025DFC">
        <w:rPr>
          <w:rFonts w:cstheme="minorHAnsi"/>
          <w:sz w:val="18"/>
          <w:szCs w:val="18"/>
        </w:rPr>
        <w:t xml:space="preserve"> Attorney</w:t>
      </w:r>
      <w:r w:rsidRPr="00025DFC">
        <w:rPr>
          <w:rFonts w:ascii="Cambria Math" w:hAnsi="Cambria Math" w:cs="Cambria Math"/>
          <w:sz w:val="18"/>
          <w:szCs w:val="18"/>
        </w:rPr>
        <w:t>‑</w:t>
      </w:r>
      <w:r w:rsidRPr="00025DFC">
        <w:rPr>
          <w:rFonts w:cstheme="minorHAnsi"/>
          <w:sz w:val="18"/>
          <w:szCs w:val="18"/>
        </w:rPr>
        <w:t>General 2017, Legal Services Directions 2017 [F2018C00409], Canberra. In particular s. 4.7 and Appen</w:t>
      </w:r>
      <w:r>
        <w:rPr>
          <w:rFonts w:cstheme="minorHAnsi"/>
          <w:sz w:val="18"/>
          <w:szCs w:val="18"/>
        </w:rPr>
        <w:t>dix B.</w:t>
      </w:r>
    </w:p>
  </w:footnote>
  <w:footnote w:id="16">
    <w:p w14:paraId="63EEC391" w14:textId="7AE5262A" w:rsidR="009F2BC6" w:rsidRPr="00273660" w:rsidRDefault="009F2BC6">
      <w:pPr>
        <w:pStyle w:val="FootnoteText"/>
        <w:rPr>
          <w:rFonts w:cstheme="minorHAnsi"/>
          <w:sz w:val="18"/>
          <w:szCs w:val="18"/>
        </w:rPr>
      </w:pPr>
      <w:r w:rsidRPr="00273660">
        <w:rPr>
          <w:rStyle w:val="FootnoteReference"/>
          <w:sz w:val="18"/>
          <w:szCs w:val="18"/>
        </w:rPr>
        <w:footnoteRef/>
      </w:r>
      <w:r w:rsidRPr="00273660">
        <w:rPr>
          <w:sz w:val="18"/>
          <w:szCs w:val="18"/>
        </w:rPr>
        <w:t xml:space="preserve"> </w:t>
      </w:r>
      <w:r w:rsidRPr="00273660">
        <w:rPr>
          <w:rFonts w:cstheme="minorHAnsi"/>
          <w:sz w:val="18"/>
          <w:szCs w:val="18"/>
        </w:rPr>
        <w:t>The data request was made prior to the end of 2017</w:t>
      </w:r>
      <w:r w:rsidRPr="00273660">
        <w:rPr>
          <w:rFonts w:cstheme="minorHAnsi"/>
          <w:sz w:val="18"/>
          <w:szCs w:val="18"/>
        </w:rPr>
        <w:noBreakHyphen/>
        <w:t>18.</w:t>
      </w:r>
    </w:p>
  </w:footnote>
  <w:footnote w:id="17">
    <w:p w14:paraId="59D18EBB" w14:textId="58F63D65" w:rsidR="009F2BC6" w:rsidRPr="00273660" w:rsidRDefault="009F2BC6">
      <w:pPr>
        <w:pStyle w:val="FootnoteText"/>
        <w:rPr>
          <w:sz w:val="18"/>
          <w:szCs w:val="18"/>
        </w:rPr>
      </w:pPr>
      <w:r w:rsidRPr="00273660">
        <w:rPr>
          <w:rStyle w:val="FootnoteReference"/>
          <w:sz w:val="18"/>
          <w:szCs w:val="18"/>
        </w:rPr>
        <w:footnoteRef/>
      </w:r>
      <w:r w:rsidRPr="00273660">
        <w:rPr>
          <w:sz w:val="18"/>
          <w:szCs w:val="18"/>
        </w:rPr>
        <w:t xml:space="preserve"> </w:t>
      </w:r>
      <w:r w:rsidRPr="00273660">
        <w:rPr>
          <w:rFonts w:cstheme="minorHAnsi"/>
          <w:sz w:val="18"/>
          <w:szCs w:val="18"/>
        </w:rPr>
        <w:t>Appendix 1, Table A.1.</w:t>
      </w:r>
    </w:p>
  </w:footnote>
  <w:footnote w:id="18">
    <w:p w14:paraId="575D7BD7" w14:textId="737AACA4" w:rsidR="009F2BC6" w:rsidRPr="00273660" w:rsidRDefault="009F2BC6">
      <w:pPr>
        <w:pStyle w:val="FootnoteText"/>
        <w:rPr>
          <w:sz w:val="18"/>
          <w:szCs w:val="18"/>
        </w:rPr>
      </w:pPr>
      <w:r w:rsidRPr="00273660">
        <w:rPr>
          <w:rStyle w:val="FootnoteReference"/>
          <w:sz w:val="18"/>
          <w:szCs w:val="18"/>
        </w:rPr>
        <w:footnoteRef/>
      </w:r>
      <w:r w:rsidRPr="00273660">
        <w:rPr>
          <w:sz w:val="18"/>
          <w:szCs w:val="18"/>
        </w:rPr>
        <w:t xml:space="preserve"> </w:t>
      </w:r>
      <w:r w:rsidRPr="00273660">
        <w:rPr>
          <w:rFonts w:cstheme="minorHAnsi"/>
          <w:sz w:val="18"/>
          <w:szCs w:val="18"/>
        </w:rPr>
        <w:t>Appendix 1, Table A.2.</w:t>
      </w:r>
    </w:p>
  </w:footnote>
  <w:footnote w:id="19">
    <w:p w14:paraId="3864D420" w14:textId="0BD08AF4" w:rsidR="009F2BC6" w:rsidRPr="00273660" w:rsidRDefault="009F2BC6">
      <w:pPr>
        <w:pStyle w:val="FootnoteText"/>
        <w:rPr>
          <w:sz w:val="18"/>
          <w:szCs w:val="18"/>
        </w:rPr>
      </w:pPr>
      <w:r w:rsidRPr="00273660">
        <w:rPr>
          <w:rStyle w:val="FootnoteReference"/>
          <w:sz w:val="18"/>
          <w:szCs w:val="18"/>
        </w:rPr>
        <w:footnoteRef/>
      </w:r>
      <w:r w:rsidRPr="00273660">
        <w:rPr>
          <w:sz w:val="18"/>
          <w:szCs w:val="18"/>
        </w:rPr>
        <w:t xml:space="preserve"> </w:t>
      </w:r>
      <w:r w:rsidRPr="00273660">
        <w:rPr>
          <w:rFonts w:cstheme="minorHAnsi"/>
          <w:sz w:val="18"/>
          <w:szCs w:val="18"/>
        </w:rPr>
        <w:t>Appendix 1, Table A.3.</w:t>
      </w:r>
    </w:p>
  </w:footnote>
  <w:footnote w:id="20">
    <w:p w14:paraId="0F2AB47B" w14:textId="3856D4DE" w:rsidR="009F2BC6" w:rsidRPr="00273660" w:rsidRDefault="009F2BC6">
      <w:pPr>
        <w:pStyle w:val="FootnoteText"/>
        <w:rPr>
          <w:sz w:val="18"/>
          <w:szCs w:val="18"/>
        </w:rPr>
      </w:pPr>
      <w:r w:rsidRPr="00273660">
        <w:rPr>
          <w:rStyle w:val="FootnoteReference"/>
          <w:sz w:val="18"/>
          <w:szCs w:val="18"/>
        </w:rPr>
        <w:footnoteRef/>
      </w:r>
      <w:r w:rsidRPr="00273660">
        <w:rPr>
          <w:sz w:val="18"/>
          <w:szCs w:val="18"/>
        </w:rPr>
        <w:t xml:space="preserve"> </w:t>
      </w:r>
      <w:r w:rsidRPr="00273660">
        <w:rPr>
          <w:rFonts w:cstheme="minorHAnsi"/>
          <w:sz w:val="18"/>
          <w:szCs w:val="18"/>
        </w:rPr>
        <w:t>Appendix 1, Table A.4.</w:t>
      </w:r>
    </w:p>
  </w:footnote>
  <w:footnote w:id="21">
    <w:p w14:paraId="745A98E3" w14:textId="2D95D502" w:rsidR="009F2BC6" w:rsidRPr="00273660" w:rsidRDefault="009F2BC6">
      <w:pPr>
        <w:pStyle w:val="FootnoteText"/>
        <w:rPr>
          <w:sz w:val="18"/>
          <w:szCs w:val="18"/>
        </w:rPr>
      </w:pPr>
      <w:r w:rsidRPr="00273660">
        <w:rPr>
          <w:rStyle w:val="FootnoteReference"/>
          <w:sz w:val="18"/>
          <w:szCs w:val="18"/>
        </w:rPr>
        <w:footnoteRef/>
      </w:r>
      <w:r w:rsidRPr="00273660">
        <w:rPr>
          <w:sz w:val="18"/>
          <w:szCs w:val="18"/>
        </w:rPr>
        <w:t xml:space="preserve"> </w:t>
      </w:r>
      <w:r w:rsidRPr="00273660">
        <w:rPr>
          <w:rFonts w:cstheme="minorHAnsi"/>
          <w:sz w:val="18"/>
          <w:szCs w:val="18"/>
        </w:rPr>
        <w:t>Unpublished data supplied by the ABCC.</w:t>
      </w:r>
    </w:p>
  </w:footnote>
  <w:footnote w:id="22">
    <w:p w14:paraId="52A8443C" w14:textId="7C8D7BC0" w:rsidR="009F2BC6" w:rsidRPr="00273660" w:rsidRDefault="009F2BC6">
      <w:pPr>
        <w:pStyle w:val="FootnoteText"/>
        <w:rPr>
          <w:sz w:val="18"/>
          <w:szCs w:val="18"/>
        </w:rPr>
      </w:pPr>
      <w:r w:rsidRPr="00273660">
        <w:rPr>
          <w:rStyle w:val="FootnoteReference"/>
          <w:sz w:val="18"/>
          <w:szCs w:val="18"/>
        </w:rPr>
        <w:footnoteRef/>
      </w:r>
      <w:r w:rsidRPr="00273660">
        <w:rPr>
          <w:sz w:val="18"/>
          <w:szCs w:val="18"/>
        </w:rPr>
        <w:t xml:space="preserve"> </w:t>
      </w:r>
      <w:r w:rsidRPr="00273660">
        <w:rPr>
          <w:rFonts w:cstheme="minorHAnsi"/>
          <w:sz w:val="18"/>
          <w:szCs w:val="18"/>
        </w:rPr>
        <w:t>Appendix 1, Table A.5.</w:t>
      </w:r>
    </w:p>
  </w:footnote>
  <w:footnote w:id="23">
    <w:p w14:paraId="1ECD4A6F" w14:textId="4C9C2DA5" w:rsidR="009F2BC6" w:rsidRPr="00273660" w:rsidRDefault="009F2BC6">
      <w:pPr>
        <w:pStyle w:val="FootnoteText"/>
        <w:rPr>
          <w:sz w:val="18"/>
          <w:szCs w:val="18"/>
        </w:rPr>
      </w:pPr>
      <w:r w:rsidRPr="00273660">
        <w:rPr>
          <w:rStyle w:val="FootnoteReference"/>
          <w:sz w:val="18"/>
          <w:szCs w:val="18"/>
        </w:rPr>
        <w:footnoteRef/>
      </w:r>
      <w:r w:rsidRPr="00273660">
        <w:rPr>
          <w:sz w:val="18"/>
          <w:szCs w:val="18"/>
        </w:rPr>
        <w:t xml:space="preserve"> Two annual reports were published for the 2011-12 financial year. As the former ABCC was replaced by the FWBC during the course of the year, each organisation published a report covering its operations during the year. The figures given in this column sum those provided in the two reports.</w:t>
      </w:r>
    </w:p>
  </w:footnote>
  <w:footnote w:id="24">
    <w:p w14:paraId="5C7E05AD" w14:textId="2EBCACD1" w:rsidR="009F2BC6" w:rsidRPr="00273660" w:rsidRDefault="009F2BC6">
      <w:pPr>
        <w:pStyle w:val="FootnoteText"/>
        <w:rPr>
          <w:sz w:val="18"/>
          <w:szCs w:val="18"/>
        </w:rPr>
      </w:pPr>
      <w:r w:rsidRPr="00273660">
        <w:rPr>
          <w:rStyle w:val="FootnoteReference"/>
          <w:sz w:val="18"/>
          <w:szCs w:val="18"/>
        </w:rPr>
        <w:footnoteRef/>
      </w:r>
      <w:r w:rsidRPr="00273660">
        <w:rPr>
          <w:sz w:val="18"/>
          <w:szCs w:val="18"/>
        </w:rPr>
        <w:t xml:space="preserve"> Between 3 December 2013 and 1 December 2016 arrangements were in place for the Fair Work Ombudsman to investigate and commence civil proceedings in relation to wages and entitlements matters.</w:t>
      </w:r>
    </w:p>
  </w:footnote>
  <w:footnote w:id="25">
    <w:p w14:paraId="0D133519" w14:textId="1666DDCC" w:rsidR="009F2BC6" w:rsidRPr="00273660" w:rsidRDefault="009F2BC6" w:rsidP="00C404BB">
      <w:pPr>
        <w:spacing w:after="0" w:line="276" w:lineRule="auto"/>
        <w:rPr>
          <w:sz w:val="18"/>
          <w:szCs w:val="18"/>
        </w:rPr>
      </w:pPr>
      <w:r w:rsidRPr="00273660">
        <w:rPr>
          <w:rStyle w:val="FootnoteReference"/>
          <w:sz w:val="18"/>
          <w:szCs w:val="18"/>
        </w:rPr>
        <w:footnoteRef/>
      </w:r>
      <w:r w:rsidRPr="00273660">
        <w:rPr>
          <w:sz w:val="18"/>
          <w:szCs w:val="18"/>
        </w:rPr>
        <w:t xml:space="preserve"> That said, it can be noted that these submissions make the case for an industry-specific regulator on the basis of the particular industrial history of the building and construction industry. If the case for an industry-specific regulator is accepted, it would appear difficult to argue that such a regulator should focus only on the activities of certain industry participants, while leaving issues arising from the behaviours of other industry participants to cross-sectoral regulators. The evidence (albeit less than comprehensive) of significant problems in the areas of underpayment of wages and entitlements and misclassification/sham contracting, as well as the ABC Commissioner’s expressed view that these are areas of significant concern requiring sustained action, necessarily support the view that these are appropriate areas for the involvement of an industry-specific regulator.</w:t>
      </w:r>
    </w:p>
  </w:footnote>
  <w:footnote w:id="26">
    <w:p w14:paraId="5C6B9B92" w14:textId="4FC3A554" w:rsidR="009F2BC6" w:rsidRPr="00C1003A" w:rsidRDefault="009F2BC6">
      <w:pPr>
        <w:pStyle w:val="FootnoteText"/>
        <w:rPr>
          <w:sz w:val="18"/>
          <w:szCs w:val="18"/>
        </w:rPr>
      </w:pPr>
      <w:r w:rsidRPr="00C1003A">
        <w:rPr>
          <w:rStyle w:val="FootnoteReference"/>
          <w:sz w:val="18"/>
          <w:szCs w:val="18"/>
        </w:rPr>
        <w:footnoteRef/>
      </w:r>
      <w:r w:rsidRPr="00C1003A">
        <w:rPr>
          <w:sz w:val="18"/>
          <w:szCs w:val="18"/>
        </w:rPr>
        <w:t xml:space="preserve"> That is, the BCII Act and the FWBI Act, the (former) ABCC and FWBC.</w:t>
      </w:r>
    </w:p>
  </w:footnote>
  <w:footnote w:id="27">
    <w:p w14:paraId="273C18DE" w14:textId="07B8DF9E" w:rsidR="009F2BC6" w:rsidRPr="008B0CE7" w:rsidRDefault="009F2BC6">
      <w:pPr>
        <w:pStyle w:val="FootnoteText"/>
        <w:rPr>
          <w:sz w:val="18"/>
        </w:rPr>
      </w:pPr>
      <w:r w:rsidRPr="008B0CE7">
        <w:rPr>
          <w:rStyle w:val="FootnoteReference"/>
          <w:sz w:val="18"/>
          <w:szCs w:val="18"/>
        </w:rPr>
        <w:footnoteRef/>
      </w:r>
      <w:r w:rsidRPr="008B0CE7">
        <w:rPr>
          <w:sz w:val="18"/>
          <w:szCs w:val="18"/>
        </w:rPr>
        <w:t xml:space="preserve"> The ABC Commissioner also indicated to the review that he would shortly be intervening in a court matter relating to right of entry</w:t>
      </w:r>
      <w:r>
        <w:rPr>
          <w:sz w:val="18"/>
          <w:szCs w:val="18"/>
        </w:rPr>
        <w:t>,</w:t>
      </w:r>
      <w:r w:rsidRPr="008B0CE7">
        <w:rPr>
          <w:sz w:val="18"/>
          <w:szCs w:val="18"/>
        </w:rPr>
        <w:t xml:space="preserve"> </w:t>
      </w:r>
      <w:r>
        <w:rPr>
          <w:sz w:val="18"/>
          <w:szCs w:val="18"/>
        </w:rPr>
        <w:t xml:space="preserve">substantively in support </w:t>
      </w:r>
      <w:r w:rsidRPr="008B0CE7">
        <w:rPr>
          <w:sz w:val="18"/>
          <w:szCs w:val="18"/>
        </w:rPr>
        <w:t>of the CFMEU.</w:t>
      </w:r>
    </w:p>
  </w:footnote>
  <w:footnote w:id="28">
    <w:p w14:paraId="4792B48B" w14:textId="0B12EC9D" w:rsidR="009F2BC6" w:rsidRPr="008B0CE7" w:rsidRDefault="009F2BC6">
      <w:pPr>
        <w:pStyle w:val="FootnoteText"/>
        <w:rPr>
          <w:sz w:val="18"/>
          <w:szCs w:val="18"/>
        </w:rPr>
      </w:pPr>
      <w:r w:rsidRPr="008B0CE7">
        <w:rPr>
          <w:rStyle w:val="FootnoteReference"/>
          <w:sz w:val="18"/>
          <w:szCs w:val="18"/>
        </w:rPr>
        <w:footnoteRef/>
      </w:r>
      <w:r w:rsidRPr="008B0CE7">
        <w:rPr>
          <w:sz w:val="18"/>
          <w:szCs w:val="18"/>
        </w:rPr>
        <w:t xml:space="preserve"> Australian Council of Trade Unions 2018, </w:t>
      </w:r>
      <w:r>
        <w:rPr>
          <w:sz w:val="18"/>
          <w:szCs w:val="18"/>
        </w:rPr>
        <w:t>written s</w:t>
      </w:r>
      <w:r w:rsidRPr="008B0CE7">
        <w:rPr>
          <w:sz w:val="18"/>
          <w:szCs w:val="18"/>
        </w:rPr>
        <w:t>ubmission, p. 5.</w:t>
      </w:r>
    </w:p>
  </w:footnote>
  <w:footnote w:id="29">
    <w:p w14:paraId="622525AA" w14:textId="63F6D855" w:rsidR="009F2BC6" w:rsidRPr="008B0CE7" w:rsidRDefault="009F2BC6">
      <w:pPr>
        <w:pStyle w:val="FootnoteText"/>
        <w:rPr>
          <w:rFonts w:cstheme="minorHAnsi"/>
          <w:bCs/>
          <w:color w:val="000000"/>
          <w:sz w:val="18"/>
          <w:szCs w:val="18"/>
        </w:rPr>
      </w:pPr>
      <w:r w:rsidRPr="008B0CE7">
        <w:rPr>
          <w:rStyle w:val="FootnoteReference"/>
          <w:sz w:val="18"/>
          <w:szCs w:val="18"/>
        </w:rPr>
        <w:footnoteRef/>
      </w:r>
      <w:r w:rsidRPr="008B0CE7">
        <w:rPr>
          <w:rFonts w:cstheme="minorHAnsi"/>
          <w:bCs/>
          <w:color w:val="000000"/>
          <w:sz w:val="18"/>
          <w:szCs w:val="18"/>
        </w:rPr>
        <w:t xml:space="preserve"> The BCIIP Act allows this function to be delegated to a Deputy ABC Commissioner or, if no Deputy Commissioner is currently appointed, to a Senior Executive Service (SES) or acting SES employee. There are currently two Deputy ABC Commissioners.</w:t>
      </w:r>
    </w:p>
  </w:footnote>
  <w:footnote w:id="30">
    <w:p w14:paraId="26DC01E8" w14:textId="3AE838E9" w:rsidR="009F2BC6" w:rsidRPr="008B0CE7" w:rsidRDefault="009F2BC6" w:rsidP="00E732BC">
      <w:pPr>
        <w:pStyle w:val="FootnoteText"/>
        <w:rPr>
          <w:sz w:val="18"/>
          <w:szCs w:val="18"/>
        </w:rPr>
      </w:pPr>
      <w:r w:rsidRPr="008B0CE7">
        <w:rPr>
          <w:rStyle w:val="FootnoteReference"/>
          <w:sz w:val="18"/>
          <w:szCs w:val="18"/>
        </w:rPr>
        <w:footnoteRef/>
      </w:r>
      <w:r w:rsidRPr="008B0CE7">
        <w:rPr>
          <w:sz w:val="18"/>
          <w:szCs w:val="18"/>
        </w:rPr>
        <w:t xml:space="preserve"> The exceptions to this otherwise complete immunity relate to failure to comply with an examination notice, a witness knowingly perjuring themselves by giving false testimony or refusing to answer questions or obstructing Commonwealth public officials (s</w:t>
      </w:r>
      <w:r>
        <w:rPr>
          <w:sz w:val="18"/>
          <w:szCs w:val="18"/>
        </w:rPr>
        <w:t>s.</w:t>
      </w:r>
      <w:r w:rsidRPr="008B0CE7">
        <w:rPr>
          <w:sz w:val="18"/>
          <w:szCs w:val="18"/>
        </w:rPr>
        <w:t> 102(2) of the BCIIP Act).</w:t>
      </w:r>
    </w:p>
  </w:footnote>
  <w:footnote w:id="31">
    <w:p w14:paraId="4622DD8C" w14:textId="702828F9" w:rsidR="009F2BC6" w:rsidRPr="005A2EE0" w:rsidRDefault="009F2BC6">
      <w:pPr>
        <w:pStyle w:val="FootnoteText"/>
        <w:rPr>
          <w:rFonts w:cstheme="minorHAnsi"/>
          <w:color w:val="000000"/>
          <w:sz w:val="18"/>
          <w:szCs w:val="18"/>
        </w:rPr>
      </w:pPr>
      <w:r w:rsidRPr="005A2EE0">
        <w:rPr>
          <w:rStyle w:val="FootnoteReference"/>
          <w:sz w:val="18"/>
          <w:szCs w:val="18"/>
        </w:rPr>
        <w:footnoteRef/>
      </w:r>
      <w:r w:rsidRPr="005A2EE0">
        <w:rPr>
          <w:sz w:val="18"/>
          <w:szCs w:val="18"/>
        </w:rPr>
        <w:t xml:space="preserve"> </w:t>
      </w:r>
      <w:r w:rsidRPr="005A2EE0">
        <w:rPr>
          <w:rFonts w:cstheme="minorHAnsi"/>
          <w:color w:val="000000"/>
          <w:sz w:val="18"/>
          <w:szCs w:val="18"/>
        </w:rPr>
        <w:t xml:space="preserve">In respect of the former claim, the </w:t>
      </w:r>
      <w:r w:rsidRPr="00056F60">
        <w:rPr>
          <w:sz w:val="18"/>
          <w:szCs w:val="18"/>
        </w:rPr>
        <w:t>Australian Council of Trade Unions</w:t>
      </w:r>
      <w:r>
        <w:rPr>
          <w:sz w:val="18"/>
          <w:szCs w:val="18"/>
        </w:rPr>
        <w:t xml:space="preserve"> 2018,</w:t>
      </w:r>
      <w:r w:rsidRPr="00056F60">
        <w:rPr>
          <w:sz w:val="18"/>
          <w:szCs w:val="18"/>
        </w:rPr>
        <w:t xml:space="preserve"> </w:t>
      </w:r>
      <w:r>
        <w:rPr>
          <w:sz w:val="18"/>
          <w:szCs w:val="18"/>
        </w:rPr>
        <w:t xml:space="preserve">written submission, </w:t>
      </w:r>
      <w:r w:rsidRPr="005A2EE0">
        <w:rPr>
          <w:rFonts w:cstheme="minorHAnsi"/>
          <w:color w:val="000000"/>
          <w:sz w:val="18"/>
          <w:szCs w:val="18"/>
        </w:rPr>
        <w:t>cites the human rights compatibility statement from the explanatory memorandum for the 2013 version of the BCIIP Bill. In relation to the latter, it cites Australian Building and Construction Commissioner v Construction, Forestry, Mining and Energy Union [2017] FCA 197, [148].</w:t>
      </w:r>
    </w:p>
  </w:footnote>
  <w:footnote w:id="32">
    <w:p w14:paraId="429A2830" w14:textId="7E2F5F9E" w:rsidR="009F2BC6" w:rsidRPr="005A2EE0" w:rsidRDefault="009F2BC6" w:rsidP="00A263C8">
      <w:pPr>
        <w:pStyle w:val="Default"/>
        <w:rPr>
          <w:rFonts w:asciiTheme="minorHAnsi" w:hAnsiTheme="minorHAnsi" w:cstheme="minorHAnsi"/>
          <w:sz w:val="18"/>
          <w:szCs w:val="18"/>
        </w:rPr>
      </w:pPr>
      <w:r w:rsidRPr="005A2EE0">
        <w:rPr>
          <w:rStyle w:val="FootnoteReference"/>
          <w:rFonts w:asciiTheme="minorHAnsi" w:hAnsiTheme="minorHAnsi" w:cstheme="minorHAnsi"/>
          <w:sz w:val="18"/>
          <w:szCs w:val="18"/>
        </w:rPr>
        <w:footnoteRef/>
      </w:r>
      <w:r w:rsidRPr="005A2EE0">
        <w:rPr>
          <w:rFonts w:asciiTheme="minorHAnsi" w:hAnsiTheme="minorHAnsi" w:cstheme="minorHAnsi"/>
          <w:sz w:val="18"/>
          <w:szCs w:val="18"/>
        </w:rPr>
        <w:t xml:space="preserve"> Commonwealth Ombudsman 2017, Annual Report by the Commonwealth Ombudsman under s 13(1) of the </w:t>
      </w:r>
      <w:r w:rsidRPr="005A2EE0">
        <w:rPr>
          <w:rFonts w:asciiTheme="minorHAnsi" w:hAnsiTheme="minorHAnsi" w:cstheme="minorHAnsi"/>
          <w:i/>
          <w:sz w:val="18"/>
          <w:szCs w:val="18"/>
        </w:rPr>
        <w:t>Building and Construction Industry (Consequential and Transitional Provisions) Act 2016</w:t>
      </w:r>
      <w:r w:rsidRPr="005A2EE0">
        <w:rPr>
          <w:rFonts w:asciiTheme="minorHAnsi" w:hAnsiTheme="minorHAnsi" w:cstheme="minorHAnsi"/>
          <w:sz w:val="18"/>
          <w:szCs w:val="18"/>
        </w:rPr>
        <w:t xml:space="preserve"> for the period 1 July 2015 to 30 June 2016, Commonwealth Ombudsman, Canberra, p. 9.</w:t>
      </w:r>
    </w:p>
  </w:footnote>
  <w:footnote w:id="33">
    <w:p w14:paraId="61B4EE55" w14:textId="5973D048" w:rsidR="009F2BC6" w:rsidRPr="00364CEE" w:rsidRDefault="009F2BC6">
      <w:pPr>
        <w:pStyle w:val="FootnoteText"/>
        <w:rPr>
          <w:sz w:val="18"/>
          <w:szCs w:val="18"/>
        </w:rPr>
      </w:pPr>
      <w:r w:rsidRPr="00364CEE">
        <w:rPr>
          <w:rStyle w:val="FootnoteReference"/>
          <w:sz w:val="18"/>
          <w:szCs w:val="18"/>
        </w:rPr>
        <w:footnoteRef/>
      </w:r>
      <w:r w:rsidRPr="00364CEE">
        <w:rPr>
          <w:sz w:val="18"/>
          <w:szCs w:val="18"/>
        </w:rPr>
        <w:t xml:space="preserve"> Note that a report covering the period 1 April – 30 June 2017 was published in March 2018. However, it reported that the compulsory examination powers had not been used during the relevant period.</w:t>
      </w:r>
    </w:p>
  </w:footnote>
  <w:footnote w:id="34">
    <w:p w14:paraId="03E6B3FA" w14:textId="2B6FDAB2" w:rsidR="009F2BC6" w:rsidRPr="007D3A84" w:rsidRDefault="009F2BC6" w:rsidP="00FD0415">
      <w:pPr>
        <w:pStyle w:val="FootnoteText"/>
        <w:rPr>
          <w:sz w:val="18"/>
          <w:szCs w:val="18"/>
        </w:rPr>
      </w:pPr>
      <w:r w:rsidRPr="007D3A84">
        <w:rPr>
          <w:rStyle w:val="FootnoteReference"/>
          <w:sz w:val="18"/>
          <w:szCs w:val="18"/>
        </w:rPr>
        <w:footnoteRef/>
      </w:r>
      <w:r w:rsidRPr="007D3A84">
        <w:rPr>
          <w:sz w:val="18"/>
          <w:szCs w:val="18"/>
        </w:rPr>
        <w:t xml:space="preserve"> </w:t>
      </w:r>
      <w:r w:rsidRPr="007D3A84">
        <w:rPr>
          <w:rFonts w:cstheme="minorHAnsi"/>
          <w:sz w:val="18"/>
          <w:szCs w:val="18"/>
        </w:rPr>
        <w:t xml:space="preserve">Commonwealth Ombudsman (November) 2017, Annual Report by the Commonwealth Ombudsman under s 13(1) of the </w:t>
      </w:r>
      <w:r w:rsidRPr="007D3A84">
        <w:rPr>
          <w:rFonts w:cstheme="minorHAnsi"/>
          <w:i/>
          <w:sz w:val="18"/>
          <w:szCs w:val="18"/>
        </w:rPr>
        <w:t>Building and Construction Industry (Consequential and Transitional Provisions) Act 2016</w:t>
      </w:r>
      <w:r w:rsidRPr="007D3A84">
        <w:rPr>
          <w:rFonts w:cstheme="minorHAnsi"/>
          <w:sz w:val="18"/>
          <w:szCs w:val="18"/>
        </w:rPr>
        <w:t xml:space="preserve"> for the period 1 July 2015 to 30 June 2016, Commonwealth Ombudsman, Canberra</w:t>
      </w:r>
      <w:r w:rsidRPr="007D3A84">
        <w:rPr>
          <w:sz w:val="18"/>
          <w:szCs w:val="18"/>
        </w:rPr>
        <w:t>.</w:t>
      </w:r>
    </w:p>
  </w:footnote>
  <w:footnote w:id="35">
    <w:p w14:paraId="1E7EE39F" w14:textId="7DCD2D00" w:rsidR="009F2BC6" w:rsidRPr="007D3A84" w:rsidRDefault="009F2BC6" w:rsidP="00FB2137">
      <w:pPr>
        <w:pStyle w:val="FootnoteText"/>
        <w:rPr>
          <w:rFonts w:cstheme="minorHAnsi"/>
          <w:sz w:val="18"/>
          <w:szCs w:val="18"/>
        </w:rPr>
      </w:pPr>
      <w:r w:rsidRPr="007D3A84">
        <w:rPr>
          <w:rStyle w:val="FootnoteReference"/>
          <w:sz w:val="18"/>
          <w:szCs w:val="18"/>
        </w:rPr>
        <w:footnoteRef/>
      </w:r>
      <w:r w:rsidRPr="007D3A84">
        <w:rPr>
          <w:rStyle w:val="FootnoteReference"/>
          <w:sz w:val="18"/>
          <w:szCs w:val="18"/>
        </w:rPr>
        <w:t xml:space="preserve"> </w:t>
      </w:r>
      <w:r w:rsidRPr="007D3A84">
        <w:rPr>
          <w:rFonts w:cstheme="minorHAnsi"/>
          <w:sz w:val="18"/>
          <w:szCs w:val="18"/>
        </w:rPr>
        <w:t xml:space="preserve">Commonwealth Ombudsman (March) 2018, Quarterly report by the Commonwealth Ombudsman under s 65(6) of the </w:t>
      </w:r>
      <w:r w:rsidRPr="007D3A84">
        <w:rPr>
          <w:rFonts w:cstheme="minorHAnsi"/>
          <w:i/>
          <w:sz w:val="18"/>
          <w:szCs w:val="18"/>
        </w:rPr>
        <w:t>Building and Construction Industry (Improving Productivity) Act 2016</w:t>
      </w:r>
      <w:r w:rsidRPr="007D3A84">
        <w:rPr>
          <w:rFonts w:cstheme="minorHAnsi"/>
          <w:sz w:val="18"/>
          <w:szCs w:val="18"/>
        </w:rPr>
        <w:t xml:space="preserve"> for the period 1 July 2016 to 31 March 2017, Commonwealth Ombudsman, Canberra.</w:t>
      </w:r>
    </w:p>
  </w:footnote>
  <w:footnote w:id="36">
    <w:p w14:paraId="29AF8432" w14:textId="27867DA3" w:rsidR="009F2BC6" w:rsidRPr="007D3A84" w:rsidRDefault="009F2BC6" w:rsidP="001C713A">
      <w:pPr>
        <w:pStyle w:val="FootnoteText"/>
        <w:rPr>
          <w:rFonts w:cstheme="minorHAnsi"/>
          <w:sz w:val="18"/>
          <w:szCs w:val="18"/>
        </w:rPr>
      </w:pPr>
      <w:r w:rsidRPr="007D3A84">
        <w:rPr>
          <w:rStyle w:val="FootnoteReference"/>
          <w:sz w:val="18"/>
          <w:szCs w:val="18"/>
        </w:rPr>
        <w:footnoteRef/>
      </w:r>
      <w:r w:rsidRPr="007D3A84">
        <w:rPr>
          <w:sz w:val="18"/>
          <w:szCs w:val="18"/>
        </w:rPr>
        <w:t xml:space="preserve"> </w:t>
      </w:r>
      <w:r w:rsidRPr="007D3A84">
        <w:rPr>
          <w:rFonts w:cstheme="minorHAnsi"/>
          <w:sz w:val="18"/>
          <w:szCs w:val="18"/>
        </w:rPr>
        <w:t xml:space="preserve">Commonwealth Ombudsman (July) 2018, Quarterly report by the Commonwealth Ombudsman under s 65(6) of the </w:t>
      </w:r>
      <w:r w:rsidRPr="007D3A84">
        <w:rPr>
          <w:rFonts w:cstheme="minorHAnsi"/>
          <w:i/>
          <w:sz w:val="18"/>
          <w:szCs w:val="18"/>
        </w:rPr>
        <w:t>Building and Construction Industry (Improving Productivity) Act 2016</w:t>
      </w:r>
      <w:r w:rsidRPr="007D3A84">
        <w:rPr>
          <w:rFonts w:cstheme="minorHAnsi"/>
          <w:sz w:val="18"/>
          <w:szCs w:val="18"/>
        </w:rPr>
        <w:t xml:space="preserve"> for the period 1 July to 30 September 2017, Commonwealth Ombudsman, Canberra.</w:t>
      </w:r>
    </w:p>
  </w:footnote>
  <w:footnote w:id="37">
    <w:p w14:paraId="2F049B98" w14:textId="68FC2B75" w:rsidR="009F2BC6" w:rsidRPr="001C713A" w:rsidRDefault="009F2BC6" w:rsidP="0030684D">
      <w:pPr>
        <w:pStyle w:val="FootnoteText"/>
        <w:rPr>
          <w:sz w:val="18"/>
          <w:szCs w:val="18"/>
        </w:rPr>
      </w:pPr>
      <w:r w:rsidRPr="007D3A84">
        <w:rPr>
          <w:rStyle w:val="FootnoteReference"/>
          <w:sz w:val="18"/>
          <w:szCs w:val="18"/>
        </w:rPr>
        <w:footnoteRef/>
      </w:r>
      <w:r w:rsidRPr="007D3A84">
        <w:rPr>
          <w:sz w:val="18"/>
          <w:szCs w:val="18"/>
        </w:rPr>
        <w:t xml:space="preserve"> In relation to criterion 1, it was noted that the FWBC Director had, on three occasions, sought an examination notice that related to more than one person. In relation to criterion 2, five examination notices were issued in the form required by the previous regulations, rather than by the current regulations.</w:t>
      </w:r>
    </w:p>
  </w:footnote>
  <w:footnote w:id="38">
    <w:p w14:paraId="5ED1EE1C" w14:textId="3696CD04" w:rsidR="009F2BC6" w:rsidRPr="007D3A84" w:rsidRDefault="009F2BC6">
      <w:pPr>
        <w:pStyle w:val="FootnoteText"/>
        <w:rPr>
          <w:sz w:val="18"/>
          <w:szCs w:val="18"/>
        </w:rPr>
      </w:pPr>
      <w:r w:rsidRPr="007D3A84">
        <w:rPr>
          <w:rStyle w:val="FootnoteReference"/>
          <w:sz w:val="18"/>
          <w:szCs w:val="18"/>
        </w:rPr>
        <w:footnoteRef/>
      </w:r>
      <w:r w:rsidRPr="007D3A84">
        <w:rPr>
          <w:sz w:val="18"/>
          <w:szCs w:val="18"/>
        </w:rPr>
        <w:t xml:space="preserve"> Subsection 61F(6) of the BCIIP Act incorporates an equivalent prohibition.</w:t>
      </w:r>
    </w:p>
  </w:footnote>
  <w:footnote w:id="39">
    <w:p w14:paraId="4D1B6209" w14:textId="44C033F5" w:rsidR="009F2BC6" w:rsidRPr="007D3A84" w:rsidRDefault="009F2BC6">
      <w:pPr>
        <w:pStyle w:val="FootnoteText"/>
        <w:rPr>
          <w:sz w:val="18"/>
          <w:szCs w:val="18"/>
        </w:rPr>
      </w:pPr>
      <w:r w:rsidRPr="007D3A84">
        <w:rPr>
          <w:rStyle w:val="FootnoteReference"/>
          <w:sz w:val="18"/>
          <w:szCs w:val="18"/>
        </w:rPr>
        <w:footnoteRef/>
      </w:r>
      <w:r w:rsidRPr="007D3A84">
        <w:rPr>
          <w:sz w:val="18"/>
          <w:szCs w:val="18"/>
        </w:rPr>
        <w:t xml:space="preserve"> Commonwealth Ombudsman (November) 2017, op. cit., p. 1.</w:t>
      </w:r>
    </w:p>
  </w:footnote>
  <w:footnote w:id="40">
    <w:p w14:paraId="36A8847C" w14:textId="4714B980" w:rsidR="009F2BC6" w:rsidRPr="008C4A01" w:rsidRDefault="009F2BC6">
      <w:pPr>
        <w:pStyle w:val="FootnoteText"/>
        <w:rPr>
          <w:sz w:val="18"/>
          <w:szCs w:val="18"/>
        </w:rPr>
      </w:pPr>
      <w:r w:rsidRPr="008C4A01">
        <w:rPr>
          <w:rStyle w:val="FootnoteReference"/>
          <w:sz w:val="18"/>
          <w:szCs w:val="18"/>
        </w:rPr>
        <w:footnoteRef/>
      </w:r>
      <w:r w:rsidRPr="008C4A01">
        <w:rPr>
          <w:sz w:val="18"/>
          <w:szCs w:val="18"/>
        </w:rPr>
        <w:t xml:space="preserve"> </w:t>
      </w:r>
      <w:r>
        <w:rPr>
          <w:color w:val="000000"/>
          <w:sz w:val="18"/>
          <w:szCs w:val="18"/>
        </w:rPr>
        <w:t>I</w:t>
      </w:r>
      <w:r w:rsidRPr="008C4A01">
        <w:rPr>
          <w:color w:val="000000"/>
          <w:sz w:val="18"/>
          <w:szCs w:val="18"/>
        </w:rPr>
        <w:t>bid., p. 2.</w:t>
      </w:r>
    </w:p>
  </w:footnote>
  <w:footnote w:id="41">
    <w:p w14:paraId="79EF5A7E" w14:textId="5C862121" w:rsidR="009F2BC6" w:rsidRPr="008C4A01" w:rsidRDefault="009F2BC6">
      <w:pPr>
        <w:pStyle w:val="FootnoteText"/>
        <w:rPr>
          <w:sz w:val="18"/>
          <w:szCs w:val="18"/>
        </w:rPr>
      </w:pPr>
      <w:r w:rsidRPr="008C4A01">
        <w:rPr>
          <w:rStyle w:val="FootnoteReference"/>
          <w:sz w:val="18"/>
          <w:szCs w:val="18"/>
        </w:rPr>
        <w:footnoteRef/>
      </w:r>
      <w:r w:rsidRPr="008C4A01">
        <w:rPr>
          <w:sz w:val="18"/>
          <w:szCs w:val="18"/>
        </w:rPr>
        <w:t xml:space="preserve"> Commonwealth Ombudsman (March) 2018, op. cit., p. 4.</w:t>
      </w:r>
    </w:p>
  </w:footnote>
  <w:footnote w:id="42">
    <w:p w14:paraId="053E9088" w14:textId="36FC3143" w:rsidR="009F2BC6" w:rsidRPr="008C4A01" w:rsidRDefault="009F2BC6">
      <w:pPr>
        <w:pStyle w:val="FootnoteText"/>
        <w:rPr>
          <w:sz w:val="18"/>
          <w:szCs w:val="18"/>
        </w:rPr>
      </w:pPr>
      <w:r w:rsidRPr="008C4A01">
        <w:rPr>
          <w:rStyle w:val="FootnoteReference"/>
          <w:sz w:val="18"/>
          <w:szCs w:val="18"/>
        </w:rPr>
        <w:footnoteRef/>
      </w:r>
      <w:r w:rsidRPr="008C4A01">
        <w:rPr>
          <w:sz w:val="18"/>
          <w:szCs w:val="18"/>
        </w:rPr>
        <w:t xml:space="preserve"> Commonwealth Ombudsman (July) 2018, op. cit., p. 1.</w:t>
      </w:r>
    </w:p>
  </w:footnote>
  <w:footnote w:id="43">
    <w:p w14:paraId="6E6F7E9E" w14:textId="24C43D62" w:rsidR="009F2BC6" w:rsidRPr="00871C29" w:rsidRDefault="009F2BC6" w:rsidP="00C4520D">
      <w:pPr>
        <w:pStyle w:val="FootnoteText"/>
        <w:rPr>
          <w:sz w:val="18"/>
          <w:szCs w:val="18"/>
        </w:rPr>
      </w:pPr>
      <w:r w:rsidRPr="00871C29">
        <w:rPr>
          <w:rStyle w:val="FootnoteReference"/>
          <w:sz w:val="18"/>
          <w:szCs w:val="18"/>
        </w:rPr>
        <w:footnoteRef/>
      </w:r>
      <w:r w:rsidRPr="00871C29">
        <w:rPr>
          <w:sz w:val="18"/>
          <w:szCs w:val="18"/>
        </w:rPr>
        <w:t xml:space="preserve"> Commonwealth Ombudsman 2018, </w:t>
      </w:r>
      <w:r>
        <w:rPr>
          <w:sz w:val="18"/>
          <w:szCs w:val="18"/>
        </w:rPr>
        <w:t>written s</w:t>
      </w:r>
      <w:r w:rsidRPr="00871C29">
        <w:rPr>
          <w:sz w:val="18"/>
          <w:szCs w:val="18"/>
        </w:rPr>
        <w:t>ubmission, p. 2.</w:t>
      </w:r>
    </w:p>
  </w:footnote>
  <w:footnote w:id="44">
    <w:p w14:paraId="2529ED0D" w14:textId="1FDF52E3" w:rsidR="009F2BC6" w:rsidRPr="00871C29" w:rsidRDefault="009F2BC6">
      <w:pPr>
        <w:pStyle w:val="FootnoteText"/>
        <w:rPr>
          <w:sz w:val="18"/>
          <w:szCs w:val="18"/>
        </w:rPr>
      </w:pPr>
      <w:r w:rsidRPr="00871C29">
        <w:rPr>
          <w:rStyle w:val="FootnoteReference"/>
          <w:sz w:val="18"/>
          <w:szCs w:val="18"/>
        </w:rPr>
        <w:footnoteRef/>
      </w:r>
      <w:r w:rsidRPr="00871C29">
        <w:rPr>
          <w:sz w:val="18"/>
          <w:szCs w:val="18"/>
        </w:rPr>
        <w:t xml:space="preserve"> </w:t>
      </w:r>
      <w:r>
        <w:rPr>
          <w:sz w:val="18"/>
          <w:szCs w:val="18"/>
        </w:rPr>
        <w:t xml:space="preserve">ibid., </w:t>
      </w:r>
      <w:r w:rsidRPr="00871C29">
        <w:rPr>
          <w:sz w:val="18"/>
          <w:szCs w:val="18"/>
        </w:rPr>
        <w:t>p. 1.</w:t>
      </w:r>
    </w:p>
  </w:footnote>
  <w:footnote w:id="45">
    <w:p w14:paraId="21B2A35F" w14:textId="1CAB1544" w:rsidR="009F2BC6" w:rsidRPr="008C6EC3" w:rsidRDefault="009F2BC6" w:rsidP="008C6EC3">
      <w:pPr>
        <w:spacing w:after="0"/>
        <w:rPr>
          <w:sz w:val="18"/>
          <w:szCs w:val="18"/>
        </w:rPr>
      </w:pPr>
      <w:r w:rsidRPr="008C6EC3">
        <w:rPr>
          <w:rStyle w:val="FootnoteReference"/>
          <w:sz w:val="18"/>
          <w:szCs w:val="18"/>
        </w:rPr>
        <w:footnoteRef/>
      </w:r>
      <w:r w:rsidRPr="008C6EC3">
        <w:rPr>
          <w:sz w:val="18"/>
          <w:szCs w:val="18"/>
        </w:rPr>
        <w:t xml:space="preserve"> Commonwealth Ombudsman (November) 2017, op. cit., pp. 5</w:t>
      </w:r>
      <w:r w:rsidRPr="008C6EC3">
        <w:rPr>
          <w:sz w:val="18"/>
          <w:szCs w:val="18"/>
        </w:rPr>
        <w:noBreakHyphen/>
        <w:t>6.</w:t>
      </w:r>
    </w:p>
  </w:footnote>
  <w:footnote w:id="46">
    <w:p w14:paraId="46597480" w14:textId="7C14BDCF" w:rsidR="009F2BC6" w:rsidRPr="00FC61D6" w:rsidRDefault="009F2BC6">
      <w:pPr>
        <w:pStyle w:val="FootnoteText"/>
        <w:rPr>
          <w:sz w:val="18"/>
        </w:rPr>
      </w:pPr>
      <w:r w:rsidRPr="00FC61D6">
        <w:rPr>
          <w:rStyle w:val="FootnoteReference"/>
          <w:sz w:val="18"/>
        </w:rPr>
        <w:footnoteRef/>
      </w:r>
      <w:r w:rsidRPr="00FC61D6">
        <w:rPr>
          <w:sz w:val="18"/>
        </w:rPr>
        <w:t xml:space="preserve"> Correspondence from </w:t>
      </w:r>
      <w:r>
        <w:rPr>
          <w:sz w:val="18"/>
        </w:rPr>
        <w:t>ABC </w:t>
      </w:r>
      <w:r w:rsidRPr="00FC61D6">
        <w:rPr>
          <w:sz w:val="18"/>
        </w:rPr>
        <w:t>Commissioner to Rex Deighton-Smith, 23</w:t>
      </w:r>
      <w:r>
        <w:rPr>
          <w:sz w:val="18"/>
        </w:rPr>
        <w:t> </w:t>
      </w:r>
      <w:r w:rsidRPr="00FC61D6">
        <w:rPr>
          <w:sz w:val="18"/>
        </w:rPr>
        <w:t>April</w:t>
      </w:r>
      <w:r>
        <w:rPr>
          <w:sz w:val="18"/>
        </w:rPr>
        <w:t> </w:t>
      </w:r>
      <w:r w:rsidRPr="00FC61D6">
        <w:rPr>
          <w:sz w:val="18"/>
        </w:rPr>
        <w:t>2018.</w:t>
      </w:r>
    </w:p>
  </w:footnote>
  <w:footnote w:id="47">
    <w:p w14:paraId="70D72B23" w14:textId="42F010E0" w:rsidR="009F2BC6" w:rsidRPr="008C6EC3" w:rsidRDefault="009F2BC6">
      <w:pPr>
        <w:pStyle w:val="FootnoteText"/>
        <w:rPr>
          <w:rFonts w:cstheme="minorHAnsi"/>
          <w:bCs/>
          <w:color w:val="000000"/>
          <w:sz w:val="18"/>
          <w:szCs w:val="18"/>
        </w:rPr>
      </w:pPr>
      <w:r w:rsidRPr="008C6EC3">
        <w:rPr>
          <w:rStyle w:val="FootnoteReference"/>
          <w:sz w:val="18"/>
          <w:szCs w:val="18"/>
        </w:rPr>
        <w:footnoteRef/>
      </w:r>
      <w:r w:rsidRPr="008C6EC3">
        <w:rPr>
          <w:sz w:val="18"/>
          <w:szCs w:val="18"/>
        </w:rPr>
        <w:t xml:space="preserve"> </w:t>
      </w:r>
      <w:r w:rsidRPr="008C6EC3">
        <w:rPr>
          <w:rFonts w:cstheme="minorHAnsi"/>
          <w:bCs/>
          <w:color w:val="000000"/>
          <w:sz w:val="18"/>
          <w:szCs w:val="18"/>
        </w:rPr>
        <w:t>Wilcox, M 2009, Transition to Fair Work Australia for the Building and Construction Industry: Report, Department of Jobs and Small Business, Canberra, p. 60.</w:t>
      </w:r>
    </w:p>
  </w:footnote>
  <w:footnote w:id="48">
    <w:p w14:paraId="099ED95A" w14:textId="5C6141BD" w:rsidR="009F2BC6" w:rsidRPr="00FA2461" w:rsidRDefault="009F2BC6">
      <w:pPr>
        <w:pStyle w:val="FootnoteText"/>
        <w:rPr>
          <w:sz w:val="18"/>
          <w:szCs w:val="18"/>
        </w:rPr>
      </w:pPr>
      <w:r w:rsidRPr="00FA2461">
        <w:rPr>
          <w:rStyle w:val="FootnoteReference"/>
          <w:sz w:val="18"/>
          <w:szCs w:val="18"/>
        </w:rPr>
        <w:footnoteRef/>
      </w:r>
      <w:r w:rsidRPr="00FA2461">
        <w:rPr>
          <w:sz w:val="18"/>
          <w:szCs w:val="18"/>
        </w:rPr>
        <w:t xml:space="preserve"> </w:t>
      </w:r>
      <w:r w:rsidRPr="00FA2461">
        <w:rPr>
          <w:rFonts w:cstheme="minorHAnsi"/>
          <w:sz w:val="18"/>
          <w:szCs w:val="18"/>
        </w:rPr>
        <w:t>Administrative Review Council 2008, Coercive Information-Gathering Powers of Government Agencies, Report </w:t>
      </w:r>
      <w:r>
        <w:rPr>
          <w:rFonts w:cstheme="minorHAnsi"/>
          <w:sz w:val="18"/>
          <w:szCs w:val="18"/>
        </w:rPr>
        <w:t>N</w:t>
      </w:r>
      <w:r w:rsidRPr="00FA2461">
        <w:rPr>
          <w:rFonts w:cstheme="minorHAnsi"/>
          <w:sz w:val="18"/>
          <w:szCs w:val="18"/>
        </w:rPr>
        <w:t>o. 48, ARC, Canberra, p. xvi</w:t>
      </w:r>
      <w:r w:rsidRPr="00FA2461">
        <w:rPr>
          <w:sz w:val="18"/>
          <w:szCs w:val="18"/>
        </w:rPr>
        <w:t>.</w:t>
      </w:r>
    </w:p>
  </w:footnote>
  <w:footnote w:id="49">
    <w:p w14:paraId="07A5A6E1" w14:textId="42203F1F" w:rsidR="009F2BC6" w:rsidRPr="00E56667" w:rsidRDefault="009F2BC6" w:rsidP="00E56667">
      <w:pPr>
        <w:pStyle w:val="FootnoteText"/>
        <w:rPr>
          <w:rFonts w:cstheme="minorHAnsi"/>
          <w:sz w:val="18"/>
          <w:szCs w:val="18"/>
        </w:rPr>
      </w:pPr>
      <w:r w:rsidRPr="00E56667">
        <w:rPr>
          <w:rStyle w:val="FootnoteReference"/>
          <w:rFonts w:cstheme="minorHAnsi"/>
          <w:sz w:val="18"/>
          <w:szCs w:val="18"/>
        </w:rPr>
        <w:footnoteRef/>
      </w:r>
      <w:r w:rsidRPr="00E56667">
        <w:rPr>
          <w:rFonts w:cstheme="minorHAnsi"/>
          <w:sz w:val="18"/>
          <w:szCs w:val="18"/>
        </w:rPr>
        <w:t xml:space="preserve"> </w:t>
      </w:r>
      <w:r w:rsidRPr="00E56667">
        <w:rPr>
          <w:rFonts w:cstheme="minorHAnsi"/>
          <w:bCs/>
          <w:color w:val="000000"/>
          <w:sz w:val="18"/>
          <w:szCs w:val="18"/>
        </w:rPr>
        <w:t>Productivity Commission 2014, Public Infrastructure</w:t>
      </w:r>
      <w:r>
        <w:rPr>
          <w:rFonts w:cstheme="minorHAnsi"/>
          <w:bCs/>
          <w:color w:val="000000"/>
          <w:sz w:val="18"/>
          <w:szCs w:val="18"/>
        </w:rPr>
        <w:t>:</w:t>
      </w:r>
      <w:r w:rsidRPr="00E56667">
        <w:rPr>
          <w:rFonts w:cstheme="minorHAnsi"/>
          <w:bCs/>
          <w:color w:val="000000"/>
          <w:sz w:val="18"/>
          <w:szCs w:val="18"/>
        </w:rPr>
        <w:t xml:space="preserve"> Inquiry Report No.</w:t>
      </w:r>
      <w:r>
        <w:rPr>
          <w:rFonts w:cstheme="minorHAnsi"/>
          <w:bCs/>
          <w:color w:val="000000"/>
          <w:sz w:val="18"/>
          <w:szCs w:val="18"/>
        </w:rPr>
        <w:t> </w:t>
      </w:r>
      <w:r w:rsidRPr="00E56667">
        <w:rPr>
          <w:rFonts w:cstheme="minorHAnsi"/>
          <w:bCs/>
          <w:color w:val="000000"/>
          <w:sz w:val="18"/>
          <w:szCs w:val="18"/>
        </w:rPr>
        <w:t>71, Productivity Commission, Canberra, p. 547</w:t>
      </w:r>
      <w:r w:rsidRPr="00E56667">
        <w:rPr>
          <w:rFonts w:cstheme="minorHAnsi"/>
          <w:bCs/>
          <w:color w:val="000000"/>
          <w:sz w:val="18"/>
          <w:szCs w:val="18"/>
        </w:rPr>
        <w:noBreakHyphen/>
        <w:t>549.</w:t>
      </w:r>
    </w:p>
  </w:footnote>
  <w:footnote w:id="50">
    <w:p w14:paraId="0FFACDCD" w14:textId="605CBFF4" w:rsidR="009F2BC6" w:rsidRPr="00504A43" w:rsidRDefault="009F2BC6" w:rsidP="00E70EE7">
      <w:pPr>
        <w:pStyle w:val="FootnoteText"/>
        <w:rPr>
          <w:sz w:val="18"/>
          <w:szCs w:val="18"/>
        </w:rPr>
      </w:pPr>
      <w:r w:rsidRPr="00504A43">
        <w:rPr>
          <w:rStyle w:val="FootnoteReference"/>
          <w:sz w:val="18"/>
          <w:szCs w:val="18"/>
        </w:rPr>
        <w:footnoteRef/>
      </w:r>
      <w:r w:rsidRPr="00504A43">
        <w:rPr>
          <w:sz w:val="18"/>
          <w:szCs w:val="18"/>
        </w:rPr>
        <w:t xml:space="preserve"> Royal Commission into Trade Union Governance and Corruption 2015, Final Report, Canberra. For example, p. 102 ‘[t]he Report also finds that the maximum penalties that may be imposed on registered organisations such as the CFMEU, and their officers, for breach of an order of the Fair Work Commission are grossly deficient. They do not deter behaviour of the kind revealed in this case study. Penalties should be substantially increased.’</w:t>
      </w:r>
    </w:p>
  </w:footnote>
  <w:footnote w:id="51">
    <w:p w14:paraId="23B5E09B" w14:textId="2B04A444" w:rsidR="009F2BC6" w:rsidRPr="00504A43" w:rsidRDefault="009F2BC6">
      <w:pPr>
        <w:pStyle w:val="FootnoteText"/>
        <w:rPr>
          <w:sz w:val="18"/>
          <w:szCs w:val="18"/>
        </w:rPr>
      </w:pPr>
      <w:r w:rsidRPr="00504A43">
        <w:rPr>
          <w:rStyle w:val="FootnoteReference"/>
          <w:sz w:val="18"/>
          <w:szCs w:val="18"/>
        </w:rPr>
        <w:footnoteRef/>
      </w:r>
      <w:r w:rsidRPr="00504A43">
        <w:rPr>
          <w:sz w:val="18"/>
          <w:szCs w:val="18"/>
        </w:rPr>
        <w:t xml:space="preserve"> </w:t>
      </w:r>
      <w:r w:rsidRPr="00504A43">
        <w:rPr>
          <w:rFonts w:cstheme="minorHAnsi"/>
          <w:color w:val="000000"/>
          <w:sz w:val="18"/>
          <w:szCs w:val="18"/>
        </w:rPr>
        <w:t xml:space="preserve">Australian Chamber of Commerce and Industry 2018, </w:t>
      </w:r>
      <w:r>
        <w:rPr>
          <w:rFonts w:cstheme="minorHAnsi"/>
          <w:color w:val="000000"/>
          <w:sz w:val="18"/>
          <w:szCs w:val="18"/>
        </w:rPr>
        <w:t>written s</w:t>
      </w:r>
      <w:r w:rsidRPr="00504A43">
        <w:rPr>
          <w:rFonts w:cstheme="minorHAnsi"/>
          <w:color w:val="000000"/>
          <w:sz w:val="18"/>
          <w:szCs w:val="18"/>
        </w:rPr>
        <w:t>ubmission, p. 9.</w:t>
      </w:r>
    </w:p>
  </w:footnote>
  <w:footnote w:id="52">
    <w:p w14:paraId="13765774" w14:textId="1749394A" w:rsidR="009F2BC6" w:rsidRPr="00504A43" w:rsidRDefault="009F2BC6" w:rsidP="00C10E6C">
      <w:pPr>
        <w:pStyle w:val="FootnoteText"/>
        <w:rPr>
          <w:sz w:val="18"/>
          <w:szCs w:val="18"/>
        </w:rPr>
      </w:pPr>
      <w:r w:rsidRPr="00504A43">
        <w:rPr>
          <w:rStyle w:val="FootnoteReference"/>
          <w:sz w:val="18"/>
          <w:szCs w:val="18"/>
        </w:rPr>
        <w:footnoteRef/>
      </w:r>
      <w:r w:rsidRPr="00504A43">
        <w:rPr>
          <w:sz w:val="18"/>
          <w:szCs w:val="18"/>
        </w:rPr>
        <w:t xml:space="preserve"> Housing Industry Association 2018,</w:t>
      </w:r>
      <w:r>
        <w:rPr>
          <w:sz w:val="18"/>
          <w:szCs w:val="18"/>
        </w:rPr>
        <w:t xml:space="preserve"> written</w:t>
      </w:r>
      <w:r w:rsidRPr="00504A43">
        <w:rPr>
          <w:sz w:val="18"/>
          <w:szCs w:val="18"/>
        </w:rPr>
        <w:t xml:space="preserve"> </w:t>
      </w:r>
      <w:r>
        <w:rPr>
          <w:sz w:val="18"/>
          <w:szCs w:val="18"/>
        </w:rPr>
        <w:t>s</w:t>
      </w:r>
      <w:r w:rsidRPr="00504A43">
        <w:rPr>
          <w:sz w:val="18"/>
          <w:szCs w:val="18"/>
        </w:rPr>
        <w:t>ubmission, p. 2.</w:t>
      </w:r>
    </w:p>
  </w:footnote>
  <w:footnote w:id="53">
    <w:p w14:paraId="55F363E8" w14:textId="406A006E" w:rsidR="009F2BC6" w:rsidRDefault="009F2BC6">
      <w:pPr>
        <w:pStyle w:val="FootnoteText"/>
      </w:pPr>
      <w:r w:rsidRPr="00056F60">
        <w:rPr>
          <w:rStyle w:val="FootnoteReference"/>
          <w:sz w:val="18"/>
          <w:szCs w:val="18"/>
        </w:rPr>
        <w:footnoteRef/>
      </w:r>
      <w:r w:rsidRPr="00056F60">
        <w:rPr>
          <w:sz w:val="18"/>
          <w:szCs w:val="18"/>
        </w:rPr>
        <w:t xml:space="preserve"> </w:t>
      </w:r>
      <w:r w:rsidRPr="00056F60">
        <w:rPr>
          <w:rFonts w:cstheme="minorHAnsi"/>
          <w:color w:val="000000"/>
          <w:sz w:val="18"/>
          <w:szCs w:val="18"/>
        </w:rPr>
        <w:t>In March 2018, the CFMEU merged with the Maritime Union of Australia and the Textile, Clothing and Footwear Union of Australia to form the Construction, Forestry, Maritime, Mining and Energy Union (CFMMEU).</w:t>
      </w:r>
    </w:p>
  </w:footnote>
  <w:footnote w:id="54">
    <w:p w14:paraId="3E05B902" w14:textId="50E6F3C4" w:rsidR="009F2BC6" w:rsidRPr="0007629E" w:rsidRDefault="009F2BC6">
      <w:pPr>
        <w:pStyle w:val="FootnoteText"/>
        <w:rPr>
          <w:sz w:val="18"/>
          <w:szCs w:val="18"/>
        </w:rPr>
      </w:pPr>
      <w:r w:rsidRPr="0007629E">
        <w:rPr>
          <w:rStyle w:val="FootnoteReference"/>
          <w:sz w:val="18"/>
          <w:szCs w:val="18"/>
        </w:rPr>
        <w:footnoteRef/>
      </w:r>
      <w:r w:rsidRPr="0007629E">
        <w:rPr>
          <w:sz w:val="18"/>
          <w:szCs w:val="18"/>
        </w:rPr>
        <w:t xml:space="preserve"> As at 27 April 2018, when the review consulted with the ABC Commissioner. While proceedings have subsequently been commenced pursuant to the BCIIP Act, they have yet to be finalised.</w:t>
      </w:r>
    </w:p>
  </w:footnote>
  <w:footnote w:id="55">
    <w:p w14:paraId="566132AF" w14:textId="3836A350" w:rsidR="009F2BC6" w:rsidRPr="0007629E" w:rsidRDefault="009F2BC6" w:rsidP="00CA1784">
      <w:pPr>
        <w:pStyle w:val="FootnoteText"/>
        <w:rPr>
          <w:sz w:val="18"/>
          <w:szCs w:val="18"/>
        </w:rPr>
      </w:pPr>
      <w:r w:rsidRPr="0007629E">
        <w:rPr>
          <w:rStyle w:val="FootnoteReference"/>
          <w:sz w:val="18"/>
          <w:szCs w:val="18"/>
        </w:rPr>
        <w:footnoteRef/>
      </w:r>
      <w:r w:rsidRPr="0007629E">
        <w:rPr>
          <w:sz w:val="18"/>
          <w:szCs w:val="18"/>
        </w:rPr>
        <w:t xml:space="preserve"> </w:t>
      </w:r>
      <w:r w:rsidRPr="0007629E">
        <w:rPr>
          <w:rFonts w:cstheme="minorHAnsi"/>
          <w:color w:val="000000"/>
          <w:sz w:val="18"/>
          <w:szCs w:val="18"/>
        </w:rPr>
        <w:t xml:space="preserve">Australian </w:t>
      </w:r>
      <w:r>
        <w:rPr>
          <w:sz w:val="18"/>
          <w:szCs w:val="18"/>
        </w:rPr>
        <w:t>Industry Group 2018, s</w:t>
      </w:r>
      <w:r w:rsidRPr="0007629E">
        <w:rPr>
          <w:sz w:val="18"/>
          <w:szCs w:val="18"/>
        </w:rPr>
        <w:t>upplementary</w:t>
      </w:r>
      <w:r>
        <w:rPr>
          <w:sz w:val="18"/>
          <w:szCs w:val="18"/>
        </w:rPr>
        <w:t xml:space="preserve"> written</w:t>
      </w:r>
      <w:r w:rsidRPr="0007629E">
        <w:rPr>
          <w:sz w:val="18"/>
          <w:szCs w:val="18"/>
        </w:rPr>
        <w:t xml:space="preserve"> </w:t>
      </w:r>
      <w:r>
        <w:rPr>
          <w:sz w:val="18"/>
          <w:szCs w:val="18"/>
        </w:rPr>
        <w:t>s</w:t>
      </w:r>
      <w:r w:rsidRPr="0007629E">
        <w:rPr>
          <w:sz w:val="18"/>
          <w:szCs w:val="18"/>
        </w:rPr>
        <w:t>ubmission, p. 7.</w:t>
      </w:r>
    </w:p>
  </w:footnote>
  <w:footnote w:id="56">
    <w:p w14:paraId="69E23578" w14:textId="1537110A" w:rsidR="009F2BC6" w:rsidRPr="0007629E" w:rsidRDefault="009F2BC6" w:rsidP="00CA1784">
      <w:pPr>
        <w:pStyle w:val="FootnoteText"/>
        <w:rPr>
          <w:rFonts w:cstheme="minorHAnsi"/>
          <w:color w:val="000000"/>
          <w:sz w:val="18"/>
          <w:szCs w:val="18"/>
        </w:rPr>
      </w:pPr>
      <w:r w:rsidRPr="0007629E">
        <w:rPr>
          <w:rStyle w:val="FootnoteReference"/>
          <w:sz w:val="18"/>
          <w:szCs w:val="18"/>
        </w:rPr>
        <w:footnoteRef/>
      </w:r>
      <w:r w:rsidRPr="0007629E">
        <w:rPr>
          <w:sz w:val="18"/>
          <w:szCs w:val="18"/>
        </w:rPr>
        <w:t xml:space="preserve"> </w:t>
      </w:r>
      <w:r w:rsidRPr="0007629E">
        <w:rPr>
          <w:rFonts w:cstheme="minorHAnsi"/>
          <w:color w:val="000000"/>
          <w:sz w:val="18"/>
          <w:szCs w:val="18"/>
        </w:rPr>
        <w:t xml:space="preserve">Master Builders Australia 2018, </w:t>
      </w:r>
      <w:r>
        <w:rPr>
          <w:rFonts w:cstheme="minorHAnsi"/>
          <w:color w:val="000000"/>
          <w:sz w:val="18"/>
          <w:szCs w:val="18"/>
        </w:rPr>
        <w:t>written s</w:t>
      </w:r>
      <w:r w:rsidRPr="0007629E">
        <w:rPr>
          <w:rFonts w:cstheme="minorHAnsi"/>
          <w:color w:val="000000"/>
          <w:sz w:val="18"/>
          <w:szCs w:val="18"/>
        </w:rPr>
        <w:t>ubmission, p. 30.</w:t>
      </w:r>
    </w:p>
  </w:footnote>
  <w:footnote w:id="57">
    <w:p w14:paraId="262A2AE4" w14:textId="3D1AE667" w:rsidR="009F2BC6" w:rsidRPr="0007629E" w:rsidRDefault="009F2BC6" w:rsidP="00CA1784">
      <w:pPr>
        <w:pStyle w:val="FootnoteText"/>
        <w:rPr>
          <w:sz w:val="18"/>
          <w:szCs w:val="18"/>
        </w:rPr>
      </w:pPr>
      <w:r w:rsidRPr="0007629E">
        <w:rPr>
          <w:rStyle w:val="FootnoteReference"/>
          <w:sz w:val="18"/>
          <w:szCs w:val="18"/>
        </w:rPr>
        <w:footnoteRef/>
      </w:r>
      <w:r w:rsidRPr="0007629E">
        <w:rPr>
          <w:sz w:val="18"/>
          <w:szCs w:val="18"/>
        </w:rPr>
        <w:t xml:space="preserve"> </w:t>
      </w:r>
      <w:r w:rsidRPr="0007629E">
        <w:rPr>
          <w:rFonts w:cstheme="minorHAnsi"/>
          <w:color w:val="000000"/>
          <w:sz w:val="18"/>
          <w:szCs w:val="18"/>
        </w:rPr>
        <w:t xml:space="preserve">Australian </w:t>
      </w:r>
      <w:r w:rsidRPr="0007629E">
        <w:rPr>
          <w:sz w:val="18"/>
          <w:szCs w:val="18"/>
        </w:rPr>
        <w:t>Industry Group 2018, op. cit., p. 4.</w:t>
      </w:r>
    </w:p>
  </w:footnote>
  <w:footnote w:id="58">
    <w:p w14:paraId="3ABC2EB1" w14:textId="079C2094" w:rsidR="009F2BC6" w:rsidRPr="0007629E" w:rsidRDefault="009F2BC6" w:rsidP="00CA1784">
      <w:pPr>
        <w:pStyle w:val="FootnoteText"/>
        <w:rPr>
          <w:rFonts w:cstheme="minorHAnsi"/>
          <w:color w:val="000000"/>
          <w:sz w:val="18"/>
          <w:szCs w:val="18"/>
        </w:rPr>
      </w:pPr>
      <w:r w:rsidRPr="0007629E">
        <w:rPr>
          <w:rStyle w:val="FootnoteReference"/>
          <w:sz w:val="18"/>
          <w:szCs w:val="18"/>
        </w:rPr>
        <w:footnoteRef/>
      </w:r>
      <w:r w:rsidRPr="0007629E">
        <w:rPr>
          <w:sz w:val="18"/>
          <w:szCs w:val="18"/>
        </w:rPr>
        <w:t xml:space="preserve"> </w:t>
      </w:r>
      <w:r w:rsidRPr="0007629E">
        <w:rPr>
          <w:rFonts w:cstheme="minorHAnsi"/>
          <w:color w:val="000000"/>
          <w:sz w:val="18"/>
          <w:szCs w:val="18"/>
        </w:rPr>
        <w:t>ibid.</w:t>
      </w:r>
    </w:p>
  </w:footnote>
  <w:footnote w:id="59">
    <w:p w14:paraId="6058092D" w14:textId="3EBD5BFE" w:rsidR="009F2BC6" w:rsidRPr="0007629E" w:rsidRDefault="009F2BC6" w:rsidP="00CA1784">
      <w:pPr>
        <w:pStyle w:val="FootnoteText"/>
        <w:rPr>
          <w:rFonts w:cstheme="minorHAnsi"/>
          <w:color w:val="000000"/>
          <w:sz w:val="18"/>
          <w:szCs w:val="18"/>
        </w:rPr>
      </w:pPr>
      <w:r w:rsidRPr="0007629E">
        <w:rPr>
          <w:rStyle w:val="FootnoteReference"/>
          <w:sz w:val="18"/>
          <w:szCs w:val="18"/>
        </w:rPr>
        <w:footnoteRef/>
      </w:r>
      <w:r w:rsidRPr="0007629E">
        <w:rPr>
          <w:sz w:val="18"/>
          <w:szCs w:val="18"/>
        </w:rPr>
        <w:t xml:space="preserve"> </w:t>
      </w:r>
      <w:r w:rsidRPr="0007629E">
        <w:rPr>
          <w:rFonts w:cstheme="minorHAnsi"/>
          <w:color w:val="000000"/>
          <w:sz w:val="18"/>
          <w:szCs w:val="18"/>
        </w:rPr>
        <w:t>ibid.</w:t>
      </w:r>
    </w:p>
  </w:footnote>
  <w:footnote w:id="60">
    <w:p w14:paraId="2C64EB20" w14:textId="33429949" w:rsidR="009F2BC6" w:rsidRPr="0082278E" w:rsidRDefault="009F2BC6" w:rsidP="00CA1784">
      <w:pPr>
        <w:pStyle w:val="FootnoteText"/>
        <w:rPr>
          <w:sz w:val="18"/>
          <w:szCs w:val="18"/>
        </w:rPr>
      </w:pPr>
      <w:r w:rsidRPr="0082278E">
        <w:rPr>
          <w:rStyle w:val="FootnoteReference"/>
          <w:sz w:val="18"/>
          <w:szCs w:val="18"/>
        </w:rPr>
        <w:footnoteRef/>
      </w:r>
      <w:r w:rsidRPr="0082278E">
        <w:rPr>
          <w:sz w:val="18"/>
          <w:szCs w:val="18"/>
        </w:rPr>
        <w:t xml:space="preserve"> As highlighted in the </w:t>
      </w:r>
      <w:r w:rsidRPr="00056F60">
        <w:rPr>
          <w:sz w:val="18"/>
          <w:szCs w:val="18"/>
        </w:rPr>
        <w:t>Australian Council of Trade Unions</w:t>
      </w:r>
      <w:r>
        <w:rPr>
          <w:sz w:val="18"/>
          <w:szCs w:val="18"/>
        </w:rPr>
        <w:t xml:space="preserve"> 2018,</w:t>
      </w:r>
      <w:r w:rsidRPr="00056F60">
        <w:rPr>
          <w:sz w:val="18"/>
          <w:szCs w:val="18"/>
        </w:rPr>
        <w:t xml:space="preserve"> </w:t>
      </w:r>
      <w:r>
        <w:rPr>
          <w:sz w:val="18"/>
          <w:szCs w:val="18"/>
        </w:rPr>
        <w:t>written s</w:t>
      </w:r>
      <w:r w:rsidRPr="0082278E">
        <w:rPr>
          <w:sz w:val="18"/>
          <w:szCs w:val="18"/>
        </w:rPr>
        <w:t>ubmission, noted above, this provision is apparently intended to cover only the employment of persons who are not Australian citizens or permanent residents. However, as drafted, it would appear to cover employment of any person by a code-covered entity.</w:t>
      </w:r>
    </w:p>
  </w:footnote>
  <w:footnote w:id="61">
    <w:p w14:paraId="7DA06C57" w14:textId="3246A77B" w:rsidR="009F2BC6" w:rsidRPr="00C51E7F" w:rsidRDefault="009F2BC6">
      <w:pPr>
        <w:pStyle w:val="FootnoteText"/>
        <w:rPr>
          <w:rFonts w:cstheme="minorHAnsi"/>
          <w:sz w:val="18"/>
          <w:szCs w:val="18"/>
        </w:rPr>
      </w:pPr>
      <w:r w:rsidRPr="00C51E7F">
        <w:rPr>
          <w:rStyle w:val="FootnoteReference"/>
          <w:rFonts w:cstheme="minorHAnsi"/>
          <w:sz w:val="18"/>
          <w:szCs w:val="18"/>
        </w:rPr>
        <w:footnoteRef/>
      </w:r>
      <w:r w:rsidRPr="00C51E7F">
        <w:rPr>
          <w:rFonts w:cstheme="minorHAnsi"/>
          <w:sz w:val="18"/>
          <w:szCs w:val="18"/>
        </w:rPr>
        <w:t xml:space="preserve"> Department of Home Affairs 2014, Migration Act 1958 - Determination of Japan Australia Economic Partnership Agreement - IMMI 14/113</w:t>
      </w:r>
      <w:r>
        <w:rPr>
          <w:rFonts w:cstheme="minorHAnsi"/>
          <w:sz w:val="18"/>
          <w:szCs w:val="18"/>
        </w:rPr>
        <w:t xml:space="preserve"> [F2014L01676]</w:t>
      </w:r>
      <w:r w:rsidRPr="00C51E7F">
        <w:rPr>
          <w:rFonts w:cstheme="minorHAnsi"/>
          <w:sz w:val="18"/>
          <w:szCs w:val="18"/>
        </w:rPr>
        <w:t>, Canberra.</w:t>
      </w:r>
    </w:p>
  </w:footnote>
  <w:footnote w:id="62">
    <w:p w14:paraId="369CF40E" w14:textId="4406A2C9" w:rsidR="009F2BC6" w:rsidRPr="00C51E7F" w:rsidRDefault="009F2BC6" w:rsidP="00CA1784">
      <w:pPr>
        <w:pStyle w:val="FootnoteText"/>
        <w:rPr>
          <w:sz w:val="18"/>
          <w:szCs w:val="18"/>
        </w:rPr>
      </w:pPr>
      <w:r w:rsidRPr="00C51E7F">
        <w:rPr>
          <w:rStyle w:val="FootnoteReference"/>
          <w:sz w:val="18"/>
          <w:szCs w:val="18"/>
        </w:rPr>
        <w:footnoteRef/>
      </w:r>
      <w:r w:rsidRPr="00C51E7F">
        <w:rPr>
          <w:sz w:val="18"/>
          <w:szCs w:val="18"/>
        </w:rPr>
        <w:t xml:space="preserve"> Department of Home Affairs 2017, Migration (IMMI 17/109: Determination of International Trade Obligations Relating to Labour Market Testing) Instrument 2017 [F2017L01533], Canberra, ss. 6(1).</w:t>
      </w:r>
    </w:p>
  </w:footnote>
  <w:footnote w:id="63">
    <w:p w14:paraId="3E4B973A" w14:textId="0BBBF76C" w:rsidR="009F2BC6" w:rsidRPr="00C51E7F" w:rsidRDefault="009F2BC6" w:rsidP="00CA1784">
      <w:pPr>
        <w:pStyle w:val="FootnoteText"/>
        <w:rPr>
          <w:rFonts w:cstheme="minorHAnsi"/>
          <w:sz w:val="18"/>
          <w:szCs w:val="18"/>
        </w:rPr>
      </w:pPr>
      <w:r w:rsidRPr="00C51E7F">
        <w:rPr>
          <w:rStyle w:val="FootnoteReference"/>
          <w:sz w:val="18"/>
          <w:szCs w:val="18"/>
        </w:rPr>
        <w:footnoteRef/>
      </w:r>
      <w:r w:rsidRPr="00C51E7F">
        <w:rPr>
          <w:sz w:val="18"/>
          <w:szCs w:val="18"/>
        </w:rPr>
        <w:t xml:space="preserve"> </w:t>
      </w:r>
      <w:r w:rsidRPr="00C51E7F">
        <w:rPr>
          <w:rFonts w:cstheme="minorHAnsi"/>
          <w:sz w:val="18"/>
          <w:szCs w:val="18"/>
        </w:rPr>
        <w:t>WTO members are, at the same time, members of the GATS. World Trade Organization, The General Agreement on Trade in Services (GATS): objectives, coverage and disciplines, World Trade Organization, Vienna, viewed 3 October 2018, (</w:t>
      </w:r>
      <w:r w:rsidRPr="00C51E7F">
        <w:rPr>
          <w:rFonts w:cstheme="minorHAnsi"/>
          <w:sz w:val="18"/>
          <w:szCs w:val="18"/>
          <w:u w:val="single"/>
        </w:rPr>
        <w:t>wto.org/english/Tratop_e/serv_e/gatsqa_e.htm</w:t>
      </w:r>
      <w:r w:rsidRPr="00C51E7F">
        <w:rPr>
          <w:rFonts w:cstheme="minorHAnsi"/>
          <w:sz w:val="18"/>
          <w:szCs w:val="18"/>
        </w:rPr>
        <w:t>).</w:t>
      </w:r>
    </w:p>
  </w:footnote>
  <w:footnote w:id="64">
    <w:p w14:paraId="74F55340" w14:textId="71B3A136" w:rsidR="009F2BC6" w:rsidRPr="00C51E7F" w:rsidRDefault="009F2BC6" w:rsidP="00CA1784">
      <w:pPr>
        <w:pStyle w:val="FootnoteText"/>
        <w:rPr>
          <w:rFonts w:cstheme="minorHAnsi"/>
          <w:color w:val="000000"/>
          <w:sz w:val="18"/>
          <w:szCs w:val="18"/>
        </w:rPr>
      </w:pPr>
      <w:r w:rsidRPr="00C51E7F">
        <w:rPr>
          <w:rStyle w:val="FootnoteReference"/>
          <w:sz w:val="18"/>
          <w:szCs w:val="18"/>
        </w:rPr>
        <w:footnoteRef/>
      </w:r>
      <w:r w:rsidRPr="00C51E7F">
        <w:rPr>
          <w:sz w:val="18"/>
          <w:szCs w:val="18"/>
        </w:rPr>
        <w:t xml:space="preserve"> </w:t>
      </w:r>
      <w:r w:rsidRPr="00C51E7F">
        <w:rPr>
          <w:rFonts w:cstheme="minorHAnsi"/>
          <w:color w:val="000000"/>
          <w:sz w:val="18"/>
          <w:szCs w:val="18"/>
        </w:rPr>
        <w:t>Department of Home Affairs 2018, Temporary Skill Shortage (TSS) visa – Labour Market Testing requirement</w:t>
      </w:r>
      <w:r>
        <w:rPr>
          <w:rFonts w:cstheme="minorHAnsi"/>
          <w:color w:val="000000"/>
          <w:sz w:val="18"/>
          <w:szCs w:val="18"/>
        </w:rPr>
        <w:t>:</w:t>
      </w:r>
      <w:r w:rsidRPr="00C51E7F">
        <w:rPr>
          <w:rFonts w:cstheme="minorHAnsi"/>
          <w:color w:val="000000"/>
          <w:sz w:val="18"/>
          <w:szCs w:val="18"/>
        </w:rPr>
        <w:t xml:space="preserve"> LMT for the short term stream and medium term streams, </w:t>
      </w:r>
      <w:r w:rsidRPr="00C51E7F">
        <w:rPr>
          <w:rFonts w:cstheme="minorHAnsi"/>
          <w:sz w:val="18"/>
          <w:szCs w:val="18"/>
        </w:rPr>
        <w:t>Department of Home Affairs</w:t>
      </w:r>
      <w:r w:rsidRPr="00C51E7F">
        <w:rPr>
          <w:rFonts w:cstheme="minorHAnsi"/>
          <w:color w:val="000000"/>
          <w:sz w:val="18"/>
          <w:szCs w:val="18"/>
        </w:rPr>
        <w:t>, Canberra, viewed 3 October 2018, (</w:t>
      </w:r>
      <w:r w:rsidRPr="00C51E7F">
        <w:rPr>
          <w:rFonts w:cstheme="minorHAnsi"/>
          <w:color w:val="000000"/>
          <w:sz w:val="18"/>
          <w:szCs w:val="18"/>
          <w:u w:val="single"/>
        </w:rPr>
        <w:t>homeaffairs.gov.au/trav/work/empl/tss-labour-market-testing</w:t>
      </w:r>
      <w:r w:rsidRPr="00C51E7F">
        <w:rPr>
          <w:rFonts w:cstheme="minorHAnsi"/>
          <w:color w:val="000000"/>
          <w:sz w:val="18"/>
          <w:szCs w:val="18"/>
        </w:rPr>
        <w:t>).</w:t>
      </w:r>
    </w:p>
  </w:footnote>
  <w:footnote w:id="65">
    <w:p w14:paraId="0287AD86" w14:textId="39E7571C" w:rsidR="009F2BC6" w:rsidRPr="00BE05AC" w:rsidRDefault="009F2BC6" w:rsidP="00CA1784">
      <w:pPr>
        <w:pStyle w:val="FootnoteText"/>
        <w:rPr>
          <w:rFonts w:cstheme="minorHAnsi"/>
          <w:sz w:val="18"/>
          <w:szCs w:val="18"/>
        </w:rPr>
      </w:pPr>
      <w:r w:rsidRPr="00BE05AC">
        <w:rPr>
          <w:rStyle w:val="FootnoteReference"/>
          <w:sz w:val="18"/>
          <w:szCs w:val="18"/>
        </w:rPr>
        <w:footnoteRef/>
      </w:r>
      <w:r w:rsidRPr="00BE05AC">
        <w:rPr>
          <w:sz w:val="18"/>
          <w:szCs w:val="18"/>
        </w:rPr>
        <w:t xml:space="preserve"> </w:t>
      </w:r>
      <w:r w:rsidRPr="00BE05AC">
        <w:rPr>
          <w:rFonts w:cstheme="minorHAnsi"/>
          <w:sz w:val="18"/>
          <w:szCs w:val="18"/>
        </w:rPr>
        <w:t>Hansard of 29 November 2016 records Senator Cameron, who moved the relevant amendment, stating ‘I have seen the rip-offs that have been taking place with some of these workers coming in from overseas—absolute rip-offs. I think first of all we should be ensuring that Australian workers get access to the jobs that are available if they are qualified and willing to do the work.’ Australia, Senate 2016, Debates, No. 6, p. 3646.</w:t>
      </w:r>
    </w:p>
  </w:footnote>
  <w:footnote w:id="66">
    <w:p w14:paraId="0C6A1E8A" w14:textId="7A968479" w:rsidR="009F2BC6" w:rsidRPr="00BE05AC" w:rsidRDefault="009F2BC6" w:rsidP="00CA1784">
      <w:pPr>
        <w:pStyle w:val="FootnoteText"/>
        <w:rPr>
          <w:sz w:val="18"/>
          <w:szCs w:val="18"/>
        </w:rPr>
      </w:pPr>
      <w:r w:rsidRPr="00BE05AC">
        <w:rPr>
          <w:rStyle w:val="FootnoteReference"/>
          <w:sz w:val="18"/>
          <w:szCs w:val="18"/>
        </w:rPr>
        <w:footnoteRef/>
      </w:r>
      <w:r w:rsidRPr="00BE05AC">
        <w:rPr>
          <w:sz w:val="18"/>
          <w:szCs w:val="18"/>
        </w:rPr>
        <w:t xml:space="preserve"> </w:t>
      </w:r>
      <w:r w:rsidRPr="00BE05AC">
        <w:rPr>
          <w:rFonts w:cstheme="minorHAnsi"/>
          <w:sz w:val="18"/>
          <w:szCs w:val="18"/>
        </w:rPr>
        <w:t>Department of Immigration and Border Protection, Subclass 457 Quarterly Report</w:t>
      </w:r>
      <w:r>
        <w:rPr>
          <w:rFonts w:cstheme="minorHAnsi"/>
          <w:sz w:val="18"/>
          <w:szCs w:val="18"/>
        </w:rPr>
        <w:t>:</w:t>
      </w:r>
      <w:r w:rsidRPr="00BE05AC">
        <w:rPr>
          <w:rFonts w:cstheme="minorHAnsi"/>
          <w:sz w:val="18"/>
          <w:szCs w:val="18"/>
        </w:rPr>
        <w:t xml:space="preserve"> Quarter Ending at 31 December 2016, Department of Home Affairs, Canberra</w:t>
      </w:r>
      <w:r w:rsidRPr="00BE05AC">
        <w:rPr>
          <w:sz w:val="18"/>
          <w:szCs w:val="18"/>
        </w:rPr>
        <w:t>.</w:t>
      </w:r>
    </w:p>
  </w:footnote>
  <w:footnote w:id="67">
    <w:p w14:paraId="5E2246EF" w14:textId="78D2AC85" w:rsidR="009F2BC6" w:rsidRPr="00BE05AC" w:rsidRDefault="009F2BC6" w:rsidP="00B25D7D">
      <w:pPr>
        <w:pStyle w:val="FootnoteText"/>
        <w:rPr>
          <w:rFonts w:cstheme="minorHAnsi"/>
          <w:sz w:val="18"/>
          <w:szCs w:val="18"/>
        </w:rPr>
      </w:pPr>
      <w:r w:rsidRPr="00BE05AC">
        <w:rPr>
          <w:rStyle w:val="FootnoteReference"/>
          <w:sz w:val="18"/>
          <w:szCs w:val="18"/>
        </w:rPr>
        <w:footnoteRef/>
      </w:r>
      <w:r w:rsidRPr="00BE05AC">
        <w:rPr>
          <w:sz w:val="18"/>
          <w:szCs w:val="18"/>
        </w:rPr>
        <w:t xml:space="preserve"> </w:t>
      </w:r>
      <w:r w:rsidRPr="00BE05AC">
        <w:rPr>
          <w:rFonts w:cstheme="minorHAnsi"/>
          <w:sz w:val="18"/>
          <w:szCs w:val="18"/>
        </w:rPr>
        <w:t>The only difference in the provisions regarding the FSC, other than the content of ss. 38(ca), is that the FSC’s former function of ‘monitoring and promoting compliance with the 2016 Code, so far as the 2016 Code deals with occupational health and safety’, established in ss. 30(b) of the FWBI Act, is not included in the BCIIP Act.</w:t>
      </w:r>
    </w:p>
  </w:footnote>
  <w:footnote w:id="68">
    <w:p w14:paraId="64081E81" w14:textId="5B8B1AD9" w:rsidR="009F2BC6" w:rsidRPr="00BE05AC" w:rsidRDefault="009F2BC6" w:rsidP="0011262E">
      <w:pPr>
        <w:pStyle w:val="FootnoteText"/>
        <w:rPr>
          <w:sz w:val="18"/>
          <w:szCs w:val="18"/>
        </w:rPr>
      </w:pPr>
      <w:r w:rsidRPr="00BE05AC">
        <w:rPr>
          <w:rStyle w:val="FootnoteReference"/>
          <w:sz w:val="18"/>
          <w:szCs w:val="18"/>
        </w:rPr>
        <w:footnoteRef/>
      </w:r>
      <w:r w:rsidRPr="00BE05AC">
        <w:rPr>
          <w:sz w:val="18"/>
          <w:szCs w:val="18"/>
        </w:rPr>
        <w:t xml:space="preserve"> Victorian Cladding Taskforce 2017, Interim Report November 2017, State of Victoria Department of Environment, Land, Water and Planning, Melbourne, p. 4.</w:t>
      </w:r>
    </w:p>
  </w:footnote>
  <w:footnote w:id="69">
    <w:p w14:paraId="26873958" w14:textId="4017DB23" w:rsidR="009F2BC6" w:rsidRPr="00BE05AC" w:rsidRDefault="009F2BC6" w:rsidP="0011262E">
      <w:pPr>
        <w:pStyle w:val="FootnoteText"/>
        <w:rPr>
          <w:sz w:val="18"/>
          <w:szCs w:val="18"/>
        </w:rPr>
      </w:pPr>
      <w:r w:rsidRPr="00BE05AC">
        <w:rPr>
          <w:rStyle w:val="FootnoteReference"/>
          <w:sz w:val="18"/>
          <w:szCs w:val="18"/>
        </w:rPr>
        <w:footnoteRef/>
      </w:r>
      <w:r w:rsidRPr="00BE05AC">
        <w:rPr>
          <w:sz w:val="18"/>
          <w:szCs w:val="18"/>
        </w:rPr>
        <w:t xml:space="preserve"> ibid., p. 27.</w:t>
      </w:r>
    </w:p>
  </w:footnote>
  <w:footnote w:id="70">
    <w:p w14:paraId="2CAFAFD3" w14:textId="090811F3" w:rsidR="009F2BC6" w:rsidRPr="000E17CB" w:rsidRDefault="009F2BC6" w:rsidP="0011262E">
      <w:pPr>
        <w:pStyle w:val="FootnoteText"/>
        <w:rPr>
          <w:sz w:val="18"/>
          <w:szCs w:val="18"/>
        </w:rPr>
      </w:pPr>
      <w:r w:rsidRPr="000E17CB">
        <w:rPr>
          <w:rStyle w:val="FootnoteReference"/>
          <w:sz w:val="18"/>
          <w:szCs w:val="18"/>
        </w:rPr>
        <w:footnoteRef/>
      </w:r>
      <w:r w:rsidRPr="000E17CB">
        <w:rPr>
          <w:sz w:val="18"/>
          <w:szCs w:val="18"/>
        </w:rPr>
        <w:t xml:space="preserve"> Shergold, P &amp; Weir, B 2018, </w:t>
      </w:r>
      <w:r>
        <w:rPr>
          <w:sz w:val="18"/>
          <w:szCs w:val="18"/>
        </w:rPr>
        <w:t>Building C</w:t>
      </w:r>
      <w:r w:rsidRPr="000E17CB">
        <w:rPr>
          <w:sz w:val="18"/>
          <w:szCs w:val="18"/>
        </w:rPr>
        <w:t>onfidence</w:t>
      </w:r>
      <w:r>
        <w:rPr>
          <w:sz w:val="18"/>
          <w:szCs w:val="18"/>
        </w:rPr>
        <w:t>:</w:t>
      </w:r>
      <w:r w:rsidRPr="000E17CB">
        <w:rPr>
          <w:sz w:val="18"/>
          <w:szCs w:val="18"/>
        </w:rPr>
        <w:t xml:space="preserve"> </w:t>
      </w:r>
      <w:r>
        <w:rPr>
          <w:sz w:val="18"/>
          <w:szCs w:val="18"/>
        </w:rPr>
        <w:t>Improving the Effectiveness of Compliance and Enforcement Systems for the Building and Construction Industry A</w:t>
      </w:r>
      <w:r w:rsidRPr="000E17CB">
        <w:rPr>
          <w:sz w:val="18"/>
          <w:szCs w:val="18"/>
        </w:rPr>
        <w:t>cross Australia</w:t>
      </w:r>
      <w:r>
        <w:rPr>
          <w:sz w:val="18"/>
          <w:szCs w:val="18"/>
        </w:rPr>
        <w:t>, r</w:t>
      </w:r>
      <w:r w:rsidRPr="000E17CB">
        <w:rPr>
          <w:sz w:val="18"/>
          <w:szCs w:val="18"/>
        </w:rPr>
        <w:t xml:space="preserve">eport </w:t>
      </w:r>
      <w:r>
        <w:rPr>
          <w:sz w:val="18"/>
          <w:szCs w:val="18"/>
        </w:rPr>
        <w:t>to</w:t>
      </w:r>
      <w:r w:rsidRPr="000E17CB">
        <w:rPr>
          <w:sz w:val="18"/>
          <w:szCs w:val="18"/>
        </w:rPr>
        <w:t xml:space="preserve"> the Building Ministers’ Forum, Department of Industry, Innovation and Science, p. 3.</w:t>
      </w:r>
    </w:p>
  </w:footnote>
  <w:footnote w:id="71">
    <w:p w14:paraId="5CDEC7DE" w14:textId="107918A8" w:rsidR="009F2BC6" w:rsidRPr="00E10B97" w:rsidRDefault="009F2BC6">
      <w:pPr>
        <w:pStyle w:val="FootnoteText"/>
        <w:rPr>
          <w:sz w:val="18"/>
        </w:rPr>
      </w:pPr>
      <w:r w:rsidRPr="00E10B97">
        <w:rPr>
          <w:rStyle w:val="FootnoteReference"/>
          <w:sz w:val="18"/>
        </w:rPr>
        <w:footnoteRef/>
      </w:r>
      <w:r w:rsidRPr="00E10B97">
        <w:rPr>
          <w:sz w:val="18"/>
        </w:rPr>
        <w:t xml:space="preserve"> Note that the NCC does not apply to civil construction, as it exclusively addresses buildings.</w:t>
      </w:r>
    </w:p>
  </w:footnote>
  <w:footnote w:id="72">
    <w:p w14:paraId="6AF8F6BC" w14:textId="2D0CD57E" w:rsidR="009F2BC6" w:rsidRPr="00501C9A" w:rsidRDefault="009F2BC6">
      <w:pPr>
        <w:pStyle w:val="FootnoteText"/>
        <w:rPr>
          <w:sz w:val="18"/>
          <w:szCs w:val="18"/>
        </w:rPr>
      </w:pPr>
      <w:r w:rsidRPr="00501C9A">
        <w:rPr>
          <w:rStyle w:val="FootnoteReference"/>
          <w:sz w:val="18"/>
          <w:szCs w:val="18"/>
        </w:rPr>
        <w:footnoteRef/>
      </w:r>
      <w:r w:rsidRPr="00501C9A">
        <w:rPr>
          <w:sz w:val="18"/>
          <w:szCs w:val="18"/>
        </w:rPr>
        <w:t xml:space="preserve"> Views attributed to the FSC in the following sections were largely expressed during a telephone interview conducted on 25 May 2018.</w:t>
      </w:r>
    </w:p>
  </w:footnote>
  <w:footnote w:id="73">
    <w:p w14:paraId="6C1E7644" w14:textId="6268EB8B" w:rsidR="009F2BC6" w:rsidRPr="000E17CB" w:rsidRDefault="009F2BC6" w:rsidP="0011262E">
      <w:pPr>
        <w:pStyle w:val="FootnoteText"/>
        <w:rPr>
          <w:sz w:val="18"/>
          <w:szCs w:val="18"/>
        </w:rPr>
      </w:pPr>
      <w:r w:rsidRPr="000E17CB">
        <w:rPr>
          <w:rStyle w:val="FootnoteReference"/>
          <w:sz w:val="18"/>
          <w:szCs w:val="18"/>
        </w:rPr>
        <w:footnoteRef/>
      </w:r>
      <w:r w:rsidRPr="000E17CB">
        <w:rPr>
          <w:sz w:val="18"/>
          <w:szCs w:val="18"/>
        </w:rPr>
        <w:t xml:space="preserve"> The terms of reference for the Building Regulators’ Forum state that ‘[s]tate and territory building regulators and relevant Commonwealth agencies require an effective mechanism for the exchange of information, to establish coordinated responses to building industry issues that affect the building industry, building occupants and the community.’ Building Regulators’ Forum, Terms of Reference, Department of Industry, Innovation and Science, viewed 3 October 2018, (</w:t>
      </w:r>
      <w:r w:rsidRPr="000E17CB">
        <w:rPr>
          <w:sz w:val="18"/>
          <w:szCs w:val="18"/>
          <w:u w:val="single"/>
        </w:rPr>
        <w:t>industry.gov.au/sites/g/files/net3906/f/July%202018/document/extra/building_regulators_forum_-terms-of-reference.pdf</w:t>
      </w:r>
      <w:r w:rsidRPr="000E17CB">
        <w:rPr>
          <w:sz w:val="18"/>
          <w:szCs w:val="18"/>
        </w:rPr>
        <w:t>).</w:t>
      </w:r>
    </w:p>
  </w:footnote>
  <w:footnote w:id="74">
    <w:p w14:paraId="3F2F30F7" w14:textId="0C96EA15" w:rsidR="009F2BC6" w:rsidRPr="00AA5969" w:rsidRDefault="009F2BC6" w:rsidP="0011262E">
      <w:pPr>
        <w:pStyle w:val="FootnoteText"/>
        <w:rPr>
          <w:sz w:val="18"/>
          <w:szCs w:val="18"/>
        </w:rPr>
      </w:pPr>
      <w:r w:rsidRPr="00AA5969">
        <w:rPr>
          <w:rStyle w:val="FootnoteReference"/>
          <w:sz w:val="18"/>
          <w:szCs w:val="18"/>
        </w:rPr>
        <w:footnoteRef/>
      </w:r>
      <w:r w:rsidRPr="00AA5969">
        <w:rPr>
          <w:sz w:val="18"/>
          <w:szCs w:val="18"/>
        </w:rPr>
        <w:t xml:space="preserve"> </w:t>
      </w:r>
      <w:r w:rsidRPr="00AA5969">
        <w:rPr>
          <w:rFonts w:cstheme="minorHAnsi"/>
          <w:color w:val="000000"/>
          <w:sz w:val="18"/>
          <w:szCs w:val="18"/>
        </w:rPr>
        <w:t xml:space="preserve">Master Builders Australia 2018, </w:t>
      </w:r>
      <w:r>
        <w:rPr>
          <w:rFonts w:cstheme="minorHAnsi"/>
          <w:color w:val="000000"/>
          <w:sz w:val="18"/>
          <w:szCs w:val="18"/>
        </w:rPr>
        <w:t>w</w:t>
      </w:r>
      <w:r w:rsidRPr="00AA5969">
        <w:rPr>
          <w:rFonts w:cstheme="minorHAnsi"/>
          <w:color w:val="000000"/>
          <w:sz w:val="18"/>
          <w:szCs w:val="18"/>
        </w:rPr>
        <w:t xml:space="preserve">ritten </w:t>
      </w:r>
      <w:r>
        <w:rPr>
          <w:rFonts w:cstheme="minorHAnsi"/>
          <w:color w:val="000000"/>
          <w:sz w:val="18"/>
          <w:szCs w:val="18"/>
        </w:rPr>
        <w:t>s</w:t>
      </w:r>
      <w:r w:rsidRPr="00AA5969">
        <w:rPr>
          <w:rFonts w:cstheme="minorHAnsi"/>
          <w:color w:val="000000"/>
          <w:sz w:val="18"/>
          <w:szCs w:val="18"/>
        </w:rPr>
        <w:t>ubmission, p. 29</w:t>
      </w:r>
      <w:r w:rsidRPr="00AA5969">
        <w:rPr>
          <w:sz w:val="18"/>
          <w:szCs w:val="18"/>
        </w:rPr>
        <w:t>.</w:t>
      </w:r>
    </w:p>
  </w:footnote>
  <w:footnote w:id="75">
    <w:p w14:paraId="4D4EFCD7" w14:textId="47589D43" w:rsidR="009F2BC6" w:rsidRPr="00501C9A" w:rsidRDefault="009F2BC6" w:rsidP="0011262E">
      <w:pPr>
        <w:pStyle w:val="FootnoteText"/>
        <w:rPr>
          <w:sz w:val="18"/>
          <w:szCs w:val="18"/>
        </w:rPr>
      </w:pPr>
      <w:r w:rsidRPr="00501C9A">
        <w:rPr>
          <w:rStyle w:val="FootnoteReference"/>
          <w:sz w:val="18"/>
          <w:szCs w:val="18"/>
        </w:rPr>
        <w:footnoteRef/>
      </w:r>
      <w:r w:rsidRPr="00501C9A">
        <w:rPr>
          <w:sz w:val="18"/>
          <w:szCs w:val="18"/>
        </w:rPr>
        <w:t xml:space="preserve"> </w:t>
      </w:r>
      <w:r w:rsidRPr="00501C9A">
        <w:rPr>
          <w:rFonts w:cstheme="minorHAnsi"/>
          <w:sz w:val="18"/>
          <w:szCs w:val="18"/>
        </w:rPr>
        <w:t>i</w:t>
      </w:r>
      <w:r w:rsidRPr="00501C9A">
        <w:rPr>
          <w:sz w:val="18"/>
          <w:szCs w:val="18"/>
        </w:rPr>
        <w:t>bid.</w:t>
      </w:r>
    </w:p>
  </w:footnote>
  <w:footnote w:id="76">
    <w:p w14:paraId="6A46A31D" w14:textId="1A2F4D9E" w:rsidR="009F2BC6" w:rsidRPr="00A657AC" w:rsidRDefault="009F2BC6">
      <w:pPr>
        <w:pStyle w:val="FootnoteText"/>
        <w:rPr>
          <w:sz w:val="18"/>
          <w:szCs w:val="18"/>
        </w:rPr>
      </w:pPr>
      <w:r w:rsidRPr="00A657AC">
        <w:rPr>
          <w:rStyle w:val="FootnoteReference"/>
          <w:sz w:val="18"/>
          <w:szCs w:val="18"/>
        </w:rPr>
        <w:footnoteRef/>
      </w:r>
      <w:r w:rsidRPr="00A657AC">
        <w:rPr>
          <w:sz w:val="18"/>
          <w:szCs w:val="18"/>
        </w:rPr>
        <w:t xml:space="preserve"> </w:t>
      </w:r>
      <w:r w:rsidRPr="00A657AC">
        <w:rPr>
          <w:rFonts w:cstheme="minorHAnsi"/>
          <w:sz w:val="18"/>
          <w:szCs w:val="18"/>
        </w:rPr>
        <w:t>The discussion of the provisions of the BCIIP Act in relation to security of payments matters set out below provides a further example of this dynamic, given that the key legislation addressing to security of payments, once again, has been adopted by state and territory governments.</w:t>
      </w:r>
    </w:p>
  </w:footnote>
  <w:footnote w:id="77">
    <w:p w14:paraId="32EC75AA" w14:textId="10DBDC03" w:rsidR="009F2BC6" w:rsidRPr="00A657AC" w:rsidRDefault="009F2BC6" w:rsidP="0011262E">
      <w:pPr>
        <w:pStyle w:val="FootnoteText"/>
        <w:rPr>
          <w:rFonts w:cstheme="minorHAnsi"/>
          <w:sz w:val="18"/>
          <w:szCs w:val="18"/>
        </w:rPr>
      </w:pPr>
      <w:r w:rsidRPr="00A657AC">
        <w:rPr>
          <w:rStyle w:val="FootnoteReference"/>
          <w:sz w:val="18"/>
          <w:szCs w:val="18"/>
        </w:rPr>
        <w:footnoteRef/>
      </w:r>
      <w:r w:rsidRPr="00A657AC">
        <w:rPr>
          <w:sz w:val="18"/>
          <w:szCs w:val="18"/>
        </w:rPr>
        <w:t xml:space="preserve"> </w:t>
      </w:r>
      <w:r w:rsidRPr="00A657AC">
        <w:rPr>
          <w:rFonts w:cstheme="minorHAnsi"/>
          <w:sz w:val="18"/>
          <w:szCs w:val="18"/>
        </w:rPr>
        <w:t>Senate Economics References Committee 2017, Non-Conforming Building Products; Interim Report: Aluminium Composite Cladding, Canberra, p. 52.</w:t>
      </w:r>
    </w:p>
  </w:footnote>
  <w:footnote w:id="78">
    <w:p w14:paraId="346AC457" w14:textId="6885C445" w:rsidR="009F2BC6" w:rsidRPr="003816B6" w:rsidRDefault="009F2BC6" w:rsidP="0011262E">
      <w:pPr>
        <w:spacing w:after="0"/>
        <w:rPr>
          <w:rFonts w:cstheme="minorHAnsi"/>
          <w:sz w:val="18"/>
          <w:szCs w:val="18"/>
        </w:rPr>
      </w:pPr>
      <w:r w:rsidRPr="003816B6">
        <w:rPr>
          <w:rStyle w:val="FootnoteReference"/>
          <w:sz w:val="18"/>
          <w:szCs w:val="18"/>
        </w:rPr>
        <w:footnoteRef/>
      </w:r>
      <w:r w:rsidRPr="003816B6">
        <w:rPr>
          <w:sz w:val="18"/>
          <w:szCs w:val="18"/>
        </w:rPr>
        <w:t xml:space="preserve"> </w:t>
      </w:r>
      <w:r w:rsidRPr="003816B6">
        <w:rPr>
          <w:rFonts w:cstheme="minorHAnsi"/>
          <w:sz w:val="18"/>
          <w:szCs w:val="18"/>
        </w:rPr>
        <w:t xml:space="preserve">Safe Work Australia 2017, Work-related Traumatic Injury Fatalities Australia 2016, </w:t>
      </w:r>
      <w:r>
        <w:rPr>
          <w:rFonts w:cstheme="minorHAnsi"/>
          <w:sz w:val="18"/>
          <w:szCs w:val="18"/>
        </w:rPr>
        <w:t>SWA</w:t>
      </w:r>
      <w:r w:rsidRPr="003816B6">
        <w:rPr>
          <w:rFonts w:cstheme="minorHAnsi"/>
          <w:sz w:val="18"/>
          <w:szCs w:val="18"/>
        </w:rPr>
        <w:t>, Canberra, p. 13. Note: This is the most current fatality report released by Safe Work Australia and includes bystanders.</w:t>
      </w:r>
    </w:p>
  </w:footnote>
  <w:footnote w:id="79">
    <w:p w14:paraId="7EFAFF50" w14:textId="28A47C2A" w:rsidR="009F2BC6" w:rsidRPr="006439CF" w:rsidRDefault="009F2BC6" w:rsidP="0011262E">
      <w:pPr>
        <w:spacing w:after="0"/>
        <w:rPr>
          <w:sz w:val="18"/>
          <w:szCs w:val="18"/>
        </w:rPr>
      </w:pPr>
      <w:r w:rsidRPr="006439CF">
        <w:rPr>
          <w:rStyle w:val="FootnoteReference"/>
          <w:sz w:val="18"/>
          <w:szCs w:val="18"/>
        </w:rPr>
        <w:footnoteRef/>
      </w:r>
      <w:r w:rsidRPr="006439CF">
        <w:rPr>
          <w:sz w:val="18"/>
          <w:szCs w:val="18"/>
        </w:rPr>
        <w:t xml:space="preserve"> Premium rates for accredited companies are reported bi-annually to the FSC. Industry averages are published by Safe Work Australia. </w:t>
      </w:r>
      <w:r>
        <w:rPr>
          <w:sz w:val="18"/>
          <w:szCs w:val="18"/>
        </w:rPr>
        <w:t>Refer</w:t>
      </w:r>
      <w:r w:rsidRPr="006439CF">
        <w:rPr>
          <w:sz w:val="18"/>
          <w:szCs w:val="18"/>
        </w:rPr>
        <w:t>: Safe Work Australia 2016, Comparison of Workers’ Compensation Arrangements in Australia and New Zealand</w:t>
      </w:r>
      <w:r>
        <w:rPr>
          <w:sz w:val="18"/>
          <w:szCs w:val="18"/>
        </w:rPr>
        <w:t>:</w:t>
      </w:r>
      <w:r w:rsidRPr="006439CF">
        <w:rPr>
          <w:sz w:val="18"/>
          <w:szCs w:val="18"/>
        </w:rPr>
        <w:t xml:space="preserve"> October 2016, </w:t>
      </w:r>
      <w:r>
        <w:rPr>
          <w:rFonts w:cstheme="minorHAnsi"/>
          <w:sz w:val="18"/>
          <w:szCs w:val="18"/>
        </w:rPr>
        <w:t>SWA</w:t>
      </w:r>
      <w:r w:rsidRPr="006439CF">
        <w:rPr>
          <w:rFonts w:cstheme="minorHAnsi"/>
          <w:sz w:val="18"/>
          <w:szCs w:val="18"/>
        </w:rPr>
        <w:t>, Canberra,</w:t>
      </w:r>
      <w:r w:rsidRPr="006439CF">
        <w:rPr>
          <w:sz w:val="18"/>
          <w:szCs w:val="18"/>
        </w:rPr>
        <w:t xml:space="preserve"> pp. 222-224.</w:t>
      </w:r>
    </w:p>
  </w:footnote>
  <w:footnote w:id="80">
    <w:p w14:paraId="7E21ABBA" w14:textId="4D206406" w:rsidR="009F2BC6" w:rsidRPr="006439CF" w:rsidRDefault="009F2BC6" w:rsidP="0011262E">
      <w:pPr>
        <w:pStyle w:val="FootnoteText"/>
        <w:rPr>
          <w:sz w:val="18"/>
          <w:szCs w:val="18"/>
        </w:rPr>
      </w:pPr>
      <w:r w:rsidRPr="006439CF">
        <w:rPr>
          <w:rStyle w:val="FootnoteReference"/>
          <w:sz w:val="18"/>
          <w:szCs w:val="18"/>
        </w:rPr>
        <w:footnoteRef/>
      </w:r>
      <w:r w:rsidRPr="006439CF">
        <w:rPr>
          <w:sz w:val="18"/>
          <w:szCs w:val="18"/>
        </w:rPr>
        <w:t xml:space="preserve"> </w:t>
      </w:r>
      <w:r w:rsidRPr="006439CF">
        <w:rPr>
          <w:rFonts w:cstheme="minorHAnsi"/>
          <w:sz w:val="18"/>
          <w:szCs w:val="18"/>
        </w:rPr>
        <w:t xml:space="preserve">Source: FSC. </w:t>
      </w:r>
      <w:r w:rsidRPr="006439CF">
        <w:rPr>
          <w:sz w:val="18"/>
          <w:szCs w:val="18"/>
        </w:rPr>
        <w:t>The lost time injury frequency rate for an accredited company is reported to the FSC when the company first applies for accreditation and then bi-annually. Data shows that the majority of companies demonstrate a reduction in the frequency of lost time injuries over each year of accreditation.</w:t>
      </w:r>
    </w:p>
  </w:footnote>
  <w:footnote w:id="81">
    <w:p w14:paraId="53BD2239" w14:textId="2EE18F0F" w:rsidR="009F2BC6" w:rsidRPr="0014478E" w:rsidRDefault="009F2BC6" w:rsidP="0014478E">
      <w:pPr>
        <w:pStyle w:val="CommentText"/>
        <w:spacing w:after="0"/>
        <w:rPr>
          <w:sz w:val="18"/>
          <w:szCs w:val="18"/>
        </w:rPr>
      </w:pPr>
      <w:r w:rsidRPr="00B25C22">
        <w:rPr>
          <w:rStyle w:val="FootnoteReference"/>
          <w:sz w:val="18"/>
          <w:szCs w:val="18"/>
        </w:rPr>
        <w:footnoteRef/>
      </w:r>
      <w:r w:rsidRPr="00B25C22">
        <w:rPr>
          <w:sz w:val="18"/>
          <w:szCs w:val="18"/>
        </w:rPr>
        <w:t xml:space="preserve"> Australian Building and Construction Commission 2018, ABCC launches campaign to help secure subcontractors’ payments, media release, 17 July, ABCC, Melbourne, viewed 3 October 2018, (</w:t>
      </w:r>
      <w:r w:rsidRPr="00B25C22">
        <w:rPr>
          <w:sz w:val="18"/>
          <w:szCs w:val="18"/>
          <w:u w:val="single"/>
        </w:rPr>
        <w:t>abcc.gov.au/sites/g/files/net2406/f/180717_abcc_launches_campaign_to_help_secure_subcontractors_payments.pdf</w:t>
      </w:r>
      <w:r w:rsidRPr="00B25C22">
        <w:rPr>
          <w:sz w:val="18"/>
          <w:szCs w:val="18"/>
        </w:rPr>
        <w:t>).</w:t>
      </w:r>
    </w:p>
  </w:footnote>
  <w:footnote w:id="82">
    <w:p w14:paraId="005EDF9D" w14:textId="68F13573" w:rsidR="009F2BC6" w:rsidRDefault="009F2BC6" w:rsidP="0011262E">
      <w:pPr>
        <w:autoSpaceDE w:val="0"/>
        <w:autoSpaceDN w:val="0"/>
        <w:adjustRightInd w:val="0"/>
        <w:spacing w:after="0" w:line="240" w:lineRule="auto"/>
        <w:rPr>
          <w:rFonts w:cstheme="minorHAnsi"/>
          <w:sz w:val="18"/>
          <w:szCs w:val="18"/>
        </w:rPr>
      </w:pPr>
      <w:r w:rsidRPr="00EB1936">
        <w:rPr>
          <w:rStyle w:val="FootnoteReference"/>
          <w:rFonts w:cstheme="minorHAnsi"/>
          <w:sz w:val="18"/>
          <w:szCs w:val="18"/>
        </w:rPr>
        <w:footnoteRef/>
      </w:r>
      <w:r w:rsidRPr="00EB1936">
        <w:rPr>
          <w:rFonts w:cstheme="minorHAnsi"/>
          <w:sz w:val="18"/>
          <w:szCs w:val="18"/>
        </w:rPr>
        <w:t xml:space="preserve"> Murray, J 2017, Review of Security of Payment Laws</w:t>
      </w:r>
      <w:r>
        <w:rPr>
          <w:rFonts w:cstheme="minorHAnsi"/>
          <w:sz w:val="18"/>
          <w:szCs w:val="18"/>
        </w:rPr>
        <w:t>:</w:t>
      </w:r>
      <w:r w:rsidRPr="00EB1936">
        <w:rPr>
          <w:rFonts w:cstheme="minorHAnsi"/>
          <w:sz w:val="18"/>
          <w:szCs w:val="18"/>
        </w:rPr>
        <w:t xml:space="preserve"> Building Trust and Harmony, Department of Jobs and Small Business, Canberra, p. 39. Citing previous reviews of individual states’ security of payment laws, the report notes that ‘Professor Evans echoed the sentiments expressed by Collins and Moss when he said that there was a lack of awareness of the legislation by industry stakeholders and that there was a need for a widespread education and training campaign to address these concerns.’</w:t>
      </w:r>
    </w:p>
  </w:footnote>
  <w:footnote w:id="83">
    <w:p w14:paraId="52B54BE5" w14:textId="52C8D790" w:rsidR="009F2BC6" w:rsidRPr="00710CD8" w:rsidRDefault="009F2BC6" w:rsidP="0011262E">
      <w:pPr>
        <w:pStyle w:val="FootnoteText"/>
        <w:rPr>
          <w:sz w:val="18"/>
          <w:szCs w:val="18"/>
        </w:rPr>
      </w:pPr>
      <w:r w:rsidRPr="00710CD8">
        <w:rPr>
          <w:rStyle w:val="FootnoteReference"/>
          <w:sz w:val="18"/>
          <w:szCs w:val="18"/>
        </w:rPr>
        <w:footnoteRef/>
      </w:r>
      <w:r w:rsidRPr="00710CD8">
        <w:rPr>
          <w:sz w:val="18"/>
          <w:szCs w:val="18"/>
        </w:rPr>
        <w:t xml:space="preserve"> </w:t>
      </w:r>
      <w:r w:rsidRPr="00710CD8">
        <w:rPr>
          <w:rFonts w:cstheme="minorHAnsi"/>
          <w:sz w:val="18"/>
          <w:szCs w:val="18"/>
        </w:rPr>
        <w:t xml:space="preserve">See </w:t>
      </w:r>
      <w:r w:rsidRPr="00710CD8">
        <w:rPr>
          <w:sz w:val="18"/>
          <w:szCs w:val="18"/>
        </w:rPr>
        <w:t>discussion in Chapter 1.</w:t>
      </w:r>
    </w:p>
  </w:footnote>
  <w:footnote w:id="84">
    <w:p w14:paraId="4139E6DA" w14:textId="459DACEC" w:rsidR="009F2BC6" w:rsidRPr="00710CD8" w:rsidRDefault="009F2BC6">
      <w:pPr>
        <w:pStyle w:val="FootnoteText"/>
        <w:rPr>
          <w:sz w:val="18"/>
          <w:szCs w:val="18"/>
        </w:rPr>
      </w:pPr>
      <w:r w:rsidRPr="00710CD8">
        <w:rPr>
          <w:rStyle w:val="FootnoteReference"/>
          <w:sz w:val="18"/>
          <w:szCs w:val="18"/>
        </w:rPr>
        <w:footnoteRef/>
      </w:r>
      <w:r w:rsidRPr="00710CD8">
        <w:rPr>
          <w:sz w:val="18"/>
          <w:szCs w:val="18"/>
        </w:rPr>
        <w:t xml:space="preserve"> Note that security of payments issues are also addressed at Clause 21 of the 2013 Code. Thus, this is not a new, BCIIP Act-specific area of operation for the regulator.</w:t>
      </w:r>
    </w:p>
  </w:footnote>
  <w:footnote w:id="85">
    <w:p w14:paraId="4B7EE7B5" w14:textId="4A0877C0" w:rsidR="009F2BC6" w:rsidRPr="00DE2EB7" w:rsidRDefault="009F2BC6" w:rsidP="0059028A">
      <w:pPr>
        <w:pStyle w:val="FootnoteText"/>
        <w:rPr>
          <w:sz w:val="18"/>
          <w:szCs w:val="18"/>
        </w:rPr>
      </w:pPr>
      <w:r w:rsidRPr="00DE2EB7">
        <w:rPr>
          <w:rStyle w:val="FootnoteReference"/>
          <w:sz w:val="18"/>
          <w:szCs w:val="18"/>
        </w:rPr>
        <w:footnoteRef/>
      </w:r>
      <w:r w:rsidRPr="00DE2EB7">
        <w:rPr>
          <w:sz w:val="18"/>
          <w:szCs w:val="18"/>
        </w:rPr>
        <w:t xml:space="preserve"> </w:t>
      </w:r>
      <w:r w:rsidRPr="00DE2EB7">
        <w:rPr>
          <w:rFonts w:cstheme="minorHAnsi"/>
          <w:color w:val="000000"/>
          <w:sz w:val="18"/>
          <w:szCs w:val="18"/>
        </w:rPr>
        <w:t xml:space="preserve">Master Builders Australia 2018, </w:t>
      </w:r>
      <w:r>
        <w:rPr>
          <w:rFonts w:cstheme="minorHAnsi"/>
          <w:color w:val="000000"/>
          <w:sz w:val="18"/>
          <w:szCs w:val="18"/>
        </w:rPr>
        <w:t>w</w:t>
      </w:r>
      <w:r w:rsidRPr="00DE2EB7">
        <w:rPr>
          <w:rFonts w:cstheme="minorHAnsi"/>
          <w:color w:val="000000"/>
          <w:sz w:val="18"/>
          <w:szCs w:val="18"/>
        </w:rPr>
        <w:t xml:space="preserve">ritten </w:t>
      </w:r>
      <w:r>
        <w:rPr>
          <w:rFonts w:cstheme="minorHAnsi"/>
          <w:color w:val="000000"/>
          <w:sz w:val="18"/>
          <w:szCs w:val="18"/>
        </w:rPr>
        <w:t>s</w:t>
      </w:r>
      <w:r w:rsidRPr="00DE2EB7">
        <w:rPr>
          <w:rFonts w:cstheme="minorHAnsi"/>
          <w:color w:val="000000"/>
          <w:sz w:val="18"/>
          <w:szCs w:val="18"/>
        </w:rPr>
        <w:t>ubmission, p. 35.</w:t>
      </w:r>
    </w:p>
  </w:footnote>
  <w:footnote w:id="86">
    <w:p w14:paraId="3D180920" w14:textId="1AE63103" w:rsidR="009F2BC6" w:rsidRPr="00DE2EB7" w:rsidRDefault="009F2BC6" w:rsidP="0011262E">
      <w:pPr>
        <w:pStyle w:val="FootnoteText"/>
        <w:rPr>
          <w:rFonts w:cstheme="minorHAnsi"/>
          <w:sz w:val="18"/>
          <w:szCs w:val="18"/>
        </w:rPr>
      </w:pPr>
      <w:r w:rsidRPr="00DE2EB7">
        <w:rPr>
          <w:rStyle w:val="FootnoteReference"/>
          <w:sz w:val="18"/>
          <w:szCs w:val="18"/>
        </w:rPr>
        <w:footnoteRef/>
      </w:r>
      <w:r w:rsidRPr="00DE2EB7">
        <w:rPr>
          <w:sz w:val="18"/>
          <w:szCs w:val="18"/>
        </w:rPr>
        <w:t xml:space="preserve"> </w:t>
      </w:r>
      <w:r w:rsidRPr="00DE2EB7">
        <w:rPr>
          <w:rFonts w:cstheme="minorHAnsi"/>
          <w:sz w:val="18"/>
          <w:szCs w:val="18"/>
        </w:rPr>
        <w:t>Senate Economics References Committee</w:t>
      </w:r>
      <w:r>
        <w:rPr>
          <w:rFonts w:cstheme="minorHAnsi"/>
          <w:sz w:val="18"/>
          <w:szCs w:val="18"/>
        </w:rPr>
        <w:t xml:space="preserve"> 2015, </w:t>
      </w:r>
      <w:r w:rsidRPr="00DE2EB7">
        <w:rPr>
          <w:rFonts w:cstheme="minorHAnsi"/>
          <w:sz w:val="18"/>
          <w:szCs w:val="18"/>
        </w:rPr>
        <w:t>Insolvency in the Australian Construction Industry</w:t>
      </w:r>
      <w:r>
        <w:rPr>
          <w:rFonts w:cstheme="minorHAnsi"/>
          <w:sz w:val="18"/>
          <w:szCs w:val="18"/>
        </w:rPr>
        <w:t>: 'I Just Want to Be Paid'</w:t>
      </w:r>
      <w:r w:rsidRPr="00DE2EB7">
        <w:rPr>
          <w:rFonts w:cstheme="minorHAnsi"/>
          <w:sz w:val="18"/>
          <w:szCs w:val="18"/>
        </w:rPr>
        <w:t xml:space="preserve">, Canberra, p. xviii. Cited in </w:t>
      </w:r>
      <w:r w:rsidRPr="00DE2EB7">
        <w:rPr>
          <w:sz w:val="18"/>
          <w:szCs w:val="18"/>
        </w:rPr>
        <w:t xml:space="preserve">Australian Council of Trade Unions 2018, </w:t>
      </w:r>
      <w:r>
        <w:rPr>
          <w:sz w:val="18"/>
          <w:szCs w:val="18"/>
        </w:rPr>
        <w:t>w</w:t>
      </w:r>
      <w:r w:rsidRPr="00DE2EB7">
        <w:rPr>
          <w:sz w:val="18"/>
          <w:szCs w:val="18"/>
        </w:rPr>
        <w:t xml:space="preserve">ritten </w:t>
      </w:r>
      <w:r>
        <w:rPr>
          <w:sz w:val="18"/>
          <w:szCs w:val="18"/>
        </w:rPr>
        <w:t>s</w:t>
      </w:r>
      <w:r w:rsidRPr="00DE2EB7">
        <w:rPr>
          <w:sz w:val="18"/>
          <w:szCs w:val="18"/>
        </w:rPr>
        <w:t>ubmission</w:t>
      </w:r>
      <w:r w:rsidRPr="00DE2EB7">
        <w:rPr>
          <w:rFonts w:cstheme="minorHAnsi"/>
          <w:sz w:val="18"/>
          <w:szCs w:val="18"/>
        </w:rPr>
        <w:t>, p. 14.</w:t>
      </w:r>
    </w:p>
  </w:footnote>
  <w:footnote w:id="87">
    <w:p w14:paraId="4E46604B" w14:textId="221D0202" w:rsidR="009F2BC6" w:rsidRPr="007A3E27" w:rsidRDefault="009F2BC6" w:rsidP="00F92251">
      <w:pPr>
        <w:pStyle w:val="FootnoteText"/>
        <w:rPr>
          <w:sz w:val="18"/>
          <w:szCs w:val="18"/>
        </w:rPr>
      </w:pPr>
      <w:r w:rsidRPr="00C529FF">
        <w:rPr>
          <w:rStyle w:val="FootnoteReference"/>
          <w:sz w:val="18"/>
          <w:szCs w:val="18"/>
        </w:rPr>
        <w:footnoteRef/>
      </w:r>
      <w:r w:rsidRPr="00C529FF">
        <w:rPr>
          <w:sz w:val="18"/>
          <w:szCs w:val="18"/>
        </w:rPr>
        <w:t xml:space="preserve"> Australian Building and Constr</w:t>
      </w:r>
      <w:r>
        <w:rPr>
          <w:sz w:val="18"/>
          <w:szCs w:val="18"/>
        </w:rPr>
        <w:t>uction Commission, Security of P</w:t>
      </w:r>
      <w:r w:rsidRPr="00C529FF">
        <w:rPr>
          <w:sz w:val="18"/>
          <w:szCs w:val="18"/>
        </w:rPr>
        <w:t>ayment</w:t>
      </w:r>
      <w:r>
        <w:rPr>
          <w:sz w:val="18"/>
          <w:szCs w:val="18"/>
        </w:rPr>
        <w:t>:</w:t>
      </w:r>
      <w:r w:rsidRPr="00C529FF">
        <w:rPr>
          <w:sz w:val="18"/>
          <w:szCs w:val="18"/>
        </w:rPr>
        <w:t xml:space="preserve"> </w:t>
      </w:r>
      <w:r>
        <w:rPr>
          <w:sz w:val="18"/>
          <w:szCs w:val="18"/>
        </w:rPr>
        <w:t>Mandatory R</w:t>
      </w:r>
      <w:r w:rsidRPr="00C529FF">
        <w:rPr>
          <w:sz w:val="18"/>
          <w:szCs w:val="18"/>
        </w:rPr>
        <w:t xml:space="preserve">eporting of </w:t>
      </w:r>
      <w:r>
        <w:rPr>
          <w:sz w:val="18"/>
          <w:szCs w:val="18"/>
        </w:rPr>
        <w:t>D</w:t>
      </w:r>
      <w:r w:rsidRPr="00C529FF">
        <w:rPr>
          <w:sz w:val="18"/>
          <w:szCs w:val="18"/>
        </w:rPr>
        <w:t xml:space="preserve">isputed or </w:t>
      </w:r>
      <w:r>
        <w:rPr>
          <w:sz w:val="18"/>
          <w:szCs w:val="18"/>
        </w:rPr>
        <w:t>Delayed P</w:t>
      </w:r>
      <w:r w:rsidRPr="00C529FF">
        <w:rPr>
          <w:sz w:val="18"/>
          <w:szCs w:val="18"/>
        </w:rPr>
        <w:t>ayments, ABCC, Melbourne, viewed 3 October 2018, (</w:t>
      </w:r>
      <w:r w:rsidRPr="00C529FF">
        <w:rPr>
          <w:sz w:val="18"/>
          <w:szCs w:val="18"/>
          <w:u w:val="single"/>
        </w:rPr>
        <w:t>abcc.gov.au/building-code/security-payments</w:t>
      </w:r>
      <w:r w:rsidRPr="00C529FF">
        <w:rPr>
          <w:sz w:val="18"/>
          <w:szCs w:val="18"/>
        </w:rPr>
        <w:t>).</w:t>
      </w:r>
    </w:p>
  </w:footnote>
  <w:footnote w:id="88">
    <w:p w14:paraId="22C11EB2" w14:textId="6E1ACA8C" w:rsidR="009F2BC6" w:rsidRPr="00080C57" w:rsidRDefault="009F2BC6">
      <w:pPr>
        <w:pStyle w:val="FootnoteText"/>
        <w:rPr>
          <w:sz w:val="18"/>
          <w:szCs w:val="18"/>
        </w:rPr>
      </w:pPr>
      <w:r w:rsidRPr="00080C57">
        <w:rPr>
          <w:rStyle w:val="FootnoteReference"/>
          <w:sz w:val="18"/>
          <w:szCs w:val="18"/>
        </w:rPr>
        <w:footnoteRef/>
      </w:r>
      <w:r w:rsidRPr="00080C57">
        <w:rPr>
          <w:sz w:val="18"/>
          <w:szCs w:val="18"/>
        </w:rPr>
        <w:t xml:space="preserve"> Telephone interview with Civil Contractors Federation, 24 April 2018.</w:t>
      </w:r>
    </w:p>
  </w:footnote>
  <w:footnote w:id="89">
    <w:p w14:paraId="65C3452A" w14:textId="5D832EDE" w:rsidR="009F2BC6" w:rsidRPr="007D1FBE" w:rsidRDefault="009F2BC6">
      <w:pPr>
        <w:pStyle w:val="FootnoteText"/>
        <w:rPr>
          <w:rFonts w:cstheme="minorHAnsi"/>
          <w:color w:val="000000"/>
          <w:sz w:val="18"/>
          <w:szCs w:val="18"/>
        </w:rPr>
      </w:pPr>
      <w:r w:rsidRPr="007D1FBE">
        <w:rPr>
          <w:rStyle w:val="FootnoteReference"/>
          <w:sz w:val="18"/>
          <w:szCs w:val="18"/>
        </w:rPr>
        <w:footnoteRef/>
      </w:r>
      <w:r w:rsidRPr="007D1FBE">
        <w:rPr>
          <w:sz w:val="18"/>
          <w:szCs w:val="18"/>
        </w:rPr>
        <w:t xml:space="preserve"> </w:t>
      </w:r>
      <w:r w:rsidRPr="007D1FBE">
        <w:rPr>
          <w:rFonts w:cstheme="minorHAnsi"/>
          <w:sz w:val="18"/>
          <w:szCs w:val="18"/>
        </w:rPr>
        <w:t>Subsection</w:t>
      </w:r>
      <w:r w:rsidRPr="007D1FBE">
        <w:rPr>
          <w:rFonts w:cstheme="minorHAnsi"/>
          <w:color w:val="000000"/>
          <w:sz w:val="18"/>
          <w:szCs w:val="18"/>
        </w:rPr>
        <w:t> 11D(1)(f) of the 2016 Code already requires code-covered entities to notify the ABCC in such situations. Hence, it is not clear what practical effect such a change would have.</w:t>
      </w:r>
    </w:p>
  </w:footnote>
  <w:footnote w:id="90">
    <w:p w14:paraId="0F41466F" w14:textId="559DA1D6" w:rsidR="009F2BC6" w:rsidRPr="009673FD" w:rsidRDefault="009F2BC6" w:rsidP="0011262E">
      <w:pPr>
        <w:pStyle w:val="FootnoteText"/>
        <w:rPr>
          <w:sz w:val="18"/>
          <w:szCs w:val="18"/>
        </w:rPr>
      </w:pPr>
      <w:r w:rsidRPr="009673FD">
        <w:rPr>
          <w:rStyle w:val="FootnoteReference"/>
          <w:sz w:val="18"/>
          <w:szCs w:val="18"/>
        </w:rPr>
        <w:footnoteRef/>
      </w:r>
      <w:r w:rsidRPr="009673FD">
        <w:rPr>
          <w:sz w:val="18"/>
          <w:szCs w:val="18"/>
        </w:rPr>
        <w:t xml:space="preserve"> Other options are also available in this regard, including template legislation, legislation ‘by reference’ and harmonisation based on agreed ‘common essential requirements’.</w:t>
      </w:r>
    </w:p>
  </w:footnote>
  <w:footnote w:id="91">
    <w:p w14:paraId="5637D28F" w14:textId="0AF37F01" w:rsidR="009F2BC6" w:rsidRPr="009673FD" w:rsidRDefault="009F2BC6">
      <w:pPr>
        <w:pStyle w:val="FootnoteText"/>
        <w:rPr>
          <w:sz w:val="18"/>
          <w:szCs w:val="18"/>
        </w:rPr>
      </w:pPr>
      <w:r w:rsidRPr="009673FD">
        <w:rPr>
          <w:rStyle w:val="FootnoteReference"/>
          <w:sz w:val="18"/>
          <w:szCs w:val="18"/>
        </w:rPr>
        <w:footnoteRef/>
      </w:r>
      <w:r w:rsidRPr="009673FD">
        <w:rPr>
          <w:sz w:val="18"/>
          <w:szCs w:val="18"/>
        </w:rPr>
        <w:t xml:space="preserve"> </w:t>
      </w:r>
      <w:r w:rsidRPr="009673FD">
        <w:rPr>
          <w:rFonts w:cstheme="minorHAnsi"/>
          <w:sz w:val="18"/>
          <w:szCs w:val="18"/>
        </w:rPr>
        <w:t xml:space="preserve">See </w:t>
      </w:r>
      <w:r w:rsidRPr="009673FD">
        <w:rPr>
          <w:sz w:val="18"/>
          <w:szCs w:val="18"/>
        </w:rPr>
        <w:t>Consultation.</w:t>
      </w:r>
    </w:p>
  </w:footnote>
  <w:footnote w:id="92">
    <w:p w14:paraId="3695A7AB" w14:textId="41EFE840" w:rsidR="009F2BC6" w:rsidRPr="003045B9" w:rsidRDefault="009F2BC6">
      <w:pPr>
        <w:pStyle w:val="FootnoteText"/>
        <w:rPr>
          <w:sz w:val="18"/>
          <w:szCs w:val="18"/>
        </w:rPr>
      </w:pPr>
      <w:r w:rsidRPr="003045B9">
        <w:rPr>
          <w:rStyle w:val="FootnoteReference"/>
          <w:sz w:val="18"/>
          <w:szCs w:val="18"/>
        </w:rPr>
        <w:footnoteRef/>
      </w:r>
      <w:r w:rsidRPr="003045B9">
        <w:rPr>
          <w:sz w:val="18"/>
          <w:szCs w:val="18"/>
        </w:rPr>
        <w:t xml:space="preserve"> Terms of reference for the r</w:t>
      </w:r>
      <w:r>
        <w:rPr>
          <w:sz w:val="18"/>
          <w:szCs w:val="18"/>
        </w:rPr>
        <w:t>eview were approved in December </w:t>
      </w:r>
      <w:r w:rsidRPr="003045B9">
        <w:rPr>
          <w:sz w:val="18"/>
          <w:szCs w:val="18"/>
        </w:rPr>
        <w:t>2017, prior to the anniversary of the commencement of the BCIIP Act. However, the process of appointing a reviewer was not completed until February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D2E69" w14:textId="77777777" w:rsidR="009F2BC6" w:rsidRDefault="009F2BC6" w:rsidP="00F91B6C">
    <w:pPr>
      <w:pStyle w:val="Header"/>
      <w:jc w:val="right"/>
    </w:pPr>
    <w:r w:rsidRPr="007C6AB3">
      <w:t xml:space="preserve">Review of the </w:t>
    </w:r>
    <w:r w:rsidRPr="007C6AB3">
      <w:rPr>
        <w:i/>
      </w:rPr>
      <w:t>Building and Construction Industry (Improving Productivity) Act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2A695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9F665B"/>
    <w:multiLevelType w:val="hybridMultilevel"/>
    <w:tmpl w:val="21F2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046FF3"/>
    <w:multiLevelType w:val="multilevel"/>
    <w:tmpl w:val="DE18CE86"/>
    <w:lvl w:ilvl="0">
      <w:start w:val="1"/>
      <w:numFmt w:val="decimal"/>
      <w:lvlText w:val="%1."/>
      <w:lvlJc w:val="left"/>
      <w:pPr>
        <w:ind w:left="450" w:hanging="45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EB6AFE"/>
    <w:multiLevelType w:val="hybridMultilevel"/>
    <w:tmpl w:val="D320095A"/>
    <w:lvl w:ilvl="0" w:tplc="2A821CB0">
      <w:start w:val="1"/>
      <w:numFmt w:val="lowerRoman"/>
      <w:lvlText w:val="(%1)"/>
      <w:lvlJc w:val="lef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0C7490"/>
    <w:multiLevelType w:val="hybridMultilevel"/>
    <w:tmpl w:val="0A74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15:restartNumberingAfterBreak="0">
    <w:nsid w:val="172F1775"/>
    <w:multiLevelType w:val="hybridMultilevel"/>
    <w:tmpl w:val="87FC68C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2B53C0"/>
    <w:multiLevelType w:val="hybridMultilevel"/>
    <w:tmpl w:val="87FC68C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DB00AF"/>
    <w:multiLevelType w:val="multilevel"/>
    <w:tmpl w:val="5BA685C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7034F6"/>
    <w:multiLevelType w:val="hybridMultilevel"/>
    <w:tmpl w:val="CACED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543ADE"/>
    <w:multiLevelType w:val="hybridMultilevel"/>
    <w:tmpl w:val="2F88E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EE0AE4"/>
    <w:multiLevelType w:val="multilevel"/>
    <w:tmpl w:val="01D6F1A6"/>
    <w:styleLink w:val="NumberedList"/>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7422D48"/>
    <w:multiLevelType w:val="multilevel"/>
    <w:tmpl w:val="BE26424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CA66831"/>
    <w:multiLevelType w:val="hybridMultilevel"/>
    <w:tmpl w:val="F61C3C9C"/>
    <w:lvl w:ilvl="0" w:tplc="87AC4F3A">
      <w:start w:val="1"/>
      <w:numFmt w:val="decimal"/>
      <w:lvlText w:val="5.2.%1."/>
      <w:lvlJc w:val="left"/>
      <w:pPr>
        <w:ind w:left="720" w:hanging="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EB1553"/>
    <w:multiLevelType w:val="multilevel"/>
    <w:tmpl w:val="039827E2"/>
    <w:lvl w:ilvl="0">
      <w:start w:val="1"/>
      <w:numFmt w:val="decimal"/>
      <w:lvlText w:val="%1."/>
      <w:lvlJc w:val="left"/>
      <w:pPr>
        <w:ind w:left="450" w:hanging="45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6AC025C"/>
    <w:multiLevelType w:val="hybridMultilevel"/>
    <w:tmpl w:val="AB8C9646"/>
    <w:lvl w:ilvl="0" w:tplc="879CF878">
      <w:start w:val="1"/>
      <w:numFmt w:val="decimal"/>
      <w:lvlText w:val="5.1.%1."/>
      <w:lvlJc w:val="left"/>
      <w:pPr>
        <w:ind w:left="720" w:hanging="36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832216"/>
    <w:multiLevelType w:val="multilevel"/>
    <w:tmpl w:val="AE4E5410"/>
    <w:lvl w:ilvl="0">
      <w:start w:val="1"/>
      <w:numFmt w:val="decimal"/>
      <w:lvlText w:val="%1."/>
      <w:lvlJc w:val="left"/>
      <w:pPr>
        <w:ind w:left="450" w:hanging="45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B845B40"/>
    <w:multiLevelType w:val="hybridMultilevel"/>
    <w:tmpl w:val="FB8E2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B14D42"/>
    <w:multiLevelType w:val="hybridMultilevel"/>
    <w:tmpl w:val="B89498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ED635D"/>
    <w:multiLevelType w:val="multilevel"/>
    <w:tmpl w:val="4EB045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259547F"/>
    <w:multiLevelType w:val="hybridMultilevel"/>
    <w:tmpl w:val="ACD8622E"/>
    <w:lvl w:ilvl="0" w:tplc="0C090017">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1" w15:restartNumberingAfterBreak="0">
    <w:nsid w:val="568F05C6"/>
    <w:multiLevelType w:val="hybridMultilevel"/>
    <w:tmpl w:val="43A6C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DE53C3"/>
    <w:multiLevelType w:val="multilevel"/>
    <w:tmpl w:val="83421E08"/>
    <w:lvl w:ilvl="0">
      <w:start w:val="1"/>
      <w:numFmt w:val="decimal"/>
      <w:lvlText w:val="%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90B2610"/>
    <w:multiLevelType w:val="hybridMultilevel"/>
    <w:tmpl w:val="C6D6B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5778EA"/>
    <w:multiLevelType w:val="hybridMultilevel"/>
    <w:tmpl w:val="335EFFC4"/>
    <w:lvl w:ilvl="0" w:tplc="6E42450C">
      <w:start w:val="1"/>
      <w:numFmt w:val="decimal"/>
      <w:lvlText w:val="2.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13A20C8"/>
    <w:multiLevelType w:val="multilevel"/>
    <w:tmpl w:val="8FBE0AEE"/>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F7F01FB"/>
    <w:multiLevelType w:val="hybridMultilevel"/>
    <w:tmpl w:val="C77A093A"/>
    <w:lvl w:ilvl="0" w:tplc="395E13C6">
      <w:numFmt w:val="bullet"/>
      <w:lvlText w:val=""/>
      <w:lvlJc w:val="left"/>
      <w:pPr>
        <w:ind w:left="720" w:hanging="360"/>
      </w:pPr>
      <w:rPr>
        <w:rFonts w:ascii="Symbol" w:eastAsiaTheme="minorHAnsi" w:hAnsi="Symbol"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5"/>
  </w:num>
  <w:num w:numId="4">
    <w:abstractNumId w:val="26"/>
  </w:num>
  <w:num w:numId="5">
    <w:abstractNumId w:val="19"/>
  </w:num>
  <w:num w:numId="6">
    <w:abstractNumId w:val="4"/>
  </w:num>
  <w:num w:numId="7">
    <w:abstractNumId w:val="7"/>
  </w:num>
  <w:num w:numId="8">
    <w:abstractNumId w:val="18"/>
  </w:num>
  <w:num w:numId="9">
    <w:abstractNumId w:val="21"/>
  </w:num>
  <w:num w:numId="10">
    <w:abstractNumId w:val="12"/>
  </w:num>
  <w:num w:numId="11">
    <w:abstractNumId w:val="1"/>
  </w:num>
  <w:num w:numId="12">
    <w:abstractNumId w:val="10"/>
  </w:num>
  <w:num w:numId="13">
    <w:abstractNumId w:val="9"/>
  </w:num>
  <w:num w:numId="14">
    <w:abstractNumId w:val="3"/>
  </w:num>
  <w:num w:numId="15">
    <w:abstractNumId w:val="17"/>
  </w:num>
  <w:num w:numId="16">
    <w:abstractNumId w:val="23"/>
  </w:num>
  <w:num w:numId="17">
    <w:abstractNumId w:val="14"/>
  </w:num>
  <w:num w:numId="18">
    <w:abstractNumId w:val="24"/>
  </w:num>
  <w:num w:numId="19">
    <w:abstractNumId w:val="8"/>
  </w:num>
  <w:num w:numId="20">
    <w:abstractNumId w:val="22"/>
  </w:num>
  <w:num w:numId="21">
    <w:abstractNumId w:val="2"/>
  </w:num>
  <w:num w:numId="22">
    <w:abstractNumId w:val="20"/>
  </w:num>
  <w:num w:numId="23">
    <w:abstractNumId w:val="16"/>
  </w:num>
  <w:num w:numId="24">
    <w:abstractNumId w:val="15"/>
  </w:num>
  <w:num w:numId="25">
    <w:abstractNumId w:val="13"/>
  </w:num>
  <w:num w:numId="26">
    <w:abstractNumId w:val="6"/>
  </w:num>
  <w:num w:numId="27">
    <w:abstractNumId w:val="0"/>
  </w:num>
  <w:num w:numId="2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7A2"/>
    <w:rsid w:val="000005A9"/>
    <w:rsid w:val="00001FB2"/>
    <w:rsid w:val="00002C61"/>
    <w:rsid w:val="00003170"/>
    <w:rsid w:val="00007C07"/>
    <w:rsid w:val="000100E8"/>
    <w:rsid w:val="000107E6"/>
    <w:rsid w:val="0001534A"/>
    <w:rsid w:val="000218CE"/>
    <w:rsid w:val="0002331C"/>
    <w:rsid w:val="00023EF6"/>
    <w:rsid w:val="00025DFC"/>
    <w:rsid w:val="00025FEE"/>
    <w:rsid w:val="00026CB6"/>
    <w:rsid w:val="00026E1D"/>
    <w:rsid w:val="00027069"/>
    <w:rsid w:val="000276A3"/>
    <w:rsid w:val="0002775E"/>
    <w:rsid w:val="00027D4E"/>
    <w:rsid w:val="00030165"/>
    <w:rsid w:val="00031783"/>
    <w:rsid w:val="00031D1E"/>
    <w:rsid w:val="00032C23"/>
    <w:rsid w:val="00032FD1"/>
    <w:rsid w:val="00033B13"/>
    <w:rsid w:val="00034E14"/>
    <w:rsid w:val="000350F4"/>
    <w:rsid w:val="00036C11"/>
    <w:rsid w:val="00036CD3"/>
    <w:rsid w:val="000378F8"/>
    <w:rsid w:val="00037D56"/>
    <w:rsid w:val="000411FF"/>
    <w:rsid w:val="000412AC"/>
    <w:rsid w:val="0004159E"/>
    <w:rsid w:val="00042019"/>
    <w:rsid w:val="000474D8"/>
    <w:rsid w:val="000516C1"/>
    <w:rsid w:val="000524A5"/>
    <w:rsid w:val="00052657"/>
    <w:rsid w:val="00052872"/>
    <w:rsid w:val="00053765"/>
    <w:rsid w:val="00053E2D"/>
    <w:rsid w:val="00056F60"/>
    <w:rsid w:val="00060C5C"/>
    <w:rsid w:val="00062661"/>
    <w:rsid w:val="0006311E"/>
    <w:rsid w:val="00063380"/>
    <w:rsid w:val="00063683"/>
    <w:rsid w:val="00064B5F"/>
    <w:rsid w:val="000666AD"/>
    <w:rsid w:val="00071922"/>
    <w:rsid w:val="000740DF"/>
    <w:rsid w:val="0007629E"/>
    <w:rsid w:val="00076AF2"/>
    <w:rsid w:val="00076C3E"/>
    <w:rsid w:val="00077D35"/>
    <w:rsid w:val="00080C57"/>
    <w:rsid w:val="00082071"/>
    <w:rsid w:val="00083D7E"/>
    <w:rsid w:val="00084A9F"/>
    <w:rsid w:val="00084BA8"/>
    <w:rsid w:val="000851AC"/>
    <w:rsid w:val="000876E3"/>
    <w:rsid w:val="000879CC"/>
    <w:rsid w:val="00091247"/>
    <w:rsid w:val="00092225"/>
    <w:rsid w:val="000930DC"/>
    <w:rsid w:val="0009444F"/>
    <w:rsid w:val="000955C8"/>
    <w:rsid w:val="00095A08"/>
    <w:rsid w:val="00096C3B"/>
    <w:rsid w:val="00097DA8"/>
    <w:rsid w:val="000A009D"/>
    <w:rsid w:val="000A4664"/>
    <w:rsid w:val="000A4776"/>
    <w:rsid w:val="000A54B6"/>
    <w:rsid w:val="000A6AD3"/>
    <w:rsid w:val="000B081C"/>
    <w:rsid w:val="000B41D1"/>
    <w:rsid w:val="000B4E14"/>
    <w:rsid w:val="000B4F03"/>
    <w:rsid w:val="000B75CA"/>
    <w:rsid w:val="000C0CF7"/>
    <w:rsid w:val="000C0D93"/>
    <w:rsid w:val="000C2F07"/>
    <w:rsid w:val="000C3819"/>
    <w:rsid w:val="000C407E"/>
    <w:rsid w:val="000C4C40"/>
    <w:rsid w:val="000C4F81"/>
    <w:rsid w:val="000C51A7"/>
    <w:rsid w:val="000C6DC3"/>
    <w:rsid w:val="000C7A9D"/>
    <w:rsid w:val="000C7EA8"/>
    <w:rsid w:val="000D0377"/>
    <w:rsid w:val="000D2A9E"/>
    <w:rsid w:val="000D4D6E"/>
    <w:rsid w:val="000D5410"/>
    <w:rsid w:val="000D610F"/>
    <w:rsid w:val="000D6716"/>
    <w:rsid w:val="000D6BB1"/>
    <w:rsid w:val="000D7AA9"/>
    <w:rsid w:val="000E0031"/>
    <w:rsid w:val="000E090E"/>
    <w:rsid w:val="000E17CB"/>
    <w:rsid w:val="000E2083"/>
    <w:rsid w:val="000E316E"/>
    <w:rsid w:val="000E44A9"/>
    <w:rsid w:val="000E7F1A"/>
    <w:rsid w:val="000F0887"/>
    <w:rsid w:val="000F0D2F"/>
    <w:rsid w:val="000F370C"/>
    <w:rsid w:val="000F3EB5"/>
    <w:rsid w:val="000F63D7"/>
    <w:rsid w:val="00101B60"/>
    <w:rsid w:val="00101BA5"/>
    <w:rsid w:val="00101E82"/>
    <w:rsid w:val="001025C9"/>
    <w:rsid w:val="00104B67"/>
    <w:rsid w:val="00104E88"/>
    <w:rsid w:val="00105B26"/>
    <w:rsid w:val="00106CE5"/>
    <w:rsid w:val="00106ED6"/>
    <w:rsid w:val="00106F25"/>
    <w:rsid w:val="00107135"/>
    <w:rsid w:val="0010721E"/>
    <w:rsid w:val="00110BB7"/>
    <w:rsid w:val="00110C1A"/>
    <w:rsid w:val="00110E67"/>
    <w:rsid w:val="001124BA"/>
    <w:rsid w:val="0011262E"/>
    <w:rsid w:val="00113497"/>
    <w:rsid w:val="00113E16"/>
    <w:rsid w:val="0011411A"/>
    <w:rsid w:val="00115D64"/>
    <w:rsid w:val="00116167"/>
    <w:rsid w:val="0011645A"/>
    <w:rsid w:val="00121EC2"/>
    <w:rsid w:val="0012207D"/>
    <w:rsid w:val="00126F35"/>
    <w:rsid w:val="00126F3D"/>
    <w:rsid w:val="0012704A"/>
    <w:rsid w:val="00131E02"/>
    <w:rsid w:val="001334EB"/>
    <w:rsid w:val="00133E1B"/>
    <w:rsid w:val="001365AC"/>
    <w:rsid w:val="00143E2A"/>
    <w:rsid w:val="0014478E"/>
    <w:rsid w:val="00144CD3"/>
    <w:rsid w:val="00145F0B"/>
    <w:rsid w:val="00151185"/>
    <w:rsid w:val="0015160D"/>
    <w:rsid w:val="00151A78"/>
    <w:rsid w:val="00153D41"/>
    <w:rsid w:val="001541AB"/>
    <w:rsid w:val="00156C98"/>
    <w:rsid w:val="00161FB7"/>
    <w:rsid w:val="00162041"/>
    <w:rsid w:val="0016323C"/>
    <w:rsid w:val="001703D1"/>
    <w:rsid w:val="001706DB"/>
    <w:rsid w:val="0017077E"/>
    <w:rsid w:val="00171016"/>
    <w:rsid w:val="0017349F"/>
    <w:rsid w:val="00173E54"/>
    <w:rsid w:val="00175EC7"/>
    <w:rsid w:val="00181AAC"/>
    <w:rsid w:val="00181D24"/>
    <w:rsid w:val="001857F4"/>
    <w:rsid w:val="00185F7C"/>
    <w:rsid w:val="0018648B"/>
    <w:rsid w:val="00190A6A"/>
    <w:rsid w:val="00190E01"/>
    <w:rsid w:val="00192C92"/>
    <w:rsid w:val="001936A0"/>
    <w:rsid w:val="00193A4A"/>
    <w:rsid w:val="00193B5A"/>
    <w:rsid w:val="00195961"/>
    <w:rsid w:val="00197841"/>
    <w:rsid w:val="001A0E04"/>
    <w:rsid w:val="001A1262"/>
    <w:rsid w:val="001A18CA"/>
    <w:rsid w:val="001A2A03"/>
    <w:rsid w:val="001A3A8E"/>
    <w:rsid w:val="001A63F9"/>
    <w:rsid w:val="001A64BA"/>
    <w:rsid w:val="001A6B47"/>
    <w:rsid w:val="001A7A9B"/>
    <w:rsid w:val="001B1218"/>
    <w:rsid w:val="001B14B8"/>
    <w:rsid w:val="001B1997"/>
    <w:rsid w:val="001B50F1"/>
    <w:rsid w:val="001B5F50"/>
    <w:rsid w:val="001B7237"/>
    <w:rsid w:val="001C0E09"/>
    <w:rsid w:val="001C1E06"/>
    <w:rsid w:val="001C239E"/>
    <w:rsid w:val="001C48C1"/>
    <w:rsid w:val="001C50B4"/>
    <w:rsid w:val="001C6B20"/>
    <w:rsid w:val="001C713A"/>
    <w:rsid w:val="001C7BFF"/>
    <w:rsid w:val="001D3668"/>
    <w:rsid w:val="001D420F"/>
    <w:rsid w:val="001D426E"/>
    <w:rsid w:val="001D7E63"/>
    <w:rsid w:val="001E22AA"/>
    <w:rsid w:val="001E28AF"/>
    <w:rsid w:val="001E2D49"/>
    <w:rsid w:val="001E30C4"/>
    <w:rsid w:val="001E346A"/>
    <w:rsid w:val="001E476A"/>
    <w:rsid w:val="001E5812"/>
    <w:rsid w:val="001F3180"/>
    <w:rsid w:val="001F51D6"/>
    <w:rsid w:val="001F56B7"/>
    <w:rsid w:val="001F70B2"/>
    <w:rsid w:val="001F7738"/>
    <w:rsid w:val="0020074E"/>
    <w:rsid w:val="0020123A"/>
    <w:rsid w:val="00201F36"/>
    <w:rsid w:val="00204682"/>
    <w:rsid w:val="00207698"/>
    <w:rsid w:val="00207BF3"/>
    <w:rsid w:val="0021163A"/>
    <w:rsid w:val="0022169B"/>
    <w:rsid w:val="00222956"/>
    <w:rsid w:val="00223F1E"/>
    <w:rsid w:val="00224D38"/>
    <w:rsid w:val="00231CD5"/>
    <w:rsid w:val="00232FBE"/>
    <w:rsid w:val="00233384"/>
    <w:rsid w:val="002345C4"/>
    <w:rsid w:val="00236A3B"/>
    <w:rsid w:val="002375E3"/>
    <w:rsid w:val="00240706"/>
    <w:rsid w:val="00241F1D"/>
    <w:rsid w:val="0024272E"/>
    <w:rsid w:val="0024565D"/>
    <w:rsid w:val="00245C22"/>
    <w:rsid w:val="00246126"/>
    <w:rsid w:val="00247B0D"/>
    <w:rsid w:val="00247F1D"/>
    <w:rsid w:val="00250632"/>
    <w:rsid w:val="00251CD6"/>
    <w:rsid w:val="002527A1"/>
    <w:rsid w:val="0025280C"/>
    <w:rsid w:val="00252F76"/>
    <w:rsid w:val="0025432F"/>
    <w:rsid w:val="002556CE"/>
    <w:rsid w:val="00255C65"/>
    <w:rsid w:val="002566A2"/>
    <w:rsid w:val="0026171C"/>
    <w:rsid w:val="00262F9F"/>
    <w:rsid w:val="0026440D"/>
    <w:rsid w:val="00265E93"/>
    <w:rsid w:val="00266369"/>
    <w:rsid w:val="002664A9"/>
    <w:rsid w:val="002665D8"/>
    <w:rsid w:val="00267ED5"/>
    <w:rsid w:val="00272DA4"/>
    <w:rsid w:val="00273660"/>
    <w:rsid w:val="002754AD"/>
    <w:rsid w:val="00275A2B"/>
    <w:rsid w:val="00276C2E"/>
    <w:rsid w:val="00280D84"/>
    <w:rsid w:val="00281200"/>
    <w:rsid w:val="002816FA"/>
    <w:rsid w:val="00281A6E"/>
    <w:rsid w:val="0028230C"/>
    <w:rsid w:val="00283854"/>
    <w:rsid w:val="002850C2"/>
    <w:rsid w:val="0028630D"/>
    <w:rsid w:val="00294112"/>
    <w:rsid w:val="002945E9"/>
    <w:rsid w:val="0029544B"/>
    <w:rsid w:val="00295D0A"/>
    <w:rsid w:val="00297685"/>
    <w:rsid w:val="002976F0"/>
    <w:rsid w:val="00297C0A"/>
    <w:rsid w:val="002A1D89"/>
    <w:rsid w:val="002A2199"/>
    <w:rsid w:val="002A261D"/>
    <w:rsid w:val="002A30A1"/>
    <w:rsid w:val="002A51B7"/>
    <w:rsid w:val="002A54ED"/>
    <w:rsid w:val="002A58D4"/>
    <w:rsid w:val="002A646E"/>
    <w:rsid w:val="002B0465"/>
    <w:rsid w:val="002B1616"/>
    <w:rsid w:val="002B25F6"/>
    <w:rsid w:val="002B2AC9"/>
    <w:rsid w:val="002B4A0C"/>
    <w:rsid w:val="002B5E57"/>
    <w:rsid w:val="002B70FF"/>
    <w:rsid w:val="002C2D54"/>
    <w:rsid w:val="002C368B"/>
    <w:rsid w:val="002D251C"/>
    <w:rsid w:val="002D5359"/>
    <w:rsid w:val="002E5C95"/>
    <w:rsid w:val="002F1171"/>
    <w:rsid w:val="002F2D36"/>
    <w:rsid w:val="002F4CCF"/>
    <w:rsid w:val="002F53C2"/>
    <w:rsid w:val="002F566A"/>
    <w:rsid w:val="002F6DA5"/>
    <w:rsid w:val="002F6E3F"/>
    <w:rsid w:val="002F7032"/>
    <w:rsid w:val="002F7128"/>
    <w:rsid w:val="002F725C"/>
    <w:rsid w:val="00302DD2"/>
    <w:rsid w:val="003033D0"/>
    <w:rsid w:val="003045B9"/>
    <w:rsid w:val="003047B9"/>
    <w:rsid w:val="003058F0"/>
    <w:rsid w:val="00305AEA"/>
    <w:rsid w:val="00305EFE"/>
    <w:rsid w:val="00305F35"/>
    <w:rsid w:val="00305F6C"/>
    <w:rsid w:val="0030684D"/>
    <w:rsid w:val="00306898"/>
    <w:rsid w:val="003105F8"/>
    <w:rsid w:val="0031140B"/>
    <w:rsid w:val="00312526"/>
    <w:rsid w:val="003158A8"/>
    <w:rsid w:val="00316530"/>
    <w:rsid w:val="00317599"/>
    <w:rsid w:val="00320071"/>
    <w:rsid w:val="0032131D"/>
    <w:rsid w:val="00324296"/>
    <w:rsid w:val="00324471"/>
    <w:rsid w:val="00327AB5"/>
    <w:rsid w:val="003301DA"/>
    <w:rsid w:val="003315C1"/>
    <w:rsid w:val="003317D3"/>
    <w:rsid w:val="00334C2F"/>
    <w:rsid w:val="0033587A"/>
    <w:rsid w:val="00336934"/>
    <w:rsid w:val="00336F72"/>
    <w:rsid w:val="00337B87"/>
    <w:rsid w:val="00340885"/>
    <w:rsid w:val="00343659"/>
    <w:rsid w:val="003439A3"/>
    <w:rsid w:val="0034425C"/>
    <w:rsid w:val="0034440D"/>
    <w:rsid w:val="00344444"/>
    <w:rsid w:val="00344F12"/>
    <w:rsid w:val="0035033A"/>
    <w:rsid w:val="0035109D"/>
    <w:rsid w:val="0035211C"/>
    <w:rsid w:val="00353313"/>
    <w:rsid w:val="00353377"/>
    <w:rsid w:val="00353533"/>
    <w:rsid w:val="00355825"/>
    <w:rsid w:val="00355E0E"/>
    <w:rsid w:val="00357138"/>
    <w:rsid w:val="003603CC"/>
    <w:rsid w:val="003603EC"/>
    <w:rsid w:val="003620BD"/>
    <w:rsid w:val="003622F9"/>
    <w:rsid w:val="003626FC"/>
    <w:rsid w:val="00363273"/>
    <w:rsid w:val="003634F4"/>
    <w:rsid w:val="00363BEF"/>
    <w:rsid w:val="00364CEE"/>
    <w:rsid w:val="00365A1E"/>
    <w:rsid w:val="00370B6F"/>
    <w:rsid w:val="003716DF"/>
    <w:rsid w:val="00371E44"/>
    <w:rsid w:val="003733FB"/>
    <w:rsid w:val="0037393E"/>
    <w:rsid w:val="00375C56"/>
    <w:rsid w:val="0037632A"/>
    <w:rsid w:val="00377733"/>
    <w:rsid w:val="00380906"/>
    <w:rsid w:val="003816B6"/>
    <w:rsid w:val="00381E43"/>
    <w:rsid w:val="0038351B"/>
    <w:rsid w:val="00383F12"/>
    <w:rsid w:val="00384FAD"/>
    <w:rsid w:val="0038537A"/>
    <w:rsid w:val="003875A1"/>
    <w:rsid w:val="003876B4"/>
    <w:rsid w:val="003879A6"/>
    <w:rsid w:val="0039291E"/>
    <w:rsid w:val="00393A31"/>
    <w:rsid w:val="0039462D"/>
    <w:rsid w:val="00395704"/>
    <w:rsid w:val="003962EE"/>
    <w:rsid w:val="00396689"/>
    <w:rsid w:val="00396ABE"/>
    <w:rsid w:val="003A0F47"/>
    <w:rsid w:val="003A2A9D"/>
    <w:rsid w:val="003A7F8B"/>
    <w:rsid w:val="003B01EB"/>
    <w:rsid w:val="003B07A4"/>
    <w:rsid w:val="003B2F9B"/>
    <w:rsid w:val="003B3B06"/>
    <w:rsid w:val="003B3BFA"/>
    <w:rsid w:val="003B47C6"/>
    <w:rsid w:val="003B5677"/>
    <w:rsid w:val="003B718B"/>
    <w:rsid w:val="003B71CC"/>
    <w:rsid w:val="003C2CE2"/>
    <w:rsid w:val="003C3909"/>
    <w:rsid w:val="003C43D0"/>
    <w:rsid w:val="003C4468"/>
    <w:rsid w:val="003C6087"/>
    <w:rsid w:val="003D0ABD"/>
    <w:rsid w:val="003D0AE7"/>
    <w:rsid w:val="003D0E2B"/>
    <w:rsid w:val="003D2D5D"/>
    <w:rsid w:val="003D50EF"/>
    <w:rsid w:val="003D58FD"/>
    <w:rsid w:val="003D6CB9"/>
    <w:rsid w:val="003D7B12"/>
    <w:rsid w:val="003E3EF8"/>
    <w:rsid w:val="003E5786"/>
    <w:rsid w:val="003F0ABC"/>
    <w:rsid w:val="003F1567"/>
    <w:rsid w:val="003F2A63"/>
    <w:rsid w:val="003F3DC1"/>
    <w:rsid w:val="003F4BEA"/>
    <w:rsid w:val="003F4CBC"/>
    <w:rsid w:val="003F5B23"/>
    <w:rsid w:val="004011EC"/>
    <w:rsid w:val="004026E7"/>
    <w:rsid w:val="004035D3"/>
    <w:rsid w:val="00403AD9"/>
    <w:rsid w:val="00404578"/>
    <w:rsid w:val="004048A8"/>
    <w:rsid w:val="00405896"/>
    <w:rsid w:val="00406960"/>
    <w:rsid w:val="00407B52"/>
    <w:rsid w:val="0041201E"/>
    <w:rsid w:val="004134C4"/>
    <w:rsid w:val="00415838"/>
    <w:rsid w:val="004168A6"/>
    <w:rsid w:val="00417BAD"/>
    <w:rsid w:val="00421775"/>
    <w:rsid w:val="004225BB"/>
    <w:rsid w:val="00424123"/>
    <w:rsid w:val="00425E6C"/>
    <w:rsid w:val="004266B5"/>
    <w:rsid w:val="00426DA3"/>
    <w:rsid w:val="004278F6"/>
    <w:rsid w:val="00430C4D"/>
    <w:rsid w:val="00431DB9"/>
    <w:rsid w:val="004334B0"/>
    <w:rsid w:val="00434326"/>
    <w:rsid w:val="00436C2C"/>
    <w:rsid w:val="00441502"/>
    <w:rsid w:val="00442281"/>
    <w:rsid w:val="004446AE"/>
    <w:rsid w:val="00444799"/>
    <w:rsid w:val="004449A4"/>
    <w:rsid w:val="00445671"/>
    <w:rsid w:val="00445A84"/>
    <w:rsid w:val="004500EA"/>
    <w:rsid w:val="00452FD8"/>
    <w:rsid w:val="004559D4"/>
    <w:rsid w:val="00457BD7"/>
    <w:rsid w:val="00457FDA"/>
    <w:rsid w:val="0046073E"/>
    <w:rsid w:val="00461823"/>
    <w:rsid w:val="0046222F"/>
    <w:rsid w:val="0046266D"/>
    <w:rsid w:val="00463F6D"/>
    <w:rsid w:val="004657B7"/>
    <w:rsid w:val="00466034"/>
    <w:rsid w:val="004661B2"/>
    <w:rsid w:val="00467CC4"/>
    <w:rsid w:val="004700C5"/>
    <w:rsid w:val="00470579"/>
    <w:rsid w:val="004706A4"/>
    <w:rsid w:val="004713D2"/>
    <w:rsid w:val="00472268"/>
    <w:rsid w:val="004737D6"/>
    <w:rsid w:val="00473944"/>
    <w:rsid w:val="004741B6"/>
    <w:rsid w:val="004744BA"/>
    <w:rsid w:val="00474824"/>
    <w:rsid w:val="00474EEF"/>
    <w:rsid w:val="0047528A"/>
    <w:rsid w:val="004754A6"/>
    <w:rsid w:val="0047729C"/>
    <w:rsid w:val="00480A7F"/>
    <w:rsid w:val="004810AC"/>
    <w:rsid w:val="00483E6F"/>
    <w:rsid w:val="00484363"/>
    <w:rsid w:val="004853B3"/>
    <w:rsid w:val="004853D9"/>
    <w:rsid w:val="004867C2"/>
    <w:rsid w:val="0048701F"/>
    <w:rsid w:val="00490124"/>
    <w:rsid w:val="0049097B"/>
    <w:rsid w:val="00490DD7"/>
    <w:rsid w:val="004915A9"/>
    <w:rsid w:val="004931FF"/>
    <w:rsid w:val="00493C7B"/>
    <w:rsid w:val="0049565F"/>
    <w:rsid w:val="00497F93"/>
    <w:rsid w:val="004A034A"/>
    <w:rsid w:val="004A0FD1"/>
    <w:rsid w:val="004A2844"/>
    <w:rsid w:val="004A67A5"/>
    <w:rsid w:val="004A7466"/>
    <w:rsid w:val="004B156C"/>
    <w:rsid w:val="004B177F"/>
    <w:rsid w:val="004B27D1"/>
    <w:rsid w:val="004B3581"/>
    <w:rsid w:val="004B43FD"/>
    <w:rsid w:val="004B5EE4"/>
    <w:rsid w:val="004B7BC7"/>
    <w:rsid w:val="004C0F67"/>
    <w:rsid w:val="004C246B"/>
    <w:rsid w:val="004C2BA4"/>
    <w:rsid w:val="004C4385"/>
    <w:rsid w:val="004C4E6D"/>
    <w:rsid w:val="004C583C"/>
    <w:rsid w:val="004C65A0"/>
    <w:rsid w:val="004C6881"/>
    <w:rsid w:val="004D1564"/>
    <w:rsid w:val="004D23A2"/>
    <w:rsid w:val="004D2BFE"/>
    <w:rsid w:val="004D2F37"/>
    <w:rsid w:val="004D34A3"/>
    <w:rsid w:val="004D382D"/>
    <w:rsid w:val="004D3AB2"/>
    <w:rsid w:val="004D400A"/>
    <w:rsid w:val="004D44D9"/>
    <w:rsid w:val="004D5EBE"/>
    <w:rsid w:val="004D7061"/>
    <w:rsid w:val="004E02FC"/>
    <w:rsid w:val="004E148D"/>
    <w:rsid w:val="004E1EC1"/>
    <w:rsid w:val="004E1FAB"/>
    <w:rsid w:val="004E3249"/>
    <w:rsid w:val="004E3FCB"/>
    <w:rsid w:val="004E5BF2"/>
    <w:rsid w:val="004F003D"/>
    <w:rsid w:val="004F0F3B"/>
    <w:rsid w:val="004F1237"/>
    <w:rsid w:val="004F17A1"/>
    <w:rsid w:val="004F1A63"/>
    <w:rsid w:val="004F2558"/>
    <w:rsid w:val="004F54EE"/>
    <w:rsid w:val="004F647D"/>
    <w:rsid w:val="004F73F7"/>
    <w:rsid w:val="00501C9A"/>
    <w:rsid w:val="00503FA6"/>
    <w:rsid w:val="00504A43"/>
    <w:rsid w:val="0050676A"/>
    <w:rsid w:val="005075C6"/>
    <w:rsid w:val="0051062D"/>
    <w:rsid w:val="00514F72"/>
    <w:rsid w:val="00515263"/>
    <w:rsid w:val="00515CBC"/>
    <w:rsid w:val="0052128E"/>
    <w:rsid w:val="00521845"/>
    <w:rsid w:val="00521EFC"/>
    <w:rsid w:val="00523AE2"/>
    <w:rsid w:val="00524563"/>
    <w:rsid w:val="00524AEF"/>
    <w:rsid w:val="005252E8"/>
    <w:rsid w:val="00526F61"/>
    <w:rsid w:val="00530C06"/>
    <w:rsid w:val="0053202A"/>
    <w:rsid w:val="00533D2E"/>
    <w:rsid w:val="00533E60"/>
    <w:rsid w:val="00534187"/>
    <w:rsid w:val="005342DD"/>
    <w:rsid w:val="0053451F"/>
    <w:rsid w:val="00537255"/>
    <w:rsid w:val="0054401C"/>
    <w:rsid w:val="00544650"/>
    <w:rsid w:val="005452A4"/>
    <w:rsid w:val="005455D4"/>
    <w:rsid w:val="00545AE5"/>
    <w:rsid w:val="00551C53"/>
    <w:rsid w:val="005523B8"/>
    <w:rsid w:val="00554B8C"/>
    <w:rsid w:val="005564B8"/>
    <w:rsid w:val="00557C8F"/>
    <w:rsid w:val="0056044D"/>
    <w:rsid w:val="005634C0"/>
    <w:rsid w:val="00563C09"/>
    <w:rsid w:val="0056479C"/>
    <w:rsid w:val="005715C3"/>
    <w:rsid w:val="00572632"/>
    <w:rsid w:val="00574BE9"/>
    <w:rsid w:val="00577CBA"/>
    <w:rsid w:val="00577ED7"/>
    <w:rsid w:val="00580973"/>
    <w:rsid w:val="00582DD8"/>
    <w:rsid w:val="005834B1"/>
    <w:rsid w:val="005843BA"/>
    <w:rsid w:val="005846D0"/>
    <w:rsid w:val="00585337"/>
    <w:rsid w:val="00585A4B"/>
    <w:rsid w:val="00586A2C"/>
    <w:rsid w:val="005875EE"/>
    <w:rsid w:val="00587A05"/>
    <w:rsid w:val="00587DEA"/>
    <w:rsid w:val="0059028A"/>
    <w:rsid w:val="0059098F"/>
    <w:rsid w:val="00590CFD"/>
    <w:rsid w:val="00591B21"/>
    <w:rsid w:val="00592A3A"/>
    <w:rsid w:val="00593A8F"/>
    <w:rsid w:val="00595C1A"/>
    <w:rsid w:val="00596851"/>
    <w:rsid w:val="005971C5"/>
    <w:rsid w:val="005A14DA"/>
    <w:rsid w:val="005A216C"/>
    <w:rsid w:val="005A2EE0"/>
    <w:rsid w:val="005A42E0"/>
    <w:rsid w:val="005A6672"/>
    <w:rsid w:val="005A70E1"/>
    <w:rsid w:val="005B385F"/>
    <w:rsid w:val="005B3AF4"/>
    <w:rsid w:val="005B553D"/>
    <w:rsid w:val="005B5EAC"/>
    <w:rsid w:val="005C0481"/>
    <w:rsid w:val="005C1126"/>
    <w:rsid w:val="005C1911"/>
    <w:rsid w:val="005C2643"/>
    <w:rsid w:val="005C3772"/>
    <w:rsid w:val="005C3DDF"/>
    <w:rsid w:val="005C6B05"/>
    <w:rsid w:val="005C6F17"/>
    <w:rsid w:val="005C7CAD"/>
    <w:rsid w:val="005D178E"/>
    <w:rsid w:val="005D1B7A"/>
    <w:rsid w:val="005D1BCF"/>
    <w:rsid w:val="005D24FC"/>
    <w:rsid w:val="005D2C56"/>
    <w:rsid w:val="005D3BA0"/>
    <w:rsid w:val="005D436E"/>
    <w:rsid w:val="005D4FA4"/>
    <w:rsid w:val="005D7C6B"/>
    <w:rsid w:val="005E0031"/>
    <w:rsid w:val="005E009E"/>
    <w:rsid w:val="005E2D2D"/>
    <w:rsid w:val="005E49A8"/>
    <w:rsid w:val="005E7C48"/>
    <w:rsid w:val="005E7F75"/>
    <w:rsid w:val="005F0130"/>
    <w:rsid w:val="005F150A"/>
    <w:rsid w:val="005F1E3A"/>
    <w:rsid w:val="005F4051"/>
    <w:rsid w:val="005F4CFD"/>
    <w:rsid w:val="005F5281"/>
    <w:rsid w:val="005F6BAE"/>
    <w:rsid w:val="005F732A"/>
    <w:rsid w:val="005F7741"/>
    <w:rsid w:val="00600861"/>
    <w:rsid w:val="00601772"/>
    <w:rsid w:val="0060214B"/>
    <w:rsid w:val="006032C7"/>
    <w:rsid w:val="0060330C"/>
    <w:rsid w:val="00606709"/>
    <w:rsid w:val="006068A1"/>
    <w:rsid w:val="00607C09"/>
    <w:rsid w:val="00611477"/>
    <w:rsid w:val="00611DD6"/>
    <w:rsid w:val="00612537"/>
    <w:rsid w:val="00612CC0"/>
    <w:rsid w:val="00612CCC"/>
    <w:rsid w:val="006146C5"/>
    <w:rsid w:val="00615D04"/>
    <w:rsid w:val="00617B09"/>
    <w:rsid w:val="006212C0"/>
    <w:rsid w:val="00621898"/>
    <w:rsid w:val="00623F8A"/>
    <w:rsid w:val="0062754C"/>
    <w:rsid w:val="00627C20"/>
    <w:rsid w:val="006313CB"/>
    <w:rsid w:val="006327D9"/>
    <w:rsid w:val="00632D33"/>
    <w:rsid w:val="00636070"/>
    <w:rsid w:val="0063717B"/>
    <w:rsid w:val="0064008A"/>
    <w:rsid w:val="00640B29"/>
    <w:rsid w:val="00641053"/>
    <w:rsid w:val="00642167"/>
    <w:rsid w:val="006439CF"/>
    <w:rsid w:val="006445E8"/>
    <w:rsid w:val="00644BD4"/>
    <w:rsid w:val="006469E9"/>
    <w:rsid w:val="006478A1"/>
    <w:rsid w:val="00650708"/>
    <w:rsid w:val="00650AA7"/>
    <w:rsid w:val="00651335"/>
    <w:rsid w:val="0065337A"/>
    <w:rsid w:val="00657674"/>
    <w:rsid w:val="0066059A"/>
    <w:rsid w:val="006609D2"/>
    <w:rsid w:val="00662078"/>
    <w:rsid w:val="00662231"/>
    <w:rsid w:val="006622EA"/>
    <w:rsid w:val="006624C6"/>
    <w:rsid w:val="00662FE0"/>
    <w:rsid w:val="0066358B"/>
    <w:rsid w:val="006639DB"/>
    <w:rsid w:val="00663B79"/>
    <w:rsid w:val="00666485"/>
    <w:rsid w:val="00667C9F"/>
    <w:rsid w:val="006706FE"/>
    <w:rsid w:val="00675CAB"/>
    <w:rsid w:val="006761F5"/>
    <w:rsid w:val="006764BF"/>
    <w:rsid w:val="00680347"/>
    <w:rsid w:val="00680429"/>
    <w:rsid w:val="00680C2A"/>
    <w:rsid w:val="00685E97"/>
    <w:rsid w:val="00687CE3"/>
    <w:rsid w:val="006918E5"/>
    <w:rsid w:val="00692AF7"/>
    <w:rsid w:val="00692B09"/>
    <w:rsid w:val="00694386"/>
    <w:rsid w:val="00694FAC"/>
    <w:rsid w:val="006956C2"/>
    <w:rsid w:val="00695B3D"/>
    <w:rsid w:val="00696621"/>
    <w:rsid w:val="00696A50"/>
    <w:rsid w:val="006A22FF"/>
    <w:rsid w:val="006A2BDA"/>
    <w:rsid w:val="006A6383"/>
    <w:rsid w:val="006A7B05"/>
    <w:rsid w:val="006B015A"/>
    <w:rsid w:val="006B1802"/>
    <w:rsid w:val="006B18EE"/>
    <w:rsid w:val="006B4F73"/>
    <w:rsid w:val="006B549E"/>
    <w:rsid w:val="006B5EED"/>
    <w:rsid w:val="006B6FC9"/>
    <w:rsid w:val="006B7073"/>
    <w:rsid w:val="006C1DD9"/>
    <w:rsid w:val="006C4A36"/>
    <w:rsid w:val="006D033C"/>
    <w:rsid w:val="006D193A"/>
    <w:rsid w:val="006D1B7F"/>
    <w:rsid w:val="006D26B4"/>
    <w:rsid w:val="006D3097"/>
    <w:rsid w:val="006D51F7"/>
    <w:rsid w:val="006E091D"/>
    <w:rsid w:val="006E0CE4"/>
    <w:rsid w:val="006E3011"/>
    <w:rsid w:val="006E3CBE"/>
    <w:rsid w:val="006F0241"/>
    <w:rsid w:val="006F46F8"/>
    <w:rsid w:val="006F482B"/>
    <w:rsid w:val="006F4FDF"/>
    <w:rsid w:val="006F625F"/>
    <w:rsid w:val="006F6813"/>
    <w:rsid w:val="006F690F"/>
    <w:rsid w:val="006F6C62"/>
    <w:rsid w:val="006F6E39"/>
    <w:rsid w:val="00700D4B"/>
    <w:rsid w:val="00701684"/>
    <w:rsid w:val="00702725"/>
    <w:rsid w:val="007032B8"/>
    <w:rsid w:val="007039A7"/>
    <w:rsid w:val="00704720"/>
    <w:rsid w:val="00704A4E"/>
    <w:rsid w:val="0070646A"/>
    <w:rsid w:val="00710CD8"/>
    <w:rsid w:val="007112A1"/>
    <w:rsid w:val="00712609"/>
    <w:rsid w:val="007130A7"/>
    <w:rsid w:val="00715392"/>
    <w:rsid w:val="0071791C"/>
    <w:rsid w:val="00725823"/>
    <w:rsid w:val="00725D0B"/>
    <w:rsid w:val="007274BE"/>
    <w:rsid w:val="007315F7"/>
    <w:rsid w:val="00731791"/>
    <w:rsid w:val="00731D1B"/>
    <w:rsid w:val="007321DE"/>
    <w:rsid w:val="007328A5"/>
    <w:rsid w:val="0073310B"/>
    <w:rsid w:val="00734309"/>
    <w:rsid w:val="00734317"/>
    <w:rsid w:val="0073452C"/>
    <w:rsid w:val="00734E74"/>
    <w:rsid w:val="00735254"/>
    <w:rsid w:val="007378FF"/>
    <w:rsid w:val="00737E66"/>
    <w:rsid w:val="00741002"/>
    <w:rsid w:val="007414C2"/>
    <w:rsid w:val="00742758"/>
    <w:rsid w:val="00742AEB"/>
    <w:rsid w:val="00747F38"/>
    <w:rsid w:val="00750A46"/>
    <w:rsid w:val="00753544"/>
    <w:rsid w:val="007559D5"/>
    <w:rsid w:val="0075640E"/>
    <w:rsid w:val="0075728D"/>
    <w:rsid w:val="0076186E"/>
    <w:rsid w:val="0076259F"/>
    <w:rsid w:val="0076305A"/>
    <w:rsid w:val="00763BF5"/>
    <w:rsid w:val="00764FDE"/>
    <w:rsid w:val="00765A2A"/>
    <w:rsid w:val="00766873"/>
    <w:rsid w:val="00770278"/>
    <w:rsid w:val="00770B93"/>
    <w:rsid w:val="0077158A"/>
    <w:rsid w:val="00773AA7"/>
    <w:rsid w:val="007755CE"/>
    <w:rsid w:val="007816CD"/>
    <w:rsid w:val="007831B9"/>
    <w:rsid w:val="00783AC5"/>
    <w:rsid w:val="00785080"/>
    <w:rsid w:val="00785944"/>
    <w:rsid w:val="00786FC8"/>
    <w:rsid w:val="00786FD4"/>
    <w:rsid w:val="00787274"/>
    <w:rsid w:val="00791D93"/>
    <w:rsid w:val="00793779"/>
    <w:rsid w:val="00793C3D"/>
    <w:rsid w:val="007959EB"/>
    <w:rsid w:val="0079636E"/>
    <w:rsid w:val="00796A42"/>
    <w:rsid w:val="00797968"/>
    <w:rsid w:val="007A09E4"/>
    <w:rsid w:val="007A19B8"/>
    <w:rsid w:val="007A1A03"/>
    <w:rsid w:val="007A1FB7"/>
    <w:rsid w:val="007A2556"/>
    <w:rsid w:val="007A3E27"/>
    <w:rsid w:val="007A4585"/>
    <w:rsid w:val="007A5741"/>
    <w:rsid w:val="007A5885"/>
    <w:rsid w:val="007A5D0D"/>
    <w:rsid w:val="007A7D41"/>
    <w:rsid w:val="007B0A54"/>
    <w:rsid w:val="007B0D0A"/>
    <w:rsid w:val="007B23BE"/>
    <w:rsid w:val="007B2426"/>
    <w:rsid w:val="007B2B59"/>
    <w:rsid w:val="007B2D9B"/>
    <w:rsid w:val="007B3707"/>
    <w:rsid w:val="007B4E20"/>
    <w:rsid w:val="007B6211"/>
    <w:rsid w:val="007B680C"/>
    <w:rsid w:val="007B6D23"/>
    <w:rsid w:val="007B6E7A"/>
    <w:rsid w:val="007B7D6F"/>
    <w:rsid w:val="007C22ED"/>
    <w:rsid w:val="007C45AC"/>
    <w:rsid w:val="007C4A75"/>
    <w:rsid w:val="007C60AD"/>
    <w:rsid w:val="007C6AB3"/>
    <w:rsid w:val="007C7BC1"/>
    <w:rsid w:val="007D1C6C"/>
    <w:rsid w:val="007D1FBE"/>
    <w:rsid w:val="007D24DB"/>
    <w:rsid w:val="007D3A84"/>
    <w:rsid w:val="007D480B"/>
    <w:rsid w:val="007D6E51"/>
    <w:rsid w:val="007D724C"/>
    <w:rsid w:val="007E044B"/>
    <w:rsid w:val="007E0D28"/>
    <w:rsid w:val="007E11C8"/>
    <w:rsid w:val="007E79D5"/>
    <w:rsid w:val="007F069B"/>
    <w:rsid w:val="007F0DDE"/>
    <w:rsid w:val="007F31B4"/>
    <w:rsid w:val="007F3755"/>
    <w:rsid w:val="007F3E7C"/>
    <w:rsid w:val="007F49E2"/>
    <w:rsid w:val="007F6105"/>
    <w:rsid w:val="007F6407"/>
    <w:rsid w:val="007F69F0"/>
    <w:rsid w:val="007F6D40"/>
    <w:rsid w:val="007F76D6"/>
    <w:rsid w:val="008000D3"/>
    <w:rsid w:val="0080097F"/>
    <w:rsid w:val="00801E0E"/>
    <w:rsid w:val="008025A4"/>
    <w:rsid w:val="00806BB7"/>
    <w:rsid w:val="00806E01"/>
    <w:rsid w:val="00811C00"/>
    <w:rsid w:val="00811C22"/>
    <w:rsid w:val="00811F94"/>
    <w:rsid w:val="00812A23"/>
    <w:rsid w:val="00814595"/>
    <w:rsid w:val="008158F9"/>
    <w:rsid w:val="00816A3E"/>
    <w:rsid w:val="00817C2A"/>
    <w:rsid w:val="008217B4"/>
    <w:rsid w:val="00821E58"/>
    <w:rsid w:val="00822082"/>
    <w:rsid w:val="008221A0"/>
    <w:rsid w:val="0082278E"/>
    <w:rsid w:val="0082291A"/>
    <w:rsid w:val="00823E91"/>
    <w:rsid w:val="00826830"/>
    <w:rsid w:val="00826F53"/>
    <w:rsid w:val="00827873"/>
    <w:rsid w:val="00830375"/>
    <w:rsid w:val="00830C9B"/>
    <w:rsid w:val="00831196"/>
    <w:rsid w:val="0083239C"/>
    <w:rsid w:val="0083264C"/>
    <w:rsid w:val="00832E31"/>
    <w:rsid w:val="00832FA4"/>
    <w:rsid w:val="008337AB"/>
    <w:rsid w:val="0083429E"/>
    <w:rsid w:val="008362DF"/>
    <w:rsid w:val="008405A8"/>
    <w:rsid w:val="0084211F"/>
    <w:rsid w:val="00842BFA"/>
    <w:rsid w:val="00844F77"/>
    <w:rsid w:val="008456E6"/>
    <w:rsid w:val="008471F9"/>
    <w:rsid w:val="008505CB"/>
    <w:rsid w:val="00850652"/>
    <w:rsid w:val="00850F1A"/>
    <w:rsid w:val="00854B3C"/>
    <w:rsid w:val="008560E3"/>
    <w:rsid w:val="008564EA"/>
    <w:rsid w:val="008568AA"/>
    <w:rsid w:val="0086142E"/>
    <w:rsid w:val="00861DBC"/>
    <w:rsid w:val="008622E3"/>
    <w:rsid w:val="00863553"/>
    <w:rsid w:val="00863E74"/>
    <w:rsid w:val="0086519D"/>
    <w:rsid w:val="00866058"/>
    <w:rsid w:val="00866645"/>
    <w:rsid w:val="0086669F"/>
    <w:rsid w:val="00871C29"/>
    <w:rsid w:val="00874001"/>
    <w:rsid w:val="00874132"/>
    <w:rsid w:val="00874C55"/>
    <w:rsid w:val="00875C82"/>
    <w:rsid w:val="0087751E"/>
    <w:rsid w:val="00881D34"/>
    <w:rsid w:val="00881DAF"/>
    <w:rsid w:val="00882224"/>
    <w:rsid w:val="00882F8D"/>
    <w:rsid w:val="0088394B"/>
    <w:rsid w:val="00885EFA"/>
    <w:rsid w:val="0088623C"/>
    <w:rsid w:val="00887DE0"/>
    <w:rsid w:val="00891297"/>
    <w:rsid w:val="00891F67"/>
    <w:rsid w:val="00892EEB"/>
    <w:rsid w:val="00895D85"/>
    <w:rsid w:val="008A02EB"/>
    <w:rsid w:val="008A2B8D"/>
    <w:rsid w:val="008A4783"/>
    <w:rsid w:val="008A6FD3"/>
    <w:rsid w:val="008A7041"/>
    <w:rsid w:val="008B0CE7"/>
    <w:rsid w:val="008B186B"/>
    <w:rsid w:val="008B28EC"/>
    <w:rsid w:val="008B3177"/>
    <w:rsid w:val="008B35BC"/>
    <w:rsid w:val="008B3ADB"/>
    <w:rsid w:val="008B7EF5"/>
    <w:rsid w:val="008C01C3"/>
    <w:rsid w:val="008C01D3"/>
    <w:rsid w:val="008C0283"/>
    <w:rsid w:val="008C0C4D"/>
    <w:rsid w:val="008C147C"/>
    <w:rsid w:val="008C2839"/>
    <w:rsid w:val="008C2C88"/>
    <w:rsid w:val="008C2FA9"/>
    <w:rsid w:val="008C3F00"/>
    <w:rsid w:val="008C4A01"/>
    <w:rsid w:val="008C5835"/>
    <w:rsid w:val="008C5AB3"/>
    <w:rsid w:val="008C6EC3"/>
    <w:rsid w:val="008D14FA"/>
    <w:rsid w:val="008D239B"/>
    <w:rsid w:val="008D2A8F"/>
    <w:rsid w:val="008D2B46"/>
    <w:rsid w:val="008D4E75"/>
    <w:rsid w:val="008D5231"/>
    <w:rsid w:val="008D6B3D"/>
    <w:rsid w:val="008D7088"/>
    <w:rsid w:val="008D7983"/>
    <w:rsid w:val="008E25DD"/>
    <w:rsid w:val="008E2EE4"/>
    <w:rsid w:val="008E3AF0"/>
    <w:rsid w:val="008E3D06"/>
    <w:rsid w:val="008E4F9D"/>
    <w:rsid w:val="008E66BF"/>
    <w:rsid w:val="008F22EB"/>
    <w:rsid w:val="008F390B"/>
    <w:rsid w:val="00901A08"/>
    <w:rsid w:val="00901BFE"/>
    <w:rsid w:val="00902536"/>
    <w:rsid w:val="00902C2E"/>
    <w:rsid w:val="0090364B"/>
    <w:rsid w:val="00903EFD"/>
    <w:rsid w:val="00904D0C"/>
    <w:rsid w:val="0090547A"/>
    <w:rsid w:val="00905FD5"/>
    <w:rsid w:val="00906CAD"/>
    <w:rsid w:val="00907EAF"/>
    <w:rsid w:val="00911217"/>
    <w:rsid w:val="00911365"/>
    <w:rsid w:val="00911C8D"/>
    <w:rsid w:val="009123FC"/>
    <w:rsid w:val="0091414F"/>
    <w:rsid w:val="00915ABB"/>
    <w:rsid w:val="00916419"/>
    <w:rsid w:val="00917ABF"/>
    <w:rsid w:val="00917EAC"/>
    <w:rsid w:val="00921484"/>
    <w:rsid w:val="00921686"/>
    <w:rsid w:val="00922218"/>
    <w:rsid w:val="00922266"/>
    <w:rsid w:val="00924833"/>
    <w:rsid w:val="00926019"/>
    <w:rsid w:val="00931FC6"/>
    <w:rsid w:val="009335A2"/>
    <w:rsid w:val="00934A88"/>
    <w:rsid w:val="009361B6"/>
    <w:rsid w:val="00942096"/>
    <w:rsid w:val="00942619"/>
    <w:rsid w:val="00942EC6"/>
    <w:rsid w:val="00942F64"/>
    <w:rsid w:val="00943202"/>
    <w:rsid w:val="0094405D"/>
    <w:rsid w:val="00944109"/>
    <w:rsid w:val="0094421A"/>
    <w:rsid w:val="00944FAE"/>
    <w:rsid w:val="00946192"/>
    <w:rsid w:val="009468F3"/>
    <w:rsid w:val="009471F2"/>
    <w:rsid w:val="00950FEF"/>
    <w:rsid w:val="0095484B"/>
    <w:rsid w:val="009577D3"/>
    <w:rsid w:val="00957890"/>
    <w:rsid w:val="00957DFF"/>
    <w:rsid w:val="009644E5"/>
    <w:rsid w:val="0096568B"/>
    <w:rsid w:val="00965C78"/>
    <w:rsid w:val="009662CA"/>
    <w:rsid w:val="009673FD"/>
    <w:rsid w:val="00970F64"/>
    <w:rsid w:val="00971D0F"/>
    <w:rsid w:val="00974ACF"/>
    <w:rsid w:val="00976B09"/>
    <w:rsid w:val="00977A0F"/>
    <w:rsid w:val="009800AA"/>
    <w:rsid w:val="00981267"/>
    <w:rsid w:val="00981632"/>
    <w:rsid w:val="0098178C"/>
    <w:rsid w:val="009829D7"/>
    <w:rsid w:val="00985374"/>
    <w:rsid w:val="009856E6"/>
    <w:rsid w:val="009870C1"/>
    <w:rsid w:val="0099154A"/>
    <w:rsid w:val="00993737"/>
    <w:rsid w:val="00995C58"/>
    <w:rsid w:val="00995E33"/>
    <w:rsid w:val="00996100"/>
    <w:rsid w:val="00996F40"/>
    <w:rsid w:val="0099761D"/>
    <w:rsid w:val="009A4906"/>
    <w:rsid w:val="009B253E"/>
    <w:rsid w:val="009B40CB"/>
    <w:rsid w:val="009B56D0"/>
    <w:rsid w:val="009B75AF"/>
    <w:rsid w:val="009C180D"/>
    <w:rsid w:val="009C1972"/>
    <w:rsid w:val="009C1E58"/>
    <w:rsid w:val="009C2157"/>
    <w:rsid w:val="009C31CB"/>
    <w:rsid w:val="009C5810"/>
    <w:rsid w:val="009C70CC"/>
    <w:rsid w:val="009C71C7"/>
    <w:rsid w:val="009D12D8"/>
    <w:rsid w:val="009D1EE6"/>
    <w:rsid w:val="009D2459"/>
    <w:rsid w:val="009D5529"/>
    <w:rsid w:val="009D5CDA"/>
    <w:rsid w:val="009D6409"/>
    <w:rsid w:val="009D74AD"/>
    <w:rsid w:val="009D7758"/>
    <w:rsid w:val="009E039E"/>
    <w:rsid w:val="009E2B5A"/>
    <w:rsid w:val="009E2BB3"/>
    <w:rsid w:val="009E46CD"/>
    <w:rsid w:val="009E7C45"/>
    <w:rsid w:val="009F0416"/>
    <w:rsid w:val="009F08DE"/>
    <w:rsid w:val="009F22BF"/>
    <w:rsid w:val="009F23AE"/>
    <w:rsid w:val="009F24D3"/>
    <w:rsid w:val="009F2BC6"/>
    <w:rsid w:val="009F35F0"/>
    <w:rsid w:val="009F3956"/>
    <w:rsid w:val="009F43D4"/>
    <w:rsid w:val="009F5EA3"/>
    <w:rsid w:val="009F7A07"/>
    <w:rsid w:val="00A0027A"/>
    <w:rsid w:val="00A00A65"/>
    <w:rsid w:val="00A00A8C"/>
    <w:rsid w:val="00A01D2B"/>
    <w:rsid w:val="00A0253A"/>
    <w:rsid w:val="00A02F96"/>
    <w:rsid w:val="00A0633F"/>
    <w:rsid w:val="00A06CB4"/>
    <w:rsid w:val="00A07797"/>
    <w:rsid w:val="00A11D23"/>
    <w:rsid w:val="00A1215E"/>
    <w:rsid w:val="00A132A5"/>
    <w:rsid w:val="00A142B2"/>
    <w:rsid w:val="00A172C0"/>
    <w:rsid w:val="00A2095C"/>
    <w:rsid w:val="00A20F5B"/>
    <w:rsid w:val="00A21362"/>
    <w:rsid w:val="00A22472"/>
    <w:rsid w:val="00A23871"/>
    <w:rsid w:val="00A23D64"/>
    <w:rsid w:val="00A24C5B"/>
    <w:rsid w:val="00A25239"/>
    <w:rsid w:val="00A257D7"/>
    <w:rsid w:val="00A25A7A"/>
    <w:rsid w:val="00A263C8"/>
    <w:rsid w:val="00A3551E"/>
    <w:rsid w:val="00A35A29"/>
    <w:rsid w:val="00A4031C"/>
    <w:rsid w:val="00A41086"/>
    <w:rsid w:val="00A415EB"/>
    <w:rsid w:val="00A43A9A"/>
    <w:rsid w:val="00A44153"/>
    <w:rsid w:val="00A44302"/>
    <w:rsid w:val="00A44D16"/>
    <w:rsid w:val="00A44E36"/>
    <w:rsid w:val="00A45E91"/>
    <w:rsid w:val="00A47811"/>
    <w:rsid w:val="00A47E2D"/>
    <w:rsid w:val="00A529CA"/>
    <w:rsid w:val="00A54519"/>
    <w:rsid w:val="00A549C0"/>
    <w:rsid w:val="00A54C60"/>
    <w:rsid w:val="00A55CCD"/>
    <w:rsid w:val="00A55D19"/>
    <w:rsid w:val="00A5650B"/>
    <w:rsid w:val="00A569E1"/>
    <w:rsid w:val="00A57D05"/>
    <w:rsid w:val="00A6058B"/>
    <w:rsid w:val="00A61CAE"/>
    <w:rsid w:val="00A657AC"/>
    <w:rsid w:val="00A667F3"/>
    <w:rsid w:val="00A668CC"/>
    <w:rsid w:val="00A66AA5"/>
    <w:rsid w:val="00A66E92"/>
    <w:rsid w:val="00A67252"/>
    <w:rsid w:val="00A73CFA"/>
    <w:rsid w:val="00A73F57"/>
    <w:rsid w:val="00A76926"/>
    <w:rsid w:val="00A805D7"/>
    <w:rsid w:val="00A80C13"/>
    <w:rsid w:val="00A81E7D"/>
    <w:rsid w:val="00A85244"/>
    <w:rsid w:val="00A85338"/>
    <w:rsid w:val="00A854DE"/>
    <w:rsid w:val="00A916DD"/>
    <w:rsid w:val="00A94330"/>
    <w:rsid w:val="00A943E6"/>
    <w:rsid w:val="00A94EF3"/>
    <w:rsid w:val="00A95550"/>
    <w:rsid w:val="00A96FA7"/>
    <w:rsid w:val="00A971F1"/>
    <w:rsid w:val="00A97412"/>
    <w:rsid w:val="00AA00CF"/>
    <w:rsid w:val="00AA2557"/>
    <w:rsid w:val="00AA2A5C"/>
    <w:rsid w:val="00AA4313"/>
    <w:rsid w:val="00AA5969"/>
    <w:rsid w:val="00AA6D3D"/>
    <w:rsid w:val="00AA7690"/>
    <w:rsid w:val="00AB01F6"/>
    <w:rsid w:val="00AB0A9C"/>
    <w:rsid w:val="00AB0E40"/>
    <w:rsid w:val="00AB2788"/>
    <w:rsid w:val="00AB4272"/>
    <w:rsid w:val="00AB657C"/>
    <w:rsid w:val="00AB72E2"/>
    <w:rsid w:val="00AC328B"/>
    <w:rsid w:val="00AC35FC"/>
    <w:rsid w:val="00AC5AC1"/>
    <w:rsid w:val="00AC6569"/>
    <w:rsid w:val="00AC677A"/>
    <w:rsid w:val="00AC67EA"/>
    <w:rsid w:val="00AD42C4"/>
    <w:rsid w:val="00AD5B1B"/>
    <w:rsid w:val="00AD5B4B"/>
    <w:rsid w:val="00AD640E"/>
    <w:rsid w:val="00AD6DD6"/>
    <w:rsid w:val="00AE19DD"/>
    <w:rsid w:val="00AE1F88"/>
    <w:rsid w:val="00AE27F1"/>
    <w:rsid w:val="00AE3A40"/>
    <w:rsid w:val="00AE55E3"/>
    <w:rsid w:val="00AE6255"/>
    <w:rsid w:val="00AE6A29"/>
    <w:rsid w:val="00AE706D"/>
    <w:rsid w:val="00AE7636"/>
    <w:rsid w:val="00AE77F2"/>
    <w:rsid w:val="00AE78F0"/>
    <w:rsid w:val="00AF3861"/>
    <w:rsid w:val="00AF5DCB"/>
    <w:rsid w:val="00AF6650"/>
    <w:rsid w:val="00AF68C7"/>
    <w:rsid w:val="00B01CBA"/>
    <w:rsid w:val="00B0266D"/>
    <w:rsid w:val="00B03018"/>
    <w:rsid w:val="00B06166"/>
    <w:rsid w:val="00B069AF"/>
    <w:rsid w:val="00B0746D"/>
    <w:rsid w:val="00B1523D"/>
    <w:rsid w:val="00B16301"/>
    <w:rsid w:val="00B1648D"/>
    <w:rsid w:val="00B21AD8"/>
    <w:rsid w:val="00B21B47"/>
    <w:rsid w:val="00B25C22"/>
    <w:rsid w:val="00B25D7D"/>
    <w:rsid w:val="00B26318"/>
    <w:rsid w:val="00B27045"/>
    <w:rsid w:val="00B2737D"/>
    <w:rsid w:val="00B347A2"/>
    <w:rsid w:val="00B35E5E"/>
    <w:rsid w:val="00B40B3D"/>
    <w:rsid w:val="00B4197A"/>
    <w:rsid w:val="00B423DD"/>
    <w:rsid w:val="00B43052"/>
    <w:rsid w:val="00B441C2"/>
    <w:rsid w:val="00B4424D"/>
    <w:rsid w:val="00B4494C"/>
    <w:rsid w:val="00B467D9"/>
    <w:rsid w:val="00B50A85"/>
    <w:rsid w:val="00B5169B"/>
    <w:rsid w:val="00B53354"/>
    <w:rsid w:val="00B56D1C"/>
    <w:rsid w:val="00B627D0"/>
    <w:rsid w:val="00B6376A"/>
    <w:rsid w:val="00B6500F"/>
    <w:rsid w:val="00B67758"/>
    <w:rsid w:val="00B712BC"/>
    <w:rsid w:val="00B72413"/>
    <w:rsid w:val="00B72923"/>
    <w:rsid w:val="00B73D1F"/>
    <w:rsid w:val="00B7422F"/>
    <w:rsid w:val="00B74A29"/>
    <w:rsid w:val="00B75C80"/>
    <w:rsid w:val="00B7704D"/>
    <w:rsid w:val="00B81DE0"/>
    <w:rsid w:val="00B83E66"/>
    <w:rsid w:val="00B840A5"/>
    <w:rsid w:val="00B84DFF"/>
    <w:rsid w:val="00B8766B"/>
    <w:rsid w:val="00B91B9C"/>
    <w:rsid w:val="00B929AA"/>
    <w:rsid w:val="00B95470"/>
    <w:rsid w:val="00B96898"/>
    <w:rsid w:val="00B97E9E"/>
    <w:rsid w:val="00BA4D78"/>
    <w:rsid w:val="00BA78E7"/>
    <w:rsid w:val="00BB0EFD"/>
    <w:rsid w:val="00BB1AFE"/>
    <w:rsid w:val="00BB2386"/>
    <w:rsid w:val="00BB2D0E"/>
    <w:rsid w:val="00BB37AC"/>
    <w:rsid w:val="00BB419D"/>
    <w:rsid w:val="00BB44CC"/>
    <w:rsid w:val="00BB47B2"/>
    <w:rsid w:val="00BB47CF"/>
    <w:rsid w:val="00BB4F46"/>
    <w:rsid w:val="00BC0D9F"/>
    <w:rsid w:val="00BC26D1"/>
    <w:rsid w:val="00BC29E8"/>
    <w:rsid w:val="00BC4710"/>
    <w:rsid w:val="00BC4807"/>
    <w:rsid w:val="00BC4E49"/>
    <w:rsid w:val="00BD0BB1"/>
    <w:rsid w:val="00BD1C7E"/>
    <w:rsid w:val="00BD1D0F"/>
    <w:rsid w:val="00BD6E79"/>
    <w:rsid w:val="00BD7723"/>
    <w:rsid w:val="00BE04A2"/>
    <w:rsid w:val="00BE05AC"/>
    <w:rsid w:val="00BE2F91"/>
    <w:rsid w:val="00BE31C1"/>
    <w:rsid w:val="00BE3729"/>
    <w:rsid w:val="00BE396F"/>
    <w:rsid w:val="00BE3DC8"/>
    <w:rsid w:val="00BE410E"/>
    <w:rsid w:val="00BE4432"/>
    <w:rsid w:val="00BE6306"/>
    <w:rsid w:val="00BE6A8B"/>
    <w:rsid w:val="00BF016F"/>
    <w:rsid w:val="00BF12EF"/>
    <w:rsid w:val="00BF1C49"/>
    <w:rsid w:val="00BF40F5"/>
    <w:rsid w:val="00BF43CC"/>
    <w:rsid w:val="00BF69E0"/>
    <w:rsid w:val="00C01C0B"/>
    <w:rsid w:val="00C01C9D"/>
    <w:rsid w:val="00C02F52"/>
    <w:rsid w:val="00C03026"/>
    <w:rsid w:val="00C0313F"/>
    <w:rsid w:val="00C040B8"/>
    <w:rsid w:val="00C05AC5"/>
    <w:rsid w:val="00C06133"/>
    <w:rsid w:val="00C0621C"/>
    <w:rsid w:val="00C06F35"/>
    <w:rsid w:val="00C06FC9"/>
    <w:rsid w:val="00C1003A"/>
    <w:rsid w:val="00C10E6C"/>
    <w:rsid w:val="00C121FD"/>
    <w:rsid w:val="00C1245B"/>
    <w:rsid w:val="00C12AD7"/>
    <w:rsid w:val="00C13F37"/>
    <w:rsid w:val="00C15F66"/>
    <w:rsid w:val="00C200AC"/>
    <w:rsid w:val="00C24510"/>
    <w:rsid w:val="00C24549"/>
    <w:rsid w:val="00C25EBC"/>
    <w:rsid w:val="00C26BC0"/>
    <w:rsid w:val="00C27579"/>
    <w:rsid w:val="00C275D8"/>
    <w:rsid w:val="00C278DD"/>
    <w:rsid w:val="00C27FC9"/>
    <w:rsid w:val="00C30707"/>
    <w:rsid w:val="00C31DDB"/>
    <w:rsid w:val="00C3250D"/>
    <w:rsid w:val="00C32FCF"/>
    <w:rsid w:val="00C34423"/>
    <w:rsid w:val="00C35241"/>
    <w:rsid w:val="00C35AC1"/>
    <w:rsid w:val="00C360ED"/>
    <w:rsid w:val="00C36A81"/>
    <w:rsid w:val="00C37E85"/>
    <w:rsid w:val="00C404BB"/>
    <w:rsid w:val="00C4236D"/>
    <w:rsid w:val="00C43550"/>
    <w:rsid w:val="00C43984"/>
    <w:rsid w:val="00C4520D"/>
    <w:rsid w:val="00C45AC6"/>
    <w:rsid w:val="00C46D0F"/>
    <w:rsid w:val="00C46D3F"/>
    <w:rsid w:val="00C47753"/>
    <w:rsid w:val="00C4783A"/>
    <w:rsid w:val="00C50587"/>
    <w:rsid w:val="00C50DC9"/>
    <w:rsid w:val="00C50FFB"/>
    <w:rsid w:val="00C51966"/>
    <w:rsid w:val="00C51E7F"/>
    <w:rsid w:val="00C529FF"/>
    <w:rsid w:val="00C52C6F"/>
    <w:rsid w:val="00C52F8D"/>
    <w:rsid w:val="00C538AE"/>
    <w:rsid w:val="00C53A24"/>
    <w:rsid w:val="00C54108"/>
    <w:rsid w:val="00C548D3"/>
    <w:rsid w:val="00C55067"/>
    <w:rsid w:val="00C55A26"/>
    <w:rsid w:val="00C608C7"/>
    <w:rsid w:val="00C60CEC"/>
    <w:rsid w:val="00C6110C"/>
    <w:rsid w:val="00C6123D"/>
    <w:rsid w:val="00C63937"/>
    <w:rsid w:val="00C67D1D"/>
    <w:rsid w:val="00C7038A"/>
    <w:rsid w:val="00C706DF"/>
    <w:rsid w:val="00C7079D"/>
    <w:rsid w:val="00C70CE5"/>
    <w:rsid w:val="00C71970"/>
    <w:rsid w:val="00C71F69"/>
    <w:rsid w:val="00C75ABC"/>
    <w:rsid w:val="00C76100"/>
    <w:rsid w:val="00C8007C"/>
    <w:rsid w:val="00C801C7"/>
    <w:rsid w:val="00C8040C"/>
    <w:rsid w:val="00C80988"/>
    <w:rsid w:val="00C8109F"/>
    <w:rsid w:val="00C810BE"/>
    <w:rsid w:val="00C87850"/>
    <w:rsid w:val="00C9086D"/>
    <w:rsid w:val="00C90A5B"/>
    <w:rsid w:val="00C916E1"/>
    <w:rsid w:val="00C927FF"/>
    <w:rsid w:val="00C9342F"/>
    <w:rsid w:val="00C93858"/>
    <w:rsid w:val="00C9490C"/>
    <w:rsid w:val="00C94CBC"/>
    <w:rsid w:val="00C959D4"/>
    <w:rsid w:val="00C9654A"/>
    <w:rsid w:val="00CA1784"/>
    <w:rsid w:val="00CA29CA"/>
    <w:rsid w:val="00CA460B"/>
    <w:rsid w:val="00CA6E96"/>
    <w:rsid w:val="00CA7020"/>
    <w:rsid w:val="00CB070F"/>
    <w:rsid w:val="00CB0C71"/>
    <w:rsid w:val="00CB2240"/>
    <w:rsid w:val="00CB2A39"/>
    <w:rsid w:val="00CB2CE1"/>
    <w:rsid w:val="00CB2E3C"/>
    <w:rsid w:val="00CB412C"/>
    <w:rsid w:val="00CB429B"/>
    <w:rsid w:val="00CB4D2E"/>
    <w:rsid w:val="00CB501E"/>
    <w:rsid w:val="00CB5289"/>
    <w:rsid w:val="00CB5C5B"/>
    <w:rsid w:val="00CB608A"/>
    <w:rsid w:val="00CB6B40"/>
    <w:rsid w:val="00CC177F"/>
    <w:rsid w:val="00CC2D9C"/>
    <w:rsid w:val="00CC473B"/>
    <w:rsid w:val="00CC53AB"/>
    <w:rsid w:val="00CC53C7"/>
    <w:rsid w:val="00CC6497"/>
    <w:rsid w:val="00CC6C4F"/>
    <w:rsid w:val="00CC70C6"/>
    <w:rsid w:val="00CC7628"/>
    <w:rsid w:val="00CD0C92"/>
    <w:rsid w:val="00CD2889"/>
    <w:rsid w:val="00CD43A8"/>
    <w:rsid w:val="00CD6FD0"/>
    <w:rsid w:val="00CD77F3"/>
    <w:rsid w:val="00CD7873"/>
    <w:rsid w:val="00CE08C5"/>
    <w:rsid w:val="00CE0D6A"/>
    <w:rsid w:val="00CE2F8D"/>
    <w:rsid w:val="00CE5149"/>
    <w:rsid w:val="00CE6B7B"/>
    <w:rsid w:val="00CE7609"/>
    <w:rsid w:val="00CE7805"/>
    <w:rsid w:val="00CF01E4"/>
    <w:rsid w:val="00CF0448"/>
    <w:rsid w:val="00CF3BD8"/>
    <w:rsid w:val="00CF46B6"/>
    <w:rsid w:val="00CF7283"/>
    <w:rsid w:val="00D0080B"/>
    <w:rsid w:val="00D01378"/>
    <w:rsid w:val="00D02570"/>
    <w:rsid w:val="00D02DE6"/>
    <w:rsid w:val="00D03187"/>
    <w:rsid w:val="00D03C95"/>
    <w:rsid w:val="00D042B7"/>
    <w:rsid w:val="00D0667C"/>
    <w:rsid w:val="00D075BD"/>
    <w:rsid w:val="00D0780D"/>
    <w:rsid w:val="00D10AD3"/>
    <w:rsid w:val="00D10B13"/>
    <w:rsid w:val="00D11918"/>
    <w:rsid w:val="00D11B41"/>
    <w:rsid w:val="00D14B1C"/>
    <w:rsid w:val="00D15318"/>
    <w:rsid w:val="00D15528"/>
    <w:rsid w:val="00D1577D"/>
    <w:rsid w:val="00D15995"/>
    <w:rsid w:val="00D1648B"/>
    <w:rsid w:val="00D164A5"/>
    <w:rsid w:val="00D17E3A"/>
    <w:rsid w:val="00D2346A"/>
    <w:rsid w:val="00D2397F"/>
    <w:rsid w:val="00D24473"/>
    <w:rsid w:val="00D27374"/>
    <w:rsid w:val="00D31727"/>
    <w:rsid w:val="00D31A55"/>
    <w:rsid w:val="00D320D9"/>
    <w:rsid w:val="00D331BF"/>
    <w:rsid w:val="00D33844"/>
    <w:rsid w:val="00D34594"/>
    <w:rsid w:val="00D35AE6"/>
    <w:rsid w:val="00D40F0E"/>
    <w:rsid w:val="00D431ED"/>
    <w:rsid w:val="00D44970"/>
    <w:rsid w:val="00D45225"/>
    <w:rsid w:val="00D4606C"/>
    <w:rsid w:val="00D5601E"/>
    <w:rsid w:val="00D568C0"/>
    <w:rsid w:val="00D605A7"/>
    <w:rsid w:val="00D60B8E"/>
    <w:rsid w:val="00D61F2F"/>
    <w:rsid w:val="00D62349"/>
    <w:rsid w:val="00D6543B"/>
    <w:rsid w:val="00D71218"/>
    <w:rsid w:val="00D72768"/>
    <w:rsid w:val="00D73095"/>
    <w:rsid w:val="00D741A1"/>
    <w:rsid w:val="00D76A62"/>
    <w:rsid w:val="00D77254"/>
    <w:rsid w:val="00D8255C"/>
    <w:rsid w:val="00D828DB"/>
    <w:rsid w:val="00D82A81"/>
    <w:rsid w:val="00D8630E"/>
    <w:rsid w:val="00D86404"/>
    <w:rsid w:val="00D86C5D"/>
    <w:rsid w:val="00D9290D"/>
    <w:rsid w:val="00D94CBF"/>
    <w:rsid w:val="00D94E58"/>
    <w:rsid w:val="00D977C6"/>
    <w:rsid w:val="00DA11EB"/>
    <w:rsid w:val="00DA1686"/>
    <w:rsid w:val="00DA3255"/>
    <w:rsid w:val="00DA390F"/>
    <w:rsid w:val="00DA4D5E"/>
    <w:rsid w:val="00DA73B0"/>
    <w:rsid w:val="00DA7DC9"/>
    <w:rsid w:val="00DA7EA0"/>
    <w:rsid w:val="00DB0BA4"/>
    <w:rsid w:val="00DB1432"/>
    <w:rsid w:val="00DB2F4D"/>
    <w:rsid w:val="00DB3C36"/>
    <w:rsid w:val="00DB5EA5"/>
    <w:rsid w:val="00DC066B"/>
    <w:rsid w:val="00DC08A2"/>
    <w:rsid w:val="00DC2208"/>
    <w:rsid w:val="00DC2B40"/>
    <w:rsid w:val="00DC423D"/>
    <w:rsid w:val="00DC49F7"/>
    <w:rsid w:val="00DC67C0"/>
    <w:rsid w:val="00DC7192"/>
    <w:rsid w:val="00DC77EA"/>
    <w:rsid w:val="00DC7DB0"/>
    <w:rsid w:val="00DD194A"/>
    <w:rsid w:val="00DD2E95"/>
    <w:rsid w:val="00DD312D"/>
    <w:rsid w:val="00DD3DE0"/>
    <w:rsid w:val="00DD7BC0"/>
    <w:rsid w:val="00DD7C8D"/>
    <w:rsid w:val="00DE2EB7"/>
    <w:rsid w:val="00DE2FAC"/>
    <w:rsid w:val="00DE3E5C"/>
    <w:rsid w:val="00DE443C"/>
    <w:rsid w:val="00DE6C6D"/>
    <w:rsid w:val="00DF010B"/>
    <w:rsid w:val="00DF0877"/>
    <w:rsid w:val="00DF158E"/>
    <w:rsid w:val="00DF2E42"/>
    <w:rsid w:val="00DF42B2"/>
    <w:rsid w:val="00DF60B7"/>
    <w:rsid w:val="00E0038F"/>
    <w:rsid w:val="00E013A2"/>
    <w:rsid w:val="00E01867"/>
    <w:rsid w:val="00E0396D"/>
    <w:rsid w:val="00E03A95"/>
    <w:rsid w:val="00E0533A"/>
    <w:rsid w:val="00E05A09"/>
    <w:rsid w:val="00E05A41"/>
    <w:rsid w:val="00E05F70"/>
    <w:rsid w:val="00E0627E"/>
    <w:rsid w:val="00E06662"/>
    <w:rsid w:val="00E07E67"/>
    <w:rsid w:val="00E10016"/>
    <w:rsid w:val="00E10880"/>
    <w:rsid w:val="00E10B97"/>
    <w:rsid w:val="00E11CB9"/>
    <w:rsid w:val="00E11FE9"/>
    <w:rsid w:val="00E12823"/>
    <w:rsid w:val="00E13862"/>
    <w:rsid w:val="00E1565A"/>
    <w:rsid w:val="00E16171"/>
    <w:rsid w:val="00E209D9"/>
    <w:rsid w:val="00E20F1E"/>
    <w:rsid w:val="00E22B78"/>
    <w:rsid w:val="00E24FB5"/>
    <w:rsid w:val="00E267A8"/>
    <w:rsid w:val="00E30297"/>
    <w:rsid w:val="00E319E7"/>
    <w:rsid w:val="00E32E79"/>
    <w:rsid w:val="00E33AC5"/>
    <w:rsid w:val="00E3403B"/>
    <w:rsid w:val="00E358E8"/>
    <w:rsid w:val="00E35EBC"/>
    <w:rsid w:val="00E419F9"/>
    <w:rsid w:val="00E43DE0"/>
    <w:rsid w:val="00E449E6"/>
    <w:rsid w:val="00E45E66"/>
    <w:rsid w:val="00E46B06"/>
    <w:rsid w:val="00E46C2D"/>
    <w:rsid w:val="00E54678"/>
    <w:rsid w:val="00E54752"/>
    <w:rsid w:val="00E55F7B"/>
    <w:rsid w:val="00E56330"/>
    <w:rsid w:val="00E56667"/>
    <w:rsid w:val="00E56836"/>
    <w:rsid w:val="00E629C0"/>
    <w:rsid w:val="00E637D9"/>
    <w:rsid w:val="00E643B9"/>
    <w:rsid w:val="00E645D7"/>
    <w:rsid w:val="00E65E4A"/>
    <w:rsid w:val="00E6738F"/>
    <w:rsid w:val="00E70112"/>
    <w:rsid w:val="00E70B8E"/>
    <w:rsid w:val="00E70D82"/>
    <w:rsid w:val="00E70EE7"/>
    <w:rsid w:val="00E732BC"/>
    <w:rsid w:val="00E73A2F"/>
    <w:rsid w:val="00E753CF"/>
    <w:rsid w:val="00E7773A"/>
    <w:rsid w:val="00E80477"/>
    <w:rsid w:val="00E8053F"/>
    <w:rsid w:val="00E85629"/>
    <w:rsid w:val="00E862C2"/>
    <w:rsid w:val="00E90875"/>
    <w:rsid w:val="00E91971"/>
    <w:rsid w:val="00E91C71"/>
    <w:rsid w:val="00E9213E"/>
    <w:rsid w:val="00E92ABC"/>
    <w:rsid w:val="00E93DF4"/>
    <w:rsid w:val="00E9493F"/>
    <w:rsid w:val="00E951D6"/>
    <w:rsid w:val="00E9739F"/>
    <w:rsid w:val="00EA103A"/>
    <w:rsid w:val="00EA172F"/>
    <w:rsid w:val="00EA1A36"/>
    <w:rsid w:val="00EA2F6E"/>
    <w:rsid w:val="00EA3286"/>
    <w:rsid w:val="00EA5631"/>
    <w:rsid w:val="00EA59D6"/>
    <w:rsid w:val="00EA60CA"/>
    <w:rsid w:val="00EA70C5"/>
    <w:rsid w:val="00EA7C53"/>
    <w:rsid w:val="00EB0D44"/>
    <w:rsid w:val="00EB11D5"/>
    <w:rsid w:val="00EB1936"/>
    <w:rsid w:val="00EB2455"/>
    <w:rsid w:val="00EB2CF4"/>
    <w:rsid w:val="00EB36C5"/>
    <w:rsid w:val="00EB384C"/>
    <w:rsid w:val="00EB41B7"/>
    <w:rsid w:val="00EB6CC6"/>
    <w:rsid w:val="00EC1F65"/>
    <w:rsid w:val="00EC512C"/>
    <w:rsid w:val="00EC7CAD"/>
    <w:rsid w:val="00ED0610"/>
    <w:rsid w:val="00ED0CB4"/>
    <w:rsid w:val="00ED1E1E"/>
    <w:rsid w:val="00ED1F2C"/>
    <w:rsid w:val="00ED2824"/>
    <w:rsid w:val="00ED2D6D"/>
    <w:rsid w:val="00ED452B"/>
    <w:rsid w:val="00ED4E08"/>
    <w:rsid w:val="00ED575E"/>
    <w:rsid w:val="00ED6504"/>
    <w:rsid w:val="00ED7939"/>
    <w:rsid w:val="00EE07C9"/>
    <w:rsid w:val="00EE0A20"/>
    <w:rsid w:val="00EE439A"/>
    <w:rsid w:val="00EE5737"/>
    <w:rsid w:val="00EF0939"/>
    <w:rsid w:val="00EF0D48"/>
    <w:rsid w:val="00EF185C"/>
    <w:rsid w:val="00EF1A38"/>
    <w:rsid w:val="00EF27DF"/>
    <w:rsid w:val="00EF2A83"/>
    <w:rsid w:val="00EF44A0"/>
    <w:rsid w:val="00EF4A99"/>
    <w:rsid w:val="00EF52C4"/>
    <w:rsid w:val="00EF5B4F"/>
    <w:rsid w:val="00EF7F11"/>
    <w:rsid w:val="00F000E9"/>
    <w:rsid w:val="00F00AA7"/>
    <w:rsid w:val="00F00F82"/>
    <w:rsid w:val="00F01993"/>
    <w:rsid w:val="00F02FFE"/>
    <w:rsid w:val="00F03AEF"/>
    <w:rsid w:val="00F06634"/>
    <w:rsid w:val="00F07615"/>
    <w:rsid w:val="00F079BB"/>
    <w:rsid w:val="00F10221"/>
    <w:rsid w:val="00F11BF5"/>
    <w:rsid w:val="00F122CC"/>
    <w:rsid w:val="00F12905"/>
    <w:rsid w:val="00F12B83"/>
    <w:rsid w:val="00F1384C"/>
    <w:rsid w:val="00F14A5F"/>
    <w:rsid w:val="00F173BC"/>
    <w:rsid w:val="00F17E55"/>
    <w:rsid w:val="00F21A3F"/>
    <w:rsid w:val="00F22117"/>
    <w:rsid w:val="00F22951"/>
    <w:rsid w:val="00F23015"/>
    <w:rsid w:val="00F254E8"/>
    <w:rsid w:val="00F259F2"/>
    <w:rsid w:val="00F32C96"/>
    <w:rsid w:val="00F3499F"/>
    <w:rsid w:val="00F34E57"/>
    <w:rsid w:val="00F35B15"/>
    <w:rsid w:val="00F3700A"/>
    <w:rsid w:val="00F37BEB"/>
    <w:rsid w:val="00F40B5B"/>
    <w:rsid w:val="00F4134E"/>
    <w:rsid w:val="00F415E3"/>
    <w:rsid w:val="00F42BCE"/>
    <w:rsid w:val="00F435EA"/>
    <w:rsid w:val="00F44DA5"/>
    <w:rsid w:val="00F44FCC"/>
    <w:rsid w:val="00F459D0"/>
    <w:rsid w:val="00F45E49"/>
    <w:rsid w:val="00F46ED0"/>
    <w:rsid w:val="00F535BB"/>
    <w:rsid w:val="00F54E9A"/>
    <w:rsid w:val="00F550C8"/>
    <w:rsid w:val="00F611C6"/>
    <w:rsid w:val="00F612ED"/>
    <w:rsid w:val="00F6195A"/>
    <w:rsid w:val="00F62786"/>
    <w:rsid w:val="00F634FD"/>
    <w:rsid w:val="00F63D52"/>
    <w:rsid w:val="00F64284"/>
    <w:rsid w:val="00F64984"/>
    <w:rsid w:val="00F6598E"/>
    <w:rsid w:val="00F72198"/>
    <w:rsid w:val="00F72362"/>
    <w:rsid w:val="00F72A7A"/>
    <w:rsid w:val="00F732EB"/>
    <w:rsid w:val="00F73B1E"/>
    <w:rsid w:val="00F74488"/>
    <w:rsid w:val="00F75DFB"/>
    <w:rsid w:val="00F7616C"/>
    <w:rsid w:val="00F8028B"/>
    <w:rsid w:val="00F807D5"/>
    <w:rsid w:val="00F811C8"/>
    <w:rsid w:val="00F81B67"/>
    <w:rsid w:val="00F841AE"/>
    <w:rsid w:val="00F84576"/>
    <w:rsid w:val="00F852B3"/>
    <w:rsid w:val="00F85774"/>
    <w:rsid w:val="00F865AC"/>
    <w:rsid w:val="00F869E6"/>
    <w:rsid w:val="00F8721F"/>
    <w:rsid w:val="00F876AB"/>
    <w:rsid w:val="00F906E4"/>
    <w:rsid w:val="00F91128"/>
    <w:rsid w:val="00F91196"/>
    <w:rsid w:val="00F913C0"/>
    <w:rsid w:val="00F91B6C"/>
    <w:rsid w:val="00F91CAA"/>
    <w:rsid w:val="00F92251"/>
    <w:rsid w:val="00F9367D"/>
    <w:rsid w:val="00F93FE1"/>
    <w:rsid w:val="00F941CB"/>
    <w:rsid w:val="00F94830"/>
    <w:rsid w:val="00F9655D"/>
    <w:rsid w:val="00F9667B"/>
    <w:rsid w:val="00FA072D"/>
    <w:rsid w:val="00FA1259"/>
    <w:rsid w:val="00FA2254"/>
    <w:rsid w:val="00FA2461"/>
    <w:rsid w:val="00FA3A83"/>
    <w:rsid w:val="00FA661F"/>
    <w:rsid w:val="00FA6F6B"/>
    <w:rsid w:val="00FB2137"/>
    <w:rsid w:val="00FB369D"/>
    <w:rsid w:val="00FB4187"/>
    <w:rsid w:val="00FB48D6"/>
    <w:rsid w:val="00FB4927"/>
    <w:rsid w:val="00FC61D6"/>
    <w:rsid w:val="00FC7E39"/>
    <w:rsid w:val="00FD0160"/>
    <w:rsid w:val="00FD0415"/>
    <w:rsid w:val="00FD167F"/>
    <w:rsid w:val="00FD266C"/>
    <w:rsid w:val="00FD2B33"/>
    <w:rsid w:val="00FD6227"/>
    <w:rsid w:val="00FD6987"/>
    <w:rsid w:val="00FD6DBF"/>
    <w:rsid w:val="00FE01A5"/>
    <w:rsid w:val="00FE05C8"/>
    <w:rsid w:val="00FE0BD7"/>
    <w:rsid w:val="00FE1602"/>
    <w:rsid w:val="00FE1F54"/>
    <w:rsid w:val="00FE2930"/>
    <w:rsid w:val="00FE2AA5"/>
    <w:rsid w:val="00FE4B95"/>
    <w:rsid w:val="00FE749B"/>
    <w:rsid w:val="00FF0A4C"/>
    <w:rsid w:val="00FF2356"/>
    <w:rsid w:val="00FF3586"/>
    <w:rsid w:val="00FF4B01"/>
    <w:rsid w:val="00FF4BD8"/>
    <w:rsid w:val="00FF6F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C89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47A2"/>
    <w:p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unhideWhenUsed/>
    <w:qFormat/>
    <w:rsid w:val="00B347A2"/>
    <w:pPr>
      <w:spacing w:before="200" w:after="0" w:line="276" w:lineRule="auto"/>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0218CE"/>
    <w:pPr>
      <w:spacing w:before="200" w:after="0" w:line="276" w:lineRule="auto"/>
      <w:outlineLvl w:val="2"/>
    </w:pPr>
    <w:rPr>
      <w:rFonts w:ascii="Calibri" w:eastAsiaTheme="majorEastAsia" w:hAnsi="Calibri" w:cstheme="majorBidi"/>
      <w:b/>
      <w:bCs/>
      <w:sz w:val="24"/>
    </w:rPr>
  </w:style>
  <w:style w:type="paragraph" w:styleId="Heading4">
    <w:name w:val="heading 4"/>
    <w:basedOn w:val="Normal"/>
    <w:next w:val="Normal"/>
    <w:link w:val="Heading4Char"/>
    <w:uiPriority w:val="9"/>
    <w:unhideWhenUsed/>
    <w:qFormat/>
    <w:rsid w:val="000218CE"/>
    <w:pPr>
      <w:spacing w:before="200" w:after="0" w:line="276" w:lineRule="auto"/>
      <w:outlineLvl w:val="3"/>
    </w:pPr>
    <w:rPr>
      <w:rFonts w:ascii="Calibri" w:eastAsiaTheme="majorEastAsia" w:hAnsi="Calibri" w:cstheme="majorBidi"/>
      <w:b/>
      <w:bCs/>
      <w:iCs/>
    </w:rPr>
  </w:style>
  <w:style w:type="paragraph" w:styleId="Heading5">
    <w:name w:val="heading 5"/>
    <w:basedOn w:val="Normal"/>
    <w:next w:val="Normal"/>
    <w:link w:val="Heading5Char"/>
    <w:uiPriority w:val="9"/>
    <w:unhideWhenUsed/>
    <w:qFormat/>
    <w:rsid w:val="00B347A2"/>
    <w:pPr>
      <w:spacing w:before="200" w:after="0" w:line="276" w:lineRule="auto"/>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B347A2"/>
    <w:pPr>
      <w:spacing w:before="200" w:after="0" w:line="276" w:lineRule="auto"/>
      <w:outlineLvl w:val="5"/>
    </w:pPr>
    <w:rPr>
      <w:rFonts w:ascii="Calibri" w:eastAsiaTheme="majorEastAsia" w:hAnsi="Calibri" w:cstheme="majorBidi"/>
      <w:b/>
      <w:bCs/>
      <w:i/>
      <w:iCs/>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7A2"/>
    <w:rPr>
      <w:rFonts w:ascii="Calibri" w:eastAsiaTheme="majorEastAsia" w:hAnsi="Calibri" w:cstheme="majorBidi"/>
      <w:b/>
      <w:bCs/>
      <w:color w:val="1E3D6B"/>
      <w:sz w:val="36"/>
      <w:szCs w:val="28"/>
    </w:rPr>
  </w:style>
  <w:style w:type="character" w:customStyle="1" w:styleId="Heading2Char">
    <w:name w:val="Heading 2 Char"/>
    <w:basedOn w:val="DefaultParagraphFont"/>
    <w:link w:val="Heading2"/>
    <w:uiPriority w:val="9"/>
    <w:rsid w:val="00B347A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0218CE"/>
    <w:rPr>
      <w:rFonts w:ascii="Calibri" w:eastAsiaTheme="majorEastAsia" w:hAnsi="Calibri" w:cstheme="majorBidi"/>
      <w:b/>
      <w:bCs/>
      <w:sz w:val="24"/>
    </w:rPr>
  </w:style>
  <w:style w:type="character" w:customStyle="1" w:styleId="Heading4Char">
    <w:name w:val="Heading 4 Char"/>
    <w:basedOn w:val="DefaultParagraphFont"/>
    <w:link w:val="Heading4"/>
    <w:uiPriority w:val="9"/>
    <w:rsid w:val="000218CE"/>
    <w:rPr>
      <w:rFonts w:ascii="Calibri" w:eastAsiaTheme="majorEastAsia" w:hAnsi="Calibri" w:cstheme="majorBidi"/>
      <w:b/>
      <w:bCs/>
      <w:iCs/>
    </w:rPr>
  </w:style>
  <w:style w:type="character" w:customStyle="1" w:styleId="Heading5Char">
    <w:name w:val="Heading 5 Char"/>
    <w:basedOn w:val="DefaultParagraphFont"/>
    <w:link w:val="Heading5"/>
    <w:uiPriority w:val="9"/>
    <w:rsid w:val="00B347A2"/>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B347A2"/>
    <w:rPr>
      <w:rFonts w:ascii="Calibri" w:eastAsiaTheme="majorEastAsia" w:hAnsi="Calibri" w:cstheme="majorBidi"/>
      <w:b/>
      <w:bCs/>
      <w:i/>
      <w:iCs/>
      <w:color w:val="757575"/>
    </w:rPr>
  </w:style>
  <w:style w:type="character" w:styleId="Strong">
    <w:name w:val="Strong"/>
    <w:uiPriority w:val="22"/>
    <w:qFormat/>
    <w:rsid w:val="00B347A2"/>
    <w:rPr>
      <w:b/>
      <w:bCs/>
    </w:rPr>
  </w:style>
  <w:style w:type="character" w:styleId="Emphasis">
    <w:name w:val="Emphasis"/>
    <w:uiPriority w:val="20"/>
    <w:qFormat/>
    <w:rsid w:val="00B347A2"/>
    <w:rPr>
      <w:b w:val="0"/>
      <w:bCs/>
      <w:i/>
      <w:iCs/>
      <w:spacing w:val="10"/>
      <w:bdr w:val="none" w:sz="0" w:space="0" w:color="auto"/>
      <w:shd w:val="clear" w:color="auto" w:fill="auto"/>
    </w:rPr>
  </w:style>
  <w:style w:type="character" w:styleId="BookTitle">
    <w:name w:val="Book Title"/>
    <w:uiPriority w:val="33"/>
    <w:qFormat/>
    <w:rsid w:val="00B347A2"/>
    <w:rPr>
      <w:i/>
      <w:iCs/>
      <w:caps w:val="0"/>
      <w:smallCaps w:val="0"/>
      <w:spacing w:val="5"/>
    </w:rPr>
  </w:style>
  <w:style w:type="character" w:styleId="Hyperlink">
    <w:name w:val="Hyperlink"/>
    <w:basedOn w:val="DefaultParagraphFont"/>
    <w:uiPriority w:val="99"/>
    <w:unhideWhenUsed/>
    <w:rsid w:val="00B347A2"/>
    <w:rPr>
      <w:color w:val="0563C1" w:themeColor="hyperlink"/>
      <w:u w:val="single"/>
    </w:rPr>
  </w:style>
  <w:style w:type="paragraph" w:styleId="TOCHeading">
    <w:name w:val="TOC Heading"/>
    <w:basedOn w:val="Heading1"/>
    <w:next w:val="Normal"/>
    <w:uiPriority w:val="39"/>
    <w:unhideWhenUsed/>
    <w:qFormat/>
    <w:rsid w:val="00B347A2"/>
    <w:pPr>
      <w:outlineLvl w:val="9"/>
    </w:pPr>
    <w:rPr>
      <w:lang w:bidi="en-US"/>
    </w:rPr>
  </w:style>
  <w:style w:type="paragraph" w:styleId="ListNumber">
    <w:name w:val="List Number"/>
    <w:basedOn w:val="Normal"/>
    <w:uiPriority w:val="99"/>
    <w:unhideWhenUsed/>
    <w:rsid w:val="00B347A2"/>
    <w:pPr>
      <w:spacing w:after="120" w:line="276" w:lineRule="auto"/>
      <w:contextualSpacing/>
    </w:pPr>
    <w:rPr>
      <w:rFonts w:eastAsiaTheme="minorEastAsia"/>
    </w:rPr>
  </w:style>
  <w:style w:type="paragraph" w:styleId="ListNumber2">
    <w:name w:val="List Number 2"/>
    <w:basedOn w:val="Normal"/>
    <w:uiPriority w:val="99"/>
    <w:unhideWhenUsed/>
    <w:rsid w:val="00B347A2"/>
    <w:pPr>
      <w:tabs>
        <w:tab w:val="left" w:pos="1134"/>
      </w:tabs>
      <w:spacing w:after="120" w:line="276" w:lineRule="auto"/>
      <w:contextualSpacing/>
    </w:pPr>
    <w:rPr>
      <w:rFonts w:eastAsiaTheme="minorEastAsia"/>
    </w:rPr>
  </w:style>
  <w:style w:type="paragraph" w:styleId="ListNumber3">
    <w:name w:val="List Number 3"/>
    <w:basedOn w:val="Normal"/>
    <w:uiPriority w:val="99"/>
    <w:unhideWhenUsed/>
    <w:rsid w:val="00B347A2"/>
    <w:pPr>
      <w:spacing w:after="120" w:line="276" w:lineRule="auto"/>
      <w:contextualSpacing/>
    </w:pPr>
    <w:rPr>
      <w:rFonts w:eastAsiaTheme="minorEastAsia"/>
    </w:rPr>
  </w:style>
  <w:style w:type="paragraph" w:styleId="ListNumber4">
    <w:name w:val="List Number 4"/>
    <w:basedOn w:val="Normal"/>
    <w:uiPriority w:val="99"/>
    <w:unhideWhenUsed/>
    <w:rsid w:val="00B347A2"/>
    <w:pPr>
      <w:spacing w:after="120" w:line="276" w:lineRule="auto"/>
      <w:contextualSpacing/>
    </w:pPr>
    <w:rPr>
      <w:rFonts w:eastAsiaTheme="minorEastAsia"/>
    </w:rPr>
  </w:style>
  <w:style w:type="paragraph" w:styleId="ListBullet">
    <w:name w:val="List Bullet"/>
    <w:basedOn w:val="Normal"/>
    <w:uiPriority w:val="99"/>
    <w:unhideWhenUsed/>
    <w:rsid w:val="00B347A2"/>
    <w:pPr>
      <w:spacing w:after="120" w:line="276" w:lineRule="auto"/>
      <w:contextualSpacing/>
    </w:pPr>
    <w:rPr>
      <w:rFonts w:eastAsiaTheme="minorEastAsia"/>
    </w:rPr>
  </w:style>
  <w:style w:type="paragraph" w:styleId="ListBullet2">
    <w:name w:val="List Bullet 2"/>
    <w:basedOn w:val="Normal"/>
    <w:uiPriority w:val="99"/>
    <w:unhideWhenUsed/>
    <w:rsid w:val="00B347A2"/>
    <w:pPr>
      <w:spacing w:after="120" w:line="276" w:lineRule="auto"/>
      <w:contextualSpacing/>
    </w:pPr>
    <w:rPr>
      <w:rFonts w:eastAsiaTheme="minorEastAsia"/>
    </w:rPr>
  </w:style>
  <w:style w:type="paragraph" w:styleId="ListBullet3">
    <w:name w:val="List Bullet 3"/>
    <w:basedOn w:val="Normal"/>
    <w:uiPriority w:val="99"/>
    <w:unhideWhenUsed/>
    <w:rsid w:val="00B347A2"/>
    <w:pPr>
      <w:spacing w:after="120" w:line="276" w:lineRule="auto"/>
      <w:contextualSpacing/>
    </w:pPr>
    <w:rPr>
      <w:rFonts w:eastAsiaTheme="minorEastAsia"/>
    </w:rPr>
  </w:style>
  <w:style w:type="paragraph" w:styleId="ListBullet4">
    <w:name w:val="List Bullet 4"/>
    <w:basedOn w:val="Normal"/>
    <w:uiPriority w:val="99"/>
    <w:unhideWhenUsed/>
    <w:rsid w:val="00B347A2"/>
    <w:pPr>
      <w:spacing w:after="120" w:line="276" w:lineRule="auto"/>
      <w:contextualSpacing/>
    </w:pPr>
    <w:rPr>
      <w:rFonts w:eastAsiaTheme="minorEastAsia"/>
    </w:rPr>
  </w:style>
  <w:style w:type="table" w:customStyle="1" w:styleId="DEEWRTable">
    <w:name w:val="DEEWR Table"/>
    <w:basedOn w:val="TableNormal"/>
    <w:uiPriority w:val="99"/>
    <w:rsid w:val="00B347A2"/>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7E6E6" w:themeColor="background2"/>
        <w:sz w:val="20"/>
      </w:rPr>
      <w:tblPr/>
      <w:trPr>
        <w:tblHeader/>
      </w:trPr>
      <w:tcPr>
        <w:shd w:val="clear" w:color="auto" w:fill="000000" w:themeFill="text1"/>
      </w:tcPr>
    </w:tblStylePr>
    <w:tblStylePr w:type="firstCol">
      <w:pPr>
        <w:jc w:val="left"/>
      </w:pPr>
      <w:rPr>
        <w:b/>
      </w:rPr>
    </w:tblStylePr>
  </w:style>
  <w:style w:type="paragraph" w:customStyle="1" w:styleId="numberedpara">
    <w:name w:val="numbered para"/>
    <w:basedOn w:val="Normal"/>
    <w:rsid w:val="00B347A2"/>
    <w:pPr>
      <w:numPr>
        <w:numId w:val="1"/>
      </w:numPr>
      <w:spacing w:after="0" w:line="240" w:lineRule="auto"/>
    </w:pPr>
    <w:rPr>
      <w:rFonts w:ascii="Calibri" w:hAnsi="Calibri" w:cs="Calibri"/>
      <w:lang w:eastAsia="en-AU"/>
    </w:rPr>
  </w:style>
  <w:style w:type="paragraph" w:styleId="TOC1">
    <w:name w:val="toc 1"/>
    <w:basedOn w:val="Normal"/>
    <w:next w:val="Normal"/>
    <w:autoRedefine/>
    <w:uiPriority w:val="39"/>
    <w:unhideWhenUsed/>
    <w:rsid w:val="00B347A2"/>
    <w:pPr>
      <w:spacing w:after="100" w:line="276" w:lineRule="auto"/>
    </w:pPr>
    <w:rPr>
      <w:rFonts w:eastAsiaTheme="minorEastAsia"/>
    </w:rPr>
  </w:style>
  <w:style w:type="paragraph" w:styleId="TOC2">
    <w:name w:val="toc 2"/>
    <w:basedOn w:val="Normal"/>
    <w:next w:val="Normal"/>
    <w:autoRedefine/>
    <w:uiPriority w:val="39"/>
    <w:unhideWhenUsed/>
    <w:rsid w:val="00B347A2"/>
    <w:pPr>
      <w:spacing w:after="100" w:line="276" w:lineRule="auto"/>
      <w:ind w:left="220"/>
    </w:pPr>
    <w:rPr>
      <w:rFonts w:eastAsiaTheme="minorEastAsia"/>
    </w:rPr>
  </w:style>
  <w:style w:type="paragraph" w:styleId="TOC3">
    <w:name w:val="toc 3"/>
    <w:basedOn w:val="Normal"/>
    <w:next w:val="Normal"/>
    <w:autoRedefine/>
    <w:uiPriority w:val="39"/>
    <w:unhideWhenUsed/>
    <w:rsid w:val="00B347A2"/>
    <w:pPr>
      <w:spacing w:after="100" w:line="276" w:lineRule="auto"/>
      <w:ind w:left="440"/>
    </w:pPr>
    <w:rPr>
      <w:rFonts w:eastAsiaTheme="minorEastAsia"/>
    </w:rPr>
  </w:style>
  <w:style w:type="paragraph" w:styleId="Caption">
    <w:name w:val="caption"/>
    <w:basedOn w:val="Heading2"/>
    <w:next w:val="Normal"/>
    <w:uiPriority w:val="35"/>
    <w:unhideWhenUsed/>
    <w:qFormat/>
    <w:rsid w:val="00E91971"/>
    <w:rPr>
      <w:sz w:val="22"/>
    </w:rPr>
  </w:style>
  <w:style w:type="paragraph" w:customStyle="1" w:styleId="Source">
    <w:name w:val="Source"/>
    <w:basedOn w:val="Normal"/>
    <w:qFormat/>
    <w:rsid w:val="00B347A2"/>
    <w:pPr>
      <w:spacing w:after="200" w:line="276" w:lineRule="auto"/>
    </w:pPr>
    <w:rPr>
      <w:rFonts w:eastAsiaTheme="minorEastAsia" w:cstheme="minorHAnsi"/>
      <w:b/>
      <w:sz w:val="20"/>
      <w:szCs w:val="20"/>
    </w:rPr>
  </w:style>
  <w:style w:type="paragraph" w:customStyle="1" w:styleId="DeleteText">
    <w:name w:val="Delete Text"/>
    <w:basedOn w:val="Normal"/>
    <w:qFormat/>
    <w:rsid w:val="00B347A2"/>
    <w:pPr>
      <w:spacing w:after="200" w:line="276" w:lineRule="auto"/>
    </w:pPr>
    <w:rPr>
      <w:rFonts w:eastAsiaTheme="minorEastAsia"/>
      <w:color w:val="1E3D6B"/>
    </w:rPr>
  </w:style>
  <w:style w:type="numbering" w:customStyle="1" w:styleId="NumberedList">
    <w:name w:val="Numbered List"/>
    <w:uiPriority w:val="99"/>
    <w:rsid w:val="00B347A2"/>
    <w:pPr>
      <w:numPr>
        <w:numId w:val="2"/>
      </w:numPr>
    </w:pPr>
  </w:style>
  <w:style w:type="numbering" w:customStyle="1" w:styleId="BulletList">
    <w:name w:val="Bullet List"/>
    <w:uiPriority w:val="99"/>
    <w:rsid w:val="00B347A2"/>
    <w:pPr>
      <w:numPr>
        <w:numId w:val="3"/>
      </w:numPr>
    </w:pPr>
  </w:style>
  <w:style w:type="paragraph" w:styleId="ListNumber5">
    <w:name w:val="List Number 5"/>
    <w:basedOn w:val="Normal"/>
    <w:uiPriority w:val="99"/>
    <w:semiHidden/>
    <w:unhideWhenUsed/>
    <w:rsid w:val="00B347A2"/>
    <w:pPr>
      <w:spacing w:after="200" w:line="276" w:lineRule="auto"/>
      <w:contextualSpacing/>
    </w:pPr>
    <w:rPr>
      <w:rFonts w:eastAsiaTheme="minorEastAsia"/>
    </w:rPr>
  </w:style>
  <w:style w:type="paragraph" w:styleId="ListBullet5">
    <w:name w:val="List Bullet 5"/>
    <w:basedOn w:val="Normal"/>
    <w:uiPriority w:val="99"/>
    <w:semiHidden/>
    <w:unhideWhenUsed/>
    <w:rsid w:val="00B347A2"/>
    <w:pPr>
      <w:spacing w:after="200" w:line="276" w:lineRule="auto"/>
      <w:contextualSpacing/>
    </w:pPr>
    <w:rPr>
      <w:rFonts w:eastAsiaTheme="minorEastAsia"/>
    </w:rPr>
  </w:style>
  <w:style w:type="paragraph" w:styleId="ListParagraph">
    <w:name w:val="List Paragraph"/>
    <w:aliases w:val="Bullet Point,Bullet point,CV text,Content descriptions,Dot pt,F5 List Paragraph,FooterText,L,List Paragraph1,List Paragraph11,List Paragraph111,Main,Medium Grid 1 - Accent 21,NFP GP Bulleted List,Recommendation,Table text,numbered,列出,列出段落"/>
    <w:basedOn w:val="Normal"/>
    <w:link w:val="ListParagraphChar"/>
    <w:uiPriority w:val="34"/>
    <w:qFormat/>
    <w:rsid w:val="00EF44A0"/>
    <w:pPr>
      <w:spacing w:line="256" w:lineRule="auto"/>
      <w:ind w:left="720"/>
      <w:contextualSpacing/>
    </w:pPr>
  </w:style>
  <w:style w:type="paragraph" w:styleId="FootnoteText">
    <w:name w:val="footnote text"/>
    <w:aliases w:val="Footnote Text Char Char,Footnote Text Char1 Char1 Char,Footnote Text Char Char Char Char,Footnote Text Char1 Char1 Char Char Char,Footnote Text Char1 Char2 Char,Footnote Text Char Char Char1,Footnote Text Char2 Char"/>
    <w:basedOn w:val="Normal"/>
    <w:link w:val="FootnoteTextChar"/>
    <w:uiPriority w:val="99"/>
    <w:unhideWhenUsed/>
    <w:qFormat/>
    <w:rsid w:val="00241F1D"/>
    <w:pPr>
      <w:spacing w:after="0" w:line="240" w:lineRule="auto"/>
    </w:pPr>
    <w:rPr>
      <w:sz w:val="20"/>
      <w:szCs w:val="20"/>
    </w:rPr>
  </w:style>
  <w:style w:type="character" w:customStyle="1" w:styleId="FootnoteTextChar">
    <w:name w:val="Footnote Text Char"/>
    <w:aliases w:val="Footnote Text Char Char Char,Footnote Text Char1 Char1 Char Char,Footnote Text Char Char Char Char Char,Footnote Text Char1 Char1 Char Char Char Char,Footnote Text Char1 Char2 Char Char,Footnote Text Char Char Char1 Char"/>
    <w:basedOn w:val="DefaultParagraphFont"/>
    <w:link w:val="FootnoteText"/>
    <w:uiPriority w:val="99"/>
    <w:rsid w:val="00241F1D"/>
    <w:rPr>
      <w:sz w:val="20"/>
      <w:szCs w:val="20"/>
    </w:rPr>
  </w:style>
  <w:style w:type="character" w:styleId="FootnoteReference">
    <w:name w:val="footnote reference"/>
    <w:basedOn w:val="DefaultParagraphFont"/>
    <w:uiPriority w:val="99"/>
    <w:unhideWhenUsed/>
    <w:rsid w:val="00241F1D"/>
    <w:rPr>
      <w:vertAlign w:val="superscript"/>
    </w:rPr>
  </w:style>
  <w:style w:type="table" w:styleId="TableGrid">
    <w:name w:val="Table Grid"/>
    <w:basedOn w:val="TableNormal"/>
    <w:rsid w:val="008B1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44BA"/>
    <w:rPr>
      <w:sz w:val="16"/>
      <w:szCs w:val="16"/>
    </w:rPr>
  </w:style>
  <w:style w:type="paragraph" w:styleId="CommentText">
    <w:name w:val="annotation text"/>
    <w:basedOn w:val="Normal"/>
    <w:link w:val="CommentTextChar"/>
    <w:uiPriority w:val="99"/>
    <w:unhideWhenUsed/>
    <w:rsid w:val="004744BA"/>
    <w:pPr>
      <w:spacing w:line="240" w:lineRule="auto"/>
    </w:pPr>
    <w:rPr>
      <w:sz w:val="20"/>
      <w:szCs w:val="20"/>
    </w:rPr>
  </w:style>
  <w:style w:type="character" w:customStyle="1" w:styleId="CommentTextChar">
    <w:name w:val="Comment Text Char"/>
    <w:basedOn w:val="DefaultParagraphFont"/>
    <w:link w:val="CommentText"/>
    <w:uiPriority w:val="99"/>
    <w:rsid w:val="004744BA"/>
    <w:rPr>
      <w:sz w:val="20"/>
      <w:szCs w:val="20"/>
    </w:rPr>
  </w:style>
  <w:style w:type="paragraph" w:styleId="CommentSubject">
    <w:name w:val="annotation subject"/>
    <w:basedOn w:val="CommentText"/>
    <w:next w:val="CommentText"/>
    <w:link w:val="CommentSubjectChar"/>
    <w:uiPriority w:val="99"/>
    <w:semiHidden/>
    <w:unhideWhenUsed/>
    <w:rsid w:val="004744BA"/>
    <w:rPr>
      <w:b/>
      <w:bCs/>
    </w:rPr>
  </w:style>
  <w:style w:type="character" w:customStyle="1" w:styleId="CommentSubjectChar">
    <w:name w:val="Comment Subject Char"/>
    <w:basedOn w:val="CommentTextChar"/>
    <w:link w:val="CommentSubject"/>
    <w:uiPriority w:val="99"/>
    <w:semiHidden/>
    <w:rsid w:val="004744BA"/>
    <w:rPr>
      <w:b/>
      <w:bCs/>
      <w:sz w:val="20"/>
      <w:szCs w:val="20"/>
    </w:rPr>
  </w:style>
  <w:style w:type="paragraph" w:styleId="BalloonText">
    <w:name w:val="Balloon Text"/>
    <w:basedOn w:val="Normal"/>
    <w:link w:val="BalloonTextChar"/>
    <w:uiPriority w:val="99"/>
    <w:semiHidden/>
    <w:unhideWhenUsed/>
    <w:rsid w:val="004744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4BA"/>
    <w:rPr>
      <w:rFonts w:ascii="Segoe UI" w:hAnsi="Segoe UI" w:cs="Segoe UI"/>
      <w:sz w:val="18"/>
      <w:szCs w:val="18"/>
    </w:rPr>
  </w:style>
  <w:style w:type="paragraph" w:styleId="NoSpacing">
    <w:name w:val="No Spacing"/>
    <w:uiPriority w:val="1"/>
    <w:qFormat/>
    <w:rsid w:val="000C51A7"/>
    <w:pPr>
      <w:spacing w:after="0" w:line="240" w:lineRule="auto"/>
    </w:pPr>
  </w:style>
  <w:style w:type="character" w:customStyle="1" w:styleId="ListParagraphChar">
    <w:name w:val="List Paragraph Char"/>
    <w:aliases w:val="Bullet Point Char,Bullet point Char,CV text Char,Content descriptions Char,Dot pt Char,F5 List Paragraph Char,FooterText Char,L Char,List Paragraph1 Char,List Paragraph11 Char,List Paragraph111 Char,Main Char,Recommendation Char"/>
    <w:basedOn w:val="DefaultParagraphFont"/>
    <w:link w:val="ListParagraph"/>
    <w:uiPriority w:val="34"/>
    <w:locked/>
    <w:rsid w:val="000C51A7"/>
  </w:style>
  <w:style w:type="paragraph" w:customStyle="1" w:styleId="Default">
    <w:name w:val="Default"/>
    <w:rsid w:val="00F11BF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D2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A8F"/>
  </w:style>
  <w:style w:type="paragraph" w:styleId="Footer">
    <w:name w:val="footer"/>
    <w:basedOn w:val="Normal"/>
    <w:link w:val="FooterChar"/>
    <w:uiPriority w:val="99"/>
    <w:unhideWhenUsed/>
    <w:rsid w:val="008D2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A8F"/>
  </w:style>
  <w:style w:type="paragraph" w:customStyle="1" w:styleId="Pa7">
    <w:name w:val="Pa7"/>
    <w:basedOn w:val="Normal"/>
    <w:next w:val="Normal"/>
    <w:uiPriority w:val="99"/>
    <w:rsid w:val="00483E6F"/>
    <w:pPr>
      <w:autoSpaceDE w:val="0"/>
      <w:autoSpaceDN w:val="0"/>
      <w:adjustRightInd w:val="0"/>
      <w:spacing w:after="0" w:line="161" w:lineRule="atLeast"/>
    </w:pPr>
    <w:rPr>
      <w:rFonts w:ascii="Open Sans" w:hAnsi="Open Sans"/>
      <w:sz w:val="24"/>
      <w:szCs w:val="24"/>
    </w:rPr>
  </w:style>
  <w:style w:type="paragraph" w:customStyle="1" w:styleId="default0">
    <w:name w:val="default"/>
    <w:basedOn w:val="Normal"/>
    <w:rsid w:val="003244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CA178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Paragraph">
    <w:name w:val="Table Paragraph"/>
    <w:basedOn w:val="Normal"/>
    <w:uiPriority w:val="1"/>
    <w:qFormat/>
    <w:rsid w:val="00F54E9A"/>
    <w:pPr>
      <w:widowControl w:val="0"/>
      <w:autoSpaceDE w:val="0"/>
      <w:autoSpaceDN w:val="0"/>
      <w:spacing w:after="0" w:line="240" w:lineRule="auto"/>
      <w:ind w:left="220"/>
    </w:pPr>
    <w:rPr>
      <w:rFonts w:ascii="Calibri" w:eastAsia="Calibri" w:hAnsi="Calibri" w:cs="Calibri"/>
      <w:lang w:eastAsia="en-AU" w:bidi="en-AU"/>
    </w:rPr>
  </w:style>
  <w:style w:type="character" w:styleId="FollowedHyperlink">
    <w:name w:val="FollowedHyperlink"/>
    <w:basedOn w:val="DefaultParagraphFont"/>
    <w:uiPriority w:val="99"/>
    <w:semiHidden/>
    <w:unhideWhenUsed/>
    <w:rsid w:val="004500EA"/>
    <w:rPr>
      <w:color w:val="954F72" w:themeColor="followedHyperlink"/>
      <w:u w:val="single"/>
    </w:rPr>
  </w:style>
  <w:style w:type="paragraph" w:styleId="Title">
    <w:name w:val="Title"/>
    <w:basedOn w:val="Normal"/>
    <w:next w:val="Normal"/>
    <w:link w:val="TitleChar"/>
    <w:uiPriority w:val="10"/>
    <w:qFormat/>
    <w:rsid w:val="00092225"/>
    <w:pPr>
      <w:spacing w:after="120" w:line="240" w:lineRule="auto"/>
      <w:contextualSpacing/>
    </w:pPr>
    <w:rPr>
      <w:rFonts w:ascii="Calibri" w:eastAsiaTheme="majorEastAsia" w:hAnsi="Calibri" w:cstheme="majorBidi"/>
      <w:color w:val="E7E6E6" w:themeColor="background2"/>
      <w:spacing w:val="5"/>
      <w:sz w:val="90"/>
      <w:szCs w:val="90"/>
    </w:rPr>
  </w:style>
  <w:style w:type="character" w:customStyle="1" w:styleId="TitleChar">
    <w:name w:val="Title Char"/>
    <w:basedOn w:val="DefaultParagraphFont"/>
    <w:link w:val="Title"/>
    <w:uiPriority w:val="10"/>
    <w:rsid w:val="00092225"/>
    <w:rPr>
      <w:rFonts w:ascii="Calibri" w:eastAsiaTheme="majorEastAsia" w:hAnsi="Calibri" w:cstheme="majorBidi"/>
      <w:color w:val="E7E6E6" w:themeColor="background2"/>
      <w:spacing w:val="5"/>
      <w:sz w:val="90"/>
      <w:szCs w:val="90"/>
    </w:rPr>
  </w:style>
  <w:style w:type="paragraph" w:styleId="Subtitle">
    <w:name w:val="Subtitle"/>
    <w:basedOn w:val="Normal"/>
    <w:next w:val="Normal"/>
    <w:link w:val="SubtitleChar"/>
    <w:uiPriority w:val="11"/>
    <w:qFormat/>
    <w:rsid w:val="00092225"/>
    <w:pPr>
      <w:spacing w:after="240" w:line="276" w:lineRule="auto"/>
    </w:pPr>
    <w:rPr>
      <w:rFonts w:ascii="Calibri" w:eastAsiaTheme="majorEastAsia" w:hAnsi="Calibri" w:cstheme="majorBidi"/>
      <w:iCs/>
      <w:color w:val="E7E6E6" w:themeColor="background2"/>
      <w:spacing w:val="13"/>
      <w:sz w:val="50"/>
      <w:szCs w:val="50"/>
    </w:rPr>
  </w:style>
  <w:style w:type="character" w:customStyle="1" w:styleId="SubtitleChar">
    <w:name w:val="Subtitle Char"/>
    <w:basedOn w:val="DefaultParagraphFont"/>
    <w:link w:val="Subtitle"/>
    <w:uiPriority w:val="11"/>
    <w:rsid w:val="00092225"/>
    <w:rPr>
      <w:rFonts w:ascii="Calibri" w:eastAsiaTheme="majorEastAsia" w:hAnsi="Calibri" w:cstheme="majorBidi"/>
      <w:iCs/>
      <w:color w:val="E7E6E6" w:themeColor="background2"/>
      <w:spacing w:val="13"/>
      <w:sz w:val="50"/>
      <w:szCs w:val="50"/>
    </w:rPr>
  </w:style>
  <w:style w:type="paragraph" w:styleId="BodyText">
    <w:name w:val="Body Text"/>
    <w:basedOn w:val="Normal"/>
    <w:link w:val="BodyTextChar"/>
    <w:rsid w:val="00092225"/>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092225"/>
    <w:rPr>
      <w:rFonts w:eastAsia="Times New Roman" w:cs="Times New Roman"/>
      <w:szCs w:val="24"/>
      <w:lang w:eastAsia="en-AU"/>
    </w:rPr>
  </w:style>
  <w:style w:type="paragraph" w:styleId="Revision">
    <w:name w:val="Revision"/>
    <w:hidden/>
    <w:uiPriority w:val="99"/>
    <w:semiHidden/>
    <w:rsid w:val="006F6C62"/>
    <w:pPr>
      <w:spacing w:after="0" w:line="240" w:lineRule="auto"/>
    </w:pPr>
  </w:style>
  <w:style w:type="character" w:customStyle="1" w:styleId="Heading2tablesChar">
    <w:name w:val="Heading 2 tables Char"/>
    <w:basedOn w:val="DefaultParagraphFont"/>
    <w:link w:val="Heading2tables"/>
    <w:uiPriority w:val="9"/>
    <w:locked/>
    <w:rsid w:val="00441502"/>
    <w:rPr>
      <w:rFonts w:asciiTheme="majorHAnsi" w:eastAsiaTheme="majorEastAsia" w:hAnsiTheme="majorHAnsi" w:cstheme="majorBidi"/>
      <w:b/>
      <w:color w:val="2E74B5" w:themeColor="accent1" w:themeShade="BF"/>
      <w:sz w:val="26"/>
      <w:szCs w:val="26"/>
      <w:shd w:val="clear" w:color="auto" w:fill="C9C9C9" w:themeFill="accent3" w:themeFillTint="99"/>
    </w:rPr>
  </w:style>
  <w:style w:type="paragraph" w:customStyle="1" w:styleId="Heading2tables">
    <w:name w:val="Heading 2 tables"/>
    <w:basedOn w:val="Heading2"/>
    <w:link w:val="Heading2tablesChar"/>
    <w:uiPriority w:val="9"/>
    <w:qFormat/>
    <w:rsid w:val="00441502"/>
    <w:pPr>
      <w:keepNext/>
      <w:keepLines/>
      <w:pBdr>
        <w:top w:val="single" w:sz="4" w:space="1" w:color="auto"/>
        <w:left w:val="single" w:sz="4" w:space="4" w:color="auto"/>
        <w:right w:val="single" w:sz="4" w:space="4" w:color="auto"/>
      </w:pBdr>
      <w:shd w:val="clear" w:color="auto" w:fill="C9C9C9" w:themeFill="accent3" w:themeFillTint="99"/>
      <w:spacing w:before="160" w:line="256" w:lineRule="auto"/>
      <w:ind w:left="-471" w:right="-198"/>
      <w:jc w:val="center"/>
    </w:pPr>
    <w:rPr>
      <w:rFonts w:asciiTheme="majorHAnsi" w:hAnsiTheme="majorHAnsi"/>
      <w:bCs w:val="0"/>
      <w:color w:val="2E74B5" w:themeColor="accent1" w:themeShade="B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3941">
      <w:bodyDiv w:val="1"/>
      <w:marLeft w:val="0"/>
      <w:marRight w:val="0"/>
      <w:marTop w:val="0"/>
      <w:marBottom w:val="0"/>
      <w:divBdr>
        <w:top w:val="none" w:sz="0" w:space="0" w:color="auto"/>
        <w:left w:val="none" w:sz="0" w:space="0" w:color="auto"/>
        <w:bottom w:val="none" w:sz="0" w:space="0" w:color="auto"/>
        <w:right w:val="none" w:sz="0" w:space="0" w:color="auto"/>
      </w:divBdr>
    </w:div>
    <w:div w:id="258493563">
      <w:bodyDiv w:val="1"/>
      <w:marLeft w:val="0"/>
      <w:marRight w:val="0"/>
      <w:marTop w:val="0"/>
      <w:marBottom w:val="0"/>
      <w:divBdr>
        <w:top w:val="none" w:sz="0" w:space="0" w:color="auto"/>
        <w:left w:val="none" w:sz="0" w:space="0" w:color="auto"/>
        <w:bottom w:val="none" w:sz="0" w:space="0" w:color="auto"/>
        <w:right w:val="none" w:sz="0" w:space="0" w:color="auto"/>
      </w:divBdr>
    </w:div>
    <w:div w:id="275600830">
      <w:bodyDiv w:val="1"/>
      <w:marLeft w:val="0"/>
      <w:marRight w:val="0"/>
      <w:marTop w:val="0"/>
      <w:marBottom w:val="0"/>
      <w:divBdr>
        <w:top w:val="none" w:sz="0" w:space="0" w:color="auto"/>
        <w:left w:val="none" w:sz="0" w:space="0" w:color="auto"/>
        <w:bottom w:val="none" w:sz="0" w:space="0" w:color="auto"/>
        <w:right w:val="none" w:sz="0" w:space="0" w:color="auto"/>
      </w:divBdr>
    </w:div>
    <w:div w:id="288167423">
      <w:bodyDiv w:val="1"/>
      <w:marLeft w:val="0"/>
      <w:marRight w:val="0"/>
      <w:marTop w:val="0"/>
      <w:marBottom w:val="0"/>
      <w:divBdr>
        <w:top w:val="none" w:sz="0" w:space="0" w:color="auto"/>
        <w:left w:val="none" w:sz="0" w:space="0" w:color="auto"/>
        <w:bottom w:val="none" w:sz="0" w:space="0" w:color="auto"/>
        <w:right w:val="none" w:sz="0" w:space="0" w:color="auto"/>
      </w:divBdr>
    </w:div>
    <w:div w:id="291332269">
      <w:bodyDiv w:val="1"/>
      <w:marLeft w:val="0"/>
      <w:marRight w:val="0"/>
      <w:marTop w:val="0"/>
      <w:marBottom w:val="0"/>
      <w:divBdr>
        <w:top w:val="none" w:sz="0" w:space="0" w:color="auto"/>
        <w:left w:val="none" w:sz="0" w:space="0" w:color="auto"/>
        <w:bottom w:val="none" w:sz="0" w:space="0" w:color="auto"/>
        <w:right w:val="none" w:sz="0" w:space="0" w:color="auto"/>
      </w:divBdr>
    </w:div>
    <w:div w:id="602155430">
      <w:bodyDiv w:val="1"/>
      <w:marLeft w:val="0"/>
      <w:marRight w:val="0"/>
      <w:marTop w:val="0"/>
      <w:marBottom w:val="0"/>
      <w:divBdr>
        <w:top w:val="none" w:sz="0" w:space="0" w:color="auto"/>
        <w:left w:val="none" w:sz="0" w:space="0" w:color="auto"/>
        <w:bottom w:val="none" w:sz="0" w:space="0" w:color="auto"/>
        <w:right w:val="none" w:sz="0" w:space="0" w:color="auto"/>
      </w:divBdr>
    </w:div>
    <w:div w:id="704720911">
      <w:bodyDiv w:val="1"/>
      <w:marLeft w:val="0"/>
      <w:marRight w:val="0"/>
      <w:marTop w:val="0"/>
      <w:marBottom w:val="0"/>
      <w:divBdr>
        <w:top w:val="none" w:sz="0" w:space="0" w:color="auto"/>
        <w:left w:val="none" w:sz="0" w:space="0" w:color="auto"/>
        <w:bottom w:val="none" w:sz="0" w:space="0" w:color="auto"/>
        <w:right w:val="none" w:sz="0" w:space="0" w:color="auto"/>
      </w:divBdr>
    </w:div>
    <w:div w:id="1007102014">
      <w:bodyDiv w:val="1"/>
      <w:marLeft w:val="0"/>
      <w:marRight w:val="0"/>
      <w:marTop w:val="0"/>
      <w:marBottom w:val="0"/>
      <w:divBdr>
        <w:top w:val="none" w:sz="0" w:space="0" w:color="auto"/>
        <w:left w:val="none" w:sz="0" w:space="0" w:color="auto"/>
        <w:bottom w:val="none" w:sz="0" w:space="0" w:color="auto"/>
        <w:right w:val="none" w:sz="0" w:space="0" w:color="auto"/>
      </w:divBdr>
    </w:div>
    <w:div w:id="1170827142">
      <w:bodyDiv w:val="1"/>
      <w:marLeft w:val="0"/>
      <w:marRight w:val="0"/>
      <w:marTop w:val="0"/>
      <w:marBottom w:val="0"/>
      <w:divBdr>
        <w:top w:val="none" w:sz="0" w:space="0" w:color="auto"/>
        <w:left w:val="none" w:sz="0" w:space="0" w:color="auto"/>
        <w:bottom w:val="none" w:sz="0" w:space="0" w:color="auto"/>
        <w:right w:val="none" w:sz="0" w:space="0" w:color="auto"/>
      </w:divBdr>
    </w:div>
    <w:div w:id="1268196822">
      <w:bodyDiv w:val="1"/>
      <w:marLeft w:val="0"/>
      <w:marRight w:val="0"/>
      <w:marTop w:val="0"/>
      <w:marBottom w:val="0"/>
      <w:divBdr>
        <w:top w:val="none" w:sz="0" w:space="0" w:color="auto"/>
        <w:left w:val="none" w:sz="0" w:space="0" w:color="auto"/>
        <w:bottom w:val="none" w:sz="0" w:space="0" w:color="auto"/>
        <w:right w:val="none" w:sz="0" w:space="0" w:color="auto"/>
      </w:divBdr>
    </w:div>
    <w:div w:id="1476727246">
      <w:bodyDiv w:val="1"/>
      <w:marLeft w:val="0"/>
      <w:marRight w:val="0"/>
      <w:marTop w:val="0"/>
      <w:marBottom w:val="0"/>
      <w:divBdr>
        <w:top w:val="none" w:sz="0" w:space="0" w:color="auto"/>
        <w:left w:val="none" w:sz="0" w:space="0" w:color="auto"/>
        <w:bottom w:val="none" w:sz="0" w:space="0" w:color="auto"/>
        <w:right w:val="none" w:sz="0" w:space="0" w:color="auto"/>
      </w:divBdr>
    </w:div>
    <w:div w:id="1485929694">
      <w:bodyDiv w:val="1"/>
      <w:marLeft w:val="0"/>
      <w:marRight w:val="0"/>
      <w:marTop w:val="0"/>
      <w:marBottom w:val="0"/>
      <w:divBdr>
        <w:top w:val="none" w:sz="0" w:space="0" w:color="auto"/>
        <w:left w:val="none" w:sz="0" w:space="0" w:color="auto"/>
        <w:bottom w:val="none" w:sz="0" w:space="0" w:color="auto"/>
        <w:right w:val="none" w:sz="0" w:space="0" w:color="auto"/>
      </w:divBdr>
    </w:div>
    <w:div w:id="1509059780">
      <w:bodyDiv w:val="1"/>
      <w:marLeft w:val="0"/>
      <w:marRight w:val="0"/>
      <w:marTop w:val="0"/>
      <w:marBottom w:val="0"/>
      <w:divBdr>
        <w:top w:val="none" w:sz="0" w:space="0" w:color="auto"/>
        <w:left w:val="none" w:sz="0" w:space="0" w:color="auto"/>
        <w:bottom w:val="none" w:sz="0" w:space="0" w:color="auto"/>
        <w:right w:val="none" w:sz="0" w:space="0" w:color="auto"/>
      </w:divBdr>
    </w:div>
    <w:div w:id="1528300274">
      <w:bodyDiv w:val="1"/>
      <w:marLeft w:val="0"/>
      <w:marRight w:val="0"/>
      <w:marTop w:val="0"/>
      <w:marBottom w:val="0"/>
      <w:divBdr>
        <w:top w:val="none" w:sz="0" w:space="0" w:color="auto"/>
        <w:left w:val="none" w:sz="0" w:space="0" w:color="auto"/>
        <w:bottom w:val="none" w:sz="0" w:space="0" w:color="auto"/>
        <w:right w:val="none" w:sz="0" w:space="0" w:color="auto"/>
      </w:divBdr>
    </w:div>
    <w:div w:id="1638029702">
      <w:bodyDiv w:val="1"/>
      <w:marLeft w:val="0"/>
      <w:marRight w:val="0"/>
      <w:marTop w:val="0"/>
      <w:marBottom w:val="0"/>
      <w:divBdr>
        <w:top w:val="none" w:sz="0" w:space="0" w:color="auto"/>
        <w:left w:val="none" w:sz="0" w:space="0" w:color="auto"/>
        <w:bottom w:val="none" w:sz="0" w:space="0" w:color="auto"/>
        <w:right w:val="none" w:sz="0" w:space="0" w:color="auto"/>
      </w:divBdr>
    </w:div>
    <w:div w:id="1643733848">
      <w:bodyDiv w:val="1"/>
      <w:marLeft w:val="0"/>
      <w:marRight w:val="0"/>
      <w:marTop w:val="0"/>
      <w:marBottom w:val="0"/>
      <w:divBdr>
        <w:top w:val="none" w:sz="0" w:space="0" w:color="auto"/>
        <w:left w:val="none" w:sz="0" w:space="0" w:color="auto"/>
        <w:bottom w:val="none" w:sz="0" w:space="0" w:color="auto"/>
        <w:right w:val="none" w:sz="0" w:space="0" w:color="auto"/>
      </w:divBdr>
    </w:div>
    <w:div w:id="1871449484">
      <w:bodyDiv w:val="1"/>
      <w:marLeft w:val="0"/>
      <w:marRight w:val="0"/>
      <w:marTop w:val="0"/>
      <w:marBottom w:val="0"/>
      <w:divBdr>
        <w:top w:val="none" w:sz="0" w:space="0" w:color="auto"/>
        <w:left w:val="none" w:sz="0" w:space="0" w:color="auto"/>
        <w:bottom w:val="none" w:sz="0" w:space="0" w:color="auto"/>
        <w:right w:val="none" w:sz="0" w:space="0" w:color="auto"/>
      </w:divBdr>
    </w:div>
    <w:div w:id="2057272615">
      <w:bodyDiv w:val="1"/>
      <w:marLeft w:val="0"/>
      <w:marRight w:val="0"/>
      <w:marTop w:val="0"/>
      <w:marBottom w:val="0"/>
      <w:divBdr>
        <w:top w:val="none" w:sz="0" w:space="0" w:color="auto"/>
        <w:left w:val="none" w:sz="0" w:space="0" w:color="auto"/>
        <w:bottom w:val="none" w:sz="0" w:space="0" w:color="auto"/>
        <w:right w:val="none" w:sz="0" w:space="0" w:color="auto"/>
      </w:divBdr>
    </w:div>
    <w:div w:id="2093695064">
      <w:bodyDiv w:val="1"/>
      <w:marLeft w:val="0"/>
      <w:marRight w:val="0"/>
      <w:marTop w:val="0"/>
      <w:marBottom w:val="0"/>
      <w:divBdr>
        <w:top w:val="none" w:sz="0" w:space="0" w:color="auto"/>
        <w:left w:val="none" w:sz="0" w:space="0" w:color="auto"/>
        <w:bottom w:val="none" w:sz="0" w:space="0" w:color="auto"/>
        <w:right w:val="none" w:sz="0" w:space="0" w:color="auto"/>
      </w:divBdr>
    </w:div>
    <w:div w:id="212588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reativecommons.org/licenses/by/3.0/a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abcc.gov.au/about/accountability-and-reporting/fwbc-annual-report-2015-16/penalty-proceedings" TargetMode="External"/><Relationship Id="rId7" Type="http://schemas.openxmlformats.org/officeDocument/2006/relationships/endnotes" Target="endnotes.xml"/><Relationship Id="rId12" Type="http://schemas.openxmlformats.org/officeDocument/2006/relationships/image" Target="cid:image001.png@01CC5B5E.C6C84990"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reativecommons.org/licenses/by/3.0/au/legalcode" TargetMode="External"/><Relationship Id="rId22" Type="http://schemas.openxmlformats.org/officeDocument/2006/relationships/hyperlink" Target="https://www.abcc.gov.au/about/accountability-and-reporting/fwbc-annual-report-2015-16/penalty-proceed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247A2-2D1E-41AC-B90C-F8396E9CA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33356</Words>
  <Characters>190133</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Building and Construction Industry (Improving Productivity) Act 2016</dc:title>
  <dc:subject/>
  <dc:creator/>
  <cp:keywords/>
  <dc:description/>
  <cp:lastModifiedBy/>
  <cp:revision>1</cp:revision>
  <dcterms:created xsi:type="dcterms:W3CDTF">2021-06-21T01:42:00Z</dcterms:created>
  <dcterms:modified xsi:type="dcterms:W3CDTF">2021-06-21T01:42:00Z</dcterms:modified>
</cp:coreProperties>
</file>