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4927" w14:textId="77777777" w:rsidR="00107DD5" w:rsidRDefault="0033118C"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2934550E" w14:textId="06F077E4" w:rsidR="00221D8F" w:rsidRDefault="00070236" w:rsidP="00893A34">
      <w:pPr>
        <w:pStyle w:val="Heading1"/>
      </w:pPr>
      <w:bookmarkStart w:id="0" w:name="_Toc126923146"/>
      <w:bookmarkStart w:id="1" w:name="_Toc126923157"/>
      <w:r>
        <w:t>Ensuring Access to Foundation Skills</w:t>
      </w:r>
      <w:bookmarkEnd w:id="0"/>
      <w:bookmarkEnd w:id="1"/>
      <w:r w:rsidR="00577D3E">
        <w:t xml:space="preserve"> Training</w:t>
      </w:r>
    </w:p>
    <w:p w14:paraId="0D3A159A" w14:textId="53BCFAFD" w:rsidR="0039345B" w:rsidRPr="008F1BBD" w:rsidRDefault="007156BC" w:rsidP="0039345B">
      <w:pPr>
        <w:rPr>
          <w:rFonts w:ascii="Aptos Display" w:eastAsiaTheme="minorEastAsia" w:hAnsi="Aptos Display"/>
          <w:color w:val="3E4246" w:themeColor="accent1"/>
          <w:spacing w:val="15"/>
          <w:sz w:val="36"/>
          <w:szCs w:val="36"/>
        </w:rPr>
      </w:pPr>
      <w:r w:rsidRPr="007156BC">
        <w:rPr>
          <w:rFonts w:ascii="Aptos Display" w:eastAsiaTheme="minorEastAsia" w:hAnsi="Aptos Display"/>
          <w:color w:val="3E4246" w:themeColor="accent1"/>
          <w:spacing w:val="15"/>
          <w:sz w:val="36"/>
          <w:szCs w:val="36"/>
        </w:rPr>
        <w:t>More Australian adults will have the opportunity to develop literacy and numeracy skills</w:t>
      </w:r>
    </w:p>
    <w:p w14:paraId="16290562" w14:textId="4C313C3D" w:rsidR="0017134D" w:rsidRPr="00AA259E" w:rsidRDefault="007E5F28" w:rsidP="00AA259E">
      <w:pPr>
        <w:pStyle w:val="Heading3"/>
      </w:pPr>
      <w:bookmarkStart w:id="2" w:name="_Toc126923148"/>
      <w:bookmarkStart w:id="3" w:name="_Toc126923159"/>
      <w:bookmarkStart w:id="4" w:name="_Toc126923318"/>
      <w:r w:rsidRPr="007E5F28">
        <w:t xml:space="preserve">What is the Ensuring Access to Foundation Skills </w:t>
      </w:r>
      <w:r w:rsidR="00577D3E">
        <w:t xml:space="preserve">Training </w:t>
      </w:r>
      <w:r w:rsidRPr="007E5F28">
        <w:t xml:space="preserve">initiative </w:t>
      </w:r>
      <w:bookmarkEnd w:id="2"/>
      <w:bookmarkEnd w:id="3"/>
      <w:bookmarkEnd w:id="4"/>
    </w:p>
    <w:p w14:paraId="20B718D0" w14:textId="77777777" w:rsidR="00F80031" w:rsidRPr="00F80031" w:rsidRDefault="00F80031" w:rsidP="00A306C2">
      <w:r w:rsidRPr="00F80031">
        <w:t>Through the National Skills Agreement, the Australian Government is partnering with states and territories to support Australians who are facing foundation skills challenges to access the quality training they need to participate in further education and training, employment, and the broader community.</w:t>
      </w:r>
    </w:p>
    <w:p w14:paraId="2B3FB982" w14:textId="77777777" w:rsidR="00F80031" w:rsidRPr="00F80031" w:rsidRDefault="00F80031" w:rsidP="00A306C2">
      <w:r w:rsidRPr="00F80031">
        <w:t xml:space="preserve">This initiative complements the Australian Government’s other investments in foundation skills training, including the </w:t>
      </w:r>
      <w:hyperlink r:id="rId10" w:history="1">
        <w:r w:rsidRPr="00F80031">
          <w:rPr>
            <w:rStyle w:val="Hyperlink"/>
          </w:rPr>
          <w:t>Skills for Education and Employment (SEE) Program</w:t>
        </w:r>
      </w:hyperlink>
      <w:r w:rsidRPr="00F80031">
        <w:t>, which delivers free language, literacy, numeracy and digital skills training to eligible Australians.</w:t>
      </w:r>
    </w:p>
    <w:p w14:paraId="51514879" w14:textId="77777777" w:rsidR="00C05881" w:rsidRPr="00F51C18" w:rsidRDefault="00C05881" w:rsidP="00E2107E">
      <w:pPr>
        <w:pStyle w:val="Heading3"/>
      </w:pPr>
      <w:r>
        <w:t>What are the benefits of the initiative?</w:t>
      </w:r>
    </w:p>
    <w:p w14:paraId="365627EB" w14:textId="77777777" w:rsidR="00C05881" w:rsidRPr="00070236" w:rsidRDefault="00C05881" w:rsidP="00C05881">
      <w:r w:rsidRPr="00070236">
        <w:t>Foundation skills (language, literacy, digital literacy, numeracy, and employability skills</w:t>
      </w:r>
      <w:r w:rsidRPr="00070236">
        <w:rPr>
          <w:rStyle w:val="FootnoteReference"/>
        </w:rPr>
        <w:footnoteReference w:id="1"/>
      </w:r>
      <w:r w:rsidRPr="00070236">
        <w:t xml:space="preserve">) are the competencies that underpin workforce participation, productivity, and social inclusion. </w:t>
      </w:r>
    </w:p>
    <w:p w14:paraId="224633AC" w14:textId="77777777" w:rsidR="00C05881" w:rsidRPr="00070236" w:rsidRDefault="00C05881" w:rsidP="00C05881">
      <w:r w:rsidRPr="00070236">
        <w:t>These are core ‘learning to learn’ skills, necessary to provide people with access to an education system from which follows opportunities to develop careers, participate in lifelong learning and support social engagement.</w:t>
      </w:r>
    </w:p>
    <w:p w14:paraId="7A390407" w14:textId="77777777" w:rsidR="00C05881" w:rsidRPr="00070236" w:rsidRDefault="00C05881" w:rsidP="00C05881">
      <w:r w:rsidRPr="00070236">
        <w:t>Foundation skills training must better serve the 1 in 5 Australian adults – around 3 million – who have literacy and/or numeracy gaps. This initiative provides Australians with unmet foundation skills needs who have left school, with opportunities to enhance their skills.</w:t>
      </w:r>
    </w:p>
    <w:p w14:paraId="785C89BC" w14:textId="77777777" w:rsidR="00C05881" w:rsidRDefault="00C05881" w:rsidP="00E2107E">
      <w:pPr>
        <w:pStyle w:val="Heading3"/>
      </w:pPr>
      <w:r>
        <w:t>What does it mean for the VET system?</w:t>
      </w:r>
    </w:p>
    <w:p w14:paraId="111CE19E" w14:textId="77777777" w:rsidR="00C05881" w:rsidRDefault="00C05881" w:rsidP="00C05881">
      <w:pPr>
        <w:spacing w:before="100" w:after="100"/>
        <w:rPr>
          <w:color w:val="000000" w:themeColor="text1"/>
        </w:rPr>
      </w:pPr>
      <w:r>
        <w:rPr>
          <w:color w:val="000000" w:themeColor="text1"/>
        </w:rPr>
        <w:t xml:space="preserve">The initiative takes an approach that delivers a ‘no wrong door’ experience for learners. </w:t>
      </w:r>
    </w:p>
    <w:p w14:paraId="1C0828AB" w14:textId="77777777" w:rsidR="00C05881" w:rsidRPr="00C31BB2" w:rsidRDefault="00C05881" w:rsidP="00C05881">
      <w:pPr>
        <w:spacing w:before="100" w:after="100"/>
        <w:rPr>
          <w:rFonts w:cstheme="minorHAnsi"/>
        </w:rPr>
      </w:pPr>
      <w:r w:rsidRPr="00C31BB2">
        <w:rPr>
          <w:rFonts w:cstheme="minorHAnsi"/>
        </w:rPr>
        <w:lastRenderedPageBreak/>
        <w:t xml:space="preserve">To ensure access to foundation skills training for learners with an assessed need, the Australian Government </w:t>
      </w:r>
      <w:r>
        <w:rPr>
          <w:rFonts w:cstheme="minorHAnsi"/>
        </w:rPr>
        <w:t xml:space="preserve">is </w:t>
      </w:r>
      <w:r w:rsidRPr="00C31BB2">
        <w:rPr>
          <w:rFonts w:cstheme="minorHAnsi"/>
        </w:rPr>
        <w:t>support</w:t>
      </w:r>
      <w:r>
        <w:rPr>
          <w:rFonts w:cstheme="minorHAnsi"/>
        </w:rPr>
        <w:t>ing</w:t>
      </w:r>
      <w:r w:rsidRPr="00C31BB2">
        <w:rPr>
          <w:rFonts w:cstheme="minorHAnsi"/>
        </w:rPr>
        <w:t xml:space="preserve"> states and territories to provide no or low-fee access to training through their VET and/or Adult and Community Education (ACE) or equivalent providers.</w:t>
      </w:r>
    </w:p>
    <w:p w14:paraId="000CD96E" w14:textId="77777777" w:rsidR="00C05881" w:rsidRPr="001E2B9A" w:rsidRDefault="00C05881" w:rsidP="00C05881">
      <w:pPr>
        <w:spacing w:before="100" w:after="100"/>
        <w:rPr>
          <w:color w:val="000000" w:themeColor="text1"/>
        </w:rPr>
      </w:pPr>
      <w:r>
        <w:rPr>
          <w:color w:val="000000" w:themeColor="text1"/>
        </w:rPr>
        <w:t>Funding</w:t>
      </w:r>
      <w:r w:rsidRPr="001E2B9A">
        <w:rPr>
          <w:color w:val="000000" w:themeColor="text1"/>
        </w:rPr>
        <w:t xml:space="preserve"> for the ACE sector recognises its key role in supporting the most disadvantaged Australians, who may find it difficult to engage with mainstream education and prefer to learn in a more informal local community environment.</w:t>
      </w:r>
    </w:p>
    <w:p w14:paraId="07FDF202" w14:textId="77777777" w:rsidR="00C05881" w:rsidRPr="00DC4641" w:rsidRDefault="00C05881" w:rsidP="00C05881">
      <w:pPr>
        <w:spacing w:before="0"/>
        <w:rPr>
          <w:color w:val="000000" w:themeColor="text1"/>
        </w:rPr>
      </w:pPr>
      <w:r>
        <w:rPr>
          <w:color w:val="000000" w:themeColor="text1"/>
        </w:rPr>
        <w:t xml:space="preserve">The </w:t>
      </w:r>
      <w:hyperlink r:id="rId11" w:history="1">
        <w:r w:rsidRPr="008B1671">
          <w:rPr>
            <w:rStyle w:val="Hyperlink"/>
          </w:rPr>
          <w:t>National Foundation Skills Strategy 2025</w:t>
        </w:r>
        <w:r>
          <w:rPr>
            <w:rStyle w:val="Hyperlink"/>
          </w:rPr>
          <w:t>–</w:t>
        </w:r>
        <w:r w:rsidRPr="008B1671">
          <w:rPr>
            <w:rStyle w:val="Hyperlink"/>
          </w:rPr>
          <w:t>2035</w:t>
        </w:r>
      </w:hyperlink>
      <w:r>
        <w:rPr>
          <w:color w:val="000000" w:themeColor="text1"/>
        </w:rPr>
        <w:t xml:space="preserve"> has been established through this initiative</w:t>
      </w:r>
      <w:r w:rsidRPr="00C31BB2">
        <w:rPr>
          <w:color w:val="000000" w:themeColor="text1"/>
        </w:rPr>
        <w:t xml:space="preserve"> to strengthen the </w:t>
      </w:r>
      <w:r>
        <w:rPr>
          <w:color w:val="000000" w:themeColor="text1"/>
        </w:rPr>
        <w:t xml:space="preserve">quality and sustainability of the </w:t>
      </w:r>
      <w:r w:rsidRPr="00C31BB2">
        <w:rPr>
          <w:color w:val="000000" w:themeColor="text1"/>
        </w:rPr>
        <w:t>sector</w:t>
      </w:r>
      <w:r>
        <w:rPr>
          <w:color w:val="000000" w:themeColor="text1"/>
        </w:rPr>
        <w:t xml:space="preserve">. The Strategy sets a shared direction for all governments for </w:t>
      </w:r>
      <w:r w:rsidRPr="00B838CB">
        <w:rPr>
          <w:color w:val="000000" w:themeColor="text1"/>
        </w:rPr>
        <w:t xml:space="preserve">adult foundation skills nationally over the </w:t>
      </w:r>
      <w:r>
        <w:rPr>
          <w:color w:val="000000" w:themeColor="text1"/>
        </w:rPr>
        <w:t>next decade</w:t>
      </w:r>
      <w:r w:rsidRPr="00B838CB">
        <w:rPr>
          <w:color w:val="000000" w:themeColor="text1"/>
        </w:rPr>
        <w:t xml:space="preserve"> and reflects Skills Ministers' shared commitment to build foundation skills levels among Australian adults.</w:t>
      </w:r>
      <w:r>
        <w:rPr>
          <w:color w:val="000000" w:themeColor="text1"/>
        </w:rPr>
        <w:t xml:space="preserve"> </w:t>
      </w:r>
      <w:r w:rsidRPr="00390E50">
        <w:rPr>
          <w:color w:val="000000" w:themeColor="text1"/>
        </w:rPr>
        <w:t>Skills Ministers have agreed a range of actions to support implementation of the</w:t>
      </w:r>
      <w:r>
        <w:rPr>
          <w:color w:val="000000" w:themeColor="text1"/>
        </w:rPr>
        <w:t xml:space="preserve"> Strategy</w:t>
      </w:r>
      <w:r w:rsidRPr="00390E50">
        <w:rPr>
          <w:color w:val="000000" w:themeColor="text1"/>
        </w:rPr>
        <w:t>.</w:t>
      </w:r>
    </w:p>
    <w:p w14:paraId="3439EE2D" w14:textId="77777777" w:rsidR="00C05881" w:rsidRDefault="00C05881" w:rsidP="00E2107E">
      <w:pPr>
        <w:pStyle w:val="Heading3"/>
      </w:pPr>
      <w:r>
        <w:t>How much funding has been allocated?</w:t>
      </w:r>
    </w:p>
    <w:p w14:paraId="2D73055E" w14:textId="77777777" w:rsidR="00C05881" w:rsidRDefault="00C05881" w:rsidP="00C05881">
      <w:pPr>
        <w:rPr>
          <w:rFonts w:eastAsia="Corbel"/>
        </w:rPr>
      </w:pPr>
      <w:r w:rsidRPr="001D6AD2">
        <w:rPr>
          <w:rFonts w:eastAsia="Corbel"/>
        </w:rPr>
        <w:t xml:space="preserve">The </w:t>
      </w:r>
      <w:r>
        <w:rPr>
          <w:rFonts w:eastAsia="Corbel"/>
        </w:rPr>
        <w:t>Australian Government</w:t>
      </w:r>
      <w:r w:rsidRPr="001D6AD2">
        <w:rPr>
          <w:rFonts w:eastAsia="Corbel"/>
        </w:rPr>
        <w:t xml:space="preserve"> </w:t>
      </w:r>
      <w:r>
        <w:rPr>
          <w:rFonts w:eastAsia="Corbel"/>
        </w:rPr>
        <w:t xml:space="preserve">is investing </w:t>
      </w:r>
      <w:r w:rsidRPr="001D6AD2">
        <w:rPr>
          <w:rFonts w:eastAsia="Corbel"/>
        </w:rPr>
        <w:t>$14</w:t>
      </w:r>
      <w:r>
        <w:rPr>
          <w:rFonts w:eastAsia="Corbel"/>
        </w:rPr>
        <w:t>2</w:t>
      </w:r>
      <w:r w:rsidRPr="001D6AD2">
        <w:rPr>
          <w:rFonts w:eastAsia="Corbel"/>
        </w:rPr>
        <w:t xml:space="preserve"> million over </w:t>
      </w:r>
      <w:r>
        <w:rPr>
          <w:rFonts w:eastAsia="Corbel"/>
        </w:rPr>
        <w:t xml:space="preserve">5 </w:t>
      </w:r>
      <w:r w:rsidRPr="001D6AD2">
        <w:rPr>
          <w:rFonts w:eastAsia="Corbel"/>
        </w:rPr>
        <w:t>years to improve foundation skills training quality and access.</w:t>
      </w:r>
      <w:r>
        <w:rPr>
          <w:rFonts w:eastAsia="Corbel"/>
        </w:rPr>
        <w:t xml:space="preserve"> This includes </w:t>
      </w:r>
      <w:r w:rsidRPr="00E253B3">
        <w:rPr>
          <w:rFonts w:eastAsia="Corbel"/>
        </w:rPr>
        <w:t>$77 million</w:t>
      </w:r>
      <w:r>
        <w:rPr>
          <w:rFonts w:eastAsia="Corbel"/>
        </w:rPr>
        <w:t xml:space="preserve"> for foundation skills training through the Adult and Community Education sector, or equivalent.</w:t>
      </w:r>
    </w:p>
    <w:p w14:paraId="30A1A052" w14:textId="77777777" w:rsidR="00C05881" w:rsidRDefault="00C05881" w:rsidP="00E2107E">
      <w:pPr>
        <w:pStyle w:val="Heading3"/>
      </w:pPr>
      <w:r>
        <w:t>Where can I find further information?</w:t>
      </w:r>
    </w:p>
    <w:p w14:paraId="0E268431" w14:textId="1F96B8E9" w:rsidR="00C05881" w:rsidRPr="00E2107E" w:rsidRDefault="00C05881" w:rsidP="00C05881">
      <w:pPr>
        <w:spacing w:after="0"/>
        <w:rPr>
          <w:rFonts w:eastAsiaTheme="minorEastAsia"/>
          <w:color w:val="000000" w:themeColor="text1"/>
        </w:rPr>
      </w:pPr>
      <w:r>
        <w:rPr>
          <w:rFonts w:eastAsia="Corbel"/>
        </w:rPr>
        <w:t xml:space="preserve">The Australian Government has worked collaboratively with states and territories to agree </w:t>
      </w:r>
      <w:r w:rsidRPr="00510D38">
        <w:rPr>
          <w:rFonts w:eastAsia="Corbel"/>
        </w:rPr>
        <w:t xml:space="preserve">on </w:t>
      </w:r>
      <w:r>
        <w:rPr>
          <w:rFonts w:eastAsia="Corbel"/>
        </w:rPr>
        <w:t xml:space="preserve">implementation arrangements to deliver improved access to foundation skills training, including through the ACE sector. </w:t>
      </w:r>
      <w:r w:rsidRPr="007B4594">
        <w:rPr>
          <w:rFonts w:eastAsiaTheme="minorEastAsia"/>
          <w:color w:val="000000" w:themeColor="text1"/>
        </w:rPr>
        <w:t xml:space="preserve"> </w:t>
      </w:r>
      <w:r>
        <w:rPr>
          <w:rFonts w:eastAsiaTheme="minorEastAsia"/>
          <w:color w:val="000000" w:themeColor="text1"/>
        </w:rPr>
        <w:t xml:space="preserve">Further details are available in the published Foundation Skills </w:t>
      </w:r>
      <w:hyperlink r:id="rId12" w:history="1">
        <w:r w:rsidRPr="007D6967">
          <w:rPr>
            <w:rStyle w:val="Hyperlink"/>
            <w:rFonts w:eastAsiaTheme="minorEastAsia"/>
          </w:rPr>
          <w:t>implementation plans</w:t>
        </w:r>
      </w:hyperlink>
      <w:r>
        <w:rPr>
          <w:rFonts w:eastAsiaTheme="minorEastAsia"/>
          <w:color w:val="000000" w:themeColor="text1"/>
        </w:rPr>
        <w:t xml:space="preserve"> on the Federal Financial Relations (FFR) website.</w:t>
      </w:r>
    </w:p>
    <w:p w14:paraId="76AA1022" w14:textId="38B12352" w:rsidR="00C05881" w:rsidRPr="00F24F39" w:rsidRDefault="00C05881" w:rsidP="00C05881">
      <w:pPr>
        <w:rPr>
          <w:rFonts w:eastAsia="Corbel"/>
        </w:rPr>
      </w:pPr>
      <w:r>
        <w:rPr>
          <w:rFonts w:eastAsia="Corbel"/>
        </w:rPr>
        <w:t>The National Foundation Skills Strategy 2025</w:t>
      </w:r>
      <w:r w:rsidRPr="00F022DA">
        <w:rPr>
          <w:rFonts w:eastAsia="Corbel"/>
        </w:rPr>
        <w:t>–</w:t>
      </w:r>
      <w:r>
        <w:rPr>
          <w:rFonts w:eastAsia="Corbel"/>
        </w:rPr>
        <w:t xml:space="preserve">2035, including an Easy Read version, is available at: </w:t>
      </w:r>
      <w:hyperlink r:id="rId13" w:history="1">
        <w:r w:rsidRPr="00F07EAD">
          <w:rPr>
            <w:rStyle w:val="Hyperlink"/>
            <w:rFonts w:eastAsia="Corbel"/>
          </w:rPr>
          <w:t>www.dewr.gov.au/national-skills-agreement/national-foundation-skills-strategy-2025-2035</w:t>
        </w:r>
      </w:hyperlink>
    </w:p>
    <w:sectPr w:rsidR="00C05881" w:rsidRPr="00F24F39" w:rsidSect="00FB2061">
      <w:footerReference w:type="default" r:id="rId14"/>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5A4F8" w14:textId="77777777" w:rsidR="0033118C" w:rsidRDefault="0033118C" w:rsidP="000A6228">
      <w:pPr>
        <w:spacing w:after="0" w:line="240" w:lineRule="auto"/>
      </w:pPr>
      <w:r>
        <w:separator/>
      </w:r>
    </w:p>
  </w:endnote>
  <w:endnote w:type="continuationSeparator" w:id="0">
    <w:p w14:paraId="5C4FBDCF" w14:textId="77777777" w:rsidR="0033118C" w:rsidRDefault="0033118C"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4A1F4921"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62165" w14:textId="77777777" w:rsidR="0033118C" w:rsidRDefault="0033118C" w:rsidP="000A6228">
      <w:pPr>
        <w:spacing w:after="0" w:line="240" w:lineRule="auto"/>
      </w:pPr>
      <w:r>
        <w:separator/>
      </w:r>
    </w:p>
  </w:footnote>
  <w:footnote w:type="continuationSeparator" w:id="0">
    <w:p w14:paraId="3BA78C16" w14:textId="77777777" w:rsidR="0033118C" w:rsidRDefault="0033118C" w:rsidP="000A6228">
      <w:pPr>
        <w:spacing w:after="0" w:line="240" w:lineRule="auto"/>
      </w:pPr>
      <w:r>
        <w:continuationSeparator/>
      </w:r>
    </w:p>
  </w:footnote>
  <w:footnote w:id="1">
    <w:p w14:paraId="7539DB5D" w14:textId="77777777" w:rsidR="00C05881" w:rsidRDefault="00C05881" w:rsidP="00C05881">
      <w:pPr>
        <w:pStyle w:val="pf0"/>
      </w:pPr>
      <w:r>
        <w:rPr>
          <w:rStyle w:val="FootnoteReference"/>
        </w:rPr>
        <w:footnoteRef/>
      </w:r>
      <w:r>
        <w:t xml:space="preserve"> </w:t>
      </w:r>
      <w:r w:rsidRPr="00E408B7">
        <w:rPr>
          <w:rStyle w:val="cf01"/>
        </w:rPr>
        <w:t>Employability skills are a</w:t>
      </w:r>
      <w:r>
        <w:rPr>
          <w:rStyle w:val="cf01"/>
        </w:rPr>
        <w:t xml:space="preserve"> set of non-technical skills, knowledge and understandings that underpin successful participation in work.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6FC422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0D420E"/>
    <w:multiLevelType w:val="multilevel"/>
    <w:tmpl w:val="350C6CC8"/>
    <w:styleLink w:val="Style21"/>
    <w:lvl w:ilvl="0">
      <w:start w:val="1"/>
      <w:numFmt w:val="decimal"/>
      <w:lvlText w:val="A%1."/>
      <w:lvlJc w:val="left"/>
      <w:pPr>
        <w:ind w:left="643" w:hanging="360"/>
      </w:pPr>
      <w:rPr>
        <w:rFonts w:ascii="Corbel" w:hAnsi="Corbe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7E94675"/>
    <w:multiLevelType w:val="multilevel"/>
    <w:tmpl w:val="67C4226A"/>
    <w:numStyleLink w:val="ListAlpha-ListStyle"/>
  </w:abstractNum>
  <w:abstractNum w:abstractNumId="15" w15:restartNumberingAfterBreak="0">
    <w:nsid w:val="29155735"/>
    <w:multiLevelType w:val="multilevel"/>
    <w:tmpl w:val="39328DDE"/>
    <w:numStyleLink w:val="ListBullet-ListStyle"/>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9" w15:restartNumberingAfterBreak="0">
    <w:nsid w:val="31C0482F"/>
    <w:multiLevelType w:val="multilevel"/>
    <w:tmpl w:val="39328DDE"/>
    <w:numStyleLink w:val="ListBullet-ListStyle"/>
  </w:abstractNum>
  <w:abstractNum w:abstractNumId="2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1066794"/>
    <w:multiLevelType w:val="multilevel"/>
    <w:tmpl w:val="39328DDE"/>
    <w:numStyleLink w:val="ListBullet-ListStyle"/>
  </w:abstractNum>
  <w:abstractNum w:abstractNumId="23"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4"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5" w15:restartNumberingAfterBreak="0">
    <w:nsid w:val="68AE2EAA"/>
    <w:multiLevelType w:val="multilevel"/>
    <w:tmpl w:val="67C4226A"/>
    <w:numStyleLink w:val="ListAlpha-ListStyle"/>
  </w:abstractNum>
  <w:abstractNum w:abstractNumId="26"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1FA54C4"/>
    <w:multiLevelType w:val="multilevel"/>
    <w:tmpl w:val="B2F273FE"/>
    <w:numStyleLink w:val="ListNumber-ListStyle"/>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C424B7F"/>
    <w:multiLevelType w:val="multilevel"/>
    <w:tmpl w:val="39328DDE"/>
    <w:numStyleLink w:val="ListBullet-ListStyle"/>
  </w:abstractNum>
  <w:abstractNum w:abstractNumId="31" w15:restartNumberingAfterBreak="0">
    <w:nsid w:val="7F081AF2"/>
    <w:multiLevelType w:val="multilevel"/>
    <w:tmpl w:val="67C4226A"/>
    <w:numStyleLink w:val="ListAlpha-ListStyle"/>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7"/>
  </w:num>
  <w:num w:numId="6" w16cid:durableId="816344236">
    <w:abstractNumId w:val="2"/>
  </w:num>
  <w:num w:numId="7" w16cid:durableId="1908612059">
    <w:abstractNumId w:val="1"/>
  </w:num>
  <w:num w:numId="8" w16cid:durableId="1618215078">
    <w:abstractNumId w:val="0"/>
  </w:num>
  <w:num w:numId="9" w16cid:durableId="1850677422">
    <w:abstractNumId w:val="16"/>
  </w:num>
  <w:num w:numId="10" w16cid:durableId="1599946406">
    <w:abstractNumId w:val="8"/>
  </w:num>
  <w:num w:numId="11" w16cid:durableId="714038629">
    <w:abstractNumId w:val="26"/>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29"/>
  </w:num>
  <w:num w:numId="17" w16cid:durableId="2029670193">
    <w:abstractNumId w:val="20"/>
  </w:num>
  <w:num w:numId="18" w16cid:durableId="887570554">
    <w:abstractNumId w:val="9"/>
  </w:num>
  <w:num w:numId="19" w16cid:durableId="147789394">
    <w:abstractNumId w:val="21"/>
  </w:num>
  <w:num w:numId="20" w16cid:durableId="489685936">
    <w:abstractNumId w:val="24"/>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4"/>
  </w:num>
  <w:num w:numId="26" w16cid:durableId="501630120">
    <w:abstractNumId w:val="18"/>
  </w:num>
  <w:num w:numId="27" w16cid:durableId="7425339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5"/>
  </w:num>
  <w:num w:numId="29" w16cid:durableId="276564209">
    <w:abstractNumId w:val="19"/>
  </w:num>
  <w:num w:numId="30" w16cid:durableId="1570115469">
    <w:abstractNumId w:val="23"/>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30"/>
  </w:num>
  <w:num w:numId="36" w16cid:durableId="1162039917">
    <w:abstractNumId w:val="28"/>
  </w:num>
  <w:num w:numId="37" w16cid:durableId="681471900">
    <w:abstractNumId w:val="31"/>
  </w:num>
  <w:num w:numId="38" w16cid:durableId="751700964">
    <w:abstractNumId w:val="25"/>
  </w:num>
  <w:num w:numId="39" w16cid:durableId="36903566">
    <w:abstractNumId w:val="22"/>
  </w:num>
  <w:num w:numId="40" w16cid:durableId="826095948">
    <w:abstractNumId w:val="27"/>
  </w:num>
  <w:num w:numId="41" w16cid:durableId="2711373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E0"/>
    <w:rsid w:val="000020D5"/>
    <w:rsid w:val="00012366"/>
    <w:rsid w:val="00021FBE"/>
    <w:rsid w:val="00034290"/>
    <w:rsid w:val="000521D7"/>
    <w:rsid w:val="00070236"/>
    <w:rsid w:val="000A0B58"/>
    <w:rsid w:val="000A6228"/>
    <w:rsid w:val="000B00F8"/>
    <w:rsid w:val="000B5D40"/>
    <w:rsid w:val="000B7EC6"/>
    <w:rsid w:val="000D7FEA"/>
    <w:rsid w:val="0010013C"/>
    <w:rsid w:val="00107D87"/>
    <w:rsid w:val="00107DD5"/>
    <w:rsid w:val="0012343A"/>
    <w:rsid w:val="00133B8D"/>
    <w:rsid w:val="0013611E"/>
    <w:rsid w:val="001515BF"/>
    <w:rsid w:val="001606F3"/>
    <w:rsid w:val="00160700"/>
    <w:rsid w:val="0017134D"/>
    <w:rsid w:val="00176FA7"/>
    <w:rsid w:val="001874AD"/>
    <w:rsid w:val="001A210E"/>
    <w:rsid w:val="001A2994"/>
    <w:rsid w:val="001A4AED"/>
    <w:rsid w:val="001B1440"/>
    <w:rsid w:val="001B420A"/>
    <w:rsid w:val="001C1523"/>
    <w:rsid w:val="001E1BBD"/>
    <w:rsid w:val="001F0658"/>
    <w:rsid w:val="00221D8F"/>
    <w:rsid w:val="00222A9C"/>
    <w:rsid w:val="002272DB"/>
    <w:rsid w:val="00242274"/>
    <w:rsid w:val="00246DFC"/>
    <w:rsid w:val="002579E7"/>
    <w:rsid w:val="002758DB"/>
    <w:rsid w:val="00276047"/>
    <w:rsid w:val="00276778"/>
    <w:rsid w:val="00277B08"/>
    <w:rsid w:val="002A3B0F"/>
    <w:rsid w:val="002A4458"/>
    <w:rsid w:val="002C5C6F"/>
    <w:rsid w:val="002D589A"/>
    <w:rsid w:val="002E491A"/>
    <w:rsid w:val="00322BD5"/>
    <w:rsid w:val="0033118C"/>
    <w:rsid w:val="003354EE"/>
    <w:rsid w:val="00336CF6"/>
    <w:rsid w:val="00352166"/>
    <w:rsid w:val="003531BD"/>
    <w:rsid w:val="00362A28"/>
    <w:rsid w:val="003832D9"/>
    <w:rsid w:val="0039345B"/>
    <w:rsid w:val="0039758A"/>
    <w:rsid w:val="003A78C1"/>
    <w:rsid w:val="003E091F"/>
    <w:rsid w:val="0040155D"/>
    <w:rsid w:val="0041079B"/>
    <w:rsid w:val="00415A5E"/>
    <w:rsid w:val="0041713E"/>
    <w:rsid w:val="00421D3F"/>
    <w:rsid w:val="00423785"/>
    <w:rsid w:val="00452D26"/>
    <w:rsid w:val="004A06CD"/>
    <w:rsid w:val="004A4B6F"/>
    <w:rsid w:val="004A4CF9"/>
    <w:rsid w:val="004D2965"/>
    <w:rsid w:val="004D2D9D"/>
    <w:rsid w:val="004E7CE0"/>
    <w:rsid w:val="0052265B"/>
    <w:rsid w:val="005268CD"/>
    <w:rsid w:val="00535EA8"/>
    <w:rsid w:val="00536FF1"/>
    <w:rsid w:val="00577D3E"/>
    <w:rsid w:val="005A75C9"/>
    <w:rsid w:val="005B187D"/>
    <w:rsid w:val="005C63AF"/>
    <w:rsid w:val="006232DC"/>
    <w:rsid w:val="0063094F"/>
    <w:rsid w:val="00635DAE"/>
    <w:rsid w:val="00655A13"/>
    <w:rsid w:val="006A3121"/>
    <w:rsid w:val="006B039C"/>
    <w:rsid w:val="006D67F3"/>
    <w:rsid w:val="006F1FFF"/>
    <w:rsid w:val="006F220D"/>
    <w:rsid w:val="006F6D10"/>
    <w:rsid w:val="00707BF3"/>
    <w:rsid w:val="00712B94"/>
    <w:rsid w:val="007156BC"/>
    <w:rsid w:val="00720ACE"/>
    <w:rsid w:val="00734BAF"/>
    <w:rsid w:val="007B2126"/>
    <w:rsid w:val="007B2CA1"/>
    <w:rsid w:val="007B575A"/>
    <w:rsid w:val="007C6143"/>
    <w:rsid w:val="007D0ABC"/>
    <w:rsid w:val="007E5F28"/>
    <w:rsid w:val="008042F5"/>
    <w:rsid w:val="008149B8"/>
    <w:rsid w:val="00817CD3"/>
    <w:rsid w:val="00834145"/>
    <w:rsid w:val="008565AF"/>
    <w:rsid w:val="00884D7B"/>
    <w:rsid w:val="00886959"/>
    <w:rsid w:val="00893A34"/>
    <w:rsid w:val="008A1EC1"/>
    <w:rsid w:val="008A36E1"/>
    <w:rsid w:val="008A37A7"/>
    <w:rsid w:val="008A5DEB"/>
    <w:rsid w:val="008A6FB6"/>
    <w:rsid w:val="008B0736"/>
    <w:rsid w:val="008E70F5"/>
    <w:rsid w:val="008F1BBD"/>
    <w:rsid w:val="008F2AB8"/>
    <w:rsid w:val="00950B06"/>
    <w:rsid w:val="00952333"/>
    <w:rsid w:val="00954F97"/>
    <w:rsid w:val="00970069"/>
    <w:rsid w:val="009721EB"/>
    <w:rsid w:val="0099273C"/>
    <w:rsid w:val="009A17DE"/>
    <w:rsid w:val="009B49E0"/>
    <w:rsid w:val="009B5804"/>
    <w:rsid w:val="009B706E"/>
    <w:rsid w:val="009C423A"/>
    <w:rsid w:val="009D7203"/>
    <w:rsid w:val="009E1DBE"/>
    <w:rsid w:val="009E79ED"/>
    <w:rsid w:val="00A07596"/>
    <w:rsid w:val="00A16D39"/>
    <w:rsid w:val="00A17A08"/>
    <w:rsid w:val="00A24545"/>
    <w:rsid w:val="00A306C2"/>
    <w:rsid w:val="00A32BE8"/>
    <w:rsid w:val="00A437B9"/>
    <w:rsid w:val="00A604C9"/>
    <w:rsid w:val="00A60673"/>
    <w:rsid w:val="00AA259E"/>
    <w:rsid w:val="00AC070E"/>
    <w:rsid w:val="00AC1872"/>
    <w:rsid w:val="00AC7CAA"/>
    <w:rsid w:val="00AD20F7"/>
    <w:rsid w:val="00AD631F"/>
    <w:rsid w:val="00AE21FF"/>
    <w:rsid w:val="00AF1F18"/>
    <w:rsid w:val="00B0726E"/>
    <w:rsid w:val="00B12841"/>
    <w:rsid w:val="00B219D1"/>
    <w:rsid w:val="00B44A48"/>
    <w:rsid w:val="00B70CA3"/>
    <w:rsid w:val="00B81FA4"/>
    <w:rsid w:val="00B85844"/>
    <w:rsid w:val="00B8794C"/>
    <w:rsid w:val="00B95EF4"/>
    <w:rsid w:val="00BB0741"/>
    <w:rsid w:val="00BB6509"/>
    <w:rsid w:val="00BC248C"/>
    <w:rsid w:val="00C01EC0"/>
    <w:rsid w:val="00C05881"/>
    <w:rsid w:val="00C244EE"/>
    <w:rsid w:val="00C27DEF"/>
    <w:rsid w:val="00C342AA"/>
    <w:rsid w:val="00C501E3"/>
    <w:rsid w:val="00C60953"/>
    <w:rsid w:val="00C72224"/>
    <w:rsid w:val="00C75706"/>
    <w:rsid w:val="00C93076"/>
    <w:rsid w:val="00CA4815"/>
    <w:rsid w:val="00CA4C71"/>
    <w:rsid w:val="00CB5584"/>
    <w:rsid w:val="00CC4E00"/>
    <w:rsid w:val="00CF6562"/>
    <w:rsid w:val="00CF677A"/>
    <w:rsid w:val="00D5688A"/>
    <w:rsid w:val="00D70064"/>
    <w:rsid w:val="00D759EB"/>
    <w:rsid w:val="00D86284"/>
    <w:rsid w:val="00DB058E"/>
    <w:rsid w:val="00DC540B"/>
    <w:rsid w:val="00DC5980"/>
    <w:rsid w:val="00DD2B46"/>
    <w:rsid w:val="00DE3476"/>
    <w:rsid w:val="00DE4D37"/>
    <w:rsid w:val="00DE7800"/>
    <w:rsid w:val="00DF7C6E"/>
    <w:rsid w:val="00E06ED6"/>
    <w:rsid w:val="00E2107E"/>
    <w:rsid w:val="00E32AB7"/>
    <w:rsid w:val="00E35C4A"/>
    <w:rsid w:val="00E529E5"/>
    <w:rsid w:val="00EB4C2F"/>
    <w:rsid w:val="00EC3BB6"/>
    <w:rsid w:val="00EC6748"/>
    <w:rsid w:val="00EC7A75"/>
    <w:rsid w:val="00ED0DDF"/>
    <w:rsid w:val="00EE225C"/>
    <w:rsid w:val="00F1000D"/>
    <w:rsid w:val="00F154CE"/>
    <w:rsid w:val="00F311A4"/>
    <w:rsid w:val="00F47F70"/>
    <w:rsid w:val="00F602E0"/>
    <w:rsid w:val="00F66B6F"/>
    <w:rsid w:val="00F80031"/>
    <w:rsid w:val="00F82C2C"/>
    <w:rsid w:val="00F85913"/>
    <w:rsid w:val="00F93426"/>
    <w:rsid w:val="00F95767"/>
    <w:rsid w:val="00FB2061"/>
    <w:rsid w:val="00FC1107"/>
    <w:rsid w:val="00FC2BBE"/>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FE6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paragraph" w:styleId="CommentText">
    <w:name w:val="annotation text"/>
    <w:basedOn w:val="Normal"/>
    <w:link w:val="CommentTextChar"/>
    <w:uiPriority w:val="99"/>
    <w:semiHidden/>
    <w:unhideWhenUsed/>
    <w:rsid w:val="00F80031"/>
    <w:pPr>
      <w:spacing w:line="240" w:lineRule="auto"/>
    </w:pPr>
    <w:rPr>
      <w:sz w:val="20"/>
      <w:szCs w:val="20"/>
    </w:rPr>
  </w:style>
  <w:style w:type="character" w:customStyle="1" w:styleId="CommentTextChar">
    <w:name w:val="Comment Text Char"/>
    <w:basedOn w:val="DefaultParagraphFont"/>
    <w:link w:val="CommentText"/>
    <w:uiPriority w:val="99"/>
    <w:semiHidden/>
    <w:rsid w:val="00F80031"/>
    <w:rPr>
      <w:rFonts w:ascii="Aptos" w:hAnsi="Aptos"/>
      <w:sz w:val="20"/>
      <w:szCs w:val="20"/>
    </w:rPr>
  </w:style>
  <w:style w:type="numbering" w:customStyle="1" w:styleId="Style21">
    <w:name w:val="Style21"/>
    <w:uiPriority w:val="99"/>
    <w:rsid w:val="00F80031"/>
    <w:pPr>
      <w:numPr>
        <w:numId w:val="41"/>
      </w:numPr>
    </w:pPr>
  </w:style>
  <w:style w:type="character" w:styleId="CommentReference">
    <w:name w:val="annotation reference"/>
    <w:basedOn w:val="DefaultParagraphFont"/>
    <w:uiPriority w:val="99"/>
    <w:rsid w:val="00F80031"/>
    <w:rPr>
      <w:rFonts w:cs="Times New Roman"/>
      <w:sz w:val="16"/>
    </w:rPr>
  </w:style>
  <w:style w:type="character" w:styleId="FootnoteReference">
    <w:name w:val="footnote reference"/>
    <w:basedOn w:val="DefaultParagraphFont"/>
    <w:uiPriority w:val="99"/>
    <w:semiHidden/>
    <w:unhideWhenUsed/>
    <w:rsid w:val="00C05881"/>
    <w:rPr>
      <w:vertAlign w:val="superscript"/>
    </w:rPr>
  </w:style>
  <w:style w:type="paragraph" w:customStyle="1" w:styleId="pf0">
    <w:name w:val="pf0"/>
    <w:basedOn w:val="Normal"/>
    <w:rsid w:val="00C0588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C05881"/>
    <w:rPr>
      <w:rFonts w:ascii="Segoe UI" w:hAnsi="Segoe UI" w:cs="Segoe UI" w:hint="default"/>
      <w:sz w:val="18"/>
      <w:szCs w:val="18"/>
    </w:rPr>
  </w:style>
  <w:style w:type="character" w:styleId="FollowedHyperlink">
    <w:name w:val="FollowedHyperlink"/>
    <w:basedOn w:val="DefaultParagraphFont"/>
    <w:uiPriority w:val="99"/>
    <w:semiHidden/>
    <w:unhideWhenUsed/>
    <w:rsid w:val="00E2107E"/>
    <w:rPr>
      <w:color w:val="611D5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ewr.gov.au/national-skills-agreement/national-foundation-skills-strategy-2025-203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ederalfinancialrelations.gov.au/agreements/ensuring-access-foundation-skills-train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wr.gov.au/national-skills-agreement/resources/national-foundation-skills-strategy-2025203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ewr.gov.au/skills-education-and-employm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4ECD3-FC46-476A-A65D-B6EBD254E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Ensuring Access to Foundation Skills Training</dc:title>
  <dc:subject/>
  <dc:creator/>
  <cp:keywords/>
  <dc:description/>
  <cp:lastModifiedBy/>
  <cp:revision>1</cp:revision>
  <dcterms:created xsi:type="dcterms:W3CDTF">2026-10-19T05:08:00Z</dcterms:created>
  <dcterms:modified xsi:type="dcterms:W3CDTF">2026-10-19T05:08:00Z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2026-10-19T05:08:52Z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63ca0948-5fcd-4652-aedf-ccb3a5f5ef4a</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