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3D793" w14:textId="77777777" w:rsidR="002B3DC2" w:rsidRPr="003C539C" w:rsidRDefault="002B3DC2" w:rsidP="00B050B7">
      <w:r>
        <w:rPr>
          <w:noProof/>
          <w:lang w:eastAsia="en-AU"/>
        </w:rPr>
        <w:drawing>
          <wp:anchor distT="0" distB="0" distL="114300" distR="114300" simplePos="0" relativeHeight="251654144" behindDoc="1" locked="0" layoutInCell="1" allowOverlap="1" wp14:anchorId="328B474F" wp14:editId="243B7120">
            <wp:simplePos x="0" y="0"/>
            <wp:positionH relativeFrom="page">
              <wp:posOffset>0</wp:posOffset>
            </wp:positionH>
            <wp:positionV relativeFrom="paragraph">
              <wp:posOffset>-2961005</wp:posOffset>
            </wp:positionV>
            <wp:extent cx="7565805" cy="10701954"/>
            <wp:effectExtent l="0" t="0" r="0" b="4445"/>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SB18_0291 Update Corporate Templates_01_report cover.jpg"/>
                    <pic:cNvPicPr/>
                  </pic:nvPicPr>
                  <pic:blipFill>
                    <a:blip r:embed="rId8">
                      <a:extLst>
                        <a:ext uri="{28A0092B-C50C-407E-A947-70E740481C1C}">
                          <a14:useLocalDpi xmlns:a14="http://schemas.microsoft.com/office/drawing/2010/main" val="0"/>
                        </a:ext>
                      </a:extLst>
                    </a:blip>
                    <a:stretch>
                      <a:fillRect/>
                    </a:stretch>
                  </pic:blipFill>
                  <pic:spPr>
                    <a:xfrm>
                      <a:off x="0" y="0"/>
                      <a:ext cx="7565805" cy="10701954"/>
                    </a:xfrm>
                    <a:prstGeom prst="rect">
                      <a:avLst/>
                    </a:prstGeom>
                  </pic:spPr>
                </pic:pic>
              </a:graphicData>
            </a:graphic>
            <wp14:sizeRelH relativeFrom="page">
              <wp14:pctWidth>0</wp14:pctWidth>
            </wp14:sizeRelH>
            <wp14:sizeRelV relativeFrom="page">
              <wp14:pctHeight>0</wp14:pctHeight>
            </wp14:sizeRelV>
          </wp:anchor>
        </w:drawing>
      </w:r>
      <w:r w:rsidRPr="003C539C">
        <w:rPr>
          <w:noProof/>
          <w:lang w:eastAsia="en-AU"/>
        </w:rPr>
        <w:drawing>
          <wp:inline distT="0" distB="0" distL="0" distR="0" wp14:anchorId="176FA0C9" wp14:editId="3077EF6D">
            <wp:extent cx="1429885" cy="846455"/>
            <wp:effectExtent l="0" t="0" r="0" b="0"/>
            <wp:docPr id="3" name="Picture 3" descr="Australian Government. Department of Employment, Skills, Small and Family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Employment_Inline_Rev.png"/>
                    <pic:cNvPicPr/>
                  </pic:nvPicPr>
                  <pic:blipFill>
                    <a:blip r:embed="rId9">
                      <a:extLst>
                        <a:ext uri="{28A0092B-C50C-407E-A947-70E740481C1C}">
                          <a14:useLocalDpi xmlns:a14="http://schemas.microsoft.com/office/drawing/2010/main" val="0"/>
                        </a:ext>
                      </a:extLst>
                    </a:blip>
                    <a:stretch>
                      <a:fillRect/>
                    </a:stretch>
                  </pic:blipFill>
                  <pic:spPr>
                    <a:xfrm>
                      <a:off x="0" y="0"/>
                      <a:ext cx="1445932" cy="855954"/>
                    </a:xfrm>
                    <a:prstGeom prst="rect">
                      <a:avLst/>
                    </a:prstGeom>
                  </pic:spPr>
                </pic:pic>
              </a:graphicData>
            </a:graphic>
          </wp:inline>
        </w:drawing>
      </w:r>
    </w:p>
    <w:p w14:paraId="07E207A2" w14:textId="77777777" w:rsidR="002B3DC2" w:rsidRPr="00E91959" w:rsidRDefault="00CC4E3D" w:rsidP="00E91959">
      <w:pPr>
        <w:pStyle w:val="Title"/>
      </w:pPr>
      <w:r w:rsidRPr="00CC4E3D">
        <w:t>Transition to Work Interim Evaluation Report</w:t>
      </w:r>
    </w:p>
    <w:p w14:paraId="054B948B" w14:textId="77777777" w:rsidR="002B3DC2" w:rsidRPr="002B3DC2" w:rsidRDefault="002B3DC2" w:rsidP="00B050B7">
      <w:r w:rsidRPr="003C539C">
        <w:br w:type="page"/>
      </w:r>
    </w:p>
    <w:p w14:paraId="3F8E3EEF" w14:textId="77777777" w:rsidR="002B3DC2" w:rsidRPr="003C539C" w:rsidRDefault="002B3DC2" w:rsidP="00B050B7">
      <w:pPr>
        <w:pStyle w:val="BodyText"/>
        <w:sectPr w:rsidR="002B3DC2" w:rsidRPr="003C539C" w:rsidSect="00285EC5">
          <w:headerReference w:type="even" r:id="rId10"/>
          <w:headerReference w:type="default" r:id="rId11"/>
          <w:footerReference w:type="even" r:id="rId12"/>
          <w:footerReference w:type="default" r:id="rId13"/>
          <w:headerReference w:type="first" r:id="rId14"/>
          <w:footerReference w:type="first" r:id="rId15"/>
          <w:type w:val="continuous"/>
          <w:pgSz w:w="11906" w:h="16838"/>
          <w:pgMar w:top="4678" w:right="1440" w:bottom="1440" w:left="1440" w:header="708" w:footer="708" w:gutter="0"/>
          <w:cols w:space="708"/>
          <w:docGrid w:linePitch="360"/>
        </w:sectPr>
      </w:pPr>
    </w:p>
    <w:p w14:paraId="4F1137A2" w14:textId="2B2B08DF" w:rsidR="002B3DC2" w:rsidRPr="003C539C" w:rsidRDefault="002B3DC2" w:rsidP="00CF510D">
      <w:pPr>
        <w:spacing w:before="960"/>
      </w:pPr>
      <w:r w:rsidRPr="003C539C">
        <w:lastRenderedPageBreak/>
        <w:t>ISBN</w:t>
      </w:r>
    </w:p>
    <w:p w14:paraId="62900F67" w14:textId="2EA6B6D0" w:rsidR="00CC4E3D" w:rsidRPr="007D58FB" w:rsidRDefault="00421C2C" w:rsidP="00CC4E3D">
      <w:pPr>
        <w:rPr>
          <w:szCs w:val="20"/>
        </w:rPr>
      </w:pPr>
      <w:r>
        <w:rPr>
          <w:rFonts w:ascii="Arial" w:hAnsi="Arial" w:cs="Arial"/>
          <w:sz w:val="20"/>
          <w:szCs w:val="20"/>
          <w:lang w:eastAsia="en-AU"/>
        </w:rPr>
        <w:t>978-1-76051-872-1</w:t>
      </w:r>
      <w:r w:rsidR="00CC4E3D" w:rsidRPr="008E4DA0">
        <w:rPr>
          <w:szCs w:val="20"/>
        </w:rPr>
        <w:t xml:space="preserve"> [</w:t>
      </w:r>
      <w:r w:rsidR="00CC4E3D">
        <w:rPr>
          <w:szCs w:val="20"/>
        </w:rPr>
        <w:t>PRINT</w:t>
      </w:r>
      <w:r w:rsidR="00CC4E3D" w:rsidRPr="008E4DA0">
        <w:rPr>
          <w:szCs w:val="20"/>
        </w:rPr>
        <w:t>]</w:t>
      </w:r>
      <w:r w:rsidR="00CC4E3D">
        <w:rPr>
          <w:szCs w:val="20"/>
          <w:highlight w:val="yellow"/>
        </w:rPr>
        <w:br/>
      </w:r>
      <w:r>
        <w:rPr>
          <w:rFonts w:ascii="Arial" w:hAnsi="Arial" w:cs="Arial"/>
          <w:sz w:val="20"/>
          <w:szCs w:val="20"/>
          <w:lang w:eastAsia="en-AU"/>
        </w:rPr>
        <w:t>978-1-76051-870-7</w:t>
      </w:r>
      <w:r w:rsidR="00CC4E3D" w:rsidRPr="008E4DA0">
        <w:rPr>
          <w:szCs w:val="20"/>
        </w:rPr>
        <w:t xml:space="preserve"> [PDF]</w:t>
      </w:r>
      <w:r w:rsidR="00CC4E3D" w:rsidRPr="008E4DA0">
        <w:rPr>
          <w:szCs w:val="20"/>
        </w:rPr>
        <w:br/>
      </w:r>
      <w:r>
        <w:rPr>
          <w:rFonts w:ascii="Arial" w:hAnsi="Arial" w:cs="Arial"/>
          <w:sz w:val="20"/>
          <w:szCs w:val="20"/>
          <w:lang w:eastAsia="en-AU"/>
        </w:rPr>
        <w:t>978-1-76051-871-4</w:t>
      </w:r>
      <w:r w:rsidR="00CC4E3D" w:rsidRPr="008E4DA0">
        <w:rPr>
          <w:szCs w:val="20"/>
        </w:rPr>
        <w:t xml:space="preserve"> [DOCX]</w:t>
      </w:r>
    </w:p>
    <w:p w14:paraId="4BABBC2F" w14:textId="77777777" w:rsidR="00CC4E3D" w:rsidRDefault="00CC4E3D" w:rsidP="00CC4E3D">
      <w:pPr>
        <w:tabs>
          <w:tab w:val="left" w:pos="720"/>
        </w:tabs>
        <w:rPr>
          <w:sz w:val="20"/>
          <w:szCs w:val="20"/>
        </w:rPr>
      </w:pPr>
      <w:r>
        <w:rPr>
          <w:noProof/>
          <w:sz w:val="20"/>
          <w:szCs w:val="20"/>
          <w:lang w:eastAsia="en-AU"/>
        </w:rPr>
        <w:drawing>
          <wp:inline distT="0" distB="0" distL="0" distR="0" wp14:anchorId="4CCADD59" wp14:editId="1D9A6E02">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6" r:link="rId17"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165F21C8" w14:textId="77777777" w:rsidR="00CC4E3D" w:rsidRPr="000462F1" w:rsidRDefault="00CC4E3D" w:rsidP="00CC4E3D">
      <w:r w:rsidRPr="000462F1">
        <w:t>With the exception of the Commonwealth Coat of Arms, the Department</w:t>
      </w:r>
      <w:r>
        <w:t>’</w:t>
      </w:r>
      <w:r w:rsidRPr="000462F1">
        <w:t xml:space="preserve">s logo, any material protected by a trade mark and where otherwise noted all material presented in this document is provided under a </w:t>
      </w:r>
      <w:hyperlink r:id="rId18" w:history="1">
        <w:r w:rsidRPr="00EC78E7">
          <w:rPr>
            <w:rStyle w:val="Hyperlink"/>
          </w:rPr>
          <w:t>Creative Commons Attribution 3.</w:t>
        </w:r>
        <w:r>
          <w:rPr>
            <w:rStyle w:val="Hyperlink"/>
          </w:rPr>
          <w:t>0 </w:t>
        </w:r>
        <w:r w:rsidRPr="00EC78E7">
          <w:rPr>
            <w:rStyle w:val="Hyperlink"/>
          </w:rPr>
          <w:t>Australia</w:t>
        </w:r>
      </w:hyperlink>
      <w:r>
        <w:t xml:space="preserve"> </w:t>
      </w:r>
      <w:r w:rsidRPr="000462F1">
        <w:t>(</w:t>
      </w:r>
      <w:r w:rsidRPr="00EC78E7">
        <w:t>http://creativecommons.org/licenses/by/3.0/au/</w:t>
      </w:r>
      <w:r w:rsidRPr="000462F1">
        <w:t xml:space="preserve">) licence. </w:t>
      </w:r>
    </w:p>
    <w:p w14:paraId="5A9FACCD" w14:textId="77777777" w:rsidR="00CC4E3D" w:rsidRPr="000462F1" w:rsidRDefault="00CC4E3D" w:rsidP="00CC4E3D">
      <w:r w:rsidRPr="000462F1">
        <w:t xml:space="preserve">The details of the relevant licence conditions are available on the Creative Commons website (accessible using the links provided) as is the full legal code for the </w:t>
      </w:r>
      <w:hyperlink r:id="rId19" w:history="1">
        <w:r w:rsidRPr="00EC78E7">
          <w:rPr>
            <w:rStyle w:val="Hyperlink"/>
          </w:rPr>
          <w:t>CC BY 3.</w:t>
        </w:r>
        <w:r>
          <w:rPr>
            <w:rStyle w:val="Hyperlink"/>
          </w:rPr>
          <w:t>0 </w:t>
        </w:r>
        <w:r w:rsidRPr="00EC78E7">
          <w:rPr>
            <w:rStyle w:val="Hyperlink"/>
          </w:rPr>
          <w:t>AU licence</w:t>
        </w:r>
      </w:hyperlink>
      <w:r w:rsidRPr="000462F1">
        <w:t xml:space="preserve"> (</w:t>
      </w:r>
      <w:r w:rsidRPr="00EC78E7">
        <w:t>http://creativecommons.org/licenses/by/3.0/au/legalcode</w:t>
      </w:r>
      <w:r w:rsidRPr="000462F1">
        <w:t xml:space="preserve">). </w:t>
      </w:r>
    </w:p>
    <w:p w14:paraId="3AB528B0" w14:textId="77777777" w:rsidR="00CC4E3D" w:rsidRDefault="00CC4E3D" w:rsidP="00CC4E3D">
      <w:r w:rsidRPr="000462F1">
        <w:t>The document must be attributed as the</w:t>
      </w:r>
      <w:r>
        <w:t xml:space="preserve"> </w:t>
      </w:r>
      <w:r w:rsidRPr="004D13C2">
        <w:rPr>
          <w:rFonts w:cstheme="minorHAnsi"/>
        </w:rPr>
        <w:t>Transition to Work Interim Evaluation Report</w:t>
      </w:r>
      <w:r>
        <w:t>.</w:t>
      </w:r>
    </w:p>
    <w:p w14:paraId="52E6B736" w14:textId="77777777" w:rsidR="00CC4E3D" w:rsidRDefault="00CC4E3D" w:rsidP="00CC4E3D"/>
    <w:p w14:paraId="780F7332" w14:textId="77777777" w:rsidR="00CC4E3D" w:rsidRDefault="00CC4E3D" w:rsidP="00B050B7">
      <w:pPr>
        <w:sectPr w:rsidR="00CC4E3D" w:rsidSect="00CC4E3D">
          <w:footerReference w:type="even" r:id="rId20"/>
          <w:footerReference w:type="default" r:id="rId21"/>
          <w:type w:val="continuous"/>
          <w:pgSz w:w="11906" w:h="16838"/>
          <w:pgMar w:top="8647" w:right="1440" w:bottom="1440" w:left="1440" w:header="709" w:footer="709" w:gutter="0"/>
          <w:cols w:space="708"/>
          <w:docGrid w:linePitch="360"/>
        </w:sectPr>
      </w:pPr>
    </w:p>
    <w:p w14:paraId="03C34A8A" w14:textId="77777777" w:rsidR="00CC4E3D" w:rsidRPr="00E12936" w:rsidRDefault="00CC4E3D" w:rsidP="00AC1F6C">
      <w:pPr>
        <w:pStyle w:val="Heading2"/>
      </w:pPr>
      <w:bookmarkStart w:id="0" w:name="_Toc23841313"/>
      <w:r w:rsidRPr="00E12936">
        <w:lastRenderedPageBreak/>
        <w:t>Acknowledgements</w:t>
      </w:r>
      <w:bookmarkEnd w:id="0"/>
    </w:p>
    <w:p w14:paraId="760F4FE5" w14:textId="77777777" w:rsidR="00CC4E3D" w:rsidRDefault="00CC4E3D" w:rsidP="00CC4E3D">
      <w:pPr>
        <w:rPr>
          <w:rFonts w:cstheme="minorHAnsi"/>
        </w:rPr>
      </w:pPr>
      <w:r w:rsidRPr="004D13C2">
        <w:rPr>
          <w:rFonts w:cstheme="minorHAnsi"/>
        </w:rPr>
        <w:t xml:space="preserve">This report was prepared by </w:t>
      </w:r>
      <w:r>
        <w:rPr>
          <w:rFonts w:cstheme="minorHAnsi"/>
        </w:rPr>
        <w:t xml:space="preserve">Christina Jankovic, Wendy Elliott, </w:t>
      </w:r>
      <w:r w:rsidRPr="004D13C2">
        <w:rPr>
          <w:rFonts w:cstheme="minorHAnsi"/>
        </w:rPr>
        <w:t>Bethany Jones</w:t>
      </w:r>
      <w:r>
        <w:rPr>
          <w:rFonts w:cstheme="minorHAnsi"/>
        </w:rPr>
        <w:t>, Patricia Barber,</w:t>
      </w:r>
      <w:r w:rsidRPr="004D13C2">
        <w:rPr>
          <w:rFonts w:cstheme="minorHAnsi"/>
        </w:rPr>
        <w:t xml:space="preserve"> Matthew Toohey</w:t>
      </w:r>
      <w:r>
        <w:rPr>
          <w:rFonts w:cstheme="minorHAnsi"/>
        </w:rPr>
        <w:t>, Sepi Helali, Robyn Henderson,</w:t>
      </w:r>
      <w:r w:rsidRPr="00656C10">
        <w:rPr>
          <w:rFonts w:cstheme="minorHAnsi"/>
        </w:rPr>
        <w:t xml:space="preserve"> </w:t>
      </w:r>
      <w:r>
        <w:rPr>
          <w:rFonts w:cstheme="minorHAnsi"/>
        </w:rPr>
        <w:t>Alison Reinhard, Peter Schmidli, Deo Mwesigye, and Yingru Wu. Stephen Howe provided assistance with data construction of analysis datasets.</w:t>
      </w:r>
    </w:p>
    <w:p w14:paraId="4478F422" w14:textId="47486E17" w:rsidR="00CC4E3D" w:rsidRPr="00CC4E3D" w:rsidRDefault="00CC4E3D" w:rsidP="00CC4E3D">
      <w:r>
        <w:rPr>
          <w:rFonts w:cstheme="minorHAnsi"/>
        </w:rPr>
        <w:t xml:space="preserve">The </w:t>
      </w:r>
      <w:r w:rsidR="00263EF6">
        <w:rPr>
          <w:rFonts w:cstheme="minorHAnsi"/>
        </w:rPr>
        <w:t>d</w:t>
      </w:r>
      <w:r>
        <w:rPr>
          <w:rFonts w:cstheme="minorHAnsi"/>
        </w:rPr>
        <w:t>epartment would also like to acknowledge the contribution to this report from commissioned research undertaken by the Social Research Centre.</w:t>
      </w:r>
    </w:p>
    <w:p w14:paraId="6F3AA493" w14:textId="77777777" w:rsidR="00CC4E3D" w:rsidRDefault="00CC4E3D" w:rsidP="00CC4E3D">
      <w:r>
        <w:br w:type="page"/>
      </w:r>
    </w:p>
    <w:sdt>
      <w:sdtPr>
        <w:rPr>
          <w:rFonts w:asciiTheme="minorHAnsi" w:eastAsiaTheme="minorEastAsia" w:hAnsiTheme="minorHAnsi" w:cstheme="minorBidi"/>
          <w:b w:val="0"/>
          <w:bCs w:val="0"/>
          <w:color w:val="000000" w:themeColor="text1"/>
          <w:sz w:val="22"/>
          <w:szCs w:val="22"/>
          <w:lang w:bidi="ar-SA"/>
        </w:rPr>
        <w:id w:val="-139263470"/>
        <w:docPartObj>
          <w:docPartGallery w:val="Table of Contents"/>
          <w:docPartUnique/>
        </w:docPartObj>
      </w:sdtPr>
      <w:sdtEndPr>
        <w:rPr>
          <w:noProof/>
          <w:color w:val="auto"/>
        </w:rPr>
      </w:sdtEndPr>
      <w:sdtContent>
        <w:p w14:paraId="37C88EA5" w14:textId="77777777" w:rsidR="002B3DC2" w:rsidRPr="003C539C" w:rsidRDefault="002B3DC2" w:rsidP="00B050B7">
          <w:pPr>
            <w:pStyle w:val="TOCHeading"/>
          </w:pPr>
          <w:r w:rsidRPr="00D84395">
            <w:t>Contents</w:t>
          </w:r>
        </w:p>
        <w:p w14:paraId="7A090A32" w14:textId="5C5BC03B" w:rsidR="00BB5489" w:rsidRDefault="002D49E6">
          <w:pPr>
            <w:pStyle w:val="TOC2"/>
            <w:tabs>
              <w:tab w:val="right" w:leader="dot" w:pos="9016"/>
            </w:tabs>
            <w:rPr>
              <w:noProof/>
              <w:lang w:eastAsia="en-AU"/>
            </w:rPr>
          </w:pPr>
          <w:r>
            <w:fldChar w:fldCharType="begin"/>
          </w:r>
          <w:r>
            <w:instrText xml:space="preserve"> TOC \o "2-3" \h \z \t "Heading 1,1,Question,3" </w:instrText>
          </w:r>
          <w:r>
            <w:fldChar w:fldCharType="separate"/>
          </w:r>
          <w:hyperlink w:anchor="_Toc23841313" w:history="1">
            <w:r w:rsidR="00BB5489" w:rsidRPr="009676A7">
              <w:rPr>
                <w:rStyle w:val="Hyperlink"/>
                <w:noProof/>
              </w:rPr>
              <w:t>Acknowledgements</w:t>
            </w:r>
            <w:r w:rsidR="00BB5489">
              <w:rPr>
                <w:noProof/>
                <w:webHidden/>
              </w:rPr>
              <w:tab/>
            </w:r>
            <w:r w:rsidR="00BB5489">
              <w:rPr>
                <w:noProof/>
                <w:webHidden/>
              </w:rPr>
              <w:fldChar w:fldCharType="begin"/>
            </w:r>
            <w:r w:rsidR="00BB5489">
              <w:rPr>
                <w:noProof/>
                <w:webHidden/>
              </w:rPr>
              <w:instrText xml:space="preserve"> PAGEREF _Toc23841313 \h </w:instrText>
            </w:r>
            <w:r w:rsidR="00BB5489">
              <w:rPr>
                <w:noProof/>
                <w:webHidden/>
              </w:rPr>
            </w:r>
            <w:r w:rsidR="00BB5489">
              <w:rPr>
                <w:noProof/>
                <w:webHidden/>
              </w:rPr>
              <w:fldChar w:fldCharType="separate"/>
            </w:r>
            <w:r w:rsidR="00BB5489">
              <w:rPr>
                <w:noProof/>
                <w:webHidden/>
              </w:rPr>
              <w:t>3</w:t>
            </w:r>
            <w:r w:rsidR="00BB5489">
              <w:rPr>
                <w:noProof/>
                <w:webHidden/>
              </w:rPr>
              <w:fldChar w:fldCharType="end"/>
            </w:r>
          </w:hyperlink>
        </w:p>
        <w:p w14:paraId="47D923F7" w14:textId="2CF1D7E9" w:rsidR="00BB5489" w:rsidRDefault="008808DB">
          <w:pPr>
            <w:pStyle w:val="TOC1"/>
            <w:tabs>
              <w:tab w:val="right" w:leader="dot" w:pos="9016"/>
            </w:tabs>
            <w:rPr>
              <w:noProof/>
              <w:lang w:eastAsia="en-AU"/>
            </w:rPr>
          </w:pPr>
          <w:hyperlink w:anchor="_Toc23841314" w:history="1">
            <w:r w:rsidR="00BB5489" w:rsidRPr="009676A7">
              <w:rPr>
                <w:rStyle w:val="Hyperlink"/>
                <w:noProof/>
              </w:rPr>
              <w:t>List of tables</w:t>
            </w:r>
            <w:r w:rsidR="00BB5489">
              <w:rPr>
                <w:noProof/>
                <w:webHidden/>
              </w:rPr>
              <w:tab/>
            </w:r>
            <w:r w:rsidR="00BB5489">
              <w:rPr>
                <w:noProof/>
                <w:webHidden/>
              </w:rPr>
              <w:fldChar w:fldCharType="begin"/>
            </w:r>
            <w:r w:rsidR="00BB5489">
              <w:rPr>
                <w:noProof/>
                <w:webHidden/>
              </w:rPr>
              <w:instrText xml:space="preserve"> PAGEREF _Toc23841314 \h </w:instrText>
            </w:r>
            <w:r w:rsidR="00BB5489">
              <w:rPr>
                <w:noProof/>
                <w:webHidden/>
              </w:rPr>
            </w:r>
            <w:r w:rsidR="00BB5489">
              <w:rPr>
                <w:noProof/>
                <w:webHidden/>
              </w:rPr>
              <w:fldChar w:fldCharType="separate"/>
            </w:r>
            <w:r w:rsidR="00BB5489">
              <w:rPr>
                <w:noProof/>
                <w:webHidden/>
              </w:rPr>
              <w:t>9</w:t>
            </w:r>
            <w:r w:rsidR="00BB5489">
              <w:rPr>
                <w:noProof/>
                <w:webHidden/>
              </w:rPr>
              <w:fldChar w:fldCharType="end"/>
            </w:r>
          </w:hyperlink>
        </w:p>
        <w:p w14:paraId="7045989D" w14:textId="57E9B6E3" w:rsidR="00BB5489" w:rsidRDefault="008808DB">
          <w:pPr>
            <w:pStyle w:val="TOC1"/>
            <w:tabs>
              <w:tab w:val="right" w:leader="dot" w:pos="9016"/>
            </w:tabs>
            <w:rPr>
              <w:noProof/>
              <w:lang w:eastAsia="en-AU"/>
            </w:rPr>
          </w:pPr>
          <w:hyperlink w:anchor="_Toc23841315" w:history="1">
            <w:r w:rsidR="00BB5489" w:rsidRPr="009676A7">
              <w:rPr>
                <w:rStyle w:val="Hyperlink"/>
                <w:noProof/>
              </w:rPr>
              <w:t>List of figures</w:t>
            </w:r>
            <w:r w:rsidR="00BB5489">
              <w:rPr>
                <w:noProof/>
                <w:webHidden/>
              </w:rPr>
              <w:tab/>
            </w:r>
            <w:r w:rsidR="00BB5489">
              <w:rPr>
                <w:noProof/>
                <w:webHidden/>
              </w:rPr>
              <w:fldChar w:fldCharType="begin"/>
            </w:r>
            <w:r w:rsidR="00BB5489">
              <w:rPr>
                <w:noProof/>
                <w:webHidden/>
              </w:rPr>
              <w:instrText xml:space="preserve"> PAGEREF _Toc23841315 \h </w:instrText>
            </w:r>
            <w:r w:rsidR="00BB5489">
              <w:rPr>
                <w:noProof/>
                <w:webHidden/>
              </w:rPr>
            </w:r>
            <w:r w:rsidR="00BB5489">
              <w:rPr>
                <w:noProof/>
                <w:webHidden/>
              </w:rPr>
              <w:fldChar w:fldCharType="separate"/>
            </w:r>
            <w:r w:rsidR="00BB5489">
              <w:rPr>
                <w:noProof/>
                <w:webHidden/>
              </w:rPr>
              <w:t>10</w:t>
            </w:r>
            <w:r w:rsidR="00BB5489">
              <w:rPr>
                <w:noProof/>
                <w:webHidden/>
              </w:rPr>
              <w:fldChar w:fldCharType="end"/>
            </w:r>
          </w:hyperlink>
        </w:p>
        <w:p w14:paraId="38FCAFBA" w14:textId="3C746018" w:rsidR="00BB5489" w:rsidRDefault="008808DB">
          <w:pPr>
            <w:pStyle w:val="TOC1"/>
            <w:tabs>
              <w:tab w:val="right" w:leader="dot" w:pos="9016"/>
            </w:tabs>
            <w:rPr>
              <w:noProof/>
              <w:lang w:eastAsia="en-AU"/>
            </w:rPr>
          </w:pPr>
          <w:hyperlink w:anchor="_Toc23841316" w:history="1">
            <w:r w:rsidR="00BB5489" w:rsidRPr="009676A7">
              <w:rPr>
                <w:rStyle w:val="Hyperlink"/>
                <w:noProof/>
              </w:rPr>
              <w:t>List of short forms</w:t>
            </w:r>
            <w:r w:rsidR="00BB5489">
              <w:rPr>
                <w:noProof/>
                <w:webHidden/>
              </w:rPr>
              <w:tab/>
            </w:r>
            <w:r w:rsidR="00BB5489">
              <w:rPr>
                <w:noProof/>
                <w:webHidden/>
              </w:rPr>
              <w:fldChar w:fldCharType="begin"/>
            </w:r>
            <w:r w:rsidR="00BB5489">
              <w:rPr>
                <w:noProof/>
                <w:webHidden/>
              </w:rPr>
              <w:instrText xml:space="preserve"> PAGEREF _Toc23841316 \h </w:instrText>
            </w:r>
            <w:r w:rsidR="00BB5489">
              <w:rPr>
                <w:noProof/>
                <w:webHidden/>
              </w:rPr>
            </w:r>
            <w:r w:rsidR="00BB5489">
              <w:rPr>
                <w:noProof/>
                <w:webHidden/>
              </w:rPr>
              <w:fldChar w:fldCharType="separate"/>
            </w:r>
            <w:r w:rsidR="00BB5489">
              <w:rPr>
                <w:noProof/>
                <w:webHidden/>
              </w:rPr>
              <w:t>12</w:t>
            </w:r>
            <w:r w:rsidR="00BB5489">
              <w:rPr>
                <w:noProof/>
                <w:webHidden/>
              </w:rPr>
              <w:fldChar w:fldCharType="end"/>
            </w:r>
          </w:hyperlink>
        </w:p>
        <w:p w14:paraId="50EE539A" w14:textId="5C7D3938" w:rsidR="00BB5489" w:rsidRDefault="008808DB">
          <w:pPr>
            <w:pStyle w:val="TOC1"/>
            <w:tabs>
              <w:tab w:val="right" w:leader="dot" w:pos="9016"/>
            </w:tabs>
            <w:rPr>
              <w:noProof/>
              <w:lang w:eastAsia="en-AU"/>
            </w:rPr>
          </w:pPr>
          <w:hyperlink w:anchor="_Toc23841317" w:history="1">
            <w:r w:rsidR="00BB5489" w:rsidRPr="009676A7">
              <w:rPr>
                <w:rStyle w:val="Hyperlink"/>
                <w:noProof/>
              </w:rPr>
              <w:t>Glossary</w:t>
            </w:r>
            <w:r w:rsidR="00BB5489">
              <w:rPr>
                <w:noProof/>
                <w:webHidden/>
              </w:rPr>
              <w:tab/>
            </w:r>
            <w:r w:rsidR="00BB5489">
              <w:rPr>
                <w:noProof/>
                <w:webHidden/>
              </w:rPr>
              <w:fldChar w:fldCharType="begin"/>
            </w:r>
            <w:r w:rsidR="00BB5489">
              <w:rPr>
                <w:noProof/>
                <w:webHidden/>
              </w:rPr>
              <w:instrText xml:space="preserve"> PAGEREF _Toc23841317 \h </w:instrText>
            </w:r>
            <w:r w:rsidR="00BB5489">
              <w:rPr>
                <w:noProof/>
                <w:webHidden/>
              </w:rPr>
            </w:r>
            <w:r w:rsidR="00BB5489">
              <w:rPr>
                <w:noProof/>
                <w:webHidden/>
              </w:rPr>
              <w:fldChar w:fldCharType="separate"/>
            </w:r>
            <w:r w:rsidR="00BB5489">
              <w:rPr>
                <w:noProof/>
                <w:webHidden/>
              </w:rPr>
              <w:t>13</w:t>
            </w:r>
            <w:r w:rsidR="00BB5489">
              <w:rPr>
                <w:noProof/>
                <w:webHidden/>
              </w:rPr>
              <w:fldChar w:fldCharType="end"/>
            </w:r>
          </w:hyperlink>
        </w:p>
        <w:p w14:paraId="620A1D66" w14:textId="24471FC8" w:rsidR="00BB5489" w:rsidRDefault="008808DB">
          <w:pPr>
            <w:pStyle w:val="TOC1"/>
            <w:tabs>
              <w:tab w:val="right" w:leader="dot" w:pos="9016"/>
            </w:tabs>
            <w:rPr>
              <w:noProof/>
              <w:lang w:eastAsia="en-AU"/>
            </w:rPr>
          </w:pPr>
          <w:hyperlink w:anchor="_Toc23841318" w:history="1">
            <w:r w:rsidR="00BB5489" w:rsidRPr="009676A7">
              <w:rPr>
                <w:rStyle w:val="Hyperlink"/>
                <w:noProof/>
              </w:rPr>
              <w:t>Executive summary</w:t>
            </w:r>
            <w:r w:rsidR="00BB5489">
              <w:rPr>
                <w:noProof/>
                <w:webHidden/>
              </w:rPr>
              <w:tab/>
            </w:r>
            <w:r w:rsidR="00BB5489">
              <w:rPr>
                <w:noProof/>
                <w:webHidden/>
              </w:rPr>
              <w:fldChar w:fldCharType="begin"/>
            </w:r>
            <w:r w:rsidR="00BB5489">
              <w:rPr>
                <w:noProof/>
                <w:webHidden/>
              </w:rPr>
              <w:instrText xml:space="preserve"> PAGEREF _Toc23841318 \h </w:instrText>
            </w:r>
            <w:r w:rsidR="00BB5489">
              <w:rPr>
                <w:noProof/>
                <w:webHidden/>
              </w:rPr>
            </w:r>
            <w:r w:rsidR="00BB5489">
              <w:rPr>
                <w:noProof/>
                <w:webHidden/>
              </w:rPr>
              <w:fldChar w:fldCharType="separate"/>
            </w:r>
            <w:r w:rsidR="00BB5489">
              <w:rPr>
                <w:noProof/>
                <w:webHidden/>
              </w:rPr>
              <w:t>17</w:t>
            </w:r>
            <w:r w:rsidR="00BB5489">
              <w:rPr>
                <w:noProof/>
                <w:webHidden/>
              </w:rPr>
              <w:fldChar w:fldCharType="end"/>
            </w:r>
          </w:hyperlink>
        </w:p>
        <w:p w14:paraId="3916C5D2" w14:textId="1E0CA63B" w:rsidR="00BB5489" w:rsidRDefault="008808DB">
          <w:pPr>
            <w:pStyle w:val="TOC2"/>
            <w:tabs>
              <w:tab w:val="right" w:leader="dot" w:pos="9016"/>
            </w:tabs>
            <w:rPr>
              <w:noProof/>
              <w:lang w:eastAsia="en-AU"/>
            </w:rPr>
          </w:pPr>
          <w:hyperlink w:anchor="_Toc23841319" w:history="1">
            <w:r w:rsidR="00BB5489" w:rsidRPr="009676A7">
              <w:rPr>
                <w:rStyle w:val="Hyperlink"/>
                <w:noProof/>
              </w:rPr>
              <w:t>Background</w:t>
            </w:r>
            <w:r w:rsidR="00BB5489">
              <w:rPr>
                <w:noProof/>
                <w:webHidden/>
              </w:rPr>
              <w:tab/>
            </w:r>
            <w:r w:rsidR="00BB5489">
              <w:rPr>
                <w:noProof/>
                <w:webHidden/>
              </w:rPr>
              <w:fldChar w:fldCharType="begin"/>
            </w:r>
            <w:r w:rsidR="00BB5489">
              <w:rPr>
                <w:noProof/>
                <w:webHidden/>
              </w:rPr>
              <w:instrText xml:space="preserve"> PAGEREF _Toc23841319 \h </w:instrText>
            </w:r>
            <w:r w:rsidR="00BB5489">
              <w:rPr>
                <w:noProof/>
                <w:webHidden/>
              </w:rPr>
            </w:r>
            <w:r w:rsidR="00BB5489">
              <w:rPr>
                <w:noProof/>
                <w:webHidden/>
              </w:rPr>
              <w:fldChar w:fldCharType="separate"/>
            </w:r>
            <w:r w:rsidR="00BB5489">
              <w:rPr>
                <w:noProof/>
                <w:webHidden/>
              </w:rPr>
              <w:t>17</w:t>
            </w:r>
            <w:r w:rsidR="00BB5489">
              <w:rPr>
                <w:noProof/>
                <w:webHidden/>
              </w:rPr>
              <w:fldChar w:fldCharType="end"/>
            </w:r>
          </w:hyperlink>
        </w:p>
        <w:p w14:paraId="39AFD51E" w14:textId="7A6B4C8C" w:rsidR="00BB5489" w:rsidRDefault="008808DB">
          <w:pPr>
            <w:pStyle w:val="TOC2"/>
            <w:tabs>
              <w:tab w:val="right" w:leader="dot" w:pos="9016"/>
            </w:tabs>
            <w:rPr>
              <w:noProof/>
              <w:lang w:eastAsia="en-AU"/>
            </w:rPr>
          </w:pPr>
          <w:hyperlink w:anchor="_Toc23841320" w:history="1">
            <w:r w:rsidR="00BB5489" w:rsidRPr="009676A7">
              <w:rPr>
                <w:rStyle w:val="Hyperlink"/>
                <w:noProof/>
              </w:rPr>
              <w:t>Evaluation of the Transition to Work service</w:t>
            </w:r>
            <w:r w:rsidR="00BB5489">
              <w:rPr>
                <w:noProof/>
                <w:webHidden/>
              </w:rPr>
              <w:tab/>
            </w:r>
            <w:r w:rsidR="00BB5489">
              <w:rPr>
                <w:noProof/>
                <w:webHidden/>
              </w:rPr>
              <w:fldChar w:fldCharType="begin"/>
            </w:r>
            <w:r w:rsidR="00BB5489">
              <w:rPr>
                <w:noProof/>
                <w:webHidden/>
              </w:rPr>
              <w:instrText xml:space="preserve"> PAGEREF _Toc23841320 \h </w:instrText>
            </w:r>
            <w:r w:rsidR="00BB5489">
              <w:rPr>
                <w:noProof/>
                <w:webHidden/>
              </w:rPr>
            </w:r>
            <w:r w:rsidR="00BB5489">
              <w:rPr>
                <w:noProof/>
                <w:webHidden/>
              </w:rPr>
              <w:fldChar w:fldCharType="separate"/>
            </w:r>
            <w:r w:rsidR="00BB5489">
              <w:rPr>
                <w:noProof/>
                <w:webHidden/>
              </w:rPr>
              <w:t>18</w:t>
            </w:r>
            <w:r w:rsidR="00BB5489">
              <w:rPr>
                <w:noProof/>
                <w:webHidden/>
              </w:rPr>
              <w:fldChar w:fldCharType="end"/>
            </w:r>
          </w:hyperlink>
        </w:p>
        <w:p w14:paraId="298FB2D9" w14:textId="0D0E051A" w:rsidR="00BB5489" w:rsidRDefault="008808DB">
          <w:pPr>
            <w:pStyle w:val="TOC2"/>
            <w:tabs>
              <w:tab w:val="right" w:leader="dot" w:pos="9016"/>
            </w:tabs>
            <w:rPr>
              <w:noProof/>
              <w:lang w:eastAsia="en-AU"/>
            </w:rPr>
          </w:pPr>
          <w:hyperlink w:anchor="_Toc23841321" w:history="1">
            <w:r w:rsidR="00BB5489" w:rsidRPr="009676A7">
              <w:rPr>
                <w:rStyle w:val="Hyperlink"/>
                <w:noProof/>
              </w:rPr>
              <w:t>Methods and analysis</w:t>
            </w:r>
            <w:r w:rsidR="00BB5489">
              <w:rPr>
                <w:noProof/>
                <w:webHidden/>
              </w:rPr>
              <w:tab/>
            </w:r>
            <w:r w:rsidR="00BB5489">
              <w:rPr>
                <w:noProof/>
                <w:webHidden/>
              </w:rPr>
              <w:fldChar w:fldCharType="begin"/>
            </w:r>
            <w:r w:rsidR="00BB5489">
              <w:rPr>
                <w:noProof/>
                <w:webHidden/>
              </w:rPr>
              <w:instrText xml:space="preserve"> PAGEREF _Toc23841321 \h </w:instrText>
            </w:r>
            <w:r w:rsidR="00BB5489">
              <w:rPr>
                <w:noProof/>
                <w:webHidden/>
              </w:rPr>
            </w:r>
            <w:r w:rsidR="00BB5489">
              <w:rPr>
                <w:noProof/>
                <w:webHidden/>
              </w:rPr>
              <w:fldChar w:fldCharType="separate"/>
            </w:r>
            <w:r w:rsidR="00BB5489">
              <w:rPr>
                <w:noProof/>
                <w:webHidden/>
              </w:rPr>
              <w:t>19</w:t>
            </w:r>
            <w:r w:rsidR="00BB5489">
              <w:rPr>
                <w:noProof/>
                <w:webHidden/>
              </w:rPr>
              <w:fldChar w:fldCharType="end"/>
            </w:r>
          </w:hyperlink>
        </w:p>
        <w:p w14:paraId="08CCE53C" w14:textId="38A925F8" w:rsidR="00BB5489" w:rsidRDefault="008808DB">
          <w:pPr>
            <w:pStyle w:val="TOC2"/>
            <w:tabs>
              <w:tab w:val="right" w:leader="dot" w:pos="9016"/>
            </w:tabs>
            <w:rPr>
              <w:noProof/>
              <w:lang w:eastAsia="en-AU"/>
            </w:rPr>
          </w:pPr>
          <w:hyperlink w:anchor="_Toc23841322" w:history="1">
            <w:r w:rsidR="00BB5489" w:rsidRPr="009676A7">
              <w:rPr>
                <w:rStyle w:val="Hyperlink"/>
                <w:noProof/>
              </w:rPr>
              <w:t>Main findings</w:t>
            </w:r>
            <w:r w:rsidR="00BB5489">
              <w:rPr>
                <w:noProof/>
                <w:webHidden/>
              </w:rPr>
              <w:tab/>
            </w:r>
            <w:r w:rsidR="00BB5489">
              <w:rPr>
                <w:noProof/>
                <w:webHidden/>
              </w:rPr>
              <w:fldChar w:fldCharType="begin"/>
            </w:r>
            <w:r w:rsidR="00BB5489">
              <w:rPr>
                <w:noProof/>
                <w:webHidden/>
              </w:rPr>
              <w:instrText xml:space="preserve"> PAGEREF _Toc23841322 \h </w:instrText>
            </w:r>
            <w:r w:rsidR="00BB5489">
              <w:rPr>
                <w:noProof/>
                <w:webHidden/>
              </w:rPr>
            </w:r>
            <w:r w:rsidR="00BB5489">
              <w:rPr>
                <w:noProof/>
                <w:webHidden/>
              </w:rPr>
              <w:fldChar w:fldCharType="separate"/>
            </w:r>
            <w:r w:rsidR="00BB5489">
              <w:rPr>
                <w:noProof/>
                <w:webHidden/>
              </w:rPr>
              <w:t>19</w:t>
            </w:r>
            <w:r w:rsidR="00BB5489">
              <w:rPr>
                <w:noProof/>
                <w:webHidden/>
              </w:rPr>
              <w:fldChar w:fldCharType="end"/>
            </w:r>
          </w:hyperlink>
        </w:p>
        <w:p w14:paraId="3782DD54" w14:textId="3A02E62D" w:rsidR="00BB5489" w:rsidRDefault="008808DB">
          <w:pPr>
            <w:pStyle w:val="TOC3"/>
            <w:rPr>
              <w:noProof/>
              <w:lang w:eastAsia="en-AU"/>
            </w:rPr>
          </w:pPr>
          <w:hyperlink w:anchor="_Toc23841323" w:history="1">
            <w:r w:rsidR="00BB5489" w:rsidRPr="009676A7">
              <w:rPr>
                <w:rStyle w:val="Hyperlink"/>
                <w:noProof/>
              </w:rPr>
              <w:t>Early implementation and operation of the TtW service</w:t>
            </w:r>
            <w:r w:rsidR="00BB5489">
              <w:rPr>
                <w:noProof/>
                <w:webHidden/>
              </w:rPr>
              <w:tab/>
            </w:r>
            <w:r w:rsidR="00BB5489">
              <w:rPr>
                <w:noProof/>
                <w:webHidden/>
              </w:rPr>
              <w:fldChar w:fldCharType="begin"/>
            </w:r>
            <w:r w:rsidR="00BB5489">
              <w:rPr>
                <w:noProof/>
                <w:webHidden/>
              </w:rPr>
              <w:instrText xml:space="preserve"> PAGEREF _Toc23841323 \h </w:instrText>
            </w:r>
            <w:r w:rsidR="00BB5489">
              <w:rPr>
                <w:noProof/>
                <w:webHidden/>
              </w:rPr>
            </w:r>
            <w:r w:rsidR="00BB5489">
              <w:rPr>
                <w:noProof/>
                <w:webHidden/>
              </w:rPr>
              <w:fldChar w:fldCharType="separate"/>
            </w:r>
            <w:r w:rsidR="00BB5489">
              <w:rPr>
                <w:noProof/>
                <w:webHidden/>
              </w:rPr>
              <w:t>19</w:t>
            </w:r>
            <w:r w:rsidR="00BB5489">
              <w:rPr>
                <w:noProof/>
                <w:webHidden/>
              </w:rPr>
              <w:fldChar w:fldCharType="end"/>
            </w:r>
          </w:hyperlink>
        </w:p>
        <w:p w14:paraId="3271B1A3" w14:textId="62A4FC7E" w:rsidR="00BB5489" w:rsidRDefault="008808DB">
          <w:pPr>
            <w:pStyle w:val="TOC3"/>
            <w:rPr>
              <w:noProof/>
              <w:lang w:eastAsia="en-AU"/>
            </w:rPr>
          </w:pPr>
          <w:hyperlink w:anchor="_Toc23841324" w:history="1">
            <w:r w:rsidR="00BB5489" w:rsidRPr="009676A7">
              <w:rPr>
                <w:rStyle w:val="Hyperlink"/>
                <w:noProof/>
              </w:rPr>
              <w:t>Engagement and retention of participants in TtW</w:t>
            </w:r>
            <w:r w:rsidR="00BB5489">
              <w:rPr>
                <w:noProof/>
                <w:webHidden/>
              </w:rPr>
              <w:tab/>
            </w:r>
            <w:r w:rsidR="00BB5489">
              <w:rPr>
                <w:noProof/>
                <w:webHidden/>
              </w:rPr>
              <w:fldChar w:fldCharType="begin"/>
            </w:r>
            <w:r w:rsidR="00BB5489">
              <w:rPr>
                <w:noProof/>
                <w:webHidden/>
              </w:rPr>
              <w:instrText xml:space="preserve"> PAGEREF _Toc23841324 \h </w:instrText>
            </w:r>
            <w:r w:rsidR="00BB5489">
              <w:rPr>
                <w:noProof/>
                <w:webHidden/>
              </w:rPr>
            </w:r>
            <w:r w:rsidR="00BB5489">
              <w:rPr>
                <w:noProof/>
                <w:webHidden/>
              </w:rPr>
              <w:fldChar w:fldCharType="separate"/>
            </w:r>
            <w:r w:rsidR="00BB5489">
              <w:rPr>
                <w:noProof/>
                <w:webHidden/>
              </w:rPr>
              <w:t>19</w:t>
            </w:r>
            <w:r w:rsidR="00BB5489">
              <w:rPr>
                <w:noProof/>
                <w:webHidden/>
              </w:rPr>
              <w:fldChar w:fldCharType="end"/>
            </w:r>
          </w:hyperlink>
        </w:p>
        <w:p w14:paraId="4EB8970D" w14:textId="68B20739" w:rsidR="00BB5489" w:rsidRDefault="008808DB">
          <w:pPr>
            <w:pStyle w:val="TOC3"/>
            <w:rPr>
              <w:noProof/>
              <w:lang w:eastAsia="en-AU"/>
            </w:rPr>
          </w:pPr>
          <w:hyperlink w:anchor="_Toc23841325" w:history="1">
            <w:r w:rsidR="00BB5489" w:rsidRPr="009676A7">
              <w:rPr>
                <w:rStyle w:val="Hyperlink"/>
                <w:noProof/>
              </w:rPr>
              <w:t>Early education, employment and labour market attachment outcomes</w:t>
            </w:r>
            <w:r w:rsidR="00BB5489">
              <w:rPr>
                <w:noProof/>
                <w:webHidden/>
              </w:rPr>
              <w:tab/>
            </w:r>
            <w:r w:rsidR="00BB5489">
              <w:rPr>
                <w:noProof/>
                <w:webHidden/>
              </w:rPr>
              <w:fldChar w:fldCharType="begin"/>
            </w:r>
            <w:r w:rsidR="00BB5489">
              <w:rPr>
                <w:noProof/>
                <w:webHidden/>
              </w:rPr>
              <w:instrText xml:space="preserve"> PAGEREF _Toc23841325 \h </w:instrText>
            </w:r>
            <w:r w:rsidR="00BB5489">
              <w:rPr>
                <w:noProof/>
                <w:webHidden/>
              </w:rPr>
            </w:r>
            <w:r w:rsidR="00BB5489">
              <w:rPr>
                <w:noProof/>
                <w:webHidden/>
              </w:rPr>
              <w:fldChar w:fldCharType="separate"/>
            </w:r>
            <w:r w:rsidR="00BB5489">
              <w:rPr>
                <w:noProof/>
                <w:webHidden/>
              </w:rPr>
              <w:t>21</w:t>
            </w:r>
            <w:r w:rsidR="00BB5489">
              <w:rPr>
                <w:noProof/>
                <w:webHidden/>
              </w:rPr>
              <w:fldChar w:fldCharType="end"/>
            </w:r>
          </w:hyperlink>
        </w:p>
        <w:p w14:paraId="1A87A996" w14:textId="536CCB91" w:rsidR="00BB5489" w:rsidRDefault="008808DB">
          <w:pPr>
            <w:pStyle w:val="TOC2"/>
            <w:tabs>
              <w:tab w:val="right" w:leader="dot" w:pos="9016"/>
            </w:tabs>
            <w:rPr>
              <w:noProof/>
              <w:lang w:eastAsia="en-AU"/>
            </w:rPr>
          </w:pPr>
          <w:hyperlink w:anchor="_Toc23841326" w:history="1">
            <w:r w:rsidR="00BB5489" w:rsidRPr="009676A7">
              <w:rPr>
                <w:rStyle w:val="Hyperlink"/>
                <w:noProof/>
              </w:rPr>
              <w:t>Conclusion</w:t>
            </w:r>
            <w:r w:rsidR="00BB5489">
              <w:rPr>
                <w:noProof/>
                <w:webHidden/>
              </w:rPr>
              <w:tab/>
            </w:r>
            <w:r w:rsidR="00BB5489">
              <w:rPr>
                <w:noProof/>
                <w:webHidden/>
              </w:rPr>
              <w:fldChar w:fldCharType="begin"/>
            </w:r>
            <w:r w:rsidR="00BB5489">
              <w:rPr>
                <w:noProof/>
                <w:webHidden/>
              </w:rPr>
              <w:instrText xml:space="preserve"> PAGEREF _Toc23841326 \h </w:instrText>
            </w:r>
            <w:r w:rsidR="00BB5489">
              <w:rPr>
                <w:noProof/>
                <w:webHidden/>
              </w:rPr>
            </w:r>
            <w:r w:rsidR="00BB5489">
              <w:rPr>
                <w:noProof/>
                <w:webHidden/>
              </w:rPr>
              <w:fldChar w:fldCharType="separate"/>
            </w:r>
            <w:r w:rsidR="00BB5489">
              <w:rPr>
                <w:noProof/>
                <w:webHidden/>
              </w:rPr>
              <w:t>21</w:t>
            </w:r>
            <w:r w:rsidR="00BB5489">
              <w:rPr>
                <w:noProof/>
                <w:webHidden/>
              </w:rPr>
              <w:fldChar w:fldCharType="end"/>
            </w:r>
          </w:hyperlink>
        </w:p>
        <w:p w14:paraId="6181AD7E" w14:textId="547AB2E1" w:rsidR="00BB5489" w:rsidRDefault="008808DB">
          <w:pPr>
            <w:pStyle w:val="TOC1"/>
            <w:tabs>
              <w:tab w:val="right" w:leader="dot" w:pos="9016"/>
            </w:tabs>
            <w:rPr>
              <w:noProof/>
              <w:lang w:eastAsia="en-AU"/>
            </w:rPr>
          </w:pPr>
          <w:hyperlink w:anchor="_Toc23841327" w:history="1">
            <w:r w:rsidR="00BB5489" w:rsidRPr="009676A7">
              <w:rPr>
                <w:rStyle w:val="Hyperlink"/>
                <w:noProof/>
              </w:rPr>
              <w:t>1</w:t>
            </w:r>
            <w:r w:rsidR="00BB5489">
              <w:rPr>
                <w:noProof/>
                <w:lang w:eastAsia="en-AU"/>
              </w:rPr>
              <w:tab/>
            </w:r>
            <w:r w:rsidR="00BB5489" w:rsidRPr="009676A7">
              <w:rPr>
                <w:rStyle w:val="Hyperlink"/>
                <w:noProof/>
              </w:rPr>
              <w:t>Introduction</w:t>
            </w:r>
            <w:r w:rsidR="00BB5489">
              <w:rPr>
                <w:noProof/>
                <w:webHidden/>
              </w:rPr>
              <w:tab/>
            </w:r>
            <w:r w:rsidR="00BB5489">
              <w:rPr>
                <w:noProof/>
                <w:webHidden/>
              </w:rPr>
              <w:fldChar w:fldCharType="begin"/>
            </w:r>
            <w:r w:rsidR="00BB5489">
              <w:rPr>
                <w:noProof/>
                <w:webHidden/>
              </w:rPr>
              <w:instrText xml:space="preserve"> PAGEREF _Toc23841327 \h </w:instrText>
            </w:r>
            <w:r w:rsidR="00BB5489">
              <w:rPr>
                <w:noProof/>
                <w:webHidden/>
              </w:rPr>
            </w:r>
            <w:r w:rsidR="00BB5489">
              <w:rPr>
                <w:noProof/>
                <w:webHidden/>
              </w:rPr>
              <w:fldChar w:fldCharType="separate"/>
            </w:r>
            <w:r w:rsidR="00BB5489">
              <w:rPr>
                <w:noProof/>
                <w:webHidden/>
              </w:rPr>
              <w:t>23</w:t>
            </w:r>
            <w:r w:rsidR="00BB5489">
              <w:rPr>
                <w:noProof/>
                <w:webHidden/>
              </w:rPr>
              <w:fldChar w:fldCharType="end"/>
            </w:r>
          </w:hyperlink>
        </w:p>
        <w:p w14:paraId="46E997FC" w14:textId="2148D1F0" w:rsidR="00BB5489" w:rsidRDefault="008808DB">
          <w:pPr>
            <w:pStyle w:val="TOC2"/>
            <w:tabs>
              <w:tab w:val="right" w:leader="dot" w:pos="9016"/>
            </w:tabs>
            <w:rPr>
              <w:noProof/>
              <w:lang w:eastAsia="en-AU"/>
            </w:rPr>
          </w:pPr>
          <w:hyperlink w:anchor="_Toc23841328" w:history="1">
            <w:r w:rsidR="00BB5489" w:rsidRPr="009676A7">
              <w:rPr>
                <w:rStyle w:val="Hyperlink"/>
                <w:noProof/>
              </w:rPr>
              <w:t>1.1</w:t>
            </w:r>
            <w:r w:rsidR="00BB5489">
              <w:rPr>
                <w:noProof/>
                <w:lang w:eastAsia="en-AU"/>
              </w:rPr>
              <w:tab/>
            </w:r>
            <w:r w:rsidR="00BB5489" w:rsidRPr="009676A7">
              <w:rPr>
                <w:rStyle w:val="Hyperlink"/>
                <w:noProof/>
              </w:rPr>
              <w:t>The study to work transition — government responses internationally</w:t>
            </w:r>
            <w:r w:rsidR="00BB5489">
              <w:rPr>
                <w:noProof/>
                <w:webHidden/>
              </w:rPr>
              <w:tab/>
            </w:r>
            <w:r w:rsidR="00BB5489">
              <w:rPr>
                <w:noProof/>
                <w:webHidden/>
              </w:rPr>
              <w:fldChar w:fldCharType="begin"/>
            </w:r>
            <w:r w:rsidR="00BB5489">
              <w:rPr>
                <w:noProof/>
                <w:webHidden/>
              </w:rPr>
              <w:instrText xml:space="preserve"> PAGEREF _Toc23841328 \h </w:instrText>
            </w:r>
            <w:r w:rsidR="00BB5489">
              <w:rPr>
                <w:noProof/>
                <w:webHidden/>
              </w:rPr>
            </w:r>
            <w:r w:rsidR="00BB5489">
              <w:rPr>
                <w:noProof/>
                <w:webHidden/>
              </w:rPr>
              <w:fldChar w:fldCharType="separate"/>
            </w:r>
            <w:r w:rsidR="00BB5489">
              <w:rPr>
                <w:noProof/>
                <w:webHidden/>
              </w:rPr>
              <w:t>23</w:t>
            </w:r>
            <w:r w:rsidR="00BB5489">
              <w:rPr>
                <w:noProof/>
                <w:webHidden/>
              </w:rPr>
              <w:fldChar w:fldCharType="end"/>
            </w:r>
          </w:hyperlink>
        </w:p>
        <w:p w14:paraId="0A7876E4" w14:textId="10B9252D" w:rsidR="00BB5489" w:rsidRDefault="008808DB">
          <w:pPr>
            <w:pStyle w:val="TOC3"/>
            <w:rPr>
              <w:noProof/>
              <w:lang w:eastAsia="en-AU"/>
            </w:rPr>
          </w:pPr>
          <w:hyperlink w:anchor="_Toc23841329" w:history="1">
            <w:r w:rsidR="00BB5489" w:rsidRPr="009676A7">
              <w:rPr>
                <w:rStyle w:val="Hyperlink"/>
                <w:noProof/>
              </w:rPr>
              <w:t>1.1.1</w:t>
            </w:r>
            <w:r w:rsidR="00BB5489">
              <w:rPr>
                <w:noProof/>
                <w:lang w:eastAsia="en-AU"/>
              </w:rPr>
              <w:tab/>
            </w:r>
            <w:r w:rsidR="00BB5489" w:rsidRPr="009676A7">
              <w:rPr>
                <w:rStyle w:val="Hyperlink"/>
                <w:noProof/>
              </w:rPr>
              <w:t>Types of youth employment programs around the world</w:t>
            </w:r>
            <w:r w:rsidR="00BB5489">
              <w:rPr>
                <w:noProof/>
                <w:webHidden/>
              </w:rPr>
              <w:tab/>
            </w:r>
            <w:r w:rsidR="00BB5489">
              <w:rPr>
                <w:noProof/>
                <w:webHidden/>
              </w:rPr>
              <w:fldChar w:fldCharType="begin"/>
            </w:r>
            <w:r w:rsidR="00BB5489">
              <w:rPr>
                <w:noProof/>
                <w:webHidden/>
              </w:rPr>
              <w:instrText xml:space="preserve"> PAGEREF _Toc23841329 \h </w:instrText>
            </w:r>
            <w:r w:rsidR="00BB5489">
              <w:rPr>
                <w:noProof/>
                <w:webHidden/>
              </w:rPr>
            </w:r>
            <w:r w:rsidR="00BB5489">
              <w:rPr>
                <w:noProof/>
                <w:webHidden/>
              </w:rPr>
              <w:fldChar w:fldCharType="separate"/>
            </w:r>
            <w:r w:rsidR="00BB5489">
              <w:rPr>
                <w:noProof/>
                <w:webHidden/>
              </w:rPr>
              <w:t>24</w:t>
            </w:r>
            <w:r w:rsidR="00BB5489">
              <w:rPr>
                <w:noProof/>
                <w:webHidden/>
              </w:rPr>
              <w:fldChar w:fldCharType="end"/>
            </w:r>
          </w:hyperlink>
        </w:p>
        <w:p w14:paraId="4A75C239" w14:textId="3E7C6B2C" w:rsidR="00BB5489" w:rsidRDefault="008808DB">
          <w:pPr>
            <w:pStyle w:val="TOC3"/>
            <w:rPr>
              <w:noProof/>
              <w:lang w:eastAsia="en-AU"/>
            </w:rPr>
          </w:pPr>
          <w:hyperlink w:anchor="_Toc23841330" w:history="1">
            <w:r w:rsidR="00BB5489" w:rsidRPr="009676A7">
              <w:rPr>
                <w:rStyle w:val="Hyperlink"/>
                <w:noProof/>
              </w:rPr>
              <w:t>1.1.2</w:t>
            </w:r>
            <w:r w:rsidR="00BB5489">
              <w:rPr>
                <w:noProof/>
                <w:lang w:eastAsia="en-AU"/>
              </w:rPr>
              <w:tab/>
            </w:r>
            <w:r w:rsidR="00BB5489" w:rsidRPr="009676A7">
              <w:rPr>
                <w:rStyle w:val="Hyperlink"/>
                <w:noProof/>
              </w:rPr>
              <w:t>Characteristics of successful youth employment programs</w:t>
            </w:r>
            <w:r w:rsidR="00BB5489">
              <w:rPr>
                <w:noProof/>
                <w:webHidden/>
              </w:rPr>
              <w:tab/>
            </w:r>
            <w:r w:rsidR="00BB5489">
              <w:rPr>
                <w:noProof/>
                <w:webHidden/>
              </w:rPr>
              <w:fldChar w:fldCharType="begin"/>
            </w:r>
            <w:r w:rsidR="00BB5489">
              <w:rPr>
                <w:noProof/>
                <w:webHidden/>
              </w:rPr>
              <w:instrText xml:space="preserve"> PAGEREF _Toc23841330 \h </w:instrText>
            </w:r>
            <w:r w:rsidR="00BB5489">
              <w:rPr>
                <w:noProof/>
                <w:webHidden/>
              </w:rPr>
            </w:r>
            <w:r w:rsidR="00BB5489">
              <w:rPr>
                <w:noProof/>
                <w:webHidden/>
              </w:rPr>
              <w:fldChar w:fldCharType="separate"/>
            </w:r>
            <w:r w:rsidR="00BB5489">
              <w:rPr>
                <w:noProof/>
                <w:webHidden/>
              </w:rPr>
              <w:t>26</w:t>
            </w:r>
            <w:r w:rsidR="00BB5489">
              <w:rPr>
                <w:noProof/>
                <w:webHidden/>
              </w:rPr>
              <w:fldChar w:fldCharType="end"/>
            </w:r>
          </w:hyperlink>
        </w:p>
        <w:p w14:paraId="22A8E3CB" w14:textId="0E669D65" w:rsidR="00BB5489" w:rsidRDefault="008808DB">
          <w:pPr>
            <w:pStyle w:val="TOC2"/>
            <w:tabs>
              <w:tab w:val="right" w:leader="dot" w:pos="9016"/>
            </w:tabs>
            <w:rPr>
              <w:noProof/>
              <w:lang w:eastAsia="en-AU"/>
            </w:rPr>
          </w:pPr>
          <w:hyperlink w:anchor="_Toc23841331" w:history="1">
            <w:r w:rsidR="00BB5489" w:rsidRPr="009676A7">
              <w:rPr>
                <w:rStyle w:val="Hyperlink"/>
                <w:noProof/>
              </w:rPr>
              <w:t>1.2</w:t>
            </w:r>
            <w:r w:rsidR="00BB5489">
              <w:rPr>
                <w:noProof/>
                <w:lang w:eastAsia="en-AU"/>
              </w:rPr>
              <w:tab/>
            </w:r>
            <w:r w:rsidR="00BB5489" w:rsidRPr="009676A7">
              <w:rPr>
                <w:rStyle w:val="Hyperlink"/>
                <w:noProof/>
              </w:rPr>
              <w:t>Transition to Work service</w:t>
            </w:r>
            <w:r w:rsidR="00BB5489">
              <w:rPr>
                <w:noProof/>
                <w:webHidden/>
              </w:rPr>
              <w:tab/>
            </w:r>
            <w:r w:rsidR="00BB5489">
              <w:rPr>
                <w:noProof/>
                <w:webHidden/>
              </w:rPr>
              <w:fldChar w:fldCharType="begin"/>
            </w:r>
            <w:r w:rsidR="00BB5489">
              <w:rPr>
                <w:noProof/>
                <w:webHidden/>
              </w:rPr>
              <w:instrText xml:space="preserve"> PAGEREF _Toc23841331 \h </w:instrText>
            </w:r>
            <w:r w:rsidR="00BB5489">
              <w:rPr>
                <w:noProof/>
                <w:webHidden/>
              </w:rPr>
            </w:r>
            <w:r w:rsidR="00BB5489">
              <w:rPr>
                <w:noProof/>
                <w:webHidden/>
              </w:rPr>
              <w:fldChar w:fldCharType="separate"/>
            </w:r>
            <w:r w:rsidR="00BB5489">
              <w:rPr>
                <w:noProof/>
                <w:webHidden/>
              </w:rPr>
              <w:t>26</w:t>
            </w:r>
            <w:r w:rsidR="00BB5489">
              <w:rPr>
                <w:noProof/>
                <w:webHidden/>
              </w:rPr>
              <w:fldChar w:fldCharType="end"/>
            </w:r>
          </w:hyperlink>
        </w:p>
        <w:p w14:paraId="4437A97A" w14:textId="5C4A9179" w:rsidR="00BB5489" w:rsidRDefault="008808DB">
          <w:pPr>
            <w:pStyle w:val="TOC3"/>
            <w:rPr>
              <w:noProof/>
              <w:lang w:eastAsia="en-AU"/>
            </w:rPr>
          </w:pPr>
          <w:hyperlink w:anchor="_Toc23841332" w:history="1">
            <w:r w:rsidR="00BB5489" w:rsidRPr="009676A7">
              <w:rPr>
                <w:rStyle w:val="Hyperlink"/>
                <w:noProof/>
              </w:rPr>
              <w:t>1.2.1</w:t>
            </w:r>
            <w:r w:rsidR="00BB5489">
              <w:rPr>
                <w:noProof/>
                <w:lang w:eastAsia="en-AU"/>
              </w:rPr>
              <w:tab/>
            </w:r>
            <w:r w:rsidR="00BB5489" w:rsidRPr="009676A7">
              <w:rPr>
                <w:rStyle w:val="Hyperlink"/>
                <w:noProof/>
              </w:rPr>
              <w:t>TtW was implemented progressively from February 2016 to May 2016</w:t>
            </w:r>
            <w:r w:rsidR="00BB5489">
              <w:rPr>
                <w:noProof/>
                <w:webHidden/>
              </w:rPr>
              <w:tab/>
            </w:r>
            <w:r w:rsidR="00BB5489">
              <w:rPr>
                <w:noProof/>
                <w:webHidden/>
              </w:rPr>
              <w:fldChar w:fldCharType="begin"/>
            </w:r>
            <w:r w:rsidR="00BB5489">
              <w:rPr>
                <w:noProof/>
                <w:webHidden/>
              </w:rPr>
              <w:instrText xml:space="preserve"> PAGEREF _Toc23841332 \h </w:instrText>
            </w:r>
            <w:r w:rsidR="00BB5489">
              <w:rPr>
                <w:noProof/>
                <w:webHidden/>
              </w:rPr>
            </w:r>
            <w:r w:rsidR="00BB5489">
              <w:rPr>
                <w:noProof/>
                <w:webHidden/>
              </w:rPr>
              <w:fldChar w:fldCharType="separate"/>
            </w:r>
            <w:r w:rsidR="00BB5489">
              <w:rPr>
                <w:noProof/>
                <w:webHidden/>
              </w:rPr>
              <w:t>27</w:t>
            </w:r>
            <w:r w:rsidR="00BB5489">
              <w:rPr>
                <w:noProof/>
                <w:webHidden/>
              </w:rPr>
              <w:fldChar w:fldCharType="end"/>
            </w:r>
          </w:hyperlink>
        </w:p>
        <w:p w14:paraId="266D9925" w14:textId="2599D46A" w:rsidR="00BB5489" w:rsidRDefault="008808DB">
          <w:pPr>
            <w:pStyle w:val="TOC3"/>
            <w:rPr>
              <w:noProof/>
              <w:lang w:eastAsia="en-AU"/>
            </w:rPr>
          </w:pPr>
          <w:hyperlink w:anchor="_Toc23841333" w:history="1">
            <w:r w:rsidR="00BB5489" w:rsidRPr="009676A7">
              <w:rPr>
                <w:rStyle w:val="Hyperlink"/>
                <w:noProof/>
              </w:rPr>
              <w:t>1.2.2</w:t>
            </w:r>
            <w:r w:rsidR="00BB5489">
              <w:rPr>
                <w:noProof/>
                <w:lang w:eastAsia="en-AU"/>
              </w:rPr>
              <w:tab/>
            </w:r>
            <w:r w:rsidR="00BB5489" w:rsidRPr="009676A7">
              <w:rPr>
                <w:rStyle w:val="Hyperlink"/>
                <w:noProof/>
              </w:rPr>
              <w:t>TtW targets three main groups of young people</w:t>
            </w:r>
            <w:r w:rsidR="00BB5489">
              <w:rPr>
                <w:noProof/>
                <w:webHidden/>
              </w:rPr>
              <w:tab/>
            </w:r>
            <w:r w:rsidR="00BB5489">
              <w:rPr>
                <w:noProof/>
                <w:webHidden/>
              </w:rPr>
              <w:fldChar w:fldCharType="begin"/>
            </w:r>
            <w:r w:rsidR="00BB5489">
              <w:rPr>
                <w:noProof/>
                <w:webHidden/>
              </w:rPr>
              <w:instrText xml:space="preserve"> PAGEREF _Toc23841333 \h </w:instrText>
            </w:r>
            <w:r w:rsidR="00BB5489">
              <w:rPr>
                <w:noProof/>
                <w:webHidden/>
              </w:rPr>
            </w:r>
            <w:r w:rsidR="00BB5489">
              <w:rPr>
                <w:noProof/>
                <w:webHidden/>
              </w:rPr>
              <w:fldChar w:fldCharType="separate"/>
            </w:r>
            <w:r w:rsidR="00BB5489">
              <w:rPr>
                <w:noProof/>
                <w:webHidden/>
              </w:rPr>
              <w:t>27</w:t>
            </w:r>
            <w:r w:rsidR="00BB5489">
              <w:rPr>
                <w:noProof/>
                <w:webHidden/>
              </w:rPr>
              <w:fldChar w:fldCharType="end"/>
            </w:r>
          </w:hyperlink>
        </w:p>
        <w:p w14:paraId="5598E287" w14:textId="4A48D819" w:rsidR="00BB5489" w:rsidRDefault="008808DB">
          <w:pPr>
            <w:pStyle w:val="TOC3"/>
            <w:rPr>
              <w:noProof/>
              <w:lang w:eastAsia="en-AU"/>
            </w:rPr>
          </w:pPr>
          <w:hyperlink w:anchor="_Toc23841334" w:history="1">
            <w:r w:rsidR="00BB5489" w:rsidRPr="009676A7">
              <w:rPr>
                <w:rStyle w:val="Hyperlink"/>
                <w:noProof/>
              </w:rPr>
              <w:t>1.2.3</w:t>
            </w:r>
            <w:r w:rsidR="00BB5489">
              <w:rPr>
                <w:noProof/>
                <w:lang w:eastAsia="en-AU"/>
              </w:rPr>
              <w:tab/>
            </w:r>
            <w:r w:rsidR="00BB5489" w:rsidRPr="009676A7">
              <w:rPr>
                <w:rStyle w:val="Hyperlink"/>
                <w:noProof/>
              </w:rPr>
              <w:t>The TtW service process</w:t>
            </w:r>
            <w:r w:rsidR="00BB5489">
              <w:rPr>
                <w:noProof/>
                <w:webHidden/>
              </w:rPr>
              <w:tab/>
            </w:r>
            <w:r w:rsidR="00BB5489">
              <w:rPr>
                <w:noProof/>
                <w:webHidden/>
              </w:rPr>
              <w:fldChar w:fldCharType="begin"/>
            </w:r>
            <w:r w:rsidR="00BB5489">
              <w:rPr>
                <w:noProof/>
                <w:webHidden/>
              </w:rPr>
              <w:instrText xml:space="preserve"> PAGEREF _Toc23841334 \h </w:instrText>
            </w:r>
            <w:r w:rsidR="00BB5489">
              <w:rPr>
                <w:noProof/>
                <w:webHidden/>
              </w:rPr>
            </w:r>
            <w:r w:rsidR="00BB5489">
              <w:rPr>
                <w:noProof/>
                <w:webHidden/>
              </w:rPr>
              <w:fldChar w:fldCharType="separate"/>
            </w:r>
            <w:r w:rsidR="00BB5489">
              <w:rPr>
                <w:noProof/>
                <w:webHidden/>
              </w:rPr>
              <w:t>28</w:t>
            </w:r>
            <w:r w:rsidR="00BB5489">
              <w:rPr>
                <w:noProof/>
                <w:webHidden/>
              </w:rPr>
              <w:fldChar w:fldCharType="end"/>
            </w:r>
          </w:hyperlink>
        </w:p>
        <w:p w14:paraId="653736D3" w14:textId="48EC3C3F" w:rsidR="00BB5489" w:rsidRDefault="008808DB">
          <w:pPr>
            <w:pStyle w:val="TOC3"/>
            <w:rPr>
              <w:noProof/>
              <w:lang w:eastAsia="en-AU"/>
            </w:rPr>
          </w:pPr>
          <w:hyperlink w:anchor="_Toc23841335" w:history="1">
            <w:r w:rsidR="00BB5489" w:rsidRPr="009676A7">
              <w:rPr>
                <w:rStyle w:val="Hyperlink"/>
                <w:noProof/>
              </w:rPr>
              <w:t>1.2.4</w:t>
            </w:r>
            <w:r w:rsidR="00BB5489">
              <w:rPr>
                <w:noProof/>
                <w:lang w:eastAsia="en-AU"/>
              </w:rPr>
              <w:tab/>
            </w:r>
            <w:r w:rsidR="00BB5489" w:rsidRPr="009676A7">
              <w:rPr>
                <w:rStyle w:val="Hyperlink"/>
                <w:noProof/>
              </w:rPr>
              <w:t>The TtW funding model</w:t>
            </w:r>
            <w:r w:rsidR="00BB5489">
              <w:rPr>
                <w:noProof/>
                <w:webHidden/>
              </w:rPr>
              <w:tab/>
            </w:r>
            <w:r w:rsidR="00BB5489">
              <w:rPr>
                <w:noProof/>
                <w:webHidden/>
              </w:rPr>
              <w:fldChar w:fldCharType="begin"/>
            </w:r>
            <w:r w:rsidR="00BB5489">
              <w:rPr>
                <w:noProof/>
                <w:webHidden/>
              </w:rPr>
              <w:instrText xml:space="preserve"> PAGEREF _Toc23841335 \h </w:instrText>
            </w:r>
            <w:r w:rsidR="00BB5489">
              <w:rPr>
                <w:noProof/>
                <w:webHidden/>
              </w:rPr>
            </w:r>
            <w:r w:rsidR="00BB5489">
              <w:rPr>
                <w:noProof/>
                <w:webHidden/>
              </w:rPr>
              <w:fldChar w:fldCharType="separate"/>
            </w:r>
            <w:r w:rsidR="00BB5489">
              <w:rPr>
                <w:noProof/>
                <w:webHidden/>
              </w:rPr>
              <w:t>30</w:t>
            </w:r>
            <w:r w:rsidR="00BB5489">
              <w:rPr>
                <w:noProof/>
                <w:webHidden/>
              </w:rPr>
              <w:fldChar w:fldCharType="end"/>
            </w:r>
          </w:hyperlink>
        </w:p>
        <w:p w14:paraId="123F1811" w14:textId="1B4D3D63" w:rsidR="00BB5489" w:rsidRDefault="008808DB">
          <w:pPr>
            <w:pStyle w:val="TOC3"/>
            <w:rPr>
              <w:noProof/>
              <w:lang w:eastAsia="en-AU"/>
            </w:rPr>
          </w:pPr>
          <w:hyperlink w:anchor="_Toc23841336" w:history="1">
            <w:r w:rsidR="00BB5489" w:rsidRPr="009676A7">
              <w:rPr>
                <w:rStyle w:val="Hyperlink"/>
                <w:noProof/>
              </w:rPr>
              <w:t>1.2.5</w:t>
            </w:r>
            <w:r w:rsidR="00BB5489">
              <w:rPr>
                <w:noProof/>
                <w:lang w:eastAsia="en-AU"/>
              </w:rPr>
              <w:tab/>
            </w:r>
            <w:r w:rsidR="00BB5489" w:rsidRPr="009676A7">
              <w:rPr>
                <w:rStyle w:val="Hyperlink"/>
                <w:noProof/>
              </w:rPr>
              <w:t>The TtW funding model includes up-front payments and 12-week Outcome Performance Target payments</w:t>
            </w:r>
            <w:r w:rsidR="00BB5489">
              <w:rPr>
                <w:noProof/>
                <w:webHidden/>
              </w:rPr>
              <w:tab/>
            </w:r>
            <w:r w:rsidR="00BB5489">
              <w:rPr>
                <w:noProof/>
                <w:webHidden/>
              </w:rPr>
              <w:fldChar w:fldCharType="begin"/>
            </w:r>
            <w:r w:rsidR="00BB5489">
              <w:rPr>
                <w:noProof/>
                <w:webHidden/>
              </w:rPr>
              <w:instrText xml:space="preserve"> PAGEREF _Toc23841336 \h </w:instrText>
            </w:r>
            <w:r w:rsidR="00BB5489">
              <w:rPr>
                <w:noProof/>
                <w:webHidden/>
              </w:rPr>
            </w:r>
            <w:r w:rsidR="00BB5489">
              <w:rPr>
                <w:noProof/>
                <w:webHidden/>
              </w:rPr>
              <w:fldChar w:fldCharType="separate"/>
            </w:r>
            <w:r w:rsidR="00BB5489">
              <w:rPr>
                <w:noProof/>
                <w:webHidden/>
              </w:rPr>
              <w:t>31</w:t>
            </w:r>
            <w:r w:rsidR="00BB5489">
              <w:rPr>
                <w:noProof/>
                <w:webHidden/>
              </w:rPr>
              <w:fldChar w:fldCharType="end"/>
            </w:r>
          </w:hyperlink>
        </w:p>
        <w:p w14:paraId="198B0EBB" w14:textId="2DCBDF86" w:rsidR="00BB5489" w:rsidRDefault="008808DB">
          <w:pPr>
            <w:pStyle w:val="TOC3"/>
            <w:rPr>
              <w:noProof/>
              <w:lang w:eastAsia="en-AU"/>
            </w:rPr>
          </w:pPr>
          <w:hyperlink w:anchor="_Toc23841337" w:history="1">
            <w:r w:rsidR="00BB5489" w:rsidRPr="009676A7">
              <w:rPr>
                <w:rStyle w:val="Hyperlink"/>
                <w:noProof/>
              </w:rPr>
              <w:t>1.2.6</w:t>
            </w:r>
            <w:r w:rsidR="00BB5489">
              <w:rPr>
                <w:noProof/>
                <w:lang w:eastAsia="en-AU"/>
              </w:rPr>
              <w:tab/>
            </w:r>
            <w:r w:rsidR="00BB5489" w:rsidRPr="009676A7">
              <w:rPr>
                <w:rStyle w:val="Hyperlink"/>
                <w:noProof/>
              </w:rPr>
              <w:t>The TtW service focuses on both employment and education outcomes</w:t>
            </w:r>
            <w:r w:rsidR="00BB5489">
              <w:rPr>
                <w:noProof/>
                <w:webHidden/>
              </w:rPr>
              <w:tab/>
            </w:r>
            <w:r w:rsidR="00BB5489">
              <w:rPr>
                <w:noProof/>
                <w:webHidden/>
              </w:rPr>
              <w:fldChar w:fldCharType="begin"/>
            </w:r>
            <w:r w:rsidR="00BB5489">
              <w:rPr>
                <w:noProof/>
                <w:webHidden/>
              </w:rPr>
              <w:instrText xml:space="preserve"> PAGEREF _Toc23841337 \h </w:instrText>
            </w:r>
            <w:r w:rsidR="00BB5489">
              <w:rPr>
                <w:noProof/>
                <w:webHidden/>
              </w:rPr>
            </w:r>
            <w:r w:rsidR="00BB5489">
              <w:rPr>
                <w:noProof/>
                <w:webHidden/>
              </w:rPr>
              <w:fldChar w:fldCharType="separate"/>
            </w:r>
            <w:r w:rsidR="00BB5489">
              <w:rPr>
                <w:noProof/>
                <w:webHidden/>
              </w:rPr>
              <w:t>31</w:t>
            </w:r>
            <w:r w:rsidR="00BB5489">
              <w:rPr>
                <w:noProof/>
                <w:webHidden/>
              </w:rPr>
              <w:fldChar w:fldCharType="end"/>
            </w:r>
          </w:hyperlink>
        </w:p>
        <w:p w14:paraId="06C0EB83" w14:textId="492A12D6" w:rsidR="00BB5489" w:rsidRDefault="008808DB">
          <w:pPr>
            <w:pStyle w:val="TOC3"/>
            <w:rPr>
              <w:noProof/>
              <w:lang w:eastAsia="en-AU"/>
            </w:rPr>
          </w:pPr>
          <w:hyperlink w:anchor="_Toc23841338" w:history="1">
            <w:r w:rsidR="00BB5489" w:rsidRPr="009676A7">
              <w:rPr>
                <w:rStyle w:val="Hyperlink"/>
                <w:noProof/>
              </w:rPr>
              <w:t>1.2.7</w:t>
            </w:r>
            <w:r w:rsidR="00BB5489">
              <w:rPr>
                <w:noProof/>
                <w:lang w:eastAsia="en-AU"/>
              </w:rPr>
              <w:tab/>
            </w:r>
            <w:r w:rsidR="00BB5489" w:rsidRPr="009676A7">
              <w:rPr>
                <w:rStyle w:val="Hyperlink"/>
                <w:noProof/>
              </w:rPr>
              <w:t>Service guarantee, Service Delivery Plans and key performance indicators</w:t>
            </w:r>
            <w:r w:rsidR="00BB5489">
              <w:rPr>
                <w:noProof/>
                <w:webHidden/>
              </w:rPr>
              <w:tab/>
            </w:r>
            <w:r w:rsidR="00BB5489">
              <w:rPr>
                <w:noProof/>
                <w:webHidden/>
              </w:rPr>
              <w:fldChar w:fldCharType="begin"/>
            </w:r>
            <w:r w:rsidR="00BB5489">
              <w:rPr>
                <w:noProof/>
                <w:webHidden/>
              </w:rPr>
              <w:instrText xml:space="preserve"> PAGEREF _Toc23841338 \h </w:instrText>
            </w:r>
            <w:r w:rsidR="00BB5489">
              <w:rPr>
                <w:noProof/>
                <w:webHidden/>
              </w:rPr>
            </w:r>
            <w:r w:rsidR="00BB5489">
              <w:rPr>
                <w:noProof/>
                <w:webHidden/>
              </w:rPr>
              <w:fldChar w:fldCharType="separate"/>
            </w:r>
            <w:r w:rsidR="00BB5489">
              <w:rPr>
                <w:noProof/>
                <w:webHidden/>
              </w:rPr>
              <w:t>32</w:t>
            </w:r>
            <w:r w:rsidR="00BB5489">
              <w:rPr>
                <w:noProof/>
                <w:webHidden/>
              </w:rPr>
              <w:fldChar w:fldCharType="end"/>
            </w:r>
          </w:hyperlink>
        </w:p>
        <w:p w14:paraId="3217B052" w14:textId="62213409" w:rsidR="00BB5489" w:rsidRDefault="008808DB">
          <w:pPr>
            <w:pStyle w:val="TOC3"/>
            <w:rPr>
              <w:noProof/>
              <w:lang w:eastAsia="en-AU"/>
            </w:rPr>
          </w:pPr>
          <w:hyperlink w:anchor="_Toc23841339" w:history="1">
            <w:r w:rsidR="00BB5489" w:rsidRPr="009676A7">
              <w:rPr>
                <w:rStyle w:val="Hyperlink"/>
                <w:noProof/>
              </w:rPr>
              <w:t>1.2.8</w:t>
            </w:r>
            <w:r w:rsidR="00BB5489">
              <w:rPr>
                <w:noProof/>
                <w:lang w:eastAsia="en-AU"/>
              </w:rPr>
              <w:tab/>
            </w:r>
            <w:r w:rsidR="00BB5489" w:rsidRPr="009676A7">
              <w:rPr>
                <w:rStyle w:val="Hyperlink"/>
                <w:noProof/>
              </w:rPr>
              <w:t>Interactions of TtW with other employment programs</w:t>
            </w:r>
            <w:r w:rsidR="00BB5489">
              <w:rPr>
                <w:noProof/>
                <w:webHidden/>
              </w:rPr>
              <w:tab/>
            </w:r>
            <w:r w:rsidR="00BB5489">
              <w:rPr>
                <w:noProof/>
                <w:webHidden/>
              </w:rPr>
              <w:fldChar w:fldCharType="begin"/>
            </w:r>
            <w:r w:rsidR="00BB5489">
              <w:rPr>
                <w:noProof/>
                <w:webHidden/>
              </w:rPr>
              <w:instrText xml:space="preserve"> PAGEREF _Toc23841339 \h </w:instrText>
            </w:r>
            <w:r w:rsidR="00BB5489">
              <w:rPr>
                <w:noProof/>
                <w:webHidden/>
              </w:rPr>
            </w:r>
            <w:r w:rsidR="00BB5489">
              <w:rPr>
                <w:noProof/>
                <w:webHidden/>
              </w:rPr>
              <w:fldChar w:fldCharType="separate"/>
            </w:r>
            <w:r w:rsidR="00BB5489">
              <w:rPr>
                <w:noProof/>
                <w:webHidden/>
              </w:rPr>
              <w:t>33</w:t>
            </w:r>
            <w:r w:rsidR="00BB5489">
              <w:rPr>
                <w:noProof/>
                <w:webHidden/>
              </w:rPr>
              <w:fldChar w:fldCharType="end"/>
            </w:r>
          </w:hyperlink>
        </w:p>
        <w:p w14:paraId="51D40850" w14:textId="080A2804" w:rsidR="00BB5489" w:rsidRDefault="008808DB">
          <w:pPr>
            <w:pStyle w:val="TOC1"/>
            <w:tabs>
              <w:tab w:val="right" w:leader="dot" w:pos="9016"/>
            </w:tabs>
            <w:rPr>
              <w:noProof/>
              <w:lang w:eastAsia="en-AU"/>
            </w:rPr>
          </w:pPr>
          <w:hyperlink w:anchor="_Toc23841340" w:history="1">
            <w:r w:rsidR="00BB5489" w:rsidRPr="009676A7">
              <w:rPr>
                <w:rStyle w:val="Hyperlink"/>
                <w:noProof/>
              </w:rPr>
              <w:t>2</w:t>
            </w:r>
            <w:r w:rsidR="00BB5489">
              <w:rPr>
                <w:noProof/>
                <w:lang w:eastAsia="en-AU"/>
              </w:rPr>
              <w:tab/>
            </w:r>
            <w:r w:rsidR="00BB5489" w:rsidRPr="009676A7">
              <w:rPr>
                <w:rStyle w:val="Hyperlink"/>
                <w:noProof/>
              </w:rPr>
              <w:t>Evaluation of the Transition to Work service</w:t>
            </w:r>
            <w:r w:rsidR="00BB5489">
              <w:rPr>
                <w:noProof/>
                <w:webHidden/>
              </w:rPr>
              <w:tab/>
            </w:r>
            <w:r w:rsidR="00BB5489">
              <w:rPr>
                <w:noProof/>
                <w:webHidden/>
              </w:rPr>
              <w:fldChar w:fldCharType="begin"/>
            </w:r>
            <w:r w:rsidR="00BB5489">
              <w:rPr>
                <w:noProof/>
                <w:webHidden/>
              </w:rPr>
              <w:instrText xml:space="preserve"> PAGEREF _Toc23841340 \h </w:instrText>
            </w:r>
            <w:r w:rsidR="00BB5489">
              <w:rPr>
                <w:noProof/>
                <w:webHidden/>
              </w:rPr>
            </w:r>
            <w:r w:rsidR="00BB5489">
              <w:rPr>
                <w:noProof/>
                <w:webHidden/>
              </w:rPr>
              <w:fldChar w:fldCharType="separate"/>
            </w:r>
            <w:r w:rsidR="00BB5489">
              <w:rPr>
                <w:noProof/>
                <w:webHidden/>
              </w:rPr>
              <w:t>35</w:t>
            </w:r>
            <w:r w:rsidR="00BB5489">
              <w:rPr>
                <w:noProof/>
                <w:webHidden/>
              </w:rPr>
              <w:fldChar w:fldCharType="end"/>
            </w:r>
          </w:hyperlink>
        </w:p>
        <w:p w14:paraId="4E4FCCB0" w14:textId="27F17216" w:rsidR="00BB5489" w:rsidRDefault="008808DB">
          <w:pPr>
            <w:pStyle w:val="TOC2"/>
            <w:tabs>
              <w:tab w:val="right" w:leader="dot" w:pos="9016"/>
            </w:tabs>
            <w:rPr>
              <w:noProof/>
              <w:lang w:eastAsia="en-AU"/>
            </w:rPr>
          </w:pPr>
          <w:hyperlink w:anchor="_Toc23841341" w:history="1">
            <w:r w:rsidR="00BB5489" w:rsidRPr="009676A7">
              <w:rPr>
                <w:rStyle w:val="Hyperlink"/>
                <w:noProof/>
              </w:rPr>
              <w:t>2.1</w:t>
            </w:r>
            <w:r w:rsidR="00BB5489">
              <w:rPr>
                <w:noProof/>
                <w:lang w:eastAsia="en-AU"/>
              </w:rPr>
              <w:tab/>
            </w:r>
            <w:r w:rsidR="00BB5489" w:rsidRPr="009676A7">
              <w:rPr>
                <w:rStyle w:val="Hyperlink"/>
                <w:noProof/>
              </w:rPr>
              <w:t>Evaluation outline</w:t>
            </w:r>
            <w:r w:rsidR="00BB5489">
              <w:rPr>
                <w:noProof/>
                <w:webHidden/>
              </w:rPr>
              <w:tab/>
            </w:r>
            <w:r w:rsidR="00BB5489">
              <w:rPr>
                <w:noProof/>
                <w:webHidden/>
              </w:rPr>
              <w:fldChar w:fldCharType="begin"/>
            </w:r>
            <w:r w:rsidR="00BB5489">
              <w:rPr>
                <w:noProof/>
                <w:webHidden/>
              </w:rPr>
              <w:instrText xml:space="preserve"> PAGEREF _Toc23841341 \h </w:instrText>
            </w:r>
            <w:r w:rsidR="00BB5489">
              <w:rPr>
                <w:noProof/>
                <w:webHidden/>
              </w:rPr>
            </w:r>
            <w:r w:rsidR="00BB5489">
              <w:rPr>
                <w:noProof/>
                <w:webHidden/>
              </w:rPr>
              <w:fldChar w:fldCharType="separate"/>
            </w:r>
            <w:r w:rsidR="00BB5489">
              <w:rPr>
                <w:noProof/>
                <w:webHidden/>
              </w:rPr>
              <w:t>35</w:t>
            </w:r>
            <w:r w:rsidR="00BB5489">
              <w:rPr>
                <w:noProof/>
                <w:webHidden/>
              </w:rPr>
              <w:fldChar w:fldCharType="end"/>
            </w:r>
          </w:hyperlink>
        </w:p>
        <w:p w14:paraId="666C5DCB" w14:textId="7B4B56DE" w:rsidR="00BB5489" w:rsidRDefault="008808DB">
          <w:pPr>
            <w:pStyle w:val="TOC3"/>
            <w:rPr>
              <w:noProof/>
              <w:lang w:eastAsia="en-AU"/>
            </w:rPr>
          </w:pPr>
          <w:hyperlink w:anchor="_Toc23841342" w:history="1">
            <w:r w:rsidR="00BB5489" w:rsidRPr="009676A7">
              <w:rPr>
                <w:rStyle w:val="Hyperlink"/>
                <w:noProof/>
              </w:rPr>
              <w:t>2.1.1</w:t>
            </w:r>
            <w:r w:rsidR="00BB5489">
              <w:rPr>
                <w:noProof/>
                <w:lang w:eastAsia="en-AU"/>
              </w:rPr>
              <w:tab/>
            </w:r>
            <w:r w:rsidR="00BB5489" w:rsidRPr="009676A7">
              <w:rPr>
                <w:rStyle w:val="Hyperlink"/>
                <w:noProof/>
              </w:rPr>
              <w:t>Stage one</w:t>
            </w:r>
            <w:r w:rsidR="00BB5489">
              <w:rPr>
                <w:noProof/>
                <w:webHidden/>
              </w:rPr>
              <w:tab/>
            </w:r>
            <w:r w:rsidR="00BB5489">
              <w:rPr>
                <w:noProof/>
                <w:webHidden/>
              </w:rPr>
              <w:fldChar w:fldCharType="begin"/>
            </w:r>
            <w:r w:rsidR="00BB5489">
              <w:rPr>
                <w:noProof/>
                <w:webHidden/>
              </w:rPr>
              <w:instrText xml:space="preserve"> PAGEREF _Toc23841342 \h </w:instrText>
            </w:r>
            <w:r w:rsidR="00BB5489">
              <w:rPr>
                <w:noProof/>
                <w:webHidden/>
              </w:rPr>
            </w:r>
            <w:r w:rsidR="00BB5489">
              <w:rPr>
                <w:noProof/>
                <w:webHidden/>
              </w:rPr>
              <w:fldChar w:fldCharType="separate"/>
            </w:r>
            <w:r w:rsidR="00BB5489">
              <w:rPr>
                <w:noProof/>
                <w:webHidden/>
              </w:rPr>
              <w:t>35</w:t>
            </w:r>
            <w:r w:rsidR="00BB5489">
              <w:rPr>
                <w:noProof/>
                <w:webHidden/>
              </w:rPr>
              <w:fldChar w:fldCharType="end"/>
            </w:r>
          </w:hyperlink>
        </w:p>
        <w:p w14:paraId="66571720" w14:textId="69C68259" w:rsidR="00BB5489" w:rsidRDefault="008808DB">
          <w:pPr>
            <w:pStyle w:val="TOC3"/>
            <w:rPr>
              <w:noProof/>
              <w:lang w:eastAsia="en-AU"/>
            </w:rPr>
          </w:pPr>
          <w:hyperlink w:anchor="_Toc23841343" w:history="1">
            <w:r w:rsidR="00BB5489" w:rsidRPr="009676A7">
              <w:rPr>
                <w:rStyle w:val="Hyperlink"/>
                <w:noProof/>
              </w:rPr>
              <w:t>2.1.2</w:t>
            </w:r>
            <w:r w:rsidR="00BB5489">
              <w:rPr>
                <w:noProof/>
                <w:lang w:eastAsia="en-AU"/>
              </w:rPr>
              <w:tab/>
            </w:r>
            <w:r w:rsidR="00BB5489" w:rsidRPr="009676A7">
              <w:rPr>
                <w:rStyle w:val="Hyperlink"/>
                <w:noProof/>
              </w:rPr>
              <w:t>Stage two</w:t>
            </w:r>
            <w:r w:rsidR="00BB5489">
              <w:rPr>
                <w:noProof/>
                <w:webHidden/>
              </w:rPr>
              <w:tab/>
            </w:r>
            <w:r w:rsidR="00BB5489">
              <w:rPr>
                <w:noProof/>
                <w:webHidden/>
              </w:rPr>
              <w:fldChar w:fldCharType="begin"/>
            </w:r>
            <w:r w:rsidR="00BB5489">
              <w:rPr>
                <w:noProof/>
                <w:webHidden/>
              </w:rPr>
              <w:instrText xml:space="preserve"> PAGEREF _Toc23841343 \h </w:instrText>
            </w:r>
            <w:r w:rsidR="00BB5489">
              <w:rPr>
                <w:noProof/>
                <w:webHidden/>
              </w:rPr>
            </w:r>
            <w:r w:rsidR="00BB5489">
              <w:rPr>
                <w:noProof/>
                <w:webHidden/>
              </w:rPr>
              <w:fldChar w:fldCharType="separate"/>
            </w:r>
            <w:r w:rsidR="00BB5489">
              <w:rPr>
                <w:noProof/>
                <w:webHidden/>
              </w:rPr>
              <w:t>35</w:t>
            </w:r>
            <w:r w:rsidR="00BB5489">
              <w:rPr>
                <w:noProof/>
                <w:webHidden/>
              </w:rPr>
              <w:fldChar w:fldCharType="end"/>
            </w:r>
          </w:hyperlink>
        </w:p>
        <w:p w14:paraId="361F136C" w14:textId="38E3E7F6" w:rsidR="00BB5489" w:rsidRDefault="008808DB">
          <w:pPr>
            <w:pStyle w:val="TOC2"/>
            <w:tabs>
              <w:tab w:val="right" w:leader="dot" w:pos="9016"/>
            </w:tabs>
            <w:rPr>
              <w:noProof/>
              <w:lang w:eastAsia="en-AU"/>
            </w:rPr>
          </w:pPr>
          <w:hyperlink w:anchor="_Toc23841344" w:history="1">
            <w:r w:rsidR="00BB5489" w:rsidRPr="009676A7">
              <w:rPr>
                <w:rStyle w:val="Hyperlink"/>
                <w:noProof/>
              </w:rPr>
              <w:t>2.2</w:t>
            </w:r>
            <w:r w:rsidR="00BB5489">
              <w:rPr>
                <w:noProof/>
                <w:lang w:eastAsia="en-AU"/>
              </w:rPr>
              <w:tab/>
            </w:r>
            <w:r w:rsidR="00BB5489" w:rsidRPr="009676A7">
              <w:rPr>
                <w:rStyle w:val="Hyperlink"/>
                <w:noProof/>
              </w:rPr>
              <w:t>Key evaluation questions</w:t>
            </w:r>
            <w:r w:rsidR="00BB5489">
              <w:rPr>
                <w:noProof/>
                <w:webHidden/>
              </w:rPr>
              <w:tab/>
            </w:r>
            <w:r w:rsidR="00BB5489">
              <w:rPr>
                <w:noProof/>
                <w:webHidden/>
              </w:rPr>
              <w:fldChar w:fldCharType="begin"/>
            </w:r>
            <w:r w:rsidR="00BB5489">
              <w:rPr>
                <w:noProof/>
                <w:webHidden/>
              </w:rPr>
              <w:instrText xml:space="preserve"> PAGEREF _Toc23841344 \h </w:instrText>
            </w:r>
            <w:r w:rsidR="00BB5489">
              <w:rPr>
                <w:noProof/>
                <w:webHidden/>
              </w:rPr>
            </w:r>
            <w:r w:rsidR="00BB5489">
              <w:rPr>
                <w:noProof/>
                <w:webHidden/>
              </w:rPr>
              <w:fldChar w:fldCharType="separate"/>
            </w:r>
            <w:r w:rsidR="00BB5489">
              <w:rPr>
                <w:noProof/>
                <w:webHidden/>
              </w:rPr>
              <w:t>35</w:t>
            </w:r>
            <w:r w:rsidR="00BB5489">
              <w:rPr>
                <w:noProof/>
                <w:webHidden/>
              </w:rPr>
              <w:fldChar w:fldCharType="end"/>
            </w:r>
          </w:hyperlink>
        </w:p>
        <w:p w14:paraId="6138E62E" w14:textId="6B1627E3" w:rsidR="00BB5489" w:rsidRDefault="008808DB">
          <w:pPr>
            <w:pStyle w:val="TOC3"/>
            <w:rPr>
              <w:noProof/>
              <w:lang w:eastAsia="en-AU"/>
            </w:rPr>
          </w:pPr>
          <w:hyperlink w:anchor="_Toc23841345" w:history="1">
            <w:r w:rsidR="00BB5489" w:rsidRPr="009676A7">
              <w:rPr>
                <w:rStyle w:val="Hyperlink"/>
                <w:noProof/>
              </w:rPr>
              <w:t>Question 1.1: To what extent do the service implementation and operational processes enable effective and efficient service delivery?</w:t>
            </w:r>
            <w:r w:rsidR="00BB5489">
              <w:rPr>
                <w:noProof/>
                <w:webHidden/>
              </w:rPr>
              <w:tab/>
            </w:r>
            <w:r w:rsidR="00BB5489">
              <w:rPr>
                <w:noProof/>
                <w:webHidden/>
              </w:rPr>
              <w:fldChar w:fldCharType="begin"/>
            </w:r>
            <w:r w:rsidR="00BB5489">
              <w:rPr>
                <w:noProof/>
                <w:webHidden/>
              </w:rPr>
              <w:instrText xml:space="preserve"> PAGEREF _Toc23841345 \h </w:instrText>
            </w:r>
            <w:r w:rsidR="00BB5489">
              <w:rPr>
                <w:noProof/>
                <w:webHidden/>
              </w:rPr>
            </w:r>
            <w:r w:rsidR="00BB5489">
              <w:rPr>
                <w:noProof/>
                <w:webHidden/>
              </w:rPr>
              <w:fldChar w:fldCharType="separate"/>
            </w:r>
            <w:r w:rsidR="00BB5489">
              <w:rPr>
                <w:noProof/>
                <w:webHidden/>
              </w:rPr>
              <w:t>35</w:t>
            </w:r>
            <w:r w:rsidR="00BB5489">
              <w:rPr>
                <w:noProof/>
                <w:webHidden/>
              </w:rPr>
              <w:fldChar w:fldCharType="end"/>
            </w:r>
          </w:hyperlink>
        </w:p>
        <w:p w14:paraId="5EE36BA5" w14:textId="3E5B61BC" w:rsidR="00BB5489" w:rsidRDefault="008808DB">
          <w:pPr>
            <w:pStyle w:val="TOC3"/>
            <w:rPr>
              <w:noProof/>
              <w:lang w:eastAsia="en-AU"/>
            </w:rPr>
          </w:pPr>
          <w:hyperlink w:anchor="_Toc23841346" w:history="1">
            <w:r w:rsidR="00BB5489" w:rsidRPr="009676A7">
              <w:rPr>
                <w:rStyle w:val="Hyperlink"/>
                <w:noProof/>
              </w:rPr>
              <w:t>Question 1.2: How efficiently and effectively does the service engage and retain participants?</w:t>
            </w:r>
            <w:r w:rsidR="00BB5489">
              <w:rPr>
                <w:noProof/>
                <w:webHidden/>
              </w:rPr>
              <w:tab/>
            </w:r>
            <w:r w:rsidR="00BB5489">
              <w:rPr>
                <w:noProof/>
                <w:webHidden/>
              </w:rPr>
              <w:fldChar w:fldCharType="begin"/>
            </w:r>
            <w:r w:rsidR="00BB5489">
              <w:rPr>
                <w:noProof/>
                <w:webHidden/>
              </w:rPr>
              <w:instrText xml:space="preserve"> PAGEREF _Toc23841346 \h </w:instrText>
            </w:r>
            <w:r w:rsidR="00BB5489">
              <w:rPr>
                <w:noProof/>
                <w:webHidden/>
              </w:rPr>
            </w:r>
            <w:r w:rsidR="00BB5489">
              <w:rPr>
                <w:noProof/>
                <w:webHidden/>
              </w:rPr>
              <w:fldChar w:fldCharType="separate"/>
            </w:r>
            <w:r w:rsidR="00BB5489">
              <w:rPr>
                <w:noProof/>
                <w:webHidden/>
              </w:rPr>
              <w:t>36</w:t>
            </w:r>
            <w:r w:rsidR="00BB5489">
              <w:rPr>
                <w:noProof/>
                <w:webHidden/>
              </w:rPr>
              <w:fldChar w:fldCharType="end"/>
            </w:r>
          </w:hyperlink>
        </w:p>
        <w:p w14:paraId="55A57939" w14:textId="70F53AC1" w:rsidR="00BB5489" w:rsidRDefault="008808DB">
          <w:pPr>
            <w:pStyle w:val="TOC3"/>
            <w:rPr>
              <w:noProof/>
              <w:lang w:eastAsia="en-AU"/>
            </w:rPr>
          </w:pPr>
          <w:hyperlink w:anchor="_Toc23841347" w:history="1">
            <w:r w:rsidR="00BB5489" w:rsidRPr="009676A7">
              <w:rPr>
                <w:rStyle w:val="Hyperlink"/>
                <w:noProof/>
              </w:rPr>
              <w:t>Question 1.3: Do early employment and education outcomes indicate participants are benefiting from TtW?</w:t>
            </w:r>
            <w:r w:rsidR="00BB5489">
              <w:rPr>
                <w:noProof/>
                <w:webHidden/>
              </w:rPr>
              <w:tab/>
            </w:r>
            <w:r w:rsidR="00BB5489">
              <w:rPr>
                <w:noProof/>
                <w:webHidden/>
              </w:rPr>
              <w:fldChar w:fldCharType="begin"/>
            </w:r>
            <w:r w:rsidR="00BB5489">
              <w:rPr>
                <w:noProof/>
                <w:webHidden/>
              </w:rPr>
              <w:instrText xml:space="preserve"> PAGEREF _Toc23841347 \h </w:instrText>
            </w:r>
            <w:r w:rsidR="00BB5489">
              <w:rPr>
                <w:noProof/>
                <w:webHidden/>
              </w:rPr>
            </w:r>
            <w:r w:rsidR="00BB5489">
              <w:rPr>
                <w:noProof/>
                <w:webHidden/>
              </w:rPr>
              <w:fldChar w:fldCharType="separate"/>
            </w:r>
            <w:r w:rsidR="00BB5489">
              <w:rPr>
                <w:noProof/>
                <w:webHidden/>
              </w:rPr>
              <w:t>36</w:t>
            </w:r>
            <w:r w:rsidR="00BB5489">
              <w:rPr>
                <w:noProof/>
                <w:webHidden/>
              </w:rPr>
              <w:fldChar w:fldCharType="end"/>
            </w:r>
          </w:hyperlink>
        </w:p>
        <w:p w14:paraId="48286935" w14:textId="6BE38734" w:rsidR="00BB5489" w:rsidRDefault="008808DB">
          <w:pPr>
            <w:pStyle w:val="TOC2"/>
            <w:tabs>
              <w:tab w:val="right" w:leader="dot" w:pos="9016"/>
            </w:tabs>
            <w:rPr>
              <w:noProof/>
              <w:lang w:eastAsia="en-AU"/>
            </w:rPr>
          </w:pPr>
          <w:hyperlink w:anchor="_Toc23841348" w:history="1">
            <w:r w:rsidR="00BB5489" w:rsidRPr="009676A7">
              <w:rPr>
                <w:rStyle w:val="Hyperlink"/>
                <w:noProof/>
              </w:rPr>
              <w:t>2.3</w:t>
            </w:r>
            <w:r w:rsidR="00BB5489">
              <w:rPr>
                <w:noProof/>
                <w:lang w:eastAsia="en-AU"/>
              </w:rPr>
              <w:tab/>
            </w:r>
            <w:r w:rsidR="00BB5489" w:rsidRPr="009676A7">
              <w:rPr>
                <w:rStyle w:val="Hyperlink"/>
                <w:noProof/>
              </w:rPr>
              <w:t>Methodology</w:t>
            </w:r>
            <w:r w:rsidR="00BB5489">
              <w:rPr>
                <w:noProof/>
                <w:webHidden/>
              </w:rPr>
              <w:tab/>
            </w:r>
            <w:r w:rsidR="00BB5489">
              <w:rPr>
                <w:noProof/>
                <w:webHidden/>
              </w:rPr>
              <w:fldChar w:fldCharType="begin"/>
            </w:r>
            <w:r w:rsidR="00BB5489">
              <w:rPr>
                <w:noProof/>
                <w:webHidden/>
              </w:rPr>
              <w:instrText xml:space="preserve"> PAGEREF _Toc23841348 \h </w:instrText>
            </w:r>
            <w:r w:rsidR="00BB5489">
              <w:rPr>
                <w:noProof/>
                <w:webHidden/>
              </w:rPr>
            </w:r>
            <w:r w:rsidR="00BB5489">
              <w:rPr>
                <w:noProof/>
                <w:webHidden/>
              </w:rPr>
              <w:fldChar w:fldCharType="separate"/>
            </w:r>
            <w:r w:rsidR="00BB5489">
              <w:rPr>
                <w:noProof/>
                <w:webHidden/>
              </w:rPr>
              <w:t>36</w:t>
            </w:r>
            <w:r w:rsidR="00BB5489">
              <w:rPr>
                <w:noProof/>
                <w:webHidden/>
              </w:rPr>
              <w:fldChar w:fldCharType="end"/>
            </w:r>
          </w:hyperlink>
        </w:p>
        <w:p w14:paraId="5158E680" w14:textId="41C0D6BC" w:rsidR="00BB5489" w:rsidRDefault="008808DB">
          <w:pPr>
            <w:pStyle w:val="TOC3"/>
            <w:rPr>
              <w:noProof/>
              <w:lang w:eastAsia="en-AU"/>
            </w:rPr>
          </w:pPr>
          <w:hyperlink w:anchor="_Toc23841349" w:history="1">
            <w:r w:rsidR="00BB5489" w:rsidRPr="009676A7">
              <w:rPr>
                <w:rStyle w:val="Hyperlink"/>
                <w:noProof/>
              </w:rPr>
              <w:t>2.3.1</w:t>
            </w:r>
            <w:r w:rsidR="00BB5489">
              <w:rPr>
                <w:noProof/>
                <w:lang w:eastAsia="en-AU"/>
              </w:rPr>
              <w:tab/>
            </w:r>
            <w:r w:rsidR="00BB5489" w:rsidRPr="009676A7">
              <w:rPr>
                <w:rStyle w:val="Hyperlink"/>
                <w:noProof/>
              </w:rPr>
              <w:t>Data sources</w:t>
            </w:r>
            <w:r w:rsidR="00BB5489">
              <w:rPr>
                <w:noProof/>
                <w:webHidden/>
              </w:rPr>
              <w:tab/>
            </w:r>
            <w:r w:rsidR="00BB5489">
              <w:rPr>
                <w:noProof/>
                <w:webHidden/>
              </w:rPr>
              <w:fldChar w:fldCharType="begin"/>
            </w:r>
            <w:r w:rsidR="00BB5489">
              <w:rPr>
                <w:noProof/>
                <w:webHidden/>
              </w:rPr>
              <w:instrText xml:space="preserve"> PAGEREF _Toc23841349 \h </w:instrText>
            </w:r>
            <w:r w:rsidR="00BB5489">
              <w:rPr>
                <w:noProof/>
                <w:webHidden/>
              </w:rPr>
            </w:r>
            <w:r w:rsidR="00BB5489">
              <w:rPr>
                <w:noProof/>
                <w:webHidden/>
              </w:rPr>
              <w:fldChar w:fldCharType="separate"/>
            </w:r>
            <w:r w:rsidR="00BB5489">
              <w:rPr>
                <w:noProof/>
                <w:webHidden/>
              </w:rPr>
              <w:t>36</w:t>
            </w:r>
            <w:r w:rsidR="00BB5489">
              <w:rPr>
                <w:noProof/>
                <w:webHidden/>
              </w:rPr>
              <w:fldChar w:fldCharType="end"/>
            </w:r>
          </w:hyperlink>
        </w:p>
        <w:p w14:paraId="5A8FAAF1" w14:textId="4EB53EBB" w:rsidR="00BB5489" w:rsidRDefault="008808DB">
          <w:pPr>
            <w:pStyle w:val="TOC3"/>
            <w:rPr>
              <w:noProof/>
              <w:lang w:eastAsia="en-AU"/>
            </w:rPr>
          </w:pPr>
          <w:hyperlink w:anchor="_Toc23841350" w:history="1">
            <w:r w:rsidR="00BB5489" w:rsidRPr="009676A7">
              <w:rPr>
                <w:rStyle w:val="Hyperlink"/>
                <w:noProof/>
              </w:rPr>
              <w:t>2.3.2</w:t>
            </w:r>
            <w:r w:rsidR="00BB5489">
              <w:rPr>
                <w:noProof/>
                <w:lang w:eastAsia="en-AU"/>
              </w:rPr>
              <w:tab/>
            </w:r>
            <w:r w:rsidR="00BB5489" w:rsidRPr="009676A7">
              <w:rPr>
                <w:rStyle w:val="Hyperlink"/>
                <w:noProof/>
              </w:rPr>
              <w:t>Study populations</w:t>
            </w:r>
            <w:r w:rsidR="00BB5489">
              <w:rPr>
                <w:noProof/>
                <w:webHidden/>
              </w:rPr>
              <w:tab/>
            </w:r>
            <w:r w:rsidR="00BB5489">
              <w:rPr>
                <w:noProof/>
                <w:webHidden/>
              </w:rPr>
              <w:fldChar w:fldCharType="begin"/>
            </w:r>
            <w:r w:rsidR="00BB5489">
              <w:rPr>
                <w:noProof/>
                <w:webHidden/>
              </w:rPr>
              <w:instrText xml:space="preserve"> PAGEREF _Toc23841350 \h </w:instrText>
            </w:r>
            <w:r w:rsidR="00BB5489">
              <w:rPr>
                <w:noProof/>
                <w:webHidden/>
              </w:rPr>
            </w:r>
            <w:r w:rsidR="00BB5489">
              <w:rPr>
                <w:noProof/>
                <w:webHidden/>
              </w:rPr>
              <w:fldChar w:fldCharType="separate"/>
            </w:r>
            <w:r w:rsidR="00BB5489">
              <w:rPr>
                <w:noProof/>
                <w:webHidden/>
              </w:rPr>
              <w:t>37</w:t>
            </w:r>
            <w:r w:rsidR="00BB5489">
              <w:rPr>
                <w:noProof/>
                <w:webHidden/>
              </w:rPr>
              <w:fldChar w:fldCharType="end"/>
            </w:r>
          </w:hyperlink>
        </w:p>
        <w:p w14:paraId="549DD5B6" w14:textId="0175A1AC" w:rsidR="00BB5489" w:rsidRDefault="008808DB">
          <w:pPr>
            <w:pStyle w:val="TOC3"/>
            <w:rPr>
              <w:noProof/>
              <w:lang w:eastAsia="en-AU"/>
            </w:rPr>
          </w:pPr>
          <w:hyperlink w:anchor="_Toc23841351" w:history="1">
            <w:r w:rsidR="00BB5489" w:rsidRPr="009676A7">
              <w:rPr>
                <w:rStyle w:val="Hyperlink"/>
                <w:noProof/>
              </w:rPr>
              <w:t>2.3.3</w:t>
            </w:r>
            <w:r w:rsidR="00BB5489">
              <w:rPr>
                <w:noProof/>
                <w:lang w:eastAsia="en-AU"/>
              </w:rPr>
              <w:tab/>
            </w:r>
            <w:r w:rsidR="00BB5489" w:rsidRPr="009676A7">
              <w:rPr>
                <w:rStyle w:val="Hyperlink"/>
                <w:noProof/>
              </w:rPr>
              <w:t>Profile of the TtW inflow population</w:t>
            </w:r>
            <w:r w:rsidR="00BB5489">
              <w:rPr>
                <w:noProof/>
                <w:webHidden/>
              </w:rPr>
              <w:tab/>
            </w:r>
            <w:r w:rsidR="00BB5489">
              <w:rPr>
                <w:noProof/>
                <w:webHidden/>
              </w:rPr>
              <w:fldChar w:fldCharType="begin"/>
            </w:r>
            <w:r w:rsidR="00BB5489">
              <w:rPr>
                <w:noProof/>
                <w:webHidden/>
              </w:rPr>
              <w:instrText xml:space="preserve"> PAGEREF _Toc23841351 \h </w:instrText>
            </w:r>
            <w:r w:rsidR="00BB5489">
              <w:rPr>
                <w:noProof/>
                <w:webHidden/>
              </w:rPr>
            </w:r>
            <w:r w:rsidR="00BB5489">
              <w:rPr>
                <w:noProof/>
                <w:webHidden/>
              </w:rPr>
              <w:fldChar w:fldCharType="separate"/>
            </w:r>
            <w:r w:rsidR="00BB5489">
              <w:rPr>
                <w:noProof/>
                <w:webHidden/>
              </w:rPr>
              <w:t>38</w:t>
            </w:r>
            <w:r w:rsidR="00BB5489">
              <w:rPr>
                <w:noProof/>
                <w:webHidden/>
              </w:rPr>
              <w:fldChar w:fldCharType="end"/>
            </w:r>
          </w:hyperlink>
        </w:p>
        <w:p w14:paraId="461C921D" w14:textId="4217B4C9" w:rsidR="00BB5489" w:rsidRDefault="008808DB">
          <w:pPr>
            <w:pStyle w:val="TOC1"/>
            <w:tabs>
              <w:tab w:val="right" w:leader="dot" w:pos="9016"/>
            </w:tabs>
            <w:rPr>
              <w:noProof/>
              <w:lang w:eastAsia="en-AU"/>
            </w:rPr>
          </w:pPr>
          <w:hyperlink w:anchor="_Toc23841352" w:history="1">
            <w:r w:rsidR="00BB5489" w:rsidRPr="009676A7">
              <w:rPr>
                <w:rStyle w:val="Hyperlink"/>
                <w:noProof/>
              </w:rPr>
              <w:t>3</w:t>
            </w:r>
            <w:r w:rsidR="00BB5489">
              <w:rPr>
                <w:noProof/>
                <w:lang w:eastAsia="en-AU"/>
              </w:rPr>
              <w:tab/>
            </w:r>
            <w:r w:rsidR="00BB5489" w:rsidRPr="009676A7">
              <w:rPr>
                <w:rStyle w:val="Hyperlink"/>
                <w:noProof/>
              </w:rPr>
              <w:t>The extent to which service implementation and operational processes enabled effective and efficient service delivery</w:t>
            </w:r>
            <w:r w:rsidR="00BB5489">
              <w:rPr>
                <w:noProof/>
                <w:webHidden/>
              </w:rPr>
              <w:tab/>
            </w:r>
            <w:r w:rsidR="00BB5489">
              <w:rPr>
                <w:noProof/>
                <w:webHidden/>
              </w:rPr>
              <w:fldChar w:fldCharType="begin"/>
            </w:r>
            <w:r w:rsidR="00BB5489">
              <w:rPr>
                <w:noProof/>
                <w:webHidden/>
              </w:rPr>
              <w:instrText xml:space="preserve"> PAGEREF _Toc23841352 \h </w:instrText>
            </w:r>
            <w:r w:rsidR="00BB5489">
              <w:rPr>
                <w:noProof/>
                <w:webHidden/>
              </w:rPr>
            </w:r>
            <w:r w:rsidR="00BB5489">
              <w:rPr>
                <w:noProof/>
                <w:webHidden/>
              </w:rPr>
              <w:fldChar w:fldCharType="separate"/>
            </w:r>
            <w:r w:rsidR="00BB5489">
              <w:rPr>
                <w:noProof/>
                <w:webHidden/>
              </w:rPr>
              <w:t>40</w:t>
            </w:r>
            <w:r w:rsidR="00BB5489">
              <w:rPr>
                <w:noProof/>
                <w:webHidden/>
              </w:rPr>
              <w:fldChar w:fldCharType="end"/>
            </w:r>
          </w:hyperlink>
        </w:p>
        <w:p w14:paraId="511E4B0F" w14:textId="1B0AAB07" w:rsidR="00BB5489" w:rsidRDefault="008808DB">
          <w:pPr>
            <w:pStyle w:val="TOC2"/>
            <w:tabs>
              <w:tab w:val="right" w:leader="dot" w:pos="9016"/>
            </w:tabs>
            <w:rPr>
              <w:noProof/>
              <w:lang w:eastAsia="en-AU"/>
            </w:rPr>
          </w:pPr>
          <w:hyperlink w:anchor="_Toc23841353" w:history="1">
            <w:r w:rsidR="00BB5489" w:rsidRPr="009676A7">
              <w:rPr>
                <w:rStyle w:val="Hyperlink"/>
                <w:noProof/>
              </w:rPr>
              <w:t>Key findings</w:t>
            </w:r>
            <w:r w:rsidR="00BB5489">
              <w:rPr>
                <w:noProof/>
                <w:webHidden/>
              </w:rPr>
              <w:tab/>
            </w:r>
            <w:r w:rsidR="00BB5489">
              <w:rPr>
                <w:noProof/>
                <w:webHidden/>
              </w:rPr>
              <w:fldChar w:fldCharType="begin"/>
            </w:r>
            <w:r w:rsidR="00BB5489">
              <w:rPr>
                <w:noProof/>
                <w:webHidden/>
              </w:rPr>
              <w:instrText xml:space="preserve"> PAGEREF _Toc23841353 \h </w:instrText>
            </w:r>
            <w:r w:rsidR="00BB5489">
              <w:rPr>
                <w:noProof/>
                <w:webHidden/>
              </w:rPr>
            </w:r>
            <w:r w:rsidR="00BB5489">
              <w:rPr>
                <w:noProof/>
                <w:webHidden/>
              </w:rPr>
              <w:fldChar w:fldCharType="separate"/>
            </w:r>
            <w:r w:rsidR="00BB5489">
              <w:rPr>
                <w:noProof/>
                <w:webHidden/>
              </w:rPr>
              <w:t>40</w:t>
            </w:r>
            <w:r w:rsidR="00BB5489">
              <w:rPr>
                <w:noProof/>
                <w:webHidden/>
              </w:rPr>
              <w:fldChar w:fldCharType="end"/>
            </w:r>
          </w:hyperlink>
        </w:p>
        <w:p w14:paraId="12326734" w14:textId="6DFD6041" w:rsidR="00BB5489" w:rsidRDefault="008808DB">
          <w:pPr>
            <w:pStyle w:val="TOC2"/>
            <w:tabs>
              <w:tab w:val="right" w:leader="dot" w:pos="9016"/>
            </w:tabs>
            <w:rPr>
              <w:noProof/>
              <w:lang w:eastAsia="en-AU"/>
            </w:rPr>
          </w:pPr>
          <w:hyperlink w:anchor="_Toc23841354" w:history="1">
            <w:r w:rsidR="00BB5489" w:rsidRPr="009676A7">
              <w:rPr>
                <w:rStyle w:val="Hyperlink"/>
                <w:noProof/>
              </w:rPr>
              <w:t>3.1</w:t>
            </w:r>
            <w:r w:rsidR="00BB5489">
              <w:rPr>
                <w:noProof/>
                <w:lang w:eastAsia="en-AU"/>
              </w:rPr>
              <w:tab/>
            </w:r>
            <w:r w:rsidR="00BB5489" w:rsidRPr="009676A7">
              <w:rPr>
                <w:rStyle w:val="Hyperlink"/>
                <w:noProof/>
              </w:rPr>
              <w:t>Indicators used to address the evaluation question</w:t>
            </w:r>
            <w:r w:rsidR="00BB5489">
              <w:rPr>
                <w:noProof/>
                <w:webHidden/>
              </w:rPr>
              <w:tab/>
            </w:r>
            <w:r w:rsidR="00BB5489">
              <w:rPr>
                <w:noProof/>
                <w:webHidden/>
              </w:rPr>
              <w:fldChar w:fldCharType="begin"/>
            </w:r>
            <w:r w:rsidR="00BB5489">
              <w:rPr>
                <w:noProof/>
                <w:webHidden/>
              </w:rPr>
              <w:instrText xml:space="preserve"> PAGEREF _Toc23841354 \h </w:instrText>
            </w:r>
            <w:r w:rsidR="00BB5489">
              <w:rPr>
                <w:noProof/>
                <w:webHidden/>
              </w:rPr>
            </w:r>
            <w:r w:rsidR="00BB5489">
              <w:rPr>
                <w:noProof/>
                <w:webHidden/>
              </w:rPr>
              <w:fldChar w:fldCharType="separate"/>
            </w:r>
            <w:r w:rsidR="00BB5489">
              <w:rPr>
                <w:noProof/>
                <w:webHidden/>
              </w:rPr>
              <w:t>40</w:t>
            </w:r>
            <w:r w:rsidR="00BB5489">
              <w:rPr>
                <w:noProof/>
                <w:webHidden/>
              </w:rPr>
              <w:fldChar w:fldCharType="end"/>
            </w:r>
          </w:hyperlink>
        </w:p>
        <w:p w14:paraId="32ADE6D2" w14:textId="7209BEB4" w:rsidR="00BB5489" w:rsidRDefault="008808DB">
          <w:pPr>
            <w:pStyle w:val="TOC2"/>
            <w:tabs>
              <w:tab w:val="right" w:leader="dot" w:pos="9016"/>
            </w:tabs>
            <w:rPr>
              <w:noProof/>
              <w:lang w:eastAsia="en-AU"/>
            </w:rPr>
          </w:pPr>
          <w:hyperlink w:anchor="_Toc23841355" w:history="1">
            <w:r w:rsidR="00BB5489" w:rsidRPr="009676A7">
              <w:rPr>
                <w:rStyle w:val="Hyperlink"/>
                <w:noProof/>
              </w:rPr>
              <w:t>3.2</w:t>
            </w:r>
            <w:r w:rsidR="00BB5489">
              <w:rPr>
                <w:noProof/>
                <w:lang w:eastAsia="en-AU"/>
              </w:rPr>
              <w:tab/>
            </w:r>
            <w:r w:rsidR="00BB5489" w:rsidRPr="009676A7">
              <w:rPr>
                <w:rStyle w:val="Hyperlink"/>
                <w:noProof/>
              </w:rPr>
              <w:t>Early provider experiences of implementation</w:t>
            </w:r>
            <w:r w:rsidR="00BB5489">
              <w:rPr>
                <w:noProof/>
                <w:webHidden/>
              </w:rPr>
              <w:tab/>
            </w:r>
            <w:r w:rsidR="00BB5489">
              <w:rPr>
                <w:noProof/>
                <w:webHidden/>
              </w:rPr>
              <w:fldChar w:fldCharType="begin"/>
            </w:r>
            <w:r w:rsidR="00BB5489">
              <w:rPr>
                <w:noProof/>
                <w:webHidden/>
              </w:rPr>
              <w:instrText xml:space="preserve"> PAGEREF _Toc23841355 \h </w:instrText>
            </w:r>
            <w:r w:rsidR="00BB5489">
              <w:rPr>
                <w:noProof/>
                <w:webHidden/>
              </w:rPr>
            </w:r>
            <w:r w:rsidR="00BB5489">
              <w:rPr>
                <w:noProof/>
                <w:webHidden/>
              </w:rPr>
              <w:fldChar w:fldCharType="separate"/>
            </w:r>
            <w:r w:rsidR="00BB5489">
              <w:rPr>
                <w:noProof/>
                <w:webHidden/>
              </w:rPr>
              <w:t>41</w:t>
            </w:r>
            <w:r w:rsidR="00BB5489">
              <w:rPr>
                <w:noProof/>
                <w:webHidden/>
              </w:rPr>
              <w:fldChar w:fldCharType="end"/>
            </w:r>
          </w:hyperlink>
        </w:p>
        <w:p w14:paraId="547CD137" w14:textId="22E4D26E" w:rsidR="00BB5489" w:rsidRDefault="008808DB">
          <w:pPr>
            <w:pStyle w:val="TOC3"/>
            <w:rPr>
              <w:noProof/>
              <w:lang w:eastAsia="en-AU"/>
            </w:rPr>
          </w:pPr>
          <w:hyperlink w:anchor="_Toc23841356" w:history="1">
            <w:r w:rsidR="00BB5489" w:rsidRPr="009676A7">
              <w:rPr>
                <w:rStyle w:val="Hyperlink"/>
                <w:noProof/>
              </w:rPr>
              <w:t>3.2.1</w:t>
            </w:r>
            <w:r w:rsidR="00BB5489">
              <w:rPr>
                <w:noProof/>
                <w:lang w:eastAsia="en-AU"/>
              </w:rPr>
              <w:tab/>
            </w:r>
            <w:r w:rsidR="00BB5489" w:rsidRPr="009676A7">
              <w:rPr>
                <w:rStyle w:val="Hyperlink"/>
                <w:noProof/>
              </w:rPr>
              <w:t>Most providers found the short implementation timeframe challenging</w:t>
            </w:r>
            <w:r w:rsidR="00BB5489">
              <w:rPr>
                <w:noProof/>
                <w:webHidden/>
              </w:rPr>
              <w:tab/>
            </w:r>
            <w:r w:rsidR="00BB5489">
              <w:rPr>
                <w:noProof/>
                <w:webHidden/>
              </w:rPr>
              <w:fldChar w:fldCharType="begin"/>
            </w:r>
            <w:r w:rsidR="00BB5489">
              <w:rPr>
                <w:noProof/>
                <w:webHidden/>
              </w:rPr>
              <w:instrText xml:space="preserve"> PAGEREF _Toc23841356 \h </w:instrText>
            </w:r>
            <w:r w:rsidR="00BB5489">
              <w:rPr>
                <w:noProof/>
                <w:webHidden/>
              </w:rPr>
            </w:r>
            <w:r w:rsidR="00BB5489">
              <w:rPr>
                <w:noProof/>
                <w:webHidden/>
              </w:rPr>
              <w:fldChar w:fldCharType="separate"/>
            </w:r>
            <w:r w:rsidR="00BB5489">
              <w:rPr>
                <w:noProof/>
                <w:webHidden/>
              </w:rPr>
              <w:t>41</w:t>
            </w:r>
            <w:r w:rsidR="00BB5489">
              <w:rPr>
                <w:noProof/>
                <w:webHidden/>
              </w:rPr>
              <w:fldChar w:fldCharType="end"/>
            </w:r>
          </w:hyperlink>
        </w:p>
        <w:p w14:paraId="53731D65" w14:textId="093762FB" w:rsidR="00BB5489" w:rsidRDefault="008808DB">
          <w:pPr>
            <w:pStyle w:val="TOC3"/>
            <w:rPr>
              <w:noProof/>
              <w:lang w:eastAsia="en-AU"/>
            </w:rPr>
          </w:pPr>
          <w:hyperlink w:anchor="_Toc23841357" w:history="1">
            <w:r w:rsidR="00BB5489" w:rsidRPr="009676A7">
              <w:rPr>
                <w:rStyle w:val="Hyperlink"/>
                <w:noProof/>
              </w:rPr>
              <w:t>3.2.2</w:t>
            </w:r>
            <w:r w:rsidR="00BB5489">
              <w:rPr>
                <w:noProof/>
                <w:lang w:eastAsia="en-AU"/>
              </w:rPr>
              <w:tab/>
            </w:r>
            <w:r w:rsidR="00BB5489" w:rsidRPr="009676A7">
              <w:rPr>
                <w:rStyle w:val="Hyperlink"/>
                <w:noProof/>
              </w:rPr>
              <w:t>Providers found the start-up referrals challenging, as referrals lacked sufficient contact information or contact details were incorrect</w:t>
            </w:r>
            <w:r w:rsidR="00BB5489">
              <w:rPr>
                <w:noProof/>
                <w:webHidden/>
              </w:rPr>
              <w:tab/>
            </w:r>
            <w:r w:rsidR="00BB5489">
              <w:rPr>
                <w:noProof/>
                <w:webHidden/>
              </w:rPr>
              <w:fldChar w:fldCharType="begin"/>
            </w:r>
            <w:r w:rsidR="00BB5489">
              <w:rPr>
                <w:noProof/>
                <w:webHidden/>
              </w:rPr>
              <w:instrText xml:space="preserve"> PAGEREF _Toc23841357 \h </w:instrText>
            </w:r>
            <w:r w:rsidR="00BB5489">
              <w:rPr>
                <w:noProof/>
                <w:webHidden/>
              </w:rPr>
            </w:r>
            <w:r w:rsidR="00BB5489">
              <w:rPr>
                <w:noProof/>
                <w:webHidden/>
              </w:rPr>
              <w:fldChar w:fldCharType="separate"/>
            </w:r>
            <w:r w:rsidR="00BB5489">
              <w:rPr>
                <w:noProof/>
                <w:webHidden/>
              </w:rPr>
              <w:t>42</w:t>
            </w:r>
            <w:r w:rsidR="00BB5489">
              <w:rPr>
                <w:noProof/>
                <w:webHidden/>
              </w:rPr>
              <w:fldChar w:fldCharType="end"/>
            </w:r>
          </w:hyperlink>
        </w:p>
        <w:p w14:paraId="023B938C" w14:textId="77F336AC" w:rsidR="00BB5489" w:rsidRDefault="008808DB">
          <w:pPr>
            <w:pStyle w:val="TOC3"/>
            <w:rPr>
              <w:noProof/>
              <w:lang w:eastAsia="en-AU"/>
            </w:rPr>
          </w:pPr>
          <w:hyperlink w:anchor="_Toc23841358" w:history="1">
            <w:r w:rsidR="00BB5489" w:rsidRPr="009676A7">
              <w:rPr>
                <w:rStyle w:val="Hyperlink"/>
                <w:noProof/>
              </w:rPr>
              <w:t>3.2.3</w:t>
            </w:r>
            <w:r w:rsidR="00BB5489">
              <w:rPr>
                <w:noProof/>
                <w:lang w:eastAsia="en-AU"/>
              </w:rPr>
              <w:tab/>
            </w:r>
            <w:r w:rsidR="00BB5489" w:rsidRPr="009676A7">
              <w:rPr>
                <w:rStyle w:val="Hyperlink"/>
                <w:noProof/>
              </w:rPr>
              <w:t>Providers’ experiences of the implementation process were influenced by the phase in which they started</w:t>
            </w:r>
            <w:r w:rsidR="00BB5489">
              <w:rPr>
                <w:noProof/>
                <w:webHidden/>
              </w:rPr>
              <w:tab/>
            </w:r>
            <w:r w:rsidR="00BB5489">
              <w:rPr>
                <w:noProof/>
                <w:webHidden/>
              </w:rPr>
              <w:fldChar w:fldCharType="begin"/>
            </w:r>
            <w:r w:rsidR="00BB5489">
              <w:rPr>
                <w:noProof/>
                <w:webHidden/>
              </w:rPr>
              <w:instrText xml:space="preserve"> PAGEREF _Toc23841358 \h </w:instrText>
            </w:r>
            <w:r w:rsidR="00BB5489">
              <w:rPr>
                <w:noProof/>
                <w:webHidden/>
              </w:rPr>
            </w:r>
            <w:r w:rsidR="00BB5489">
              <w:rPr>
                <w:noProof/>
                <w:webHidden/>
              </w:rPr>
              <w:fldChar w:fldCharType="separate"/>
            </w:r>
            <w:r w:rsidR="00BB5489">
              <w:rPr>
                <w:noProof/>
                <w:webHidden/>
              </w:rPr>
              <w:t>45</w:t>
            </w:r>
            <w:r w:rsidR="00BB5489">
              <w:rPr>
                <w:noProof/>
                <w:webHidden/>
              </w:rPr>
              <w:fldChar w:fldCharType="end"/>
            </w:r>
          </w:hyperlink>
        </w:p>
        <w:p w14:paraId="42980BE5" w14:textId="38CDC9BE" w:rsidR="00BB5489" w:rsidRDefault="008808DB">
          <w:pPr>
            <w:pStyle w:val="TOC3"/>
            <w:rPr>
              <w:noProof/>
              <w:lang w:eastAsia="en-AU"/>
            </w:rPr>
          </w:pPr>
          <w:hyperlink w:anchor="_Toc23841359" w:history="1">
            <w:r w:rsidR="00BB5489" w:rsidRPr="009676A7">
              <w:rPr>
                <w:rStyle w:val="Hyperlink"/>
                <w:noProof/>
              </w:rPr>
              <w:t>3.2.4</w:t>
            </w:r>
            <w:r w:rsidR="00BB5489">
              <w:rPr>
                <w:noProof/>
                <w:lang w:eastAsia="en-AU"/>
              </w:rPr>
              <w:tab/>
            </w:r>
            <w:r w:rsidR="00BB5489" w:rsidRPr="009676A7">
              <w:rPr>
                <w:rStyle w:val="Hyperlink"/>
                <w:noProof/>
              </w:rPr>
              <w:t>Providers were generally positive about the level of support and information from the department</w:t>
            </w:r>
            <w:r w:rsidR="00BB5489">
              <w:rPr>
                <w:noProof/>
                <w:webHidden/>
              </w:rPr>
              <w:tab/>
            </w:r>
            <w:r w:rsidR="00BB5489">
              <w:rPr>
                <w:noProof/>
                <w:webHidden/>
              </w:rPr>
              <w:fldChar w:fldCharType="begin"/>
            </w:r>
            <w:r w:rsidR="00BB5489">
              <w:rPr>
                <w:noProof/>
                <w:webHidden/>
              </w:rPr>
              <w:instrText xml:space="preserve"> PAGEREF _Toc23841359 \h </w:instrText>
            </w:r>
            <w:r w:rsidR="00BB5489">
              <w:rPr>
                <w:noProof/>
                <w:webHidden/>
              </w:rPr>
            </w:r>
            <w:r w:rsidR="00BB5489">
              <w:rPr>
                <w:noProof/>
                <w:webHidden/>
              </w:rPr>
              <w:fldChar w:fldCharType="separate"/>
            </w:r>
            <w:r w:rsidR="00BB5489">
              <w:rPr>
                <w:noProof/>
                <w:webHidden/>
              </w:rPr>
              <w:t>46</w:t>
            </w:r>
            <w:r w:rsidR="00BB5489">
              <w:rPr>
                <w:noProof/>
                <w:webHidden/>
              </w:rPr>
              <w:fldChar w:fldCharType="end"/>
            </w:r>
          </w:hyperlink>
        </w:p>
        <w:p w14:paraId="5E0D2636" w14:textId="50070D0F" w:rsidR="00BB5489" w:rsidRDefault="008808DB">
          <w:pPr>
            <w:pStyle w:val="TOC3"/>
            <w:rPr>
              <w:noProof/>
              <w:lang w:eastAsia="en-AU"/>
            </w:rPr>
          </w:pPr>
          <w:hyperlink w:anchor="_Toc23841360" w:history="1">
            <w:r w:rsidR="00BB5489" w:rsidRPr="009676A7">
              <w:rPr>
                <w:rStyle w:val="Hyperlink"/>
                <w:noProof/>
              </w:rPr>
              <w:t>3.2.5</w:t>
            </w:r>
            <w:r w:rsidR="00BB5489">
              <w:rPr>
                <w:noProof/>
                <w:lang w:eastAsia="en-AU"/>
              </w:rPr>
              <w:tab/>
            </w:r>
            <w:r w:rsidR="00BB5489" w:rsidRPr="009676A7">
              <w:rPr>
                <w:rStyle w:val="Hyperlink"/>
                <w:noProof/>
              </w:rPr>
              <w:t>The contribution of stakeholder interactions and engagement to successful service implementation</w:t>
            </w:r>
            <w:r w:rsidR="00BB5489">
              <w:rPr>
                <w:noProof/>
                <w:webHidden/>
              </w:rPr>
              <w:tab/>
            </w:r>
            <w:r w:rsidR="00BB5489">
              <w:rPr>
                <w:noProof/>
                <w:webHidden/>
              </w:rPr>
              <w:fldChar w:fldCharType="begin"/>
            </w:r>
            <w:r w:rsidR="00BB5489">
              <w:rPr>
                <w:noProof/>
                <w:webHidden/>
              </w:rPr>
              <w:instrText xml:space="preserve"> PAGEREF _Toc23841360 \h </w:instrText>
            </w:r>
            <w:r w:rsidR="00BB5489">
              <w:rPr>
                <w:noProof/>
                <w:webHidden/>
              </w:rPr>
            </w:r>
            <w:r w:rsidR="00BB5489">
              <w:rPr>
                <w:noProof/>
                <w:webHidden/>
              </w:rPr>
              <w:fldChar w:fldCharType="separate"/>
            </w:r>
            <w:r w:rsidR="00BB5489">
              <w:rPr>
                <w:noProof/>
                <w:webHidden/>
              </w:rPr>
              <w:t>50</w:t>
            </w:r>
            <w:r w:rsidR="00BB5489">
              <w:rPr>
                <w:noProof/>
                <w:webHidden/>
              </w:rPr>
              <w:fldChar w:fldCharType="end"/>
            </w:r>
          </w:hyperlink>
        </w:p>
        <w:p w14:paraId="397FC42D" w14:textId="670F6576" w:rsidR="00BB5489" w:rsidRDefault="008808DB">
          <w:pPr>
            <w:pStyle w:val="TOC2"/>
            <w:tabs>
              <w:tab w:val="right" w:leader="dot" w:pos="9016"/>
            </w:tabs>
            <w:rPr>
              <w:noProof/>
              <w:lang w:eastAsia="en-AU"/>
            </w:rPr>
          </w:pPr>
          <w:hyperlink w:anchor="_Toc23841361" w:history="1">
            <w:r w:rsidR="00BB5489" w:rsidRPr="009676A7">
              <w:rPr>
                <w:rStyle w:val="Hyperlink"/>
                <w:noProof/>
              </w:rPr>
              <w:t>3.3</w:t>
            </w:r>
            <w:r w:rsidR="00BB5489">
              <w:rPr>
                <w:noProof/>
                <w:lang w:eastAsia="en-AU"/>
              </w:rPr>
              <w:tab/>
            </w:r>
            <w:r w:rsidR="00BB5489" w:rsidRPr="009676A7">
              <w:rPr>
                <w:rStyle w:val="Hyperlink"/>
                <w:noProof/>
              </w:rPr>
              <w:t>Provider views as the TtW service matured</w:t>
            </w:r>
            <w:r w:rsidR="00BB5489">
              <w:rPr>
                <w:noProof/>
                <w:webHidden/>
              </w:rPr>
              <w:tab/>
            </w:r>
            <w:r w:rsidR="00BB5489">
              <w:rPr>
                <w:noProof/>
                <w:webHidden/>
              </w:rPr>
              <w:fldChar w:fldCharType="begin"/>
            </w:r>
            <w:r w:rsidR="00BB5489">
              <w:rPr>
                <w:noProof/>
                <w:webHidden/>
              </w:rPr>
              <w:instrText xml:space="preserve"> PAGEREF _Toc23841361 \h </w:instrText>
            </w:r>
            <w:r w:rsidR="00BB5489">
              <w:rPr>
                <w:noProof/>
                <w:webHidden/>
              </w:rPr>
            </w:r>
            <w:r w:rsidR="00BB5489">
              <w:rPr>
                <w:noProof/>
                <w:webHidden/>
              </w:rPr>
              <w:fldChar w:fldCharType="separate"/>
            </w:r>
            <w:r w:rsidR="00BB5489">
              <w:rPr>
                <w:noProof/>
                <w:webHidden/>
              </w:rPr>
              <w:t>51</w:t>
            </w:r>
            <w:r w:rsidR="00BB5489">
              <w:rPr>
                <w:noProof/>
                <w:webHidden/>
              </w:rPr>
              <w:fldChar w:fldCharType="end"/>
            </w:r>
          </w:hyperlink>
        </w:p>
        <w:p w14:paraId="7595D506" w14:textId="054AB1DE" w:rsidR="00BB5489" w:rsidRDefault="008808DB">
          <w:pPr>
            <w:pStyle w:val="TOC3"/>
            <w:rPr>
              <w:noProof/>
              <w:lang w:eastAsia="en-AU"/>
            </w:rPr>
          </w:pPr>
          <w:hyperlink w:anchor="_Toc23841362" w:history="1">
            <w:r w:rsidR="00BB5489" w:rsidRPr="009676A7">
              <w:rPr>
                <w:rStyle w:val="Hyperlink"/>
                <w:noProof/>
              </w:rPr>
              <w:t>3.3.1</w:t>
            </w:r>
            <w:r w:rsidR="00BB5489">
              <w:rPr>
                <w:noProof/>
                <w:lang w:eastAsia="en-AU"/>
              </w:rPr>
              <w:tab/>
            </w:r>
            <w:r w:rsidR="00BB5489" w:rsidRPr="009676A7">
              <w:rPr>
                <w:rStyle w:val="Hyperlink"/>
                <w:noProof/>
              </w:rPr>
              <w:t>The lack of awareness among stakeholders and a system glitch compounded the initial challenge of referrals from DHS</w:t>
            </w:r>
            <w:r w:rsidR="00BB5489">
              <w:rPr>
                <w:noProof/>
                <w:webHidden/>
              </w:rPr>
              <w:tab/>
            </w:r>
            <w:r w:rsidR="00BB5489">
              <w:rPr>
                <w:noProof/>
                <w:webHidden/>
              </w:rPr>
              <w:fldChar w:fldCharType="begin"/>
            </w:r>
            <w:r w:rsidR="00BB5489">
              <w:rPr>
                <w:noProof/>
                <w:webHidden/>
              </w:rPr>
              <w:instrText xml:space="preserve"> PAGEREF _Toc23841362 \h </w:instrText>
            </w:r>
            <w:r w:rsidR="00BB5489">
              <w:rPr>
                <w:noProof/>
                <w:webHidden/>
              </w:rPr>
            </w:r>
            <w:r w:rsidR="00BB5489">
              <w:rPr>
                <w:noProof/>
                <w:webHidden/>
              </w:rPr>
              <w:fldChar w:fldCharType="separate"/>
            </w:r>
            <w:r w:rsidR="00BB5489">
              <w:rPr>
                <w:noProof/>
                <w:webHidden/>
              </w:rPr>
              <w:t>52</w:t>
            </w:r>
            <w:r w:rsidR="00BB5489">
              <w:rPr>
                <w:noProof/>
                <w:webHidden/>
              </w:rPr>
              <w:fldChar w:fldCharType="end"/>
            </w:r>
          </w:hyperlink>
        </w:p>
        <w:p w14:paraId="101A4FDA" w14:textId="7581DA65" w:rsidR="00BB5489" w:rsidRDefault="008808DB">
          <w:pPr>
            <w:pStyle w:val="TOC3"/>
            <w:rPr>
              <w:noProof/>
              <w:lang w:eastAsia="en-AU"/>
            </w:rPr>
          </w:pPr>
          <w:hyperlink w:anchor="_Toc23841363" w:history="1">
            <w:r w:rsidR="00BB5489" w:rsidRPr="009676A7">
              <w:rPr>
                <w:rStyle w:val="Hyperlink"/>
                <w:noProof/>
              </w:rPr>
              <w:t>3.3.2</w:t>
            </w:r>
            <w:r w:rsidR="00BB5489">
              <w:rPr>
                <w:noProof/>
                <w:lang w:eastAsia="en-AU"/>
              </w:rPr>
              <w:tab/>
            </w:r>
            <w:r w:rsidR="00BB5489" w:rsidRPr="009676A7">
              <w:rPr>
                <w:rStyle w:val="Hyperlink"/>
                <w:noProof/>
              </w:rPr>
              <w:t>Providers had limited success in recruiting Group Two participants</w:t>
            </w:r>
            <w:r w:rsidR="00BB5489">
              <w:rPr>
                <w:noProof/>
                <w:webHidden/>
              </w:rPr>
              <w:tab/>
            </w:r>
            <w:r w:rsidR="00BB5489">
              <w:rPr>
                <w:noProof/>
                <w:webHidden/>
              </w:rPr>
              <w:fldChar w:fldCharType="begin"/>
            </w:r>
            <w:r w:rsidR="00BB5489">
              <w:rPr>
                <w:noProof/>
                <w:webHidden/>
              </w:rPr>
              <w:instrText xml:space="preserve"> PAGEREF _Toc23841363 \h </w:instrText>
            </w:r>
            <w:r w:rsidR="00BB5489">
              <w:rPr>
                <w:noProof/>
                <w:webHidden/>
              </w:rPr>
            </w:r>
            <w:r w:rsidR="00BB5489">
              <w:rPr>
                <w:noProof/>
                <w:webHidden/>
              </w:rPr>
              <w:fldChar w:fldCharType="separate"/>
            </w:r>
            <w:r w:rsidR="00BB5489">
              <w:rPr>
                <w:noProof/>
                <w:webHidden/>
              </w:rPr>
              <w:t>53</w:t>
            </w:r>
            <w:r w:rsidR="00BB5489">
              <w:rPr>
                <w:noProof/>
                <w:webHidden/>
              </w:rPr>
              <w:fldChar w:fldCharType="end"/>
            </w:r>
          </w:hyperlink>
        </w:p>
        <w:p w14:paraId="5C761DA8" w14:textId="5E150811" w:rsidR="00BB5489" w:rsidRDefault="008808DB">
          <w:pPr>
            <w:pStyle w:val="TOC3"/>
            <w:rPr>
              <w:noProof/>
              <w:lang w:eastAsia="en-AU"/>
            </w:rPr>
          </w:pPr>
          <w:hyperlink w:anchor="_Toc23841364" w:history="1">
            <w:r w:rsidR="00BB5489" w:rsidRPr="009676A7">
              <w:rPr>
                <w:rStyle w:val="Hyperlink"/>
                <w:noProof/>
              </w:rPr>
              <w:t>3.3.3</w:t>
            </w:r>
            <w:r w:rsidR="00BB5489">
              <w:rPr>
                <w:noProof/>
                <w:lang w:eastAsia="en-AU"/>
              </w:rPr>
              <w:tab/>
            </w:r>
            <w:r w:rsidR="00BB5489" w:rsidRPr="009676A7">
              <w:rPr>
                <w:rStyle w:val="Hyperlink"/>
                <w:noProof/>
              </w:rPr>
              <w:t>The number of Group Three referrals was below expectations</w:t>
            </w:r>
            <w:r w:rsidR="00BB5489">
              <w:rPr>
                <w:noProof/>
                <w:webHidden/>
              </w:rPr>
              <w:tab/>
            </w:r>
            <w:r w:rsidR="00BB5489">
              <w:rPr>
                <w:noProof/>
                <w:webHidden/>
              </w:rPr>
              <w:fldChar w:fldCharType="begin"/>
            </w:r>
            <w:r w:rsidR="00BB5489">
              <w:rPr>
                <w:noProof/>
                <w:webHidden/>
              </w:rPr>
              <w:instrText xml:space="preserve"> PAGEREF _Toc23841364 \h </w:instrText>
            </w:r>
            <w:r w:rsidR="00BB5489">
              <w:rPr>
                <w:noProof/>
                <w:webHidden/>
              </w:rPr>
            </w:r>
            <w:r w:rsidR="00BB5489">
              <w:rPr>
                <w:noProof/>
                <w:webHidden/>
              </w:rPr>
              <w:fldChar w:fldCharType="separate"/>
            </w:r>
            <w:r w:rsidR="00BB5489">
              <w:rPr>
                <w:noProof/>
                <w:webHidden/>
              </w:rPr>
              <w:t>54</w:t>
            </w:r>
            <w:r w:rsidR="00BB5489">
              <w:rPr>
                <w:noProof/>
                <w:webHidden/>
              </w:rPr>
              <w:fldChar w:fldCharType="end"/>
            </w:r>
          </w:hyperlink>
        </w:p>
        <w:p w14:paraId="3A5CB077" w14:textId="4A83D10E" w:rsidR="00BB5489" w:rsidRDefault="008808DB">
          <w:pPr>
            <w:pStyle w:val="TOC3"/>
            <w:rPr>
              <w:noProof/>
              <w:lang w:eastAsia="en-AU"/>
            </w:rPr>
          </w:pPr>
          <w:hyperlink w:anchor="_Toc23841365" w:history="1">
            <w:r w:rsidR="00BB5489" w:rsidRPr="009676A7">
              <w:rPr>
                <w:rStyle w:val="Hyperlink"/>
                <w:noProof/>
              </w:rPr>
              <w:t>3.3.4</w:t>
            </w:r>
            <w:r w:rsidR="00BB5489">
              <w:rPr>
                <w:noProof/>
                <w:lang w:eastAsia="en-AU"/>
              </w:rPr>
              <w:tab/>
            </w:r>
            <w:r w:rsidR="00BB5489" w:rsidRPr="009676A7">
              <w:rPr>
                <w:rStyle w:val="Hyperlink"/>
                <w:noProof/>
              </w:rPr>
              <w:t>Providers reported that the TtW funding structure was sustainable and allowed them to support participants appropriately</w:t>
            </w:r>
            <w:r w:rsidR="00BB5489">
              <w:rPr>
                <w:noProof/>
                <w:webHidden/>
              </w:rPr>
              <w:tab/>
            </w:r>
            <w:r w:rsidR="00BB5489">
              <w:rPr>
                <w:noProof/>
                <w:webHidden/>
              </w:rPr>
              <w:fldChar w:fldCharType="begin"/>
            </w:r>
            <w:r w:rsidR="00BB5489">
              <w:rPr>
                <w:noProof/>
                <w:webHidden/>
              </w:rPr>
              <w:instrText xml:space="preserve"> PAGEREF _Toc23841365 \h </w:instrText>
            </w:r>
            <w:r w:rsidR="00BB5489">
              <w:rPr>
                <w:noProof/>
                <w:webHidden/>
              </w:rPr>
            </w:r>
            <w:r w:rsidR="00BB5489">
              <w:rPr>
                <w:noProof/>
                <w:webHidden/>
              </w:rPr>
              <w:fldChar w:fldCharType="separate"/>
            </w:r>
            <w:r w:rsidR="00BB5489">
              <w:rPr>
                <w:noProof/>
                <w:webHidden/>
              </w:rPr>
              <w:t>55</w:t>
            </w:r>
            <w:r w:rsidR="00BB5489">
              <w:rPr>
                <w:noProof/>
                <w:webHidden/>
              </w:rPr>
              <w:fldChar w:fldCharType="end"/>
            </w:r>
          </w:hyperlink>
        </w:p>
        <w:p w14:paraId="10EA976E" w14:textId="25FC1CF5" w:rsidR="00BB5489" w:rsidRDefault="008808DB">
          <w:pPr>
            <w:pStyle w:val="TOC3"/>
            <w:rPr>
              <w:noProof/>
              <w:lang w:eastAsia="en-AU"/>
            </w:rPr>
          </w:pPr>
          <w:hyperlink w:anchor="_Toc23841366" w:history="1">
            <w:r w:rsidR="00BB5489" w:rsidRPr="009676A7">
              <w:rPr>
                <w:rStyle w:val="Hyperlink"/>
                <w:noProof/>
              </w:rPr>
              <w:t>3.3.5</w:t>
            </w:r>
            <w:r w:rsidR="00BB5489">
              <w:rPr>
                <w:noProof/>
                <w:lang w:eastAsia="en-AU"/>
              </w:rPr>
              <w:tab/>
            </w:r>
            <w:r w:rsidR="00BB5489" w:rsidRPr="009676A7">
              <w:rPr>
                <w:rStyle w:val="Hyperlink"/>
                <w:noProof/>
              </w:rPr>
              <w:t>Providers were satisfied with the operational information about TtW and, to a lesser extent, the ESS Web system</w:t>
            </w:r>
            <w:r w:rsidR="00BB5489">
              <w:rPr>
                <w:noProof/>
                <w:webHidden/>
              </w:rPr>
              <w:tab/>
            </w:r>
            <w:r w:rsidR="00BB5489">
              <w:rPr>
                <w:noProof/>
                <w:webHidden/>
              </w:rPr>
              <w:fldChar w:fldCharType="begin"/>
            </w:r>
            <w:r w:rsidR="00BB5489">
              <w:rPr>
                <w:noProof/>
                <w:webHidden/>
              </w:rPr>
              <w:instrText xml:space="preserve"> PAGEREF _Toc23841366 \h </w:instrText>
            </w:r>
            <w:r w:rsidR="00BB5489">
              <w:rPr>
                <w:noProof/>
                <w:webHidden/>
              </w:rPr>
            </w:r>
            <w:r w:rsidR="00BB5489">
              <w:rPr>
                <w:noProof/>
                <w:webHidden/>
              </w:rPr>
              <w:fldChar w:fldCharType="separate"/>
            </w:r>
            <w:r w:rsidR="00BB5489">
              <w:rPr>
                <w:noProof/>
                <w:webHidden/>
              </w:rPr>
              <w:t>56</w:t>
            </w:r>
            <w:r w:rsidR="00BB5489">
              <w:rPr>
                <w:noProof/>
                <w:webHidden/>
              </w:rPr>
              <w:fldChar w:fldCharType="end"/>
            </w:r>
          </w:hyperlink>
        </w:p>
        <w:p w14:paraId="12C01468" w14:textId="36B28373" w:rsidR="00BB5489" w:rsidRDefault="008808DB">
          <w:pPr>
            <w:pStyle w:val="TOC2"/>
            <w:tabs>
              <w:tab w:val="right" w:leader="dot" w:pos="9016"/>
            </w:tabs>
            <w:rPr>
              <w:noProof/>
              <w:lang w:eastAsia="en-AU"/>
            </w:rPr>
          </w:pPr>
          <w:hyperlink w:anchor="_Toc23841367" w:history="1">
            <w:r w:rsidR="00BB5489" w:rsidRPr="009676A7">
              <w:rPr>
                <w:rStyle w:val="Hyperlink"/>
                <w:noProof/>
              </w:rPr>
              <w:t>3.4</w:t>
            </w:r>
            <w:r w:rsidR="00BB5489">
              <w:rPr>
                <w:noProof/>
                <w:lang w:eastAsia="en-AU"/>
              </w:rPr>
              <w:tab/>
            </w:r>
            <w:r w:rsidR="00BB5489" w:rsidRPr="009676A7">
              <w:rPr>
                <w:rStyle w:val="Hyperlink"/>
                <w:noProof/>
              </w:rPr>
              <w:t>Providers’ strategies to address any implementation and early operational issues</w:t>
            </w:r>
            <w:r w:rsidR="00BB5489">
              <w:rPr>
                <w:noProof/>
                <w:webHidden/>
              </w:rPr>
              <w:tab/>
            </w:r>
            <w:r w:rsidR="00BB5489">
              <w:rPr>
                <w:noProof/>
                <w:webHidden/>
              </w:rPr>
              <w:fldChar w:fldCharType="begin"/>
            </w:r>
            <w:r w:rsidR="00BB5489">
              <w:rPr>
                <w:noProof/>
                <w:webHidden/>
              </w:rPr>
              <w:instrText xml:space="preserve"> PAGEREF _Toc23841367 \h </w:instrText>
            </w:r>
            <w:r w:rsidR="00BB5489">
              <w:rPr>
                <w:noProof/>
                <w:webHidden/>
              </w:rPr>
            </w:r>
            <w:r w:rsidR="00BB5489">
              <w:rPr>
                <w:noProof/>
                <w:webHidden/>
              </w:rPr>
              <w:fldChar w:fldCharType="separate"/>
            </w:r>
            <w:r w:rsidR="00BB5489">
              <w:rPr>
                <w:noProof/>
                <w:webHidden/>
              </w:rPr>
              <w:t>57</w:t>
            </w:r>
            <w:r w:rsidR="00BB5489">
              <w:rPr>
                <w:noProof/>
                <w:webHidden/>
              </w:rPr>
              <w:fldChar w:fldCharType="end"/>
            </w:r>
          </w:hyperlink>
        </w:p>
        <w:p w14:paraId="6DDB8B28" w14:textId="23896FAD" w:rsidR="00BB5489" w:rsidRDefault="008808DB">
          <w:pPr>
            <w:pStyle w:val="TOC3"/>
            <w:rPr>
              <w:noProof/>
              <w:lang w:eastAsia="en-AU"/>
            </w:rPr>
          </w:pPr>
          <w:hyperlink w:anchor="_Toc23841368" w:history="1">
            <w:r w:rsidR="00BB5489" w:rsidRPr="009676A7">
              <w:rPr>
                <w:rStyle w:val="Hyperlink"/>
                <w:noProof/>
              </w:rPr>
              <w:t>3.4.1</w:t>
            </w:r>
            <w:r w:rsidR="00BB5489">
              <w:rPr>
                <w:noProof/>
                <w:lang w:eastAsia="en-AU"/>
              </w:rPr>
              <w:tab/>
            </w:r>
            <w:r w:rsidR="00BB5489" w:rsidRPr="009676A7">
              <w:rPr>
                <w:rStyle w:val="Hyperlink"/>
                <w:noProof/>
              </w:rPr>
              <w:t>Providers regularly visited Centrelink offices to encourage Group One referrals by increasing understanding of TtW</w:t>
            </w:r>
            <w:r w:rsidR="00BB5489">
              <w:rPr>
                <w:noProof/>
                <w:webHidden/>
              </w:rPr>
              <w:tab/>
            </w:r>
            <w:r w:rsidR="00BB5489">
              <w:rPr>
                <w:noProof/>
                <w:webHidden/>
              </w:rPr>
              <w:fldChar w:fldCharType="begin"/>
            </w:r>
            <w:r w:rsidR="00BB5489">
              <w:rPr>
                <w:noProof/>
                <w:webHidden/>
              </w:rPr>
              <w:instrText xml:space="preserve"> PAGEREF _Toc23841368 \h </w:instrText>
            </w:r>
            <w:r w:rsidR="00BB5489">
              <w:rPr>
                <w:noProof/>
                <w:webHidden/>
              </w:rPr>
            </w:r>
            <w:r w:rsidR="00BB5489">
              <w:rPr>
                <w:noProof/>
                <w:webHidden/>
              </w:rPr>
              <w:fldChar w:fldCharType="separate"/>
            </w:r>
            <w:r w:rsidR="00BB5489">
              <w:rPr>
                <w:noProof/>
                <w:webHidden/>
              </w:rPr>
              <w:t>57</w:t>
            </w:r>
            <w:r w:rsidR="00BB5489">
              <w:rPr>
                <w:noProof/>
                <w:webHidden/>
              </w:rPr>
              <w:fldChar w:fldCharType="end"/>
            </w:r>
          </w:hyperlink>
        </w:p>
        <w:p w14:paraId="1A767246" w14:textId="2043F63E" w:rsidR="00BB5489" w:rsidRDefault="008808DB">
          <w:pPr>
            <w:pStyle w:val="TOC3"/>
            <w:rPr>
              <w:noProof/>
              <w:lang w:eastAsia="en-AU"/>
            </w:rPr>
          </w:pPr>
          <w:hyperlink w:anchor="_Toc23841369" w:history="1">
            <w:r w:rsidR="00BB5489" w:rsidRPr="009676A7">
              <w:rPr>
                <w:rStyle w:val="Hyperlink"/>
                <w:noProof/>
              </w:rPr>
              <w:t>3.4.2</w:t>
            </w:r>
            <w:r w:rsidR="00BB5489">
              <w:rPr>
                <w:noProof/>
                <w:lang w:eastAsia="en-AU"/>
              </w:rPr>
              <w:tab/>
            </w:r>
            <w:r w:rsidR="00BB5489" w:rsidRPr="009676A7">
              <w:rPr>
                <w:rStyle w:val="Hyperlink"/>
                <w:noProof/>
              </w:rPr>
              <w:t>Providers worked with local schools and community groups to recruit Group Two participants</w:t>
            </w:r>
            <w:r w:rsidR="00BB5489">
              <w:rPr>
                <w:noProof/>
                <w:webHidden/>
              </w:rPr>
              <w:tab/>
            </w:r>
            <w:r w:rsidR="00BB5489">
              <w:rPr>
                <w:noProof/>
                <w:webHidden/>
              </w:rPr>
              <w:fldChar w:fldCharType="begin"/>
            </w:r>
            <w:r w:rsidR="00BB5489">
              <w:rPr>
                <w:noProof/>
                <w:webHidden/>
              </w:rPr>
              <w:instrText xml:space="preserve"> PAGEREF _Toc23841369 \h </w:instrText>
            </w:r>
            <w:r w:rsidR="00BB5489">
              <w:rPr>
                <w:noProof/>
                <w:webHidden/>
              </w:rPr>
            </w:r>
            <w:r w:rsidR="00BB5489">
              <w:rPr>
                <w:noProof/>
                <w:webHidden/>
              </w:rPr>
              <w:fldChar w:fldCharType="separate"/>
            </w:r>
            <w:r w:rsidR="00BB5489">
              <w:rPr>
                <w:noProof/>
                <w:webHidden/>
              </w:rPr>
              <w:t>58</w:t>
            </w:r>
            <w:r w:rsidR="00BB5489">
              <w:rPr>
                <w:noProof/>
                <w:webHidden/>
              </w:rPr>
              <w:fldChar w:fldCharType="end"/>
            </w:r>
          </w:hyperlink>
        </w:p>
        <w:p w14:paraId="4D0A9AE8" w14:textId="4E5E2E1F" w:rsidR="00BB5489" w:rsidRDefault="008808DB">
          <w:pPr>
            <w:pStyle w:val="TOC3"/>
            <w:rPr>
              <w:noProof/>
              <w:lang w:eastAsia="en-AU"/>
            </w:rPr>
          </w:pPr>
          <w:hyperlink w:anchor="_Toc23841370" w:history="1">
            <w:r w:rsidR="00BB5489" w:rsidRPr="009676A7">
              <w:rPr>
                <w:rStyle w:val="Hyperlink"/>
                <w:noProof/>
              </w:rPr>
              <w:t>3.4.3</w:t>
            </w:r>
            <w:r w:rsidR="00BB5489">
              <w:rPr>
                <w:noProof/>
                <w:lang w:eastAsia="en-AU"/>
              </w:rPr>
              <w:tab/>
            </w:r>
            <w:r w:rsidR="00BB5489" w:rsidRPr="009676A7">
              <w:rPr>
                <w:rStyle w:val="Hyperlink"/>
                <w:noProof/>
              </w:rPr>
              <w:t>Providers suggested that the department could provide incentives to increase Group Three referrals</w:t>
            </w:r>
            <w:r w:rsidR="00BB5489">
              <w:rPr>
                <w:noProof/>
                <w:webHidden/>
              </w:rPr>
              <w:tab/>
            </w:r>
            <w:r w:rsidR="00BB5489">
              <w:rPr>
                <w:noProof/>
                <w:webHidden/>
              </w:rPr>
              <w:fldChar w:fldCharType="begin"/>
            </w:r>
            <w:r w:rsidR="00BB5489">
              <w:rPr>
                <w:noProof/>
                <w:webHidden/>
              </w:rPr>
              <w:instrText xml:space="preserve"> PAGEREF _Toc23841370 \h </w:instrText>
            </w:r>
            <w:r w:rsidR="00BB5489">
              <w:rPr>
                <w:noProof/>
                <w:webHidden/>
              </w:rPr>
            </w:r>
            <w:r w:rsidR="00BB5489">
              <w:rPr>
                <w:noProof/>
                <w:webHidden/>
              </w:rPr>
              <w:fldChar w:fldCharType="separate"/>
            </w:r>
            <w:r w:rsidR="00BB5489">
              <w:rPr>
                <w:noProof/>
                <w:webHidden/>
              </w:rPr>
              <w:t>59</w:t>
            </w:r>
            <w:r w:rsidR="00BB5489">
              <w:rPr>
                <w:noProof/>
                <w:webHidden/>
              </w:rPr>
              <w:fldChar w:fldCharType="end"/>
            </w:r>
          </w:hyperlink>
        </w:p>
        <w:p w14:paraId="2AE587F4" w14:textId="2179EE51" w:rsidR="00BB5489" w:rsidRDefault="008808DB">
          <w:pPr>
            <w:pStyle w:val="TOC2"/>
            <w:tabs>
              <w:tab w:val="right" w:leader="dot" w:pos="9016"/>
            </w:tabs>
            <w:rPr>
              <w:noProof/>
              <w:lang w:eastAsia="en-AU"/>
            </w:rPr>
          </w:pPr>
          <w:hyperlink w:anchor="_Toc23841371" w:history="1">
            <w:r w:rsidR="00BB5489" w:rsidRPr="009676A7">
              <w:rPr>
                <w:rStyle w:val="Hyperlink"/>
                <w:noProof/>
              </w:rPr>
              <w:t>3.5</w:t>
            </w:r>
            <w:r w:rsidR="00BB5489">
              <w:rPr>
                <w:noProof/>
                <w:lang w:eastAsia="en-AU"/>
              </w:rPr>
              <w:tab/>
            </w:r>
            <w:r w:rsidR="00BB5489" w:rsidRPr="009676A7">
              <w:rPr>
                <w:rStyle w:val="Hyperlink"/>
                <w:noProof/>
              </w:rPr>
              <w:t>The appropriateness of the TtW model in helping young people to become job ready</w:t>
            </w:r>
            <w:r w:rsidR="00BB5489">
              <w:rPr>
                <w:noProof/>
                <w:webHidden/>
              </w:rPr>
              <w:tab/>
            </w:r>
            <w:r w:rsidR="00BB5489">
              <w:rPr>
                <w:noProof/>
                <w:webHidden/>
              </w:rPr>
              <w:fldChar w:fldCharType="begin"/>
            </w:r>
            <w:r w:rsidR="00BB5489">
              <w:rPr>
                <w:noProof/>
                <w:webHidden/>
              </w:rPr>
              <w:instrText xml:space="preserve"> PAGEREF _Toc23841371 \h </w:instrText>
            </w:r>
            <w:r w:rsidR="00BB5489">
              <w:rPr>
                <w:noProof/>
                <w:webHidden/>
              </w:rPr>
            </w:r>
            <w:r w:rsidR="00BB5489">
              <w:rPr>
                <w:noProof/>
                <w:webHidden/>
              </w:rPr>
              <w:fldChar w:fldCharType="separate"/>
            </w:r>
            <w:r w:rsidR="00BB5489">
              <w:rPr>
                <w:noProof/>
                <w:webHidden/>
              </w:rPr>
              <w:t>60</w:t>
            </w:r>
            <w:r w:rsidR="00BB5489">
              <w:rPr>
                <w:noProof/>
                <w:webHidden/>
              </w:rPr>
              <w:fldChar w:fldCharType="end"/>
            </w:r>
          </w:hyperlink>
        </w:p>
        <w:p w14:paraId="429D7508" w14:textId="2D85D8EA" w:rsidR="00BB5489" w:rsidRDefault="008808DB">
          <w:pPr>
            <w:pStyle w:val="TOC3"/>
            <w:rPr>
              <w:noProof/>
              <w:lang w:eastAsia="en-AU"/>
            </w:rPr>
          </w:pPr>
          <w:hyperlink w:anchor="_Toc23841372" w:history="1">
            <w:r w:rsidR="00BB5489" w:rsidRPr="009676A7">
              <w:rPr>
                <w:rStyle w:val="Hyperlink"/>
                <w:noProof/>
              </w:rPr>
              <w:t>3.5.1</w:t>
            </w:r>
            <w:r w:rsidR="00BB5489">
              <w:rPr>
                <w:noProof/>
                <w:lang w:eastAsia="en-AU"/>
              </w:rPr>
              <w:tab/>
            </w:r>
            <w:r w:rsidR="00BB5489" w:rsidRPr="009676A7">
              <w:rPr>
                <w:rStyle w:val="Hyperlink"/>
                <w:noProof/>
              </w:rPr>
              <w:t>The TtW service model is flexible and appropriate for engaging young people</w:t>
            </w:r>
            <w:r w:rsidR="00BB5489">
              <w:rPr>
                <w:noProof/>
                <w:webHidden/>
              </w:rPr>
              <w:tab/>
            </w:r>
            <w:r w:rsidR="00BB5489">
              <w:rPr>
                <w:noProof/>
                <w:webHidden/>
              </w:rPr>
              <w:fldChar w:fldCharType="begin"/>
            </w:r>
            <w:r w:rsidR="00BB5489">
              <w:rPr>
                <w:noProof/>
                <w:webHidden/>
              </w:rPr>
              <w:instrText xml:space="preserve"> PAGEREF _Toc23841372 \h </w:instrText>
            </w:r>
            <w:r w:rsidR="00BB5489">
              <w:rPr>
                <w:noProof/>
                <w:webHidden/>
              </w:rPr>
            </w:r>
            <w:r w:rsidR="00BB5489">
              <w:rPr>
                <w:noProof/>
                <w:webHidden/>
              </w:rPr>
              <w:fldChar w:fldCharType="separate"/>
            </w:r>
            <w:r w:rsidR="00BB5489">
              <w:rPr>
                <w:noProof/>
                <w:webHidden/>
              </w:rPr>
              <w:t>62</w:t>
            </w:r>
            <w:r w:rsidR="00BB5489">
              <w:rPr>
                <w:noProof/>
                <w:webHidden/>
              </w:rPr>
              <w:fldChar w:fldCharType="end"/>
            </w:r>
          </w:hyperlink>
        </w:p>
        <w:p w14:paraId="2D9F8222" w14:textId="68F6196E" w:rsidR="00BB5489" w:rsidRDefault="008808DB">
          <w:pPr>
            <w:pStyle w:val="TOC3"/>
            <w:rPr>
              <w:noProof/>
              <w:lang w:eastAsia="en-AU"/>
            </w:rPr>
          </w:pPr>
          <w:hyperlink w:anchor="_Toc23841373" w:history="1">
            <w:r w:rsidR="00BB5489" w:rsidRPr="009676A7">
              <w:rPr>
                <w:rStyle w:val="Hyperlink"/>
                <w:noProof/>
              </w:rPr>
              <w:t>3.5.2</w:t>
            </w:r>
            <w:r w:rsidR="00BB5489">
              <w:rPr>
                <w:noProof/>
                <w:lang w:eastAsia="en-AU"/>
              </w:rPr>
              <w:tab/>
            </w:r>
            <w:r w:rsidR="00BB5489" w:rsidRPr="009676A7">
              <w:rPr>
                <w:rStyle w:val="Hyperlink"/>
                <w:noProof/>
              </w:rPr>
              <w:t>Providers and participants preferred TtW to jobactive</w:t>
            </w:r>
            <w:r w:rsidR="00BB5489">
              <w:rPr>
                <w:noProof/>
                <w:webHidden/>
              </w:rPr>
              <w:tab/>
            </w:r>
            <w:r w:rsidR="00BB5489">
              <w:rPr>
                <w:noProof/>
                <w:webHidden/>
              </w:rPr>
              <w:fldChar w:fldCharType="begin"/>
            </w:r>
            <w:r w:rsidR="00BB5489">
              <w:rPr>
                <w:noProof/>
                <w:webHidden/>
              </w:rPr>
              <w:instrText xml:space="preserve"> PAGEREF _Toc23841373 \h </w:instrText>
            </w:r>
            <w:r w:rsidR="00BB5489">
              <w:rPr>
                <w:noProof/>
                <w:webHidden/>
              </w:rPr>
            </w:r>
            <w:r w:rsidR="00BB5489">
              <w:rPr>
                <w:noProof/>
                <w:webHidden/>
              </w:rPr>
              <w:fldChar w:fldCharType="separate"/>
            </w:r>
            <w:r w:rsidR="00BB5489">
              <w:rPr>
                <w:noProof/>
                <w:webHidden/>
              </w:rPr>
              <w:t>64</w:t>
            </w:r>
            <w:r w:rsidR="00BB5489">
              <w:rPr>
                <w:noProof/>
                <w:webHidden/>
              </w:rPr>
              <w:fldChar w:fldCharType="end"/>
            </w:r>
          </w:hyperlink>
        </w:p>
        <w:p w14:paraId="5B501E1A" w14:textId="70C2FF4B" w:rsidR="00BB5489" w:rsidRDefault="008808DB">
          <w:pPr>
            <w:pStyle w:val="TOC2"/>
            <w:tabs>
              <w:tab w:val="right" w:leader="dot" w:pos="9016"/>
            </w:tabs>
            <w:rPr>
              <w:noProof/>
              <w:lang w:eastAsia="en-AU"/>
            </w:rPr>
          </w:pPr>
          <w:hyperlink w:anchor="_Toc23841374" w:history="1">
            <w:r w:rsidR="00BB5489" w:rsidRPr="009676A7">
              <w:rPr>
                <w:rStyle w:val="Hyperlink"/>
                <w:noProof/>
              </w:rPr>
              <w:t>3.6</w:t>
            </w:r>
            <w:r w:rsidR="00BB5489">
              <w:rPr>
                <w:noProof/>
                <w:lang w:eastAsia="en-AU"/>
              </w:rPr>
              <w:tab/>
            </w:r>
            <w:r w:rsidR="00BB5489" w:rsidRPr="009676A7">
              <w:rPr>
                <w:rStyle w:val="Hyperlink"/>
                <w:noProof/>
              </w:rPr>
              <w:t>Suggestions from stakeholders</w:t>
            </w:r>
            <w:r w:rsidR="00BB5489">
              <w:rPr>
                <w:noProof/>
                <w:webHidden/>
              </w:rPr>
              <w:tab/>
            </w:r>
            <w:r w:rsidR="00BB5489">
              <w:rPr>
                <w:noProof/>
                <w:webHidden/>
              </w:rPr>
              <w:fldChar w:fldCharType="begin"/>
            </w:r>
            <w:r w:rsidR="00BB5489">
              <w:rPr>
                <w:noProof/>
                <w:webHidden/>
              </w:rPr>
              <w:instrText xml:space="preserve"> PAGEREF _Toc23841374 \h </w:instrText>
            </w:r>
            <w:r w:rsidR="00BB5489">
              <w:rPr>
                <w:noProof/>
                <w:webHidden/>
              </w:rPr>
            </w:r>
            <w:r w:rsidR="00BB5489">
              <w:rPr>
                <w:noProof/>
                <w:webHidden/>
              </w:rPr>
              <w:fldChar w:fldCharType="separate"/>
            </w:r>
            <w:r w:rsidR="00BB5489">
              <w:rPr>
                <w:noProof/>
                <w:webHidden/>
              </w:rPr>
              <w:t>65</w:t>
            </w:r>
            <w:r w:rsidR="00BB5489">
              <w:rPr>
                <w:noProof/>
                <w:webHidden/>
              </w:rPr>
              <w:fldChar w:fldCharType="end"/>
            </w:r>
          </w:hyperlink>
        </w:p>
        <w:p w14:paraId="2B9FBDCA" w14:textId="2534D625" w:rsidR="00BB5489" w:rsidRDefault="008808DB">
          <w:pPr>
            <w:pStyle w:val="TOC3"/>
            <w:rPr>
              <w:noProof/>
              <w:lang w:eastAsia="en-AU"/>
            </w:rPr>
          </w:pPr>
          <w:hyperlink w:anchor="_Toc23841375" w:history="1">
            <w:r w:rsidR="00BB5489" w:rsidRPr="009676A7">
              <w:rPr>
                <w:rStyle w:val="Hyperlink"/>
                <w:noProof/>
              </w:rPr>
              <w:t>3.6.1</w:t>
            </w:r>
            <w:r w:rsidR="00BB5489">
              <w:rPr>
                <w:noProof/>
                <w:lang w:eastAsia="en-AU"/>
              </w:rPr>
              <w:tab/>
            </w:r>
            <w:r w:rsidR="00BB5489" w:rsidRPr="009676A7">
              <w:rPr>
                <w:rStyle w:val="Hyperlink"/>
                <w:noProof/>
              </w:rPr>
              <w:t>Support and guidance from the department</w:t>
            </w:r>
            <w:r w:rsidR="00BB5489">
              <w:rPr>
                <w:noProof/>
                <w:webHidden/>
              </w:rPr>
              <w:tab/>
            </w:r>
            <w:r w:rsidR="00BB5489">
              <w:rPr>
                <w:noProof/>
                <w:webHidden/>
              </w:rPr>
              <w:fldChar w:fldCharType="begin"/>
            </w:r>
            <w:r w:rsidR="00BB5489">
              <w:rPr>
                <w:noProof/>
                <w:webHidden/>
              </w:rPr>
              <w:instrText xml:space="preserve"> PAGEREF _Toc23841375 \h </w:instrText>
            </w:r>
            <w:r w:rsidR="00BB5489">
              <w:rPr>
                <w:noProof/>
                <w:webHidden/>
              </w:rPr>
            </w:r>
            <w:r w:rsidR="00BB5489">
              <w:rPr>
                <w:noProof/>
                <w:webHidden/>
              </w:rPr>
              <w:fldChar w:fldCharType="separate"/>
            </w:r>
            <w:r w:rsidR="00BB5489">
              <w:rPr>
                <w:noProof/>
                <w:webHidden/>
              </w:rPr>
              <w:t>65</w:t>
            </w:r>
            <w:r w:rsidR="00BB5489">
              <w:rPr>
                <w:noProof/>
                <w:webHidden/>
              </w:rPr>
              <w:fldChar w:fldCharType="end"/>
            </w:r>
          </w:hyperlink>
        </w:p>
        <w:p w14:paraId="2A40A8E7" w14:textId="07CF9682" w:rsidR="00BB5489" w:rsidRDefault="008808DB">
          <w:pPr>
            <w:pStyle w:val="TOC3"/>
            <w:rPr>
              <w:noProof/>
              <w:lang w:eastAsia="en-AU"/>
            </w:rPr>
          </w:pPr>
          <w:hyperlink w:anchor="_Toc23841376" w:history="1">
            <w:r w:rsidR="00BB5489" w:rsidRPr="009676A7">
              <w:rPr>
                <w:rStyle w:val="Hyperlink"/>
                <w:noProof/>
              </w:rPr>
              <w:t>3.6.2</w:t>
            </w:r>
            <w:r w:rsidR="00BB5489">
              <w:rPr>
                <w:noProof/>
                <w:lang w:eastAsia="en-AU"/>
              </w:rPr>
              <w:tab/>
            </w:r>
            <w:r w:rsidR="00BB5489" w:rsidRPr="009676A7">
              <w:rPr>
                <w:rStyle w:val="Hyperlink"/>
                <w:noProof/>
              </w:rPr>
              <w:t>Suggestions for expanding the service</w:t>
            </w:r>
            <w:r w:rsidR="00BB5489">
              <w:rPr>
                <w:noProof/>
                <w:webHidden/>
              </w:rPr>
              <w:tab/>
            </w:r>
            <w:r w:rsidR="00BB5489">
              <w:rPr>
                <w:noProof/>
                <w:webHidden/>
              </w:rPr>
              <w:fldChar w:fldCharType="begin"/>
            </w:r>
            <w:r w:rsidR="00BB5489">
              <w:rPr>
                <w:noProof/>
                <w:webHidden/>
              </w:rPr>
              <w:instrText xml:space="preserve"> PAGEREF _Toc23841376 \h </w:instrText>
            </w:r>
            <w:r w:rsidR="00BB5489">
              <w:rPr>
                <w:noProof/>
                <w:webHidden/>
              </w:rPr>
            </w:r>
            <w:r w:rsidR="00BB5489">
              <w:rPr>
                <w:noProof/>
                <w:webHidden/>
              </w:rPr>
              <w:fldChar w:fldCharType="separate"/>
            </w:r>
            <w:r w:rsidR="00BB5489">
              <w:rPr>
                <w:noProof/>
                <w:webHidden/>
              </w:rPr>
              <w:t>66</w:t>
            </w:r>
            <w:r w:rsidR="00BB5489">
              <w:rPr>
                <w:noProof/>
                <w:webHidden/>
              </w:rPr>
              <w:fldChar w:fldCharType="end"/>
            </w:r>
          </w:hyperlink>
        </w:p>
        <w:p w14:paraId="0D9C7A71" w14:textId="5BCA9DBA" w:rsidR="00BB5489" w:rsidRDefault="008808DB">
          <w:pPr>
            <w:pStyle w:val="TOC1"/>
            <w:tabs>
              <w:tab w:val="right" w:leader="dot" w:pos="9016"/>
            </w:tabs>
            <w:rPr>
              <w:noProof/>
              <w:lang w:eastAsia="en-AU"/>
            </w:rPr>
          </w:pPr>
          <w:hyperlink w:anchor="_Toc23841377" w:history="1">
            <w:r w:rsidR="00BB5489" w:rsidRPr="009676A7">
              <w:rPr>
                <w:rStyle w:val="Hyperlink"/>
                <w:rFonts w:eastAsia="Times New Roman"/>
                <w:noProof/>
              </w:rPr>
              <w:t>4</w:t>
            </w:r>
            <w:r w:rsidR="00BB5489">
              <w:rPr>
                <w:noProof/>
                <w:lang w:eastAsia="en-AU"/>
              </w:rPr>
              <w:tab/>
            </w:r>
            <w:r w:rsidR="00BB5489" w:rsidRPr="009676A7">
              <w:rPr>
                <w:rStyle w:val="Hyperlink"/>
                <w:rFonts w:eastAsia="Times New Roman"/>
                <w:noProof/>
              </w:rPr>
              <w:t>The effectiveness and efficiency of the Transition to Work service in engaging and retaining participants</w:t>
            </w:r>
            <w:r w:rsidR="00BB5489">
              <w:rPr>
                <w:noProof/>
                <w:webHidden/>
              </w:rPr>
              <w:tab/>
            </w:r>
            <w:r w:rsidR="00BB5489">
              <w:rPr>
                <w:noProof/>
                <w:webHidden/>
              </w:rPr>
              <w:fldChar w:fldCharType="begin"/>
            </w:r>
            <w:r w:rsidR="00BB5489">
              <w:rPr>
                <w:noProof/>
                <w:webHidden/>
              </w:rPr>
              <w:instrText xml:space="preserve"> PAGEREF _Toc23841377 \h </w:instrText>
            </w:r>
            <w:r w:rsidR="00BB5489">
              <w:rPr>
                <w:noProof/>
                <w:webHidden/>
              </w:rPr>
            </w:r>
            <w:r w:rsidR="00BB5489">
              <w:rPr>
                <w:noProof/>
                <w:webHidden/>
              </w:rPr>
              <w:fldChar w:fldCharType="separate"/>
            </w:r>
            <w:r w:rsidR="00BB5489">
              <w:rPr>
                <w:noProof/>
                <w:webHidden/>
              </w:rPr>
              <w:t>67</w:t>
            </w:r>
            <w:r w:rsidR="00BB5489">
              <w:rPr>
                <w:noProof/>
                <w:webHidden/>
              </w:rPr>
              <w:fldChar w:fldCharType="end"/>
            </w:r>
          </w:hyperlink>
        </w:p>
        <w:p w14:paraId="4711F055" w14:textId="08E60A15" w:rsidR="00BB5489" w:rsidRDefault="008808DB">
          <w:pPr>
            <w:pStyle w:val="TOC2"/>
            <w:tabs>
              <w:tab w:val="right" w:leader="dot" w:pos="9016"/>
            </w:tabs>
            <w:rPr>
              <w:noProof/>
              <w:lang w:eastAsia="en-AU"/>
            </w:rPr>
          </w:pPr>
          <w:hyperlink w:anchor="_Toc23841378" w:history="1">
            <w:r w:rsidR="00BB5489" w:rsidRPr="009676A7">
              <w:rPr>
                <w:rStyle w:val="Hyperlink"/>
                <w:noProof/>
              </w:rPr>
              <w:t>Key findings</w:t>
            </w:r>
            <w:r w:rsidR="00BB5489">
              <w:rPr>
                <w:noProof/>
                <w:webHidden/>
              </w:rPr>
              <w:tab/>
            </w:r>
            <w:r w:rsidR="00BB5489">
              <w:rPr>
                <w:noProof/>
                <w:webHidden/>
              </w:rPr>
              <w:fldChar w:fldCharType="begin"/>
            </w:r>
            <w:r w:rsidR="00BB5489">
              <w:rPr>
                <w:noProof/>
                <w:webHidden/>
              </w:rPr>
              <w:instrText xml:space="preserve"> PAGEREF _Toc23841378 \h </w:instrText>
            </w:r>
            <w:r w:rsidR="00BB5489">
              <w:rPr>
                <w:noProof/>
                <w:webHidden/>
              </w:rPr>
            </w:r>
            <w:r w:rsidR="00BB5489">
              <w:rPr>
                <w:noProof/>
                <w:webHidden/>
              </w:rPr>
              <w:fldChar w:fldCharType="separate"/>
            </w:r>
            <w:r w:rsidR="00BB5489">
              <w:rPr>
                <w:noProof/>
                <w:webHidden/>
              </w:rPr>
              <w:t>67</w:t>
            </w:r>
            <w:r w:rsidR="00BB5489">
              <w:rPr>
                <w:noProof/>
                <w:webHidden/>
              </w:rPr>
              <w:fldChar w:fldCharType="end"/>
            </w:r>
          </w:hyperlink>
        </w:p>
        <w:p w14:paraId="163DB7F6" w14:textId="495CE17D" w:rsidR="00BB5489" w:rsidRDefault="008808DB">
          <w:pPr>
            <w:pStyle w:val="TOC2"/>
            <w:tabs>
              <w:tab w:val="right" w:leader="dot" w:pos="9016"/>
            </w:tabs>
            <w:rPr>
              <w:noProof/>
              <w:lang w:eastAsia="en-AU"/>
            </w:rPr>
          </w:pPr>
          <w:hyperlink w:anchor="_Toc23841379" w:history="1">
            <w:r w:rsidR="00BB5489" w:rsidRPr="009676A7">
              <w:rPr>
                <w:rStyle w:val="Hyperlink"/>
                <w:noProof/>
              </w:rPr>
              <w:t>4.1</w:t>
            </w:r>
            <w:r w:rsidR="00BB5489">
              <w:rPr>
                <w:noProof/>
                <w:lang w:eastAsia="en-AU"/>
              </w:rPr>
              <w:tab/>
            </w:r>
            <w:r w:rsidR="00BB5489" w:rsidRPr="009676A7">
              <w:rPr>
                <w:rStyle w:val="Hyperlink"/>
                <w:noProof/>
              </w:rPr>
              <w:t>The number of participants engaged in TtW compared with the allocation of Annual Funded Places — caseloads and commencements</w:t>
            </w:r>
            <w:r w:rsidR="00BB5489">
              <w:rPr>
                <w:noProof/>
                <w:webHidden/>
              </w:rPr>
              <w:tab/>
            </w:r>
            <w:r w:rsidR="00BB5489">
              <w:rPr>
                <w:noProof/>
                <w:webHidden/>
              </w:rPr>
              <w:fldChar w:fldCharType="begin"/>
            </w:r>
            <w:r w:rsidR="00BB5489">
              <w:rPr>
                <w:noProof/>
                <w:webHidden/>
              </w:rPr>
              <w:instrText xml:space="preserve"> PAGEREF _Toc23841379 \h </w:instrText>
            </w:r>
            <w:r w:rsidR="00BB5489">
              <w:rPr>
                <w:noProof/>
                <w:webHidden/>
              </w:rPr>
            </w:r>
            <w:r w:rsidR="00BB5489">
              <w:rPr>
                <w:noProof/>
                <w:webHidden/>
              </w:rPr>
              <w:fldChar w:fldCharType="separate"/>
            </w:r>
            <w:r w:rsidR="00BB5489">
              <w:rPr>
                <w:noProof/>
                <w:webHidden/>
              </w:rPr>
              <w:t>68</w:t>
            </w:r>
            <w:r w:rsidR="00BB5489">
              <w:rPr>
                <w:noProof/>
                <w:webHidden/>
              </w:rPr>
              <w:fldChar w:fldCharType="end"/>
            </w:r>
          </w:hyperlink>
        </w:p>
        <w:p w14:paraId="58C70BFE" w14:textId="5C04AB19" w:rsidR="00BB5489" w:rsidRDefault="008808DB">
          <w:pPr>
            <w:pStyle w:val="TOC3"/>
            <w:rPr>
              <w:noProof/>
              <w:lang w:eastAsia="en-AU"/>
            </w:rPr>
          </w:pPr>
          <w:hyperlink w:anchor="_Toc23841380" w:history="1">
            <w:r w:rsidR="00BB5489" w:rsidRPr="009676A7">
              <w:rPr>
                <w:rStyle w:val="Hyperlink"/>
                <w:rFonts w:eastAsia="Times New Roman" w:cs="Times New Roman"/>
                <w:noProof/>
              </w:rPr>
              <w:t>4.1.1</w:t>
            </w:r>
            <w:r w:rsidR="00BB5489">
              <w:rPr>
                <w:noProof/>
                <w:lang w:eastAsia="en-AU"/>
              </w:rPr>
              <w:tab/>
            </w:r>
            <w:r w:rsidR="00BB5489" w:rsidRPr="009676A7">
              <w:rPr>
                <w:rStyle w:val="Hyperlink"/>
                <w:noProof/>
              </w:rPr>
              <w:t>Contracts were approved on a rolling basis</w:t>
            </w:r>
            <w:r w:rsidR="00BB5489">
              <w:rPr>
                <w:noProof/>
                <w:webHidden/>
              </w:rPr>
              <w:tab/>
            </w:r>
            <w:r w:rsidR="00BB5489">
              <w:rPr>
                <w:noProof/>
                <w:webHidden/>
              </w:rPr>
              <w:fldChar w:fldCharType="begin"/>
            </w:r>
            <w:r w:rsidR="00BB5489">
              <w:rPr>
                <w:noProof/>
                <w:webHidden/>
              </w:rPr>
              <w:instrText xml:space="preserve"> PAGEREF _Toc23841380 \h </w:instrText>
            </w:r>
            <w:r w:rsidR="00BB5489">
              <w:rPr>
                <w:noProof/>
                <w:webHidden/>
              </w:rPr>
            </w:r>
            <w:r w:rsidR="00BB5489">
              <w:rPr>
                <w:noProof/>
                <w:webHidden/>
              </w:rPr>
              <w:fldChar w:fldCharType="separate"/>
            </w:r>
            <w:r w:rsidR="00BB5489">
              <w:rPr>
                <w:noProof/>
                <w:webHidden/>
              </w:rPr>
              <w:t>68</w:t>
            </w:r>
            <w:r w:rsidR="00BB5489">
              <w:rPr>
                <w:noProof/>
                <w:webHidden/>
              </w:rPr>
              <w:fldChar w:fldCharType="end"/>
            </w:r>
          </w:hyperlink>
        </w:p>
        <w:p w14:paraId="6723EEE1" w14:textId="3DA94639" w:rsidR="00BB5489" w:rsidRDefault="008808DB">
          <w:pPr>
            <w:pStyle w:val="TOC3"/>
            <w:rPr>
              <w:noProof/>
              <w:lang w:eastAsia="en-AU"/>
            </w:rPr>
          </w:pPr>
          <w:hyperlink w:anchor="_Toc23841381" w:history="1">
            <w:r w:rsidR="00BB5489" w:rsidRPr="009676A7">
              <w:rPr>
                <w:rStyle w:val="Hyperlink"/>
                <w:rFonts w:eastAsia="Times New Roman" w:cs="Times New Roman"/>
                <w:noProof/>
              </w:rPr>
              <w:t>4.1.2</w:t>
            </w:r>
            <w:r w:rsidR="00BB5489">
              <w:rPr>
                <w:noProof/>
                <w:lang w:eastAsia="en-AU"/>
              </w:rPr>
              <w:tab/>
            </w:r>
            <w:r w:rsidR="00BB5489" w:rsidRPr="009676A7">
              <w:rPr>
                <w:rStyle w:val="Hyperlink"/>
                <w:noProof/>
              </w:rPr>
              <w:t>Utilisation of Annual Funded Places</w:t>
            </w:r>
            <w:r w:rsidR="00BB5489">
              <w:rPr>
                <w:noProof/>
                <w:webHidden/>
              </w:rPr>
              <w:tab/>
            </w:r>
            <w:r w:rsidR="00BB5489">
              <w:rPr>
                <w:noProof/>
                <w:webHidden/>
              </w:rPr>
              <w:fldChar w:fldCharType="begin"/>
            </w:r>
            <w:r w:rsidR="00BB5489">
              <w:rPr>
                <w:noProof/>
                <w:webHidden/>
              </w:rPr>
              <w:instrText xml:space="preserve"> PAGEREF _Toc23841381 \h </w:instrText>
            </w:r>
            <w:r w:rsidR="00BB5489">
              <w:rPr>
                <w:noProof/>
                <w:webHidden/>
              </w:rPr>
            </w:r>
            <w:r w:rsidR="00BB5489">
              <w:rPr>
                <w:noProof/>
                <w:webHidden/>
              </w:rPr>
              <w:fldChar w:fldCharType="separate"/>
            </w:r>
            <w:r w:rsidR="00BB5489">
              <w:rPr>
                <w:noProof/>
                <w:webHidden/>
              </w:rPr>
              <w:t>69</w:t>
            </w:r>
            <w:r w:rsidR="00BB5489">
              <w:rPr>
                <w:noProof/>
                <w:webHidden/>
              </w:rPr>
              <w:fldChar w:fldCharType="end"/>
            </w:r>
          </w:hyperlink>
        </w:p>
        <w:p w14:paraId="6890253F" w14:textId="641E8641" w:rsidR="00BB5489" w:rsidRDefault="008808DB">
          <w:pPr>
            <w:pStyle w:val="TOC2"/>
            <w:tabs>
              <w:tab w:val="right" w:leader="dot" w:pos="9016"/>
            </w:tabs>
            <w:rPr>
              <w:noProof/>
              <w:lang w:eastAsia="en-AU"/>
            </w:rPr>
          </w:pPr>
          <w:hyperlink w:anchor="_Toc23841382" w:history="1">
            <w:r w:rsidR="00BB5489" w:rsidRPr="009676A7">
              <w:rPr>
                <w:rStyle w:val="Hyperlink"/>
                <w:noProof/>
              </w:rPr>
              <w:t>4.2</w:t>
            </w:r>
            <w:r w:rsidR="00BB5489">
              <w:rPr>
                <w:noProof/>
                <w:lang w:eastAsia="en-AU"/>
              </w:rPr>
              <w:tab/>
            </w:r>
            <w:r w:rsidR="00BB5489" w:rsidRPr="009676A7">
              <w:rPr>
                <w:rStyle w:val="Hyperlink"/>
                <w:noProof/>
              </w:rPr>
              <w:t>Speed of commencement in services</w:t>
            </w:r>
            <w:r w:rsidR="00BB5489">
              <w:rPr>
                <w:noProof/>
                <w:webHidden/>
              </w:rPr>
              <w:tab/>
            </w:r>
            <w:r w:rsidR="00BB5489">
              <w:rPr>
                <w:noProof/>
                <w:webHidden/>
              </w:rPr>
              <w:fldChar w:fldCharType="begin"/>
            </w:r>
            <w:r w:rsidR="00BB5489">
              <w:rPr>
                <w:noProof/>
                <w:webHidden/>
              </w:rPr>
              <w:instrText xml:space="preserve"> PAGEREF _Toc23841382 \h </w:instrText>
            </w:r>
            <w:r w:rsidR="00BB5489">
              <w:rPr>
                <w:noProof/>
                <w:webHidden/>
              </w:rPr>
            </w:r>
            <w:r w:rsidR="00BB5489">
              <w:rPr>
                <w:noProof/>
                <w:webHidden/>
              </w:rPr>
              <w:fldChar w:fldCharType="separate"/>
            </w:r>
            <w:r w:rsidR="00BB5489">
              <w:rPr>
                <w:noProof/>
                <w:webHidden/>
              </w:rPr>
              <w:t>72</w:t>
            </w:r>
            <w:r w:rsidR="00BB5489">
              <w:rPr>
                <w:noProof/>
                <w:webHidden/>
              </w:rPr>
              <w:fldChar w:fldCharType="end"/>
            </w:r>
          </w:hyperlink>
        </w:p>
        <w:p w14:paraId="7CF1D739" w14:textId="1453C57C" w:rsidR="00BB5489" w:rsidRDefault="008808DB">
          <w:pPr>
            <w:pStyle w:val="TOC3"/>
            <w:rPr>
              <w:noProof/>
              <w:lang w:eastAsia="en-AU"/>
            </w:rPr>
          </w:pPr>
          <w:hyperlink w:anchor="_Toc23841383" w:history="1">
            <w:r w:rsidR="00BB5489" w:rsidRPr="009676A7">
              <w:rPr>
                <w:rStyle w:val="Hyperlink"/>
                <w:rFonts w:eastAsia="Times New Roman"/>
                <w:noProof/>
              </w:rPr>
              <w:t>4.2.1</w:t>
            </w:r>
            <w:r w:rsidR="00BB5489">
              <w:rPr>
                <w:noProof/>
                <w:lang w:eastAsia="en-AU"/>
              </w:rPr>
              <w:tab/>
            </w:r>
            <w:r w:rsidR="00BB5489" w:rsidRPr="009676A7">
              <w:rPr>
                <w:rStyle w:val="Hyperlink"/>
                <w:noProof/>
              </w:rPr>
              <w:t>The commencement process</w:t>
            </w:r>
            <w:r w:rsidR="00BB5489">
              <w:rPr>
                <w:noProof/>
                <w:webHidden/>
              </w:rPr>
              <w:tab/>
            </w:r>
            <w:r w:rsidR="00BB5489">
              <w:rPr>
                <w:noProof/>
                <w:webHidden/>
              </w:rPr>
              <w:fldChar w:fldCharType="begin"/>
            </w:r>
            <w:r w:rsidR="00BB5489">
              <w:rPr>
                <w:noProof/>
                <w:webHidden/>
              </w:rPr>
              <w:instrText xml:space="preserve"> PAGEREF _Toc23841383 \h </w:instrText>
            </w:r>
            <w:r w:rsidR="00BB5489">
              <w:rPr>
                <w:noProof/>
                <w:webHidden/>
              </w:rPr>
            </w:r>
            <w:r w:rsidR="00BB5489">
              <w:rPr>
                <w:noProof/>
                <w:webHidden/>
              </w:rPr>
              <w:fldChar w:fldCharType="separate"/>
            </w:r>
            <w:r w:rsidR="00BB5489">
              <w:rPr>
                <w:noProof/>
                <w:webHidden/>
              </w:rPr>
              <w:t>72</w:t>
            </w:r>
            <w:r w:rsidR="00BB5489">
              <w:rPr>
                <w:noProof/>
                <w:webHidden/>
              </w:rPr>
              <w:fldChar w:fldCharType="end"/>
            </w:r>
          </w:hyperlink>
        </w:p>
        <w:p w14:paraId="64DA90C7" w14:textId="3C2DAEC0" w:rsidR="00BB5489" w:rsidRDefault="008808DB">
          <w:pPr>
            <w:pStyle w:val="TOC3"/>
            <w:rPr>
              <w:noProof/>
              <w:lang w:eastAsia="en-AU"/>
            </w:rPr>
          </w:pPr>
          <w:hyperlink w:anchor="_Toc23841384" w:history="1">
            <w:r w:rsidR="00BB5489" w:rsidRPr="009676A7">
              <w:rPr>
                <w:rStyle w:val="Hyperlink"/>
                <w:noProof/>
              </w:rPr>
              <w:t>4.2.2</w:t>
            </w:r>
            <w:r w:rsidR="00BB5489">
              <w:rPr>
                <w:noProof/>
                <w:lang w:eastAsia="en-AU"/>
              </w:rPr>
              <w:tab/>
            </w:r>
            <w:r w:rsidR="00BB5489" w:rsidRPr="009676A7">
              <w:rPr>
                <w:rStyle w:val="Hyperlink"/>
                <w:noProof/>
              </w:rPr>
              <w:t>Lags between referral and commencement were initially very large but decreased rapidly</w:t>
            </w:r>
            <w:r w:rsidR="00BB5489">
              <w:rPr>
                <w:noProof/>
                <w:webHidden/>
              </w:rPr>
              <w:tab/>
            </w:r>
            <w:r w:rsidR="00BB5489">
              <w:rPr>
                <w:noProof/>
                <w:webHidden/>
              </w:rPr>
              <w:fldChar w:fldCharType="begin"/>
            </w:r>
            <w:r w:rsidR="00BB5489">
              <w:rPr>
                <w:noProof/>
                <w:webHidden/>
              </w:rPr>
              <w:instrText xml:space="preserve"> PAGEREF _Toc23841384 \h </w:instrText>
            </w:r>
            <w:r w:rsidR="00BB5489">
              <w:rPr>
                <w:noProof/>
                <w:webHidden/>
              </w:rPr>
            </w:r>
            <w:r w:rsidR="00BB5489">
              <w:rPr>
                <w:noProof/>
                <w:webHidden/>
              </w:rPr>
              <w:fldChar w:fldCharType="separate"/>
            </w:r>
            <w:r w:rsidR="00BB5489">
              <w:rPr>
                <w:noProof/>
                <w:webHidden/>
              </w:rPr>
              <w:t>72</w:t>
            </w:r>
            <w:r w:rsidR="00BB5489">
              <w:rPr>
                <w:noProof/>
                <w:webHidden/>
              </w:rPr>
              <w:fldChar w:fldCharType="end"/>
            </w:r>
          </w:hyperlink>
        </w:p>
        <w:p w14:paraId="2FF111DD" w14:textId="01F521B8" w:rsidR="00BB5489" w:rsidRDefault="008808DB">
          <w:pPr>
            <w:pStyle w:val="TOC3"/>
            <w:rPr>
              <w:noProof/>
              <w:lang w:eastAsia="en-AU"/>
            </w:rPr>
          </w:pPr>
          <w:hyperlink w:anchor="_Toc23841385" w:history="1">
            <w:r w:rsidR="00BB5489" w:rsidRPr="009676A7">
              <w:rPr>
                <w:rStyle w:val="Hyperlink"/>
                <w:rFonts w:eastAsia="Times New Roman"/>
                <w:noProof/>
              </w:rPr>
              <w:t>4.2.3</w:t>
            </w:r>
            <w:r w:rsidR="00BB5489">
              <w:rPr>
                <w:noProof/>
                <w:lang w:eastAsia="en-AU"/>
              </w:rPr>
              <w:tab/>
            </w:r>
            <w:r w:rsidR="00BB5489" w:rsidRPr="009676A7">
              <w:rPr>
                <w:rStyle w:val="Hyperlink"/>
                <w:noProof/>
              </w:rPr>
              <w:t xml:space="preserve">Time to commence is faster in </w:t>
            </w:r>
            <w:r w:rsidR="00BB5489" w:rsidRPr="009676A7">
              <w:rPr>
                <w:rStyle w:val="Hyperlink"/>
                <w:rFonts w:eastAsia="Times New Roman"/>
                <w:noProof/>
              </w:rPr>
              <w:t>TtW than in the jobactive comparison group</w:t>
            </w:r>
            <w:r w:rsidR="00BB5489">
              <w:rPr>
                <w:noProof/>
                <w:webHidden/>
              </w:rPr>
              <w:tab/>
            </w:r>
            <w:r w:rsidR="00BB5489">
              <w:rPr>
                <w:noProof/>
                <w:webHidden/>
              </w:rPr>
              <w:fldChar w:fldCharType="begin"/>
            </w:r>
            <w:r w:rsidR="00BB5489">
              <w:rPr>
                <w:noProof/>
                <w:webHidden/>
              </w:rPr>
              <w:instrText xml:space="preserve"> PAGEREF _Toc23841385 \h </w:instrText>
            </w:r>
            <w:r w:rsidR="00BB5489">
              <w:rPr>
                <w:noProof/>
                <w:webHidden/>
              </w:rPr>
            </w:r>
            <w:r w:rsidR="00BB5489">
              <w:rPr>
                <w:noProof/>
                <w:webHidden/>
              </w:rPr>
              <w:fldChar w:fldCharType="separate"/>
            </w:r>
            <w:r w:rsidR="00BB5489">
              <w:rPr>
                <w:noProof/>
                <w:webHidden/>
              </w:rPr>
              <w:t>74</w:t>
            </w:r>
            <w:r w:rsidR="00BB5489">
              <w:rPr>
                <w:noProof/>
                <w:webHidden/>
              </w:rPr>
              <w:fldChar w:fldCharType="end"/>
            </w:r>
          </w:hyperlink>
        </w:p>
        <w:p w14:paraId="4E471085" w14:textId="3F5167F4" w:rsidR="00BB5489" w:rsidRDefault="008808DB">
          <w:pPr>
            <w:pStyle w:val="TOC2"/>
            <w:tabs>
              <w:tab w:val="right" w:leader="dot" w:pos="9016"/>
            </w:tabs>
            <w:rPr>
              <w:noProof/>
              <w:lang w:eastAsia="en-AU"/>
            </w:rPr>
          </w:pPr>
          <w:hyperlink w:anchor="_Toc23841386" w:history="1">
            <w:r w:rsidR="00BB5489" w:rsidRPr="009676A7">
              <w:rPr>
                <w:rStyle w:val="Hyperlink"/>
                <w:rFonts w:eastAsia="Times New Roman"/>
                <w:noProof/>
              </w:rPr>
              <w:t>4.3</w:t>
            </w:r>
            <w:r w:rsidR="00BB5489">
              <w:rPr>
                <w:noProof/>
                <w:lang w:eastAsia="en-AU"/>
              </w:rPr>
              <w:tab/>
            </w:r>
            <w:r w:rsidR="00BB5489" w:rsidRPr="009676A7">
              <w:rPr>
                <w:rStyle w:val="Hyperlink"/>
                <w:rFonts w:eastAsia="Times New Roman"/>
                <w:noProof/>
              </w:rPr>
              <w:t xml:space="preserve">Appointments and </w:t>
            </w:r>
            <w:r w:rsidR="00BB5489" w:rsidRPr="009676A7">
              <w:rPr>
                <w:rStyle w:val="Hyperlink"/>
                <w:noProof/>
              </w:rPr>
              <w:t>activities</w:t>
            </w:r>
            <w:r w:rsidR="00BB5489">
              <w:rPr>
                <w:noProof/>
                <w:webHidden/>
              </w:rPr>
              <w:tab/>
            </w:r>
            <w:r w:rsidR="00BB5489">
              <w:rPr>
                <w:noProof/>
                <w:webHidden/>
              </w:rPr>
              <w:fldChar w:fldCharType="begin"/>
            </w:r>
            <w:r w:rsidR="00BB5489">
              <w:rPr>
                <w:noProof/>
                <w:webHidden/>
              </w:rPr>
              <w:instrText xml:space="preserve"> PAGEREF _Toc23841386 \h </w:instrText>
            </w:r>
            <w:r w:rsidR="00BB5489">
              <w:rPr>
                <w:noProof/>
                <w:webHidden/>
              </w:rPr>
            </w:r>
            <w:r w:rsidR="00BB5489">
              <w:rPr>
                <w:noProof/>
                <w:webHidden/>
              </w:rPr>
              <w:fldChar w:fldCharType="separate"/>
            </w:r>
            <w:r w:rsidR="00BB5489">
              <w:rPr>
                <w:noProof/>
                <w:webHidden/>
              </w:rPr>
              <w:t>76</w:t>
            </w:r>
            <w:r w:rsidR="00BB5489">
              <w:rPr>
                <w:noProof/>
                <w:webHidden/>
              </w:rPr>
              <w:fldChar w:fldCharType="end"/>
            </w:r>
          </w:hyperlink>
        </w:p>
        <w:p w14:paraId="175191DD" w14:textId="2677A875" w:rsidR="00BB5489" w:rsidRDefault="008808DB">
          <w:pPr>
            <w:pStyle w:val="TOC3"/>
            <w:rPr>
              <w:noProof/>
              <w:lang w:eastAsia="en-AU"/>
            </w:rPr>
          </w:pPr>
          <w:hyperlink w:anchor="_Toc23841387" w:history="1">
            <w:r w:rsidR="00BB5489" w:rsidRPr="009676A7">
              <w:rPr>
                <w:rStyle w:val="Hyperlink"/>
                <w:rFonts w:eastAsia="Times New Roman"/>
                <w:noProof/>
              </w:rPr>
              <w:t>4.3.1</w:t>
            </w:r>
            <w:r w:rsidR="00BB5489">
              <w:rPr>
                <w:noProof/>
                <w:lang w:eastAsia="en-AU"/>
              </w:rPr>
              <w:tab/>
            </w:r>
            <w:r w:rsidR="00BB5489" w:rsidRPr="009676A7">
              <w:rPr>
                <w:rStyle w:val="Hyperlink"/>
                <w:rFonts w:eastAsia="Times New Roman"/>
                <w:noProof/>
              </w:rPr>
              <w:t xml:space="preserve">TtW providers engaged </w:t>
            </w:r>
            <w:r w:rsidR="00BB5489" w:rsidRPr="009676A7">
              <w:rPr>
                <w:rStyle w:val="Hyperlink"/>
                <w:noProof/>
              </w:rPr>
              <w:t>more</w:t>
            </w:r>
            <w:r w:rsidR="00BB5489" w:rsidRPr="009676A7">
              <w:rPr>
                <w:rStyle w:val="Hyperlink"/>
                <w:rFonts w:eastAsia="Times New Roman"/>
                <w:noProof/>
              </w:rPr>
              <w:t xml:space="preserve"> frequently with participants over the six months following the initial appointment</w:t>
            </w:r>
            <w:r w:rsidR="00BB5489">
              <w:rPr>
                <w:noProof/>
                <w:webHidden/>
              </w:rPr>
              <w:tab/>
            </w:r>
            <w:r w:rsidR="00BB5489">
              <w:rPr>
                <w:noProof/>
                <w:webHidden/>
              </w:rPr>
              <w:fldChar w:fldCharType="begin"/>
            </w:r>
            <w:r w:rsidR="00BB5489">
              <w:rPr>
                <w:noProof/>
                <w:webHidden/>
              </w:rPr>
              <w:instrText xml:space="preserve"> PAGEREF _Toc23841387 \h </w:instrText>
            </w:r>
            <w:r w:rsidR="00BB5489">
              <w:rPr>
                <w:noProof/>
                <w:webHidden/>
              </w:rPr>
            </w:r>
            <w:r w:rsidR="00BB5489">
              <w:rPr>
                <w:noProof/>
                <w:webHidden/>
              </w:rPr>
              <w:fldChar w:fldCharType="separate"/>
            </w:r>
            <w:r w:rsidR="00BB5489">
              <w:rPr>
                <w:noProof/>
                <w:webHidden/>
              </w:rPr>
              <w:t>76</w:t>
            </w:r>
            <w:r w:rsidR="00BB5489">
              <w:rPr>
                <w:noProof/>
                <w:webHidden/>
              </w:rPr>
              <w:fldChar w:fldCharType="end"/>
            </w:r>
          </w:hyperlink>
        </w:p>
        <w:p w14:paraId="2F559311" w14:textId="16EBBBAA" w:rsidR="00BB5489" w:rsidRDefault="008808DB">
          <w:pPr>
            <w:pStyle w:val="TOC3"/>
            <w:rPr>
              <w:noProof/>
              <w:lang w:eastAsia="en-AU"/>
            </w:rPr>
          </w:pPr>
          <w:hyperlink w:anchor="_Toc23841388" w:history="1">
            <w:r w:rsidR="00BB5489" w:rsidRPr="009676A7">
              <w:rPr>
                <w:rStyle w:val="Hyperlink"/>
                <w:rFonts w:eastAsia="Times New Roman"/>
                <w:noProof/>
              </w:rPr>
              <w:t>4.3.2</w:t>
            </w:r>
            <w:r w:rsidR="00BB5489">
              <w:rPr>
                <w:noProof/>
                <w:lang w:eastAsia="en-AU"/>
              </w:rPr>
              <w:tab/>
            </w:r>
            <w:r w:rsidR="00BB5489" w:rsidRPr="009676A7">
              <w:rPr>
                <w:rStyle w:val="Hyperlink"/>
                <w:rFonts w:eastAsia="Times New Roman"/>
                <w:noProof/>
              </w:rPr>
              <w:t>Consistent with the service design, TtW participants engage in more activities than participants in the matched jobactive comparison group</w:t>
            </w:r>
            <w:r w:rsidR="00BB5489">
              <w:rPr>
                <w:noProof/>
                <w:webHidden/>
              </w:rPr>
              <w:tab/>
            </w:r>
            <w:r w:rsidR="00BB5489">
              <w:rPr>
                <w:noProof/>
                <w:webHidden/>
              </w:rPr>
              <w:fldChar w:fldCharType="begin"/>
            </w:r>
            <w:r w:rsidR="00BB5489">
              <w:rPr>
                <w:noProof/>
                <w:webHidden/>
              </w:rPr>
              <w:instrText xml:space="preserve"> PAGEREF _Toc23841388 \h </w:instrText>
            </w:r>
            <w:r w:rsidR="00BB5489">
              <w:rPr>
                <w:noProof/>
                <w:webHidden/>
              </w:rPr>
            </w:r>
            <w:r w:rsidR="00BB5489">
              <w:rPr>
                <w:noProof/>
                <w:webHidden/>
              </w:rPr>
              <w:fldChar w:fldCharType="separate"/>
            </w:r>
            <w:r w:rsidR="00BB5489">
              <w:rPr>
                <w:noProof/>
                <w:webHidden/>
              </w:rPr>
              <w:t>78</w:t>
            </w:r>
            <w:r w:rsidR="00BB5489">
              <w:rPr>
                <w:noProof/>
                <w:webHidden/>
              </w:rPr>
              <w:fldChar w:fldCharType="end"/>
            </w:r>
          </w:hyperlink>
        </w:p>
        <w:p w14:paraId="00F7CD78" w14:textId="019AAC43" w:rsidR="00BB5489" w:rsidRDefault="008808DB">
          <w:pPr>
            <w:pStyle w:val="TOC3"/>
            <w:rPr>
              <w:noProof/>
              <w:lang w:eastAsia="en-AU"/>
            </w:rPr>
          </w:pPr>
          <w:hyperlink w:anchor="_Toc23841389" w:history="1">
            <w:r w:rsidR="00BB5489" w:rsidRPr="009676A7">
              <w:rPr>
                <w:rStyle w:val="Hyperlink"/>
                <w:noProof/>
              </w:rPr>
              <w:t>4.3.3</w:t>
            </w:r>
            <w:r w:rsidR="00BB5489">
              <w:rPr>
                <w:noProof/>
                <w:lang w:eastAsia="en-AU"/>
              </w:rPr>
              <w:tab/>
            </w:r>
            <w:r w:rsidR="00BB5489" w:rsidRPr="009676A7">
              <w:rPr>
                <w:rStyle w:val="Hyperlink"/>
                <w:noProof/>
              </w:rPr>
              <w:t>TtW offers a wider range of options to meet activity requirements</w:t>
            </w:r>
            <w:r w:rsidR="00BB5489">
              <w:rPr>
                <w:noProof/>
                <w:webHidden/>
              </w:rPr>
              <w:tab/>
            </w:r>
            <w:r w:rsidR="00BB5489">
              <w:rPr>
                <w:noProof/>
                <w:webHidden/>
              </w:rPr>
              <w:fldChar w:fldCharType="begin"/>
            </w:r>
            <w:r w:rsidR="00BB5489">
              <w:rPr>
                <w:noProof/>
                <w:webHidden/>
              </w:rPr>
              <w:instrText xml:space="preserve"> PAGEREF _Toc23841389 \h </w:instrText>
            </w:r>
            <w:r w:rsidR="00BB5489">
              <w:rPr>
                <w:noProof/>
                <w:webHidden/>
              </w:rPr>
            </w:r>
            <w:r w:rsidR="00BB5489">
              <w:rPr>
                <w:noProof/>
                <w:webHidden/>
              </w:rPr>
              <w:fldChar w:fldCharType="separate"/>
            </w:r>
            <w:r w:rsidR="00BB5489">
              <w:rPr>
                <w:noProof/>
                <w:webHidden/>
              </w:rPr>
              <w:t>80</w:t>
            </w:r>
            <w:r w:rsidR="00BB5489">
              <w:rPr>
                <w:noProof/>
                <w:webHidden/>
              </w:rPr>
              <w:fldChar w:fldCharType="end"/>
            </w:r>
          </w:hyperlink>
        </w:p>
        <w:p w14:paraId="3D922359" w14:textId="69D1A102" w:rsidR="00BB5489" w:rsidRDefault="008808DB">
          <w:pPr>
            <w:pStyle w:val="TOC3"/>
            <w:rPr>
              <w:noProof/>
              <w:lang w:eastAsia="en-AU"/>
            </w:rPr>
          </w:pPr>
          <w:hyperlink w:anchor="_Toc23841390" w:history="1">
            <w:r w:rsidR="00BB5489" w:rsidRPr="009676A7">
              <w:rPr>
                <w:rStyle w:val="Hyperlink"/>
                <w:rFonts w:eastAsia="Times New Roman"/>
                <w:noProof/>
              </w:rPr>
              <w:t>4.3.4</w:t>
            </w:r>
            <w:r w:rsidR="00BB5489">
              <w:rPr>
                <w:noProof/>
                <w:lang w:eastAsia="en-AU"/>
              </w:rPr>
              <w:tab/>
            </w:r>
            <w:r w:rsidR="00BB5489" w:rsidRPr="009676A7">
              <w:rPr>
                <w:rStyle w:val="Hyperlink"/>
                <w:rFonts w:eastAsia="Times New Roman"/>
                <w:noProof/>
              </w:rPr>
              <w:t>Three most important strategies TtW providers used to achieve job placements</w:t>
            </w:r>
            <w:r w:rsidR="00BB5489">
              <w:rPr>
                <w:noProof/>
                <w:webHidden/>
              </w:rPr>
              <w:tab/>
            </w:r>
            <w:r w:rsidR="00BB5489">
              <w:rPr>
                <w:noProof/>
                <w:webHidden/>
              </w:rPr>
              <w:fldChar w:fldCharType="begin"/>
            </w:r>
            <w:r w:rsidR="00BB5489">
              <w:rPr>
                <w:noProof/>
                <w:webHidden/>
              </w:rPr>
              <w:instrText xml:space="preserve"> PAGEREF _Toc23841390 \h </w:instrText>
            </w:r>
            <w:r w:rsidR="00BB5489">
              <w:rPr>
                <w:noProof/>
                <w:webHidden/>
              </w:rPr>
            </w:r>
            <w:r w:rsidR="00BB5489">
              <w:rPr>
                <w:noProof/>
                <w:webHidden/>
              </w:rPr>
              <w:fldChar w:fldCharType="separate"/>
            </w:r>
            <w:r w:rsidR="00BB5489">
              <w:rPr>
                <w:noProof/>
                <w:webHidden/>
              </w:rPr>
              <w:t>82</w:t>
            </w:r>
            <w:r w:rsidR="00BB5489">
              <w:rPr>
                <w:noProof/>
                <w:webHidden/>
              </w:rPr>
              <w:fldChar w:fldCharType="end"/>
            </w:r>
          </w:hyperlink>
        </w:p>
        <w:p w14:paraId="2A62F45C" w14:textId="07D97E54" w:rsidR="00BB5489" w:rsidRDefault="008808DB">
          <w:pPr>
            <w:pStyle w:val="TOC2"/>
            <w:tabs>
              <w:tab w:val="right" w:leader="dot" w:pos="9016"/>
            </w:tabs>
            <w:rPr>
              <w:noProof/>
              <w:lang w:eastAsia="en-AU"/>
            </w:rPr>
          </w:pPr>
          <w:hyperlink w:anchor="_Toc23841391" w:history="1">
            <w:r w:rsidR="00BB5489" w:rsidRPr="009676A7">
              <w:rPr>
                <w:rStyle w:val="Hyperlink"/>
                <w:rFonts w:eastAsia="Times New Roman" w:cs="Times New Roman"/>
                <w:noProof/>
              </w:rPr>
              <w:t>4.4</w:t>
            </w:r>
            <w:r w:rsidR="00BB5489">
              <w:rPr>
                <w:noProof/>
                <w:lang w:eastAsia="en-AU"/>
              </w:rPr>
              <w:tab/>
            </w:r>
            <w:r w:rsidR="00BB5489" w:rsidRPr="009676A7">
              <w:rPr>
                <w:rStyle w:val="Hyperlink"/>
                <w:noProof/>
              </w:rPr>
              <w:t>Whether referred participants left before completing 12 months of services</w:t>
            </w:r>
            <w:r w:rsidR="00BB5489">
              <w:rPr>
                <w:noProof/>
                <w:webHidden/>
              </w:rPr>
              <w:tab/>
            </w:r>
            <w:r w:rsidR="00BB5489">
              <w:rPr>
                <w:noProof/>
                <w:webHidden/>
              </w:rPr>
              <w:fldChar w:fldCharType="begin"/>
            </w:r>
            <w:r w:rsidR="00BB5489">
              <w:rPr>
                <w:noProof/>
                <w:webHidden/>
              </w:rPr>
              <w:instrText xml:space="preserve"> PAGEREF _Toc23841391 \h </w:instrText>
            </w:r>
            <w:r w:rsidR="00BB5489">
              <w:rPr>
                <w:noProof/>
                <w:webHidden/>
              </w:rPr>
            </w:r>
            <w:r w:rsidR="00BB5489">
              <w:rPr>
                <w:noProof/>
                <w:webHidden/>
              </w:rPr>
              <w:fldChar w:fldCharType="separate"/>
            </w:r>
            <w:r w:rsidR="00BB5489">
              <w:rPr>
                <w:noProof/>
                <w:webHidden/>
              </w:rPr>
              <w:t>83</w:t>
            </w:r>
            <w:r w:rsidR="00BB5489">
              <w:rPr>
                <w:noProof/>
                <w:webHidden/>
              </w:rPr>
              <w:fldChar w:fldCharType="end"/>
            </w:r>
          </w:hyperlink>
        </w:p>
        <w:p w14:paraId="3145495C" w14:textId="058F4E0A" w:rsidR="00BB5489" w:rsidRDefault="008808DB">
          <w:pPr>
            <w:pStyle w:val="TOC3"/>
            <w:rPr>
              <w:noProof/>
              <w:lang w:eastAsia="en-AU"/>
            </w:rPr>
          </w:pPr>
          <w:hyperlink w:anchor="_Toc23841392" w:history="1">
            <w:r w:rsidR="00BB5489" w:rsidRPr="009676A7">
              <w:rPr>
                <w:rStyle w:val="Hyperlink"/>
                <w:rFonts w:eastAsia="Times New Roman"/>
                <w:noProof/>
              </w:rPr>
              <w:t>4.4.1</w:t>
            </w:r>
            <w:r w:rsidR="00BB5489">
              <w:rPr>
                <w:noProof/>
                <w:lang w:eastAsia="en-AU"/>
              </w:rPr>
              <w:tab/>
            </w:r>
            <w:r w:rsidR="00BB5489" w:rsidRPr="009676A7">
              <w:rPr>
                <w:rStyle w:val="Hyperlink"/>
                <w:rFonts w:eastAsia="Times New Roman"/>
                <w:noProof/>
              </w:rPr>
              <w:t>Non-commencements</w:t>
            </w:r>
            <w:r w:rsidR="00BB5489">
              <w:rPr>
                <w:noProof/>
                <w:webHidden/>
              </w:rPr>
              <w:tab/>
            </w:r>
            <w:r w:rsidR="00BB5489">
              <w:rPr>
                <w:noProof/>
                <w:webHidden/>
              </w:rPr>
              <w:fldChar w:fldCharType="begin"/>
            </w:r>
            <w:r w:rsidR="00BB5489">
              <w:rPr>
                <w:noProof/>
                <w:webHidden/>
              </w:rPr>
              <w:instrText xml:space="preserve"> PAGEREF _Toc23841392 \h </w:instrText>
            </w:r>
            <w:r w:rsidR="00BB5489">
              <w:rPr>
                <w:noProof/>
                <w:webHidden/>
              </w:rPr>
            </w:r>
            <w:r w:rsidR="00BB5489">
              <w:rPr>
                <w:noProof/>
                <w:webHidden/>
              </w:rPr>
              <w:fldChar w:fldCharType="separate"/>
            </w:r>
            <w:r w:rsidR="00BB5489">
              <w:rPr>
                <w:noProof/>
                <w:webHidden/>
              </w:rPr>
              <w:t>83</w:t>
            </w:r>
            <w:r w:rsidR="00BB5489">
              <w:rPr>
                <w:noProof/>
                <w:webHidden/>
              </w:rPr>
              <w:fldChar w:fldCharType="end"/>
            </w:r>
          </w:hyperlink>
        </w:p>
        <w:p w14:paraId="4A1C2364" w14:textId="1BD7D451" w:rsidR="00BB5489" w:rsidRDefault="008808DB">
          <w:pPr>
            <w:pStyle w:val="TOC3"/>
            <w:rPr>
              <w:noProof/>
              <w:lang w:eastAsia="en-AU"/>
            </w:rPr>
          </w:pPr>
          <w:hyperlink w:anchor="_Toc23841393" w:history="1">
            <w:r w:rsidR="00BB5489" w:rsidRPr="009676A7">
              <w:rPr>
                <w:rStyle w:val="Hyperlink"/>
                <w:rFonts w:eastAsia="Times New Roman"/>
                <w:noProof/>
              </w:rPr>
              <w:t>4.4.2</w:t>
            </w:r>
            <w:r w:rsidR="00BB5489">
              <w:rPr>
                <w:noProof/>
                <w:lang w:eastAsia="en-AU"/>
              </w:rPr>
              <w:tab/>
            </w:r>
            <w:r w:rsidR="00BB5489" w:rsidRPr="009676A7">
              <w:rPr>
                <w:rStyle w:val="Hyperlink"/>
                <w:rFonts w:eastAsia="Times New Roman"/>
                <w:noProof/>
              </w:rPr>
              <w:t xml:space="preserve">Exits from </w:t>
            </w:r>
            <w:r w:rsidR="00BB5489" w:rsidRPr="009676A7">
              <w:rPr>
                <w:rStyle w:val="Hyperlink"/>
                <w:noProof/>
              </w:rPr>
              <w:t>services</w:t>
            </w:r>
            <w:r w:rsidR="00BB5489">
              <w:rPr>
                <w:noProof/>
                <w:webHidden/>
              </w:rPr>
              <w:tab/>
            </w:r>
            <w:r w:rsidR="00BB5489">
              <w:rPr>
                <w:noProof/>
                <w:webHidden/>
              </w:rPr>
              <w:fldChar w:fldCharType="begin"/>
            </w:r>
            <w:r w:rsidR="00BB5489">
              <w:rPr>
                <w:noProof/>
                <w:webHidden/>
              </w:rPr>
              <w:instrText xml:space="preserve"> PAGEREF _Toc23841393 \h </w:instrText>
            </w:r>
            <w:r w:rsidR="00BB5489">
              <w:rPr>
                <w:noProof/>
                <w:webHidden/>
              </w:rPr>
            </w:r>
            <w:r w:rsidR="00BB5489">
              <w:rPr>
                <w:noProof/>
                <w:webHidden/>
              </w:rPr>
              <w:fldChar w:fldCharType="separate"/>
            </w:r>
            <w:r w:rsidR="00BB5489">
              <w:rPr>
                <w:noProof/>
                <w:webHidden/>
              </w:rPr>
              <w:t>85</w:t>
            </w:r>
            <w:r w:rsidR="00BB5489">
              <w:rPr>
                <w:noProof/>
                <w:webHidden/>
              </w:rPr>
              <w:fldChar w:fldCharType="end"/>
            </w:r>
          </w:hyperlink>
        </w:p>
        <w:p w14:paraId="34868C6B" w14:textId="05C43896" w:rsidR="00BB5489" w:rsidRDefault="008808DB">
          <w:pPr>
            <w:pStyle w:val="TOC3"/>
            <w:rPr>
              <w:noProof/>
              <w:lang w:eastAsia="en-AU"/>
            </w:rPr>
          </w:pPr>
          <w:hyperlink w:anchor="_Toc23841394" w:history="1">
            <w:r w:rsidR="00BB5489" w:rsidRPr="009676A7">
              <w:rPr>
                <w:rStyle w:val="Hyperlink"/>
                <w:rFonts w:eastAsia="Times New Roman"/>
                <w:noProof/>
              </w:rPr>
              <w:t>4.4.3</w:t>
            </w:r>
            <w:r w:rsidR="00BB5489">
              <w:rPr>
                <w:noProof/>
                <w:lang w:eastAsia="en-AU"/>
              </w:rPr>
              <w:tab/>
            </w:r>
            <w:r w:rsidR="00BB5489" w:rsidRPr="009676A7">
              <w:rPr>
                <w:rStyle w:val="Hyperlink"/>
                <w:rFonts w:eastAsia="Times New Roman"/>
                <w:noProof/>
              </w:rPr>
              <w:t>Reasons for not completing 12 months in TtW</w:t>
            </w:r>
            <w:r w:rsidR="00BB5489">
              <w:rPr>
                <w:noProof/>
                <w:webHidden/>
              </w:rPr>
              <w:tab/>
            </w:r>
            <w:r w:rsidR="00BB5489">
              <w:rPr>
                <w:noProof/>
                <w:webHidden/>
              </w:rPr>
              <w:fldChar w:fldCharType="begin"/>
            </w:r>
            <w:r w:rsidR="00BB5489">
              <w:rPr>
                <w:noProof/>
                <w:webHidden/>
              </w:rPr>
              <w:instrText xml:space="preserve"> PAGEREF _Toc23841394 \h </w:instrText>
            </w:r>
            <w:r w:rsidR="00BB5489">
              <w:rPr>
                <w:noProof/>
                <w:webHidden/>
              </w:rPr>
            </w:r>
            <w:r w:rsidR="00BB5489">
              <w:rPr>
                <w:noProof/>
                <w:webHidden/>
              </w:rPr>
              <w:fldChar w:fldCharType="separate"/>
            </w:r>
            <w:r w:rsidR="00BB5489">
              <w:rPr>
                <w:noProof/>
                <w:webHidden/>
              </w:rPr>
              <w:t>86</w:t>
            </w:r>
            <w:r w:rsidR="00BB5489">
              <w:rPr>
                <w:noProof/>
                <w:webHidden/>
              </w:rPr>
              <w:fldChar w:fldCharType="end"/>
            </w:r>
          </w:hyperlink>
        </w:p>
        <w:p w14:paraId="28C5BD97" w14:textId="5B4E99D2" w:rsidR="00BB5489" w:rsidRDefault="008808DB">
          <w:pPr>
            <w:pStyle w:val="TOC1"/>
            <w:tabs>
              <w:tab w:val="right" w:leader="dot" w:pos="9016"/>
            </w:tabs>
            <w:rPr>
              <w:noProof/>
              <w:lang w:eastAsia="en-AU"/>
            </w:rPr>
          </w:pPr>
          <w:hyperlink w:anchor="_Toc23841395" w:history="1">
            <w:r w:rsidR="00BB5489" w:rsidRPr="009676A7">
              <w:rPr>
                <w:rStyle w:val="Hyperlink"/>
                <w:rFonts w:eastAsia="Times New Roman"/>
                <w:noProof/>
              </w:rPr>
              <w:t>5</w:t>
            </w:r>
            <w:r w:rsidR="00BB5489">
              <w:rPr>
                <w:noProof/>
                <w:lang w:eastAsia="en-AU"/>
              </w:rPr>
              <w:tab/>
            </w:r>
            <w:r w:rsidR="00BB5489" w:rsidRPr="009676A7">
              <w:rPr>
                <w:rStyle w:val="Hyperlink"/>
                <w:noProof/>
              </w:rPr>
              <w:t>Early impacts and outcomes achieved for Transition to Work participants</w:t>
            </w:r>
            <w:r w:rsidR="00BB5489">
              <w:rPr>
                <w:noProof/>
                <w:webHidden/>
              </w:rPr>
              <w:tab/>
            </w:r>
            <w:r w:rsidR="00BB5489">
              <w:rPr>
                <w:noProof/>
                <w:webHidden/>
              </w:rPr>
              <w:fldChar w:fldCharType="begin"/>
            </w:r>
            <w:r w:rsidR="00BB5489">
              <w:rPr>
                <w:noProof/>
                <w:webHidden/>
              </w:rPr>
              <w:instrText xml:space="preserve"> PAGEREF _Toc23841395 \h </w:instrText>
            </w:r>
            <w:r w:rsidR="00BB5489">
              <w:rPr>
                <w:noProof/>
                <w:webHidden/>
              </w:rPr>
            </w:r>
            <w:r w:rsidR="00BB5489">
              <w:rPr>
                <w:noProof/>
                <w:webHidden/>
              </w:rPr>
              <w:fldChar w:fldCharType="separate"/>
            </w:r>
            <w:r w:rsidR="00BB5489">
              <w:rPr>
                <w:noProof/>
                <w:webHidden/>
              </w:rPr>
              <w:t>91</w:t>
            </w:r>
            <w:r w:rsidR="00BB5489">
              <w:rPr>
                <w:noProof/>
                <w:webHidden/>
              </w:rPr>
              <w:fldChar w:fldCharType="end"/>
            </w:r>
          </w:hyperlink>
        </w:p>
        <w:p w14:paraId="4506FFBB" w14:textId="0D97E66C" w:rsidR="00BB5489" w:rsidRDefault="008808DB">
          <w:pPr>
            <w:pStyle w:val="TOC2"/>
            <w:tabs>
              <w:tab w:val="right" w:leader="dot" w:pos="9016"/>
            </w:tabs>
            <w:rPr>
              <w:noProof/>
              <w:lang w:eastAsia="en-AU"/>
            </w:rPr>
          </w:pPr>
          <w:hyperlink w:anchor="_Toc23841396" w:history="1">
            <w:r w:rsidR="00BB5489" w:rsidRPr="009676A7">
              <w:rPr>
                <w:rStyle w:val="Hyperlink"/>
                <w:noProof/>
              </w:rPr>
              <w:t>Key findings</w:t>
            </w:r>
            <w:r w:rsidR="00BB5489">
              <w:rPr>
                <w:noProof/>
                <w:webHidden/>
              </w:rPr>
              <w:tab/>
            </w:r>
            <w:r w:rsidR="00BB5489">
              <w:rPr>
                <w:noProof/>
                <w:webHidden/>
              </w:rPr>
              <w:fldChar w:fldCharType="begin"/>
            </w:r>
            <w:r w:rsidR="00BB5489">
              <w:rPr>
                <w:noProof/>
                <w:webHidden/>
              </w:rPr>
              <w:instrText xml:space="preserve"> PAGEREF _Toc23841396 \h </w:instrText>
            </w:r>
            <w:r w:rsidR="00BB5489">
              <w:rPr>
                <w:noProof/>
                <w:webHidden/>
              </w:rPr>
            </w:r>
            <w:r w:rsidR="00BB5489">
              <w:rPr>
                <w:noProof/>
                <w:webHidden/>
              </w:rPr>
              <w:fldChar w:fldCharType="separate"/>
            </w:r>
            <w:r w:rsidR="00BB5489">
              <w:rPr>
                <w:noProof/>
                <w:webHidden/>
              </w:rPr>
              <w:t>91</w:t>
            </w:r>
            <w:r w:rsidR="00BB5489">
              <w:rPr>
                <w:noProof/>
                <w:webHidden/>
              </w:rPr>
              <w:fldChar w:fldCharType="end"/>
            </w:r>
          </w:hyperlink>
        </w:p>
        <w:p w14:paraId="388D736A" w14:textId="4A6DA974" w:rsidR="00BB5489" w:rsidRDefault="008808DB">
          <w:pPr>
            <w:pStyle w:val="TOC2"/>
            <w:tabs>
              <w:tab w:val="right" w:leader="dot" w:pos="9016"/>
            </w:tabs>
            <w:rPr>
              <w:noProof/>
              <w:lang w:eastAsia="en-AU"/>
            </w:rPr>
          </w:pPr>
          <w:hyperlink w:anchor="_Toc23841397" w:history="1">
            <w:r w:rsidR="00BB5489" w:rsidRPr="009676A7">
              <w:rPr>
                <w:rStyle w:val="Hyperlink"/>
                <w:noProof/>
              </w:rPr>
              <w:t>5.1</w:t>
            </w:r>
            <w:r w:rsidR="00BB5489">
              <w:rPr>
                <w:noProof/>
                <w:lang w:eastAsia="en-AU"/>
              </w:rPr>
              <w:tab/>
            </w:r>
            <w:r w:rsidR="00BB5489" w:rsidRPr="009676A7">
              <w:rPr>
                <w:rStyle w:val="Hyperlink"/>
                <w:noProof/>
              </w:rPr>
              <w:t>Early perceptions of the impacts of the TtW service</w:t>
            </w:r>
            <w:r w:rsidR="00BB5489">
              <w:rPr>
                <w:noProof/>
                <w:webHidden/>
              </w:rPr>
              <w:tab/>
            </w:r>
            <w:r w:rsidR="00BB5489">
              <w:rPr>
                <w:noProof/>
                <w:webHidden/>
              </w:rPr>
              <w:fldChar w:fldCharType="begin"/>
            </w:r>
            <w:r w:rsidR="00BB5489">
              <w:rPr>
                <w:noProof/>
                <w:webHidden/>
              </w:rPr>
              <w:instrText xml:space="preserve"> PAGEREF _Toc23841397 \h </w:instrText>
            </w:r>
            <w:r w:rsidR="00BB5489">
              <w:rPr>
                <w:noProof/>
                <w:webHidden/>
              </w:rPr>
            </w:r>
            <w:r w:rsidR="00BB5489">
              <w:rPr>
                <w:noProof/>
                <w:webHidden/>
              </w:rPr>
              <w:fldChar w:fldCharType="separate"/>
            </w:r>
            <w:r w:rsidR="00BB5489">
              <w:rPr>
                <w:noProof/>
                <w:webHidden/>
              </w:rPr>
              <w:t>92</w:t>
            </w:r>
            <w:r w:rsidR="00BB5489">
              <w:rPr>
                <w:noProof/>
                <w:webHidden/>
              </w:rPr>
              <w:fldChar w:fldCharType="end"/>
            </w:r>
          </w:hyperlink>
        </w:p>
        <w:p w14:paraId="2591721E" w14:textId="58D01B97" w:rsidR="00BB5489" w:rsidRDefault="008808DB">
          <w:pPr>
            <w:pStyle w:val="TOC2"/>
            <w:tabs>
              <w:tab w:val="right" w:leader="dot" w:pos="9016"/>
            </w:tabs>
            <w:rPr>
              <w:noProof/>
              <w:lang w:eastAsia="en-AU"/>
            </w:rPr>
          </w:pPr>
          <w:hyperlink w:anchor="_Toc23841398" w:history="1">
            <w:r w:rsidR="00BB5489" w:rsidRPr="009676A7">
              <w:rPr>
                <w:rStyle w:val="Hyperlink"/>
                <w:noProof/>
              </w:rPr>
              <w:t>5.2</w:t>
            </w:r>
            <w:r w:rsidR="00BB5489">
              <w:rPr>
                <w:noProof/>
                <w:lang w:eastAsia="en-AU"/>
              </w:rPr>
              <w:tab/>
            </w:r>
            <w:r w:rsidR="00BB5489" w:rsidRPr="009676A7">
              <w:rPr>
                <w:rStyle w:val="Hyperlink"/>
                <w:noProof/>
              </w:rPr>
              <w:t>Outcome Performance Targets in TtW</w:t>
            </w:r>
            <w:r w:rsidR="00BB5489">
              <w:rPr>
                <w:noProof/>
                <w:webHidden/>
              </w:rPr>
              <w:tab/>
            </w:r>
            <w:r w:rsidR="00BB5489">
              <w:rPr>
                <w:noProof/>
                <w:webHidden/>
              </w:rPr>
              <w:fldChar w:fldCharType="begin"/>
            </w:r>
            <w:r w:rsidR="00BB5489">
              <w:rPr>
                <w:noProof/>
                <w:webHidden/>
              </w:rPr>
              <w:instrText xml:space="preserve"> PAGEREF _Toc23841398 \h </w:instrText>
            </w:r>
            <w:r w:rsidR="00BB5489">
              <w:rPr>
                <w:noProof/>
                <w:webHidden/>
              </w:rPr>
            </w:r>
            <w:r w:rsidR="00BB5489">
              <w:rPr>
                <w:noProof/>
                <w:webHidden/>
              </w:rPr>
              <w:fldChar w:fldCharType="separate"/>
            </w:r>
            <w:r w:rsidR="00BB5489">
              <w:rPr>
                <w:noProof/>
                <w:webHidden/>
              </w:rPr>
              <w:t>93</w:t>
            </w:r>
            <w:r w:rsidR="00BB5489">
              <w:rPr>
                <w:noProof/>
                <w:webHidden/>
              </w:rPr>
              <w:fldChar w:fldCharType="end"/>
            </w:r>
          </w:hyperlink>
        </w:p>
        <w:p w14:paraId="57D39CBF" w14:textId="254291A7" w:rsidR="00BB5489" w:rsidRDefault="008808DB">
          <w:pPr>
            <w:pStyle w:val="TOC3"/>
            <w:rPr>
              <w:noProof/>
              <w:lang w:eastAsia="en-AU"/>
            </w:rPr>
          </w:pPr>
          <w:hyperlink w:anchor="_Toc23841399" w:history="1">
            <w:r w:rsidR="00BB5489" w:rsidRPr="009676A7">
              <w:rPr>
                <w:rStyle w:val="Hyperlink"/>
                <w:noProof/>
              </w:rPr>
              <w:t>5.2.1</w:t>
            </w:r>
            <w:r w:rsidR="00BB5489">
              <w:rPr>
                <w:noProof/>
                <w:lang w:eastAsia="en-AU"/>
              </w:rPr>
              <w:tab/>
            </w:r>
            <w:r w:rsidR="00BB5489" w:rsidRPr="009676A7">
              <w:rPr>
                <w:rStyle w:val="Hyperlink"/>
                <w:noProof/>
              </w:rPr>
              <w:t>Outcome Performance Targets progressively increased over the first year to reflect the time needed for providers to build their caseloads and achieve outcomes</w:t>
            </w:r>
            <w:r w:rsidR="00BB5489">
              <w:rPr>
                <w:noProof/>
                <w:webHidden/>
              </w:rPr>
              <w:tab/>
            </w:r>
            <w:r w:rsidR="00BB5489">
              <w:rPr>
                <w:noProof/>
                <w:webHidden/>
              </w:rPr>
              <w:fldChar w:fldCharType="begin"/>
            </w:r>
            <w:r w:rsidR="00BB5489">
              <w:rPr>
                <w:noProof/>
                <w:webHidden/>
              </w:rPr>
              <w:instrText xml:space="preserve"> PAGEREF _Toc23841399 \h </w:instrText>
            </w:r>
            <w:r w:rsidR="00BB5489">
              <w:rPr>
                <w:noProof/>
                <w:webHidden/>
              </w:rPr>
            </w:r>
            <w:r w:rsidR="00BB5489">
              <w:rPr>
                <w:noProof/>
                <w:webHidden/>
              </w:rPr>
              <w:fldChar w:fldCharType="separate"/>
            </w:r>
            <w:r w:rsidR="00BB5489">
              <w:rPr>
                <w:noProof/>
                <w:webHidden/>
              </w:rPr>
              <w:t>93</w:t>
            </w:r>
            <w:r w:rsidR="00BB5489">
              <w:rPr>
                <w:noProof/>
                <w:webHidden/>
              </w:rPr>
              <w:fldChar w:fldCharType="end"/>
            </w:r>
          </w:hyperlink>
        </w:p>
        <w:p w14:paraId="6C313FE6" w14:textId="791F9103" w:rsidR="00BB5489" w:rsidRDefault="008808DB">
          <w:pPr>
            <w:pStyle w:val="TOC3"/>
            <w:rPr>
              <w:noProof/>
              <w:lang w:eastAsia="en-AU"/>
            </w:rPr>
          </w:pPr>
          <w:hyperlink w:anchor="_Toc23841400" w:history="1">
            <w:r w:rsidR="00BB5489" w:rsidRPr="009676A7">
              <w:rPr>
                <w:rStyle w:val="Hyperlink"/>
                <w:noProof/>
              </w:rPr>
              <w:t>5.2.2</w:t>
            </w:r>
            <w:r w:rsidR="00BB5489">
              <w:rPr>
                <w:noProof/>
                <w:lang w:eastAsia="en-AU"/>
              </w:rPr>
              <w:tab/>
            </w:r>
            <w:r w:rsidR="00BB5489" w:rsidRPr="009676A7">
              <w:rPr>
                <w:rStyle w:val="Hyperlink"/>
                <w:noProof/>
              </w:rPr>
              <w:t>Performance against targets improved over time in operation</w:t>
            </w:r>
            <w:r w:rsidR="00BB5489">
              <w:rPr>
                <w:noProof/>
                <w:webHidden/>
              </w:rPr>
              <w:tab/>
            </w:r>
            <w:r w:rsidR="00BB5489">
              <w:rPr>
                <w:noProof/>
                <w:webHidden/>
              </w:rPr>
              <w:fldChar w:fldCharType="begin"/>
            </w:r>
            <w:r w:rsidR="00BB5489">
              <w:rPr>
                <w:noProof/>
                <w:webHidden/>
              </w:rPr>
              <w:instrText xml:space="preserve"> PAGEREF _Toc23841400 \h </w:instrText>
            </w:r>
            <w:r w:rsidR="00BB5489">
              <w:rPr>
                <w:noProof/>
                <w:webHidden/>
              </w:rPr>
            </w:r>
            <w:r w:rsidR="00BB5489">
              <w:rPr>
                <w:noProof/>
                <w:webHidden/>
              </w:rPr>
              <w:fldChar w:fldCharType="separate"/>
            </w:r>
            <w:r w:rsidR="00BB5489">
              <w:rPr>
                <w:noProof/>
                <w:webHidden/>
              </w:rPr>
              <w:t>93</w:t>
            </w:r>
            <w:r w:rsidR="00BB5489">
              <w:rPr>
                <w:noProof/>
                <w:webHidden/>
              </w:rPr>
              <w:fldChar w:fldCharType="end"/>
            </w:r>
          </w:hyperlink>
        </w:p>
        <w:p w14:paraId="386D45B4" w14:textId="1054192E" w:rsidR="00BB5489" w:rsidRDefault="008808DB">
          <w:pPr>
            <w:pStyle w:val="TOC3"/>
            <w:rPr>
              <w:noProof/>
              <w:lang w:eastAsia="en-AU"/>
            </w:rPr>
          </w:pPr>
          <w:hyperlink w:anchor="_Toc23841401" w:history="1">
            <w:r w:rsidR="00BB5489" w:rsidRPr="009676A7">
              <w:rPr>
                <w:rStyle w:val="Hyperlink"/>
                <w:noProof/>
              </w:rPr>
              <w:t>5.2.3</w:t>
            </w:r>
            <w:r w:rsidR="00BB5489">
              <w:rPr>
                <w:noProof/>
                <w:lang w:eastAsia="en-AU"/>
              </w:rPr>
              <w:tab/>
            </w:r>
            <w:r w:rsidR="00BB5489" w:rsidRPr="009676A7">
              <w:rPr>
                <w:rStyle w:val="Hyperlink"/>
                <w:noProof/>
              </w:rPr>
              <w:t>Around half of the providers were achieving their quarterly outcome targets after a year of operation</w:t>
            </w:r>
            <w:r w:rsidR="00BB5489">
              <w:rPr>
                <w:noProof/>
                <w:webHidden/>
              </w:rPr>
              <w:tab/>
            </w:r>
            <w:r w:rsidR="00BB5489">
              <w:rPr>
                <w:noProof/>
                <w:webHidden/>
              </w:rPr>
              <w:fldChar w:fldCharType="begin"/>
            </w:r>
            <w:r w:rsidR="00BB5489">
              <w:rPr>
                <w:noProof/>
                <w:webHidden/>
              </w:rPr>
              <w:instrText xml:space="preserve"> PAGEREF _Toc23841401 \h </w:instrText>
            </w:r>
            <w:r w:rsidR="00BB5489">
              <w:rPr>
                <w:noProof/>
                <w:webHidden/>
              </w:rPr>
            </w:r>
            <w:r w:rsidR="00BB5489">
              <w:rPr>
                <w:noProof/>
                <w:webHidden/>
              </w:rPr>
              <w:fldChar w:fldCharType="separate"/>
            </w:r>
            <w:r w:rsidR="00BB5489">
              <w:rPr>
                <w:noProof/>
                <w:webHidden/>
              </w:rPr>
              <w:t>94</w:t>
            </w:r>
            <w:r w:rsidR="00BB5489">
              <w:rPr>
                <w:noProof/>
                <w:webHidden/>
              </w:rPr>
              <w:fldChar w:fldCharType="end"/>
            </w:r>
          </w:hyperlink>
        </w:p>
        <w:p w14:paraId="5317DAA3" w14:textId="79D03B39" w:rsidR="00BB5489" w:rsidRDefault="008808DB">
          <w:pPr>
            <w:pStyle w:val="TOC3"/>
            <w:rPr>
              <w:noProof/>
              <w:lang w:eastAsia="en-AU"/>
            </w:rPr>
          </w:pPr>
          <w:hyperlink w:anchor="_Toc23841402" w:history="1">
            <w:r w:rsidR="00BB5489" w:rsidRPr="009676A7">
              <w:rPr>
                <w:rStyle w:val="Hyperlink"/>
                <w:noProof/>
              </w:rPr>
              <w:t>5.2.4</w:t>
            </w:r>
            <w:r w:rsidR="00BB5489">
              <w:rPr>
                <w:noProof/>
                <w:lang w:eastAsia="en-AU"/>
              </w:rPr>
              <w:tab/>
            </w:r>
            <w:r w:rsidR="00BB5489" w:rsidRPr="009676A7">
              <w:rPr>
                <w:rStyle w:val="Hyperlink"/>
                <w:noProof/>
              </w:rPr>
              <w:t>TtW-only providers performed similarly to providers delivering both TtW and jobactive</w:t>
            </w:r>
            <w:r w:rsidR="00BB5489">
              <w:rPr>
                <w:noProof/>
                <w:webHidden/>
              </w:rPr>
              <w:tab/>
            </w:r>
            <w:r w:rsidR="00BB5489">
              <w:rPr>
                <w:noProof/>
                <w:webHidden/>
              </w:rPr>
              <w:fldChar w:fldCharType="begin"/>
            </w:r>
            <w:r w:rsidR="00BB5489">
              <w:rPr>
                <w:noProof/>
                <w:webHidden/>
              </w:rPr>
              <w:instrText xml:space="preserve"> PAGEREF _Toc23841402 \h </w:instrText>
            </w:r>
            <w:r w:rsidR="00BB5489">
              <w:rPr>
                <w:noProof/>
                <w:webHidden/>
              </w:rPr>
            </w:r>
            <w:r w:rsidR="00BB5489">
              <w:rPr>
                <w:noProof/>
                <w:webHidden/>
              </w:rPr>
              <w:fldChar w:fldCharType="separate"/>
            </w:r>
            <w:r w:rsidR="00BB5489">
              <w:rPr>
                <w:noProof/>
                <w:webHidden/>
              </w:rPr>
              <w:t>95</w:t>
            </w:r>
            <w:r w:rsidR="00BB5489">
              <w:rPr>
                <w:noProof/>
                <w:webHidden/>
              </w:rPr>
              <w:fldChar w:fldCharType="end"/>
            </w:r>
          </w:hyperlink>
        </w:p>
        <w:p w14:paraId="552B8DA8" w14:textId="2FBA32F6" w:rsidR="00BB5489" w:rsidRDefault="008808DB">
          <w:pPr>
            <w:pStyle w:val="TOC2"/>
            <w:tabs>
              <w:tab w:val="right" w:leader="dot" w:pos="9016"/>
            </w:tabs>
            <w:rPr>
              <w:noProof/>
              <w:lang w:eastAsia="en-AU"/>
            </w:rPr>
          </w:pPr>
          <w:hyperlink w:anchor="_Toc23841403" w:history="1">
            <w:r w:rsidR="00BB5489" w:rsidRPr="009676A7">
              <w:rPr>
                <w:rStyle w:val="Hyperlink"/>
                <w:noProof/>
              </w:rPr>
              <w:t>5.3</w:t>
            </w:r>
            <w:r w:rsidR="00BB5489">
              <w:rPr>
                <w:noProof/>
                <w:lang w:eastAsia="en-AU"/>
              </w:rPr>
              <w:tab/>
            </w:r>
            <w:r w:rsidR="00BB5489" w:rsidRPr="009676A7">
              <w:rPr>
                <w:rStyle w:val="Hyperlink"/>
                <w:noProof/>
              </w:rPr>
              <w:t>Education and employment participation qualifying for an outcome</w:t>
            </w:r>
            <w:r w:rsidR="00BB5489">
              <w:rPr>
                <w:noProof/>
                <w:webHidden/>
              </w:rPr>
              <w:tab/>
            </w:r>
            <w:r w:rsidR="00BB5489">
              <w:rPr>
                <w:noProof/>
                <w:webHidden/>
              </w:rPr>
              <w:fldChar w:fldCharType="begin"/>
            </w:r>
            <w:r w:rsidR="00BB5489">
              <w:rPr>
                <w:noProof/>
                <w:webHidden/>
              </w:rPr>
              <w:instrText xml:space="preserve"> PAGEREF _Toc23841403 \h </w:instrText>
            </w:r>
            <w:r w:rsidR="00BB5489">
              <w:rPr>
                <w:noProof/>
                <w:webHidden/>
              </w:rPr>
            </w:r>
            <w:r w:rsidR="00BB5489">
              <w:rPr>
                <w:noProof/>
                <w:webHidden/>
              </w:rPr>
              <w:fldChar w:fldCharType="separate"/>
            </w:r>
            <w:r w:rsidR="00BB5489">
              <w:rPr>
                <w:noProof/>
                <w:webHidden/>
              </w:rPr>
              <w:t>95</w:t>
            </w:r>
            <w:r w:rsidR="00BB5489">
              <w:rPr>
                <w:noProof/>
                <w:webHidden/>
              </w:rPr>
              <w:fldChar w:fldCharType="end"/>
            </w:r>
          </w:hyperlink>
        </w:p>
        <w:p w14:paraId="02E65C32" w14:textId="29089AA2" w:rsidR="00BB5489" w:rsidRDefault="008808DB">
          <w:pPr>
            <w:pStyle w:val="TOC3"/>
            <w:rPr>
              <w:noProof/>
              <w:lang w:eastAsia="en-AU"/>
            </w:rPr>
          </w:pPr>
          <w:hyperlink w:anchor="_Toc23841404" w:history="1">
            <w:r w:rsidR="00BB5489" w:rsidRPr="009676A7">
              <w:rPr>
                <w:rStyle w:val="Hyperlink"/>
                <w:noProof/>
              </w:rPr>
              <w:t>5.3.1</w:t>
            </w:r>
            <w:r w:rsidR="00BB5489">
              <w:rPr>
                <w:noProof/>
                <w:lang w:eastAsia="en-AU"/>
              </w:rPr>
              <w:tab/>
            </w:r>
            <w:r w:rsidR="00BB5489" w:rsidRPr="009676A7">
              <w:rPr>
                <w:rStyle w:val="Hyperlink"/>
                <w:noProof/>
              </w:rPr>
              <w:t>Core outcomes in TtW</w:t>
            </w:r>
            <w:r w:rsidR="00BB5489">
              <w:rPr>
                <w:noProof/>
                <w:webHidden/>
              </w:rPr>
              <w:tab/>
            </w:r>
            <w:r w:rsidR="00BB5489">
              <w:rPr>
                <w:noProof/>
                <w:webHidden/>
              </w:rPr>
              <w:fldChar w:fldCharType="begin"/>
            </w:r>
            <w:r w:rsidR="00BB5489">
              <w:rPr>
                <w:noProof/>
                <w:webHidden/>
              </w:rPr>
              <w:instrText xml:space="preserve"> PAGEREF _Toc23841404 \h </w:instrText>
            </w:r>
            <w:r w:rsidR="00BB5489">
              <w:rPr>
                <w:noProof/>
                <w:webHidden/>
              </w:rPr>
            </w:r>
            <w:r w:rsidR="00BB5489">
              <w:rPr>
                <w:noProof/>
                <w:webHidden/>
              </w:rPr>
              <w:fldChar w:fldCharType="separate"/>
            </w:r>
            <w:r w:rsidR="00BB5489">
              <w:rPr>
                <w:noProof/>
                <w:webHidden/>
              </w:rPr>
              <w:t>95</w:t>
            </w:r>
            <w:r w:rsidR="00BB5489">
              <w:rPr>
                <w:noProof/>
                <w:webHidden/>
              </w:rPr>
              <w:fldChar w:fldCharType="end"/>
            </w:r>
          </w:hyperlink>
        </w:p>
        <w:p w14:paraId="5A6BAECC" w14:textId="671C7E40" w:rsidR="00BB5489" w:rsidRDefault="008808DB">
          <w:pPr>
            <w:pStyle w:val="TOC3"/>
            <w:rPr>
              <w:noProof/>
              <w:lang w:eastAsia="en-AU"/>
            </w:rPr>
          </w:pPr>
          <w:hyperlink w:anchor="_Toc23841405" w:history="1">
            <w:r w:rsidR="00BB5489" w:rsidRPr="009676A7">
              <w:rPr>
                <w:rStyle w:val="Hyperlink"/>
                <w:noProof/>
              </w:rPr>
              <w:t>5.3.2</w:t>
            </w:r>
            <w:r w:rsidR="00BB5489">
              <w:rPr>
                <w:noProof/>
                <w:lang w:eastAsia="en-AU"/>
              </w:rPr>
              <w:tab/>
            </w:r>
            <w:r w:rsidR="00BB5489" w:rsidRPr="009676A7">
              <w:rPr>
                <w:rStyle w:val="Hyperlink"/>
                <w:noProof/>
              </w:rPr>
              <w:t>There were almost four times as many employment outcomes as education outcomes</w:t>
            </w:r>
            <w:r w:rsidR="00BB5489">
              <w:rPr>
                <w:noProof/>
                <w:webHidden/>
              </w:rPr>
              <w:tab/>
            </w:r>
            <w:r w:rsidR="00BB5489">
              <w:rPr>
                <w:noProof/>
                <w:webHidden/>
              </w:rPr>
              <w:fldChar w:fldCharType="begin"/>
            </w:r>
            <w:r w:rsidR="00BB5489">
              <w:rPr>
                <w:noProof/>
                <w:webHidden/>
              </w:rPr>
              <w:instrText xml:space="preserve"> PAGEREF _Toc23841405 \h </w:instrText>
            </w:r>
            <w:r w:rsidR="00BB5489">
              <w:rPr>
                <w:noProof/>
                <w:webHidden/>
              </w:rPr>
            </w:r>
            <w:r w:rsidR="00BB5489">
              <w:rPr>
                <w:noProof/>
                <w:webHidden/>
              </w:rPr>
              <w:fldChar w:fldCharType="separate"/>
            </w:r>
            <w:r w:rsidR="00BB5489">
              <w:rPr>
                <w:noProof/>
                <w:webHidden/>
              </w:rPr>
              <w:t>97</w:t>
            </w:r>
            <w:r w:rsidR="00BB5489">
              <w:rPr>
                <w:noProof/>
                <w:webHidden/>
              </w:rPr>
              <w:fldChar w:fldCharType="end"/>
            </w:r>
          </w:hyperlink>
        </w:p>
        <w:p w14:paraId="701DB0A2" w14:textId="0990F06A" w:rsidR="00BB5489" w:rsidRDefault="008808DB">
          <w:pPr>
            <w:pStyle w:val="TOC3"/>
            <w:rPr>
              <w:noProof/>
              <w:lang w:eastAsia="en-AU"/>
            </w:rPr>
          </w:pPr>
          <w:hyperlink w:anchor="_Toc23841406" w:history="1">
            <w:r w:rsidR="00BB5489" w:rsidRPr="009676A7">
              <w:rPr>
                <w:rStyle w:val="Hyperlink"/>
                <w:noProof/>
              </w:rPr>
              <w:t>5.3.3</w:t>
            </w:r>
            <w:r w:rsidR="00BB5489">
              <w:rPr>
                <w:noProof/>
                <w:lang w:eastAsia="en-AU"/>
              </w:rPr>
              <w:tab/>
            </w:r>
            <w:r w:rsidR="00BB5489" w:rsidRPr="009676A7">
              <w:rPr>
                <w:rStyle w:val="Hyperlink"/>
                <w:noProof/>
              </w:rPr>
              <w:t>A third of education and training activity placements counted towards education outcomes</w:t>
            </w:r>
            <w:r w:rsidR="00BB5489">
              <w:rPr>
                <w:noProof/>
                <w:webHidden/>
              </w:rPr>
              <w:tab/>
            </w:r>
            <w:r w:rsidR="00BB5489">
              <w:rPr>
                <w:noProof/>
                <w:webHidden/>
              </w:rPr>
              <w:fldChar w:fldCharType="begin"/>
            </w:r>
            <w:r w:rsidR="00BB5489">
              <w:rPr>
                <w:noProof/>
                <w:webHidden/>
              </w:rPr>
              <w:instrText xml:space="preserve"> PAGEREF _Toc23841406 \h </w:instrText>
            </w:r>
            <w:r w:rsidR="00BB5489">
              <w:rPr>
                <w:noProof/>
                <w:webHidden/>
              </w:rPr>
            </w:r>
            <w:r w:rsidR="00BB5489">
              <w:rPr>
                <w:noProof/>
                <w:webHidden/>
              </w:rPr>
              <w:fldChar w:fldCharType="separate"/>
            </w:r>
            <w:r w:rsidR="00BB5489">
              <w:rPr>
                <w:noProof/>
                <w:webHidden/>
              </w:rPr>
              <w:t>97</w:t>
            </w:r>
            <w:r w:rsidR="00BB5489">
              <w:rPr>
                <w:noProof/>
                <w:webHidden/>
              </w:rPr>
              <w:fldChar w:fldCharType="end"/>
            </w:r>
          </w:hyperlink>
        </w:p>
        <w:p w14:paraId="3E0E369B" w14:textId="5D1AA672" w:rsidR="00BB5489" w:rsidRDefault="008808DB">
          <w:pPr>
            <w:pStyle w:val="TOC3"/>
            <w:rPr>
              <w:noProof/>
              <w:lang w:eastAsia="en-AU"/>
            </w:rPr>
          </w:pPr>
          <w:hyperlink w:anchor="_Toc23841407" w:history="1">
            <w:r w:rsidR="00BB5489" w:rsidRPr="009676A7">
              <w:rPr>
                <w:rStyle w:val="Hyperlink"/>
                <w:noProof/>
              </w:rPr>
              <w:t>5.3.4</w:t>
            </w:r>
            <w:r w:rsidR="00BB5489">
              <w:rPr>
                <w:noProof/>
                <w:lang w:eastAsia="en-AU"/>
              </w:rPr>
              <w:tab/>
            </w:r>
            <w:r w:rsidR="00BB5489" w:rsidRPr="009676A7">
              <w:rPr>
                <w:rStyle w:val="Hyperlink"/>
                <w:noProof/>
              </w:rPr>
              <w:t>There were relatively few hybrid outcomes</w:t>
            </w:r>
            <w:r w:rsidR="00BB5489">
              <w:rPr>
                <w:noProof/>
                <w:webHidden/>
              </w:rPr>
              <w:tab/>
            </w:r>
            <w:r w:rsidR="00BB5489">
              <w:rPr>
                <w:noProof/>
                <w:webHidden/>
              </w:rPr>
              <w:fldChar w:fldCharType="begin"/>
            </w:r>
            <w:r w:rsidR="00BB5489">
              <w:rPr>
                <w:noProof/>
                <w:webHidden/>
              </w:rPr>
              <w:instrText xml:space="preserve"> PAGEREF _Toc23841407 \h </w:instrText>
            </w:r>
            <w:r w:rsidR="00BB5489">
              <w:rPr>
                <w:noProof/>
                <w:webHidden/>
              </w:rPr>
            </w:r>
            <w:r w:rsidR="00BB5489">
              <w:rPr>
                <w:noProof/>
                <w:webHidden/>
              </w:rPr>
              <w:fldChar w:fldCharType="separate"/>
            </w:r>
            <w:r w:rsidR="00BB5489">
              <w:rPr>
                <w:noProof/>
                <w:webHidden/>
              </w:rPr>
              <w:t>99</w:t>
            </w:r>
            <w:r w:rsidR="00BB5489">
              <w:rPr>
                <w:noProof/>
                <w:webHidden/>
              </w:rPr>
              <w:fldChar w:fldCharType="end"/>
            </w:r>
          </w:hyperlink>
        </w:p>
        <w:p w14:paraId="4251A69C" w14:textId="61AA648F" w:rsidR="00BB5489" w:rsidRDefault="008808DB">
          <w:pPr>
            <w:pStyle w:val="TOC2"/>
            <w:tabs>
              <w:tab w:val="right" w:leader="dot" w:pos="9016"/>
            </w:tabs>
            <w:rPr>
              <w:noProof/>
              <w:lang w:eastAsia="en-AU"/>
            </w:rPr>
          </w:pPr>
          <w:hyperlink w:anchor="_Toc23841408" w:history="1">
            <w:r w:rsidR="00BB5489" w:rsidRPr="009676A7">
              <w:rPr>
                <w:rStyle w:val="Hyperlink"/>
                <w:noProof/>
              </w:rPr>
              <w:t>5.4</w:t>
            </w:r>
            <w:r w:rsidR="00BB5489">
              <w:rPr>
                <w:noProof/>
                <w:lang w:eastAsia="en-AU"/>
              </w:rPr>
              <w:tab/>
            </w:r>
            <w:r w:rsidR="00BB5489" w:rsidRPr="009676A7">
              <w:rPr>
                <w:rStyle w:val="Hyperlink"/>
                <w:noProof/>
              </w:rPr>
              <w:t>Labour market and education outcome measures</w:t>
            </w:r>
            <w:r w:rsidR="00BB5489">
              <w:rPr>
                <w:noProof/>
                <w:webHidden/>
              </w:rPr>
              <w:tab/>
            </w:r>
            <w:r w:rsidR="00BB5489">
              <w:rPr>
                <w:noProof/>
                <w:webHidden/>
              </w:rPr>
              <w:fldChar w:fldCharType="begin"/>
            </w:r>
            <w:r w:rsidR="00BB5489">
              <w:rPr>
                <w:noProof/>
                <w:webHidden/>
              </w:rPr>
              <w:instrText xml:space="preserve"> PAGEREF _Toc23841408 \h </w:instrText>
            </w:r>
            <w:r w:rsidR="00BB5489">
              <w:rPr>
                <w:noProof/>
                <w:webHidden/>
              </w:rPr>
            </w:r>
            <w:r w:rsidR="00BB5489">
              <w:rPr>
                <w:noProof/>
                <w:webHidden/>
              </w:rPr>
              <w:fldChar w:fldCharType="separate"/>
            </w:r>
            <w:r w:rsidR="00BB5489">
              <w:rPr>
                <w:noProof/>
                <w:webHidden/>
              </w:rPr>
              <w:t>100</w:t>
            </w:r>
            <w:r w:rsidR="00BB5489">
              <w:rPr>
                <w:noProof/>
                <w:webHidden/>
              </w:rPr>
              <w:fldChar w:fldCharType="end"/>
            </w:r>
          </w:hyperlink>
        </w:p>
        <w:p w14:paraId="51718164" w14:textId="36ACAC6E" w:rsidR="00BB5489" w:rsidRDefault="008808DB">
          <w:pPr>
            <w:pStyle w:val="TOC3"/>
            <w:rPr>
              <w:noProof/>
              <w:lang w:eastAsia="en-AU"/>
            </w:rPr>
          </w:pPr>
          <w:hyperlink w:anchor="_Toc23841409" w:history="1">
            <w:r w:rsidR="00BB5489" w:rsidRPr="009676A7">
              <w:rPr>
                <w:rStyle w:val="Hyperlink"/>
                <w:noProof/>
              </w:rPr>
              <w:t>5.4.1</w:t>
            </w:r>
            <w:r w:rsidR="00BB5489">
              <w:rPr>
                <w:noProof/>
                <w:lang w:eastAsia="en-AU"/>
              </w:rPr>
              <w:tab/>
            </w:r>
            <w:r w:rsidR="00BB5489" w:rsidRPr="009676A7">
              <w:rPr>
                <w:rStyle w:val="Hyperlink"/>
                <w:noProof/>
              </w:rPr>
              <w:t>Similar proportions of TtW and jobactive participants reported earnings</w:t>
            </w:r>
            <w:r w:rsidR="00BB5489">
              <w:rPr>
                <w:noProof/>
                <w:webHidden/>
              </w:rPr>
              <w:tab/>
            </w:r>
            <w:r w:rsidR="00BB5489">
              <w:rPr>
                <w:noProof/>
                <w:webHidden/>
              </w:rPr>
              <w:fldChar w:fldCharType="begin"/>
            </w:r>
            <w:r w:rsidR="00BB5489">
              <w:rPr>
                <w:noProof/>
                <w:webHidden/>
              </w:rPr>
              <w:instrText xml:space="preserve"> PAGEREF _Toc23841409 \h </w:instrText>
            </w:r>
            <w:r w:rsidR="00BB5489">
              <w:rPr>
                <w:noProof/>
                <w:webHidden/>
              </w:rPr>
            </w:r>
            <w:r w:rsidR="00BB5489">
              <w:rPr>
                <w:noProof/>
                <w:webHidden/>
              </w:rPr>
              <w:fldChar w:fldCharType="separate"/>
            </w:r>
            <w:r w:rsidR="00BB5489">
              <w:rPr>
                <w:noProof/>
                <w:webHidden/>
              </w:rPr>
              <w:t>101</w:t>
            </w:r>
            <w:r w:rsidR="00BB5489">
              <w:rPr>
                <w:noProof/>
                <w:webHidden/>
              </w:rPr>
              <w:fldChar w:fldCharType="end"/>
            </w:r>
          </w:hyperlink>
        </w:p>
        <w:p w14:paraId="0A7DC78D" w14:textId="0042128F" w:rsidR="00BB5489" w:rsidRDefault="008808DB">
          <w:pPr>
            <w:pStyle w:val="TOC3"/>
            <w:rPr>
              <w:noProof/>
              <w:lang w:eastAsia="en-AU"/>
            </w:rPr>
          </w:pPr>
          <w:hyperlink w:anchor="_Toc23841410" w:history="1">
            <w:r w:rsidR="00BB5489" w:rsidRPr="009676A7">
              <w:rPr>
                <w:rStyle w:val="Hyperlink"/>
                <w:noProof/>
              </w:rPr>
              <w:t>5.4.2</w:t>
            </w:r>
            <w:r w:rsidR="00BB5489">
              <w:rPr>
                <w:noProof/>
                <w:lang w:eastAsia="en-AU"/>
              </w:rPr>
              <w:tab/>
            </w:r>
            <w:r w:rsidR="00BB5489" w:rsidRPr="009676A7">
              <w:rPr>
                <w:rStyle w:val="Hyperlink"/>
                <w:noProof/>
              </w:rPr>
              <w:t>TtW participants had higher labour market attachment and positive outcome attainment</w:t>
            </w:r>
            <w:r w:rsidR="00BB5489">
              <w:rPr>
                <w:noProof/>
                <w:webHidden/>
              </w:rPr>
              <w:tab/>
            </w:r>
            <w:r w:rsidR="00BB5489">
              <w:rPr>
                <w:noProof/>
                <w:webHidden/>
              </w:rPr>
              <w:fldChar w:fldCharType="begin"/>
            </w:r>
            <w:r w:rsidR="00BB5489">
              <w:rPr>
                <w:noProof/>
                <w:webHidden/>
              </w:rPr>
              <w:instrText xml:space="preserve"> PAGEREF _Toc23841410 \h </w:instrText>
            </w:r>
            <w:r w:rsidR="00BB5489">
              <w:rPr>
                <w:noProof/>
                <w:webHidden/>
              </w:rPr>
            </w:r>
            <w:r w:rsidR="00BB5489">
              <w:rPr>
                <w:noProof/>
                <w:webHidden/>
              </w:rPr>
              <w:fldChar w:fldCharType="separate"/>
            </w:r>
            <w:r w:rsidR="00BB5489">
              <w:rPr>
                <w:noProof/>
                <w:webHidden/>
              </w:rPr>
              <w:t>102</w:t>
            </w:r>
            <w:r w:rsidR="00BB5489">
              <w:rPr>
                <w:noProof/>
                <w:webHidden/>
              </w:rPr>
              <w:fldChar w:fldCharType="end"/>
            </w:r>
          </w:hyperlink>
        </w:p>
        <w:p w14:paraId="165D271F" w14:textId="42CD1312" w:rsidR="00BB5489" w:rsidRDefault="008808DB">
          <w:pPr>
            <w:pStyle w:val="TOC1"/>
            <w:tabs>
              <w:tab w:val="right" w:leader="dot" w:pos="9016"/>
            </w:tabs>
            <w:rPr>
              <w:noProof/>
              <w:lang w:eastAsia="en-AU"/>
            </w:rPr>
          </w:pPr>
          <w:hyperlink w:anchor="_Toc23841411" w:history="1">
            <w:r w:rsidR="00BB5489" w:rsidRPr="009676A7">
              <w:rPr>
                <w:rStyle w:val="Hyperlink"/>
                <w:noProof/>
              </w:rPr>
              <w:t>6</w:t>
            </w:r>
            <w:r w:rsidR="00BB5489">
              <w:rPr>
                <w:noProof/>
                <w:lang w:eastAsia="en-AU"/>
              </w:rPr>
              <w:tab/>
            </w:r>
            <w:r w:rsidR="00BB5489" w:rsidRPr="009676A7">
              <w:rPr>
                <w:rStyle w:val="Hyperlink"/>
                <w:noProof/>
              </w:rPr>
              <w:t>Conclusions</w:t>
            </w:r>
            <w:r w:rsidR="00BB5489">
              <w:rPr>
                <w:noProof/>
                <w:webHidden/>
              </w:rPr>
              <w:tab/>
            </w:r>
            <w:r w:rsidR="00BB5489">
              <w:rPr>
                <w:noProof/>
                <w:webHidden/>
              </w:rPr>
              <w:fldChar w:fldCharType="begin"/>
            </w:r>
            <w:r w:rsidR="00BB5489">
              <w:rPr>
                <w:noProof/>
                <w:webHidden/>
              </w:rPr>
              <w:instrText xml:space="preserve"> PAGEREF _Toc23841411 \h </w:instrText>
            </w:r>
            <w:r w:rsidR="00BB5489">
              <w:rPr>
                <w:noProof/>
                <w:webHidden/>
              </w:rPr>
            </w:r>
            <w:r w:rsidR="00BB5489">
              <w:rPr>
                <w:noProof/>
                <w:webHidden/>
              </w:rPr>
              <w:fldChar w:fldCharType="separate"/>
            </w:r>
            <w:r w:rsidR="00BB5489">
              <w:rPr>
                <w:noProof/>
                <w:webHidden/>
              </w:rPr>
              <w:t>106</w:t>
            </w:r>
            <w:r w:rsidR="00BB5489">
              <w:rPr>
                <w:noProof/>
                <w:webHidden/>
              </w:rPr>
              <w:fldChar w:fldCharType="end"/>
            </w:r>
          </w:hyperlink>
        </w:p>
        <w:p w14:paraId="0EB27AE6" w14:textId="239B86E8" w:rsidR="00BB5489" w:rsidRDefault="008808DB">
          <w:pPr>
            <w:pStyle w:val="TOC2"/>
            <w:tabs>
              <w:tab w:val="right" w:leader="dot" w:pos="9016"/>
            </w:tabs>
            <w:rPr>
              <w:noProof/>
              <w:lang w:eastAsia="en-AU"/>
            </w:rPr>
          </w:pPr>
          <w:hyperlink w:anchor="_Toc23841412" w:history="1">
            <w:r w:rsidR="00BB5489" w:rsidRPr="009676A7">
              <w:rPr>
                <w:rStyle w:val="Hyperlink"/>
                <w:noProof/>
              </w:rPr>
              <w:t>6.1</w:t>
            </w:r>
            <w:r w:rsidR="00BB5489">
              <w:rPr>
                <w:noProof/>
                <w:lang w:eastAsia="en-AU"/>
              </w:rPr>
              <w:tab/>
            </w:r>
            <w:r w:rsidR="00BB5489" w:rsidRPr="009676A7">
              <w:rPr>
                <w:rStyle w:val="Hyperlink"/>
                <w:noProof/>
              </w:rPr>
              <w:t>Appropriateness, implementation, engagement and outcomes</w:t>
            </w:r>
            <w:r w:rsidR="00BB5489">
              <w:rPr>
                <w:noProof/>
                <w:webHidden/>
              </w:rPr>
              <w:tab/>
            </w:r>
            <w:r w:rsidR="00BB5489">
              <w:rPr>
                <w:noProof/>
                <w:webHidden/>
              </w:rPr>
              <w:fldChar w:fldCharType="begin"/>
            </w:r>
            <w:r w:rsidR="00BB5489">
              <w:rPr>
                <w:noProof/>
                <w:webHidden/>
              </w:rPr>
              <w:instrText xml:space="preserve"> PAGEREF _Toc23841412 \h </w:instrText>
            </w:r>
            <w:r w:rsidR="00BB5489">
              <w:rPr>
                <w:noProof/>
                <w:webHidden/>
              </w:rPr>
            </w:r>
            <w:r w:rsidR="00BB5489">
              <w:rPr>
                <w:noProof/>
                <w:webHidden/>
              </w:rPr>
              <w:fldChar w:fldCharType="separate"/>
            </w:r>
            <w:r w:rsidR="00BB5489">
              <w:rPr>
                <w:noProof/>
                <w:webHidden/>
              </w:rPr>
              <w:t>106</w:t>
            </w:r>
            <w:r w:rsidR="00BB5489">
              <w:rPr>
                <w:noProof/>
                <w:webHidden/>
              </w:rPr>
              <w:fldChar w:fldCharType="end"/>
            </w:r>
          </w:hyperlink>
        </w:p>
        <w:p w14:paraId="70218A97" w14:textId="1B63D29B" w:rsidR="00BB5489" w:rsidRDefault="008808DB">
          <w:pPr>
            <w:pStyle w:val="TOC3"/>
            <w:rPr>
              <w:noProof/>
              <w:lang w:eastAsia="en-AU"/>
            </w:rPr>
          </w:pPr>
          <w:hyperlink w:anchor="_Toc23841413" w:history="1">
            <w:r w:rsidR="00BB5489" w:rsidRPr="009676A7">
              <w:rPr>
                <w:rStyle w:val="Hyperlink"/>
                <w:noProof/>
              </w:rPr>
              <w:t>6.1.1</w:t>
            </w:r>
            <w:r w:rsidR="00BB5489">
              <w:rPr>
                <w:noProof/>
                <w:lang w:eastAsia="en-AU"/>
              </w:rPr>
              <w:tab/>
            </w:r>
            <w:r w:rsidR="00BB5489" w:rsidRPr="009676A7">
              <w:rPr>
                <w:rStyle w:val="Hyperlink"/>
                <w:noProof/>
              </w:rPr>
              <w:t>Appropriateness and implementation</w:t>
            </w:r>
            <w:r w:rsidR="00BB5489">
              <w:rPr>
                <w:noProof/>
                <w:webHidden/>
              </w:rPr>
              <w:tab/>
            </w:r>
            <w:r w:rsidR="00BB5489">
              <w:rPr>
                <w:noProof/>
                <w:webHidden/>
              </w:rPr>
              <w:fldChar w:fldCharType="begin"/>
            </w:r>
            <w:r w:rsidR="00BB5489">
              <w:rPr>
                <w:noProof/>
                <w:webHidden/>
              </w:rPr>
              <w:instrText xml:space="preserve"> PAGEREF _Toc23841413 \h </w:instrText>
            </w:r>
            <w:r w:rsidR="00BB5489">
              <w:rPr>
                <w:noProof/>
                <w:webHidden/>
              </w:rPr>
            </w:r>
            <w:r w:rsidR="00BB5489">
              <w:rPr>
                <w:noProof/>
                <w:webHidden/>
              </w:rPr>
              <w:fldChar w:fldCharType="separate"/>
            </w:r>
            <w:r w:rsidR="00BB5489">
              <w:rPr>
                <w:noProof/>
                <w:webHidden/>
              </w:rPr>
              <w:t>106</w:t>
            </w:r>
            <w:r w:rsidR="00BB5489">
              <w:rPr>
                <w:noProof/>
                <w:webHidden/>
              </w:rPr>
              <w:fldChar w:fldCharType="end"/>
            </w:r>
          </w:hyperlink>
        </w:p>
        <w:p w14:paraId="51CEB62B" w14:textId="07C9C281" w:rsidR="00BB5489" w:rsidRDefault="008808DB">
          <w:pPr>
            <w:pStyle w:val="TOC3"/>
            <w:rPr>
              <w:noProof/>
              <w:lang w:eastAsia="en-AU"/>
            </w:rPr>
          </w:pPr>
          <w:hyperlink w:anchor="_Toc23841414" w:history="1">
            <w:r w:rsidR="00BB5489" w:rsidRPr="009676A7">
              <w:rPr>
                <w:rStyle w:val="Hyperlink"/>
                <w:noProof/>
              </w:rPr>
              <w:t>6.1.2</w:t>
            </w:r>
            <w:r w:rsidR="00BB5489">
              <w:rPr>
                <w:noProof/>
                <w:lang w:eastAsia="en-AU"/>
              </w:rPr>
              <w:tab/>
            </w:r>
            <w:r w:rsidR="00BB5489" w:rsidRPr="009676A7">
              <w:rPr>
                <w:rStyle w:val="Hyperlink"/>
                <w:noProof/>
              </w:rPr>
              <w:t>Engagement-related measures</w:t>
            </w:r>
            <w:r w:rsidR="00BB5489">
              <w:rPr>
                <w:noProof/>
                <w:webHidden/>
              </w:rPr>
              <w:tab/>
            </w:r>
            <w:r w:rsidR="00BB5489">
              <w:rPr>
                <w:noProof/>
                <w:webHidden/>
              </w:rPr>
              <w:fldChar w:fldCharType="begin"/>
            </w:r>
            <w:r w:rsidR="00BB5489">
              <w:rPr>
                <w:noProof/>
                <w:webHidden/>
              </w:rPr>
              <w:instrText xml:space="preserve"> PAGEREF _Toc23841414 \h </w:instrText>
            </w:r>
            <w:r w:rsidR="00BB5489">
              <w:rPr>
                <w:noProof/>
                <w:webHidden/>
              </w:rPr>
            </w:r>
            <w:r w:rsidR="00BB5489">
              <w:rPr>
                <w:noProof/>
                <w:webHidden/>
              </w:rPr>
              <w:fldChar w:fldCharType="separate"/>
            </w:r>
            <w:r w:rsidR="00BB5489">
              <w:rPr>
                <w:noProof/>
                <w:webHidden/>
              </w:rPr>
              <w:t>106</w:t>
            </w:r>
            <w:r w:rsidR="00BB5489">
              <w:rPr>
                <w:noProof/>
                <w:webHidden/>
              </w:rPr>
              <w:fldChar w:fldCharType="end"/>
            </w:r>
          </w:hyperlink>
        </w:p>
        <w:p w14:paraId="022F7E72" w14:textId="3285CD69" w:rsidR="00BB5489" w:rsidRDefault="008808DB">
          <w:pPr>
            <w:pStyle w:val="TOC3"/>
            <w:rPr>
              <w:noProof/>
              <w:lang w:eastAsia="en-AU"/>
            </w:rPr>
          </w:pPr>
          <w:hyperlink w:anchor="_Toc23841415" w:history="1">
            <w:r w:rsidR="00BB5489" w:rsidRPr="009676A7">
              <w:rPr>
                <w:rStyle w:val="Hyperlink"/>
                <w:noProof/>
              </w:rPr>
              <w:t>6.1.3</w:t>
            </w:r>
            <w:r w:rsidR="00BB5489">
              <w:rPr>
                <w:noProof/>
                <w:lang w:eastAsia="en-AU"/>
              </w:rPr>
              <w:tab/>
            </w:r>
            <w:r w:rsidR="00BB5489" w:rsidRPr="009676A7">
              <w:rPr>
                <w:rStyle w:val="Hyperlink"/>
                <w:noProof/>
              </w:rPr>
              <w:t>Exits from services</w:t>
            </w:r>
            <w:r w:rsidR="00BB5489">
              <w:rPr>
                <w:noProof/>
                <w:webHidden/>
              </w:rPr>
              <w:tab/>
            </w:r>
            <w:r w:rsidR="00BB5489">
              <w:rPr>
                <w:noProof/>
                <w:webHidden/>
              </w:rPr>
              <w:fldChar w:fldCharType="begin"/>
            </w:r>
            <w:r w:rsidR="00BB5489">
              <w:rPr>
                <w:noProof/>
                <w:webHidden/>
              </w:rPr>
              <w:instrText xml:space="preserve"> PAGEREF _Toc23841415 \h </w:instrText>
            </w:r>
            <w:r w:rsidR="00BB5489">
              <w:rPr>
                <w:noProof/>
                <w:webHidden/>
              </w:rPr>
            </w:r>
            <w:r w:rsidR="00BB5489">
              <w:rPr>
                <w:noProof/>
                <w:webHidden/>
              </w:rPr>
              <w:fldChar w:fldCharType="separate"/>
            </w:r>
            <w:r w:rsidR="00BB5489">
              <w:rPr>
                <w:noProof/>
                <w:webHidden/>
              </w:rPr>
              <w:t>108</w:t>
            </w:r>
            <w:r w:rsidR="00BB5489">
              <w:rPr>
                <w:noProof/>
                <w:webHidden/>
              </w:rPr>
              <w:fldChar w:fldCharType="end"/>
            </w:r>
          </w:hyperlink>
        </w:p>
        <w:p w14:paraId="73128153" w14:textId="7D4EB5D7" w:rsidR="00BB5489" w:rsidRDefault="008808DB">
          <w:pPr>
            <w:pStyle w:val="TOC3"/>
            <w:rPr>
              <w:noProof/>
              <w:lang w:eastAsia="en-AU"/>
            </w:rPr>
          </w:pPr>
          <w:hyperlink w:anchor="_Toc23841416" w:history="1">
            <w:r w:rsidR="00BB5489" w:rsidRPr="009676A7">
              <w:rPr>
                <w:rStyle w:val="Hyperlink"/>
                <w:noProof/>
              </w:rPr>
              <w:t>6.1.4</w:t>
            </w:r>
            <w:r w:rsidR="00BB5489">
              <w:rPr>
                <w:noProof/>
                <w:lang w:eastAsia="en-AU"/>
              </w:rPr>
              <w:tab/>
            </w:r>
            <w:r w:rsidR="00BB5489" w:rsidRPr="009676A7">
              <w:rPr>
                <w:rStyle w:val="Hyperlink"/>
                <w:noProof/>
              </w:rPr>
              <w:t>Outcomes</w:t>
            </w:r>
            <w:r w:rsidR="00BB5489">
              <w:rPr>
                <w:noProof/>
                <w:webHidden/>
              </w:rPr>
              <w:tab/>
            </w:r>
            <w:r w:rsidR="00BB5489">
              <w:rPr>
                <w:noProof/>
                <w:webHidden/>
              </w:rPr>
              <w:fldChar w:fldCharType="begin"/>
            </w:r>
            <w:r w:rsidR="00BB5489">
              <w:rPr>
                <w:noProof/>
                <w:webHidden/>
              </w:rPr>
              <w:instrText xml:space="preserve"> PAGEREF _Toc23841416 \h </w:instrText>
            </w:r>
            <w:r w:rsidR="00BB5489">
              <w:rPr>
                <w:noProof/>
                <w:webHidden/>
              </w:rPr>
            </w:r>
            <w:r w:rsidR="00BB5489">
              <w:rPr>
                <w:noProof/>
                <w:webHidden/>
              </w:rPr>
              <w:fldChar w:fldCharType="separate"/>
            </w:r>
            <w:r w:rsidR="00BB5489">
              <w:rPr>
                <w:noProof/>
                <w:webHidden/>
              </w:rPr>
              <w:t>108</w:t>
            </w:r>
            <w:r w:rsidR="00BB5489">
              <w:rPr>
                <w:noProof/>
                <w:webHidden/>
              </w:rPr>
              <w:fldChar w:fldCharType="end"/>
            </w:r>
          </w:hyperlink>
        </w:p>
        <w:p w14:paraId="27F849E9" w14:textId="2DD61689" w:rsidR="00BB5489" w:rsidRDefault="008808DB">
          <w:pPr>
            <w:pStyle w:val="TOC3"/>
            <w:rPr>
              <w:noProof/>
              <w:lang w:eastAsia="en-AU"/>
            </w:rPr>
          </w:pPr>
          <w:hyperlink w:anchor="_Toc23841417" w:history="1">
            <w:r w:rsidR="00BB5489" w:rsidRPr="009676A7">
              <w:rPr>
                <w:rStyle w:val="Hyperlink"/>
                <w:noProof/>
              </w:rPr>
              <w:t>6.1.5</w:t>
            </w:r>
            <w:r w:rsidR="00BB5489">
              <w:rPr>
                <w:noProof/>
                <w:lang w:eastAsia="en-AU"/>
              </w:rPr>
              <w:tab/>
            </w:r>
            <w:r w:rsidR="00BB5489" w:rsidRPr="009676A7">
              <w:rPr>
                <w:rStyle w:val="Hyperlink"/>
                <w:noProof/>
              </w:rPr>
              <w:t>Stakeholder suggestions for improving the TtW service</w:t>
            </w:r>
            <w:r w:rsidR="00BB5489">
              <w:rPr>
                <w:noProof/>
                <w:webHidden/>
              </w:rPr>
              <w:tab/>
            </w:r>
            <w:r w:rsidR="00BB5489">
              <w:rPr>
                <w:noProof/>
                <w:webHidden/>
              </w:rPr>
              <w:fldChar w:fldCharType="begin"/>
            </w:r>
            <w:r w:rsidR="00BB5489">
              <w:rPr>
                <w:noProof/>
                <w:webHidden/>
              </w:rPr>
              <w:instrText xml:space="preserve"> PAGEREF _Toc23841417 \h </w:instrText>
            </w:r>
            <w:r w:rsidR="00BB5489">
              <w:rPr>
                <w:noProof/>
                <w:webHidden/>
              </w:rPr>
            </w:r>
            <w:r w:rsidR="00BB5489">
              <w:rPr>
                <w:noProof/>
                <w:webHidden/>
              </w:rPr>
              <w:fldChar w:fldCharType="separate"/>
            </w:r>
            <w:r w:rsidR="00BB5489">
              <w:rPr>
                <w:noProof/>
                <w:webHidden/>
              </w:rPr>
              <w:t>109</w:t>
            </w:r>
            <w:r w:rsidR="00BB5489">
              <w:rPr>
                <w:noProof/>
                <w:webHidden/>
              </w:rPr>
              <w:fldChar w:fldCharType="end"/>
            </w:r>
          </w:hyperlink>
        </w:p>
        <w:p w14:paraId="7B384AAE" w14:textId="615DE281" w:rsidR="00BB5489" w:rsidRDefault="008808DB">
          <w:pPr>
            <w:pStyle w:val="TOC1"/>
            <w:tabs>
              <w:tab w:val="right" w:leader="dot" w:pos="9016"/>
            </w:tabs>
            <w:rPr>
              <w:noProof/>
              <w:lang w:eastAsia="en-AU"/>
            </w:rPr>
          </w:pPr>
          <w:hyperlink w:anchor="_Toc23841418" w:history="1">
            <w:r w:rsidR="00BB5489" w:rsidRPr="009676A7">
              <w:rPr>
                <w:rStyle w:val="Hyperlink"/>
                <w:noProof/>
              </w:rPr>
              <w:t>Appendix A — Employment regions</w:t>
            </w:r>
            <w:r w:rsidR="00BB5489">
              <w:rPr>
                <w:noProof/>
                <w:webHidden/>
              </w:rPr>
              <w:tab/>
            </w:r>
            <w:r w:rsidR="00BB5489">
              <w:rPr>
                <w:noProof/>
                <w:webHidden/>
              </w:rPr>
              <w:fldChar w:fldCharType="begin"/>
            </w:r>
            <w:r w:rsidR="00BB5489">
              <w:rPr>
                <w:noProof/>
                <w:webHidden/>
              </w:rPr>
              <w:instrText xml:space="preserve"> PAGEREF _Toc23841418 \h </w:instrText>
            </w:r>
            <w:r w:rsidR="00BB5489">
              <w:rPr>
                <w:noProof/>
                <w:webHidden/>
              </w:rPr>
            </w:r>
            <w:r w:rsidR="00BB5489">
              <w:rPr>
                <w:noProof/>
                <w:webHidden/>
              </w:rPr>
              <w:fldChar w:fldCharType="separate"/>
            </w:r>
            <w:r w:rsidR="00BB5489">
              <w:rPr>
                <w:noProof/>
                <w:webHidden/>
              </w:rPr>
              <w:t>110</w:t>
            </w:r>
            <w:r w:rsidR="00BB5489">
              <w:rPr>
                <w:noProof/>
                <w:webHidden/>
              </w:rPr>
              <w:fldChar w:fldCharType="end"/>
            </w:r>
          </w:hyperlink>
        </w:p>
        <w:p w14:paraId="3995E9A6" w14:textId="4F76C1E1" w:rsidR="00BB5489" w:rsidRDefault="008808DB">
          <w:pPr>
            <w:pStyle w:val="TOC1"/>
            <w:tabs>
              <w:tab w:val="right" w:leader="dot" w:pos="9016"/>
            </w:tabs>
            <w:rPr>
              <w:noProof/>
              <w:lang w:eastAsia="en-AU"/>
            </w:rPr>
          </w:pPr>
          <w:hyperlink w:anchor="_Toc23841419" w:history="1">
            <w:r w:rsidR="00BB5489" w:rsidRPr="009676A7">
              <w:rPr>
                <w:rStyle w:val="Hyperlink"/>
                <w:noProof/>
              </w:rPr>
              <w:t>Appendix B — TtW outcomes matrix</w:t>
            </w:r>
            <w:r w:rsidR="00BB5489">
              <w:rPr>
                <w:noProof/>
                <w:webHidden/>
              </w:rPr>
              <w:tab/>
            </w:r>
            <w:r w:rsidR="00BB5489">
              <w:rPr>
                <w:noProof/>
                <w:webHidden/>
              </w:rPr>
              <w:fldChar w:fldCharType="begin"/>
            </w:r>
            <w:r w:rsidR="00BB5489">
              <w:rPr>
                <w:noProof/>
                <w:webHidden/>
              </w:rPr>
              <w:instrText xml:space="preserve"> PAGEREF _Toc23841419 \h </w:instrText>
            </w:r>
            <w:r w:rsidR="00BB5489">
              <w:rPr>
                <w:noProof/>
                <w:webHidden/>
              </w:rPr>
            </w:r>
            <w:r w:rsidR="00BB5489">
              <w:rPr>
                <w:noProof/>
                <w:webHidden/>
              </w:rPr>
              <w:fldChar w:fldCharType="separate"/>
            </w:r>
            <w:r w:rsidR="00BB5489">
              <w:rPr>
                <w:noProof/>
                <w:webHidden/>
              </w:rPr>
              <w:t>111</w:t>
            </w:r>
            <w:r w:rsidR="00BB5489">
              <w:rPr>
                <w:noProof/>
                <w:webHidden/>
              </w:rPr>
              <w:fldChar w:fldCharType="end"/>
            </w:r>
          </w:hyperlink>
        </w:p>
        <w:p w14:paraId="473169A2" w14:textId="45EA4620" w:rsidR="00BB5489" w:rsidRDefault="008808DB">
          <w:pPr>
            <w:pStyle w:val="TOC1"/>
            <w:tabs>
              <w:tab w:val="right" w:leader="dot" w:pos="9016"/>
            </w:tabs>
            <w:rPr>
              <w:noProof/>
              <w:lang w:eastAsia="en-AU"/>
            </w:rPr>
          </w:pPr>
          <w:hyperlink w:anchor="_Toc23841420" w:history="1">
            <w:r w:rsidR="00BB5489" w:rsidRPr="009676A7">
              <w:rPr>
                <w:rStyle w:val="Hyperlink"/>
                <w:rFonts w:cstheme="minorHAnsi"/>
                <w:noProof/>
              </w:rPr>
              <w:t xml:space="preserve">Appendix C — </w:t>
            </w:r>
            <w:r w:rsidR="00BB5489" w:rsidRPr="009676A7">
              <w:rPr>
                <w:rStyle w:val="Hyperlink"/>
                <w:noProof/>
              </w:rPr>
              <w:t>TtW study group construction, statistical analysis</w:t>
            </w:r>
            <w:r w:rsidR="00BB5489">
              <w:rPr>
                <w:noProof/>
                <w:webHidden/>
              </w:rPr>
              <w:tab/>
            </w:r>
            <w:r w:rsidR="00BB5489">
              <w:rPr>
                <w:noProof/>
                <w:webHidden/>
              </w:rPr>
              <w:fldChar w:fldCharType="begin"/>
            </w:r>
            <w:r w:rsidR="00BB5489">
              <w:rPr>
                <w:noProof/>
                <w:webHidden/>
              </w:rPr>
              <w:instrText xml:space="preserve"> PAGEREF _Toc23841420 \h </w:instrText>
            </w:r>
            <w:r w:rsidR="00BB5489">
              <w:rPr>
                <w:noProof/>
                <w:webHidden/>
              </w:rPr>
            </w:r>
            <w:r w:rsidR="00BB5489">
              <w:rPr>
                <w:noProof/>
                <w:webHidden/>
              </w:rPr>
              <w:fldChar w:fldCharType="separate"/>
            </w:r>
            <w:r w:rsidR="00BB5489">
              <w:rPr>
                <w:noProof/>
                <w:webHidden/>
              </w:rPr>
              <w:t>112</w:t>
            </w:r>
            <w:r w:rsidR="00BB5489">
              <w:rPr>
                <w:noProof/>
                <w:webHidden/>
              </w:rPr>
              <w:fldChar w:fldCharType="end"/>
            </w:r>
          </w:hyperlink>
        </w:p>
        <w:p w14:paraId="4DAE4E02" w14:textId="3299FBEB" w:rsidR="00BB5489" w:rsidRDefault="008808DB">
          <w:pPr>
            <w:pStyle w:val="TOC2"/>
            <w:tabs>
              <w:tab w:val="right" w:leader="dot" w:pos="9016"/>
            </w:tabs>
            <w:rPr>
              <w:noProof/>
              <w:lang w:eastAsia="en-AU"/>
            </w:rPr>
          </w:pPr>
          <w:hyperlink w:anchor="_Toc23841421" w:history="1">
            <w:r w:rsidR="00BB5489" w:rsidRPr="009676A7">
              <w:rPr>
                <w:rStyle w:val="Hyperlink"/>
                <w:noProof/>
              </w:rPr>
              <w:t>The primary study population</w:t>
            </w:r>
            <w:r w:rsidR="00BB5489">
              <w:rPr>
                <w:noProof/>
                <w:webHidden/>
              </w:rPr>
              <w:tab/>
            </w:r>
            <w:r w:rsidR="00BB5489">
              <w:rPr>
                <w:noProof/>
                <w:webHidden/>
              </w:rPr>
              <w:fldChar w:fldCharType="begin"/>
            </w:r>
            <w:r w:rsidR="00BB5489">
              <w:rPr>
                <w:noProof/>
                <w:webHidden/>
              </w:rPr>
              <w:instrText xml:space="preserve"> PAGEREF _Toc23841421 \h </w:instrText>
            </w:r>
            <w:r w:rsidR="00BB5489">
              <w:rPr>
                <w:noProof/>
                <w:webHidden/>
              </w:rPr>
            </w:r>
            <w:r w:rsidR="00BB5489">
              <w:rPr>
                <w:noProof/>
                <w:webHidden/>
              </w:rPr>
              <w:fldChar w:fldCharType="separate"/>
            </w:r>
            <w:r w:rsidR="00BB5489">
              <w:rPr>
                <w:noProof/>
                <w:webHidden/>
              </w:rPr>
              <w:t>112</w:t>
            </w:r>
            <w:r w:rsidR="00BB5489">
              <w:rPr>
                <w:noProof/>
                <w:webHidden/>
              </w:rPr>
              <w:fldChar w:fldCharType="end"/>
            </w:r>
          </w:hyperlink>
        </w:p>
        <w:p w14:paraId="32F37A9E" w14:textId="29C18BFB" w:rsidR="00BB5489" w:rsidRDefault="008808DB">
          <w:pPr>
            <w:pStyle w:val="TOC2"/>
            <w:tabs>
              <w:tab w:val="right" w:leader="dot" w:pos="9016"/>
            </w:tabs>
            <w:rPr>
              <w:noProof/>
              <w:lang w:eastAsia="en-AU"/>
            </w:rPr>
          </w:pPr>
          <w:hyperlink w:anchor="_Toc23841422" w:history="1">
            <w:r w:rsidR="00BB5489" w:rsidRPr="009676A7">
              <w:rPr>
                <w:rStyle w:val="Hyperlink"/>
                <w:noProof/>
              </w:rPr>
              <w:t>Administrative data: matched samples (TtW and jobactive)</w:t>
            </w:r>
            <w:r w:rsidR="00BB5489">
              <w:rPr>
                <w:noProof/>
                <w:webHidden/>
              </w:rPr>
              <w:tab/>
            </w:r>
            <w:r w:rsidR="00BB5489">
              <w:rPr>
                <w:noProof/>
                <w:webHidden/>
              </w:rPr>
              <w:fldChar w:fldCharType="begin"/>
            </w:r>
            <w:r w:rsidR="00BB5489">
              <w:rPr>
                <w:noProof/>
                <w:webHidden/>
              </w:rPr>
              <w:instrText xml:space="preserve"> PAGEREF _Toc23841422 \h </w:instrText>
            </w:r>
            <w:r w:rsidR="00BB5489">
              <w:rPr>
                <w:noProof/>
                <w:webHidden/>
              </w:rPr>
            </w:r>
            <w:r w:rsidR="00BB5489">
              <w:rPr>
                <w:noProof/>
                <w:webHidden/>
              </w:rPr>
              <w:fldChar w:fldCharType="separate"/>
            </w:r>
            <w:r w:rsidR="00BB5489">
              <w:rPr>
                <w:noProof/>
                <w:webHidden/>
              </w:rPr>
              <w:t>112</w:t>
            </w:r>
            <w:r w:rsidR="00BB5489">
              <w:rPr>
                <w:noProof/>
                <w:webHidden/>
              </w:rPr>
              <w:fldChar w:fldCharType="end"/>
            </w:r>
          </w:hyperlink>
        </w:p>
        <w:p w14:paraId="41B3DBB6" w14:textId="2D9A8735" w:rsidR="00BB5489" w:rsidRDefault="008808DB">
          <w:pPr>
            <w:pStyle w:val="TOC2"/>
            <w:tabs>
              <w:tab w:val="right" w:leader="dot" w:pos="9016"/>
            </w:tabs>
            <w:rPr>
              <w:noProof/>
              <w:lang w:eastAsia="en-AU"/>
            </w:rPr>
          </w:pPr>
          <w:hyperlink w:anchor="_Toc23841423" w:history="1">
            <w:r w:rsidR="00BB5489" w:rsidRPr="009676A7">
              <w:rPr>
                <w:rStyle w:val="Hyperlink"/>
                <w:noProof/>
              </w:rPr>
              <w:t>Estimating the effects of TtW</w:t>
            </w:r>
            <w:r w:rsidR="00BB5489">
              <w:rPr>
                <w:noProof/>
                <w:webHidden/>
              </w:rPr>
              <w:tab/>
            </w:r>
            <w:r w:rsidR="00BB5489">
              <w:rPr>
                <w:noProof/>
                <w:webHidden/>
              </w:rPr>
              <w:fldChar w:fldCharType="begin"/>
            </w:r>
            <w:r w:rsidR="00BB5489">
              <w:rPr>
                <w:noProof/>
                <w:webHidden/>
              </w:rPr>
              <w:instrText xml:space="preserve"> PAGEREF _Toc23841423 \h </w:instrText>
            </w:r>
            <w:r w:rsidR="00BB5489">
              <w:rPr>
                <w:noProof/>
                <w:webHidden/>
              </w:rPr>
            </w:r>
            <w:r w:rsidR="00BB5489">
              <w:rPr>
                <w:noProof/>
                <w:webHidden/>
              </w:rPr>
              <w:fldChar w:fldCharType="separate"/>
            </w:r>
            <w:r w:rsidR="00BB5489">
              <w:rPr>
                <w:noProof/>
                <w:webHidden/>
              </w:rPr>
              <w:t>113</w:t>
            </w:r>
            <w:r w:rsidR="00BB5489">
              <w:rPr>
                <w:noProof/>
                <w:webHidden/>
              </w:rPr>
              <w:fldChar w:fldCharType="end"/>
            </w:r>
          </w:hyperlink>
        </w:p>
        <w:p w14:paraId="2C00A691" w14:textId="4F997702" w:rsidR="00BB5489" w:rsidRDefault="008808DB">
          <w:pPr>
            <w:pStyle w:val="TOC1"/>
            <w:tabs>
              <w:tab w:val="right" w:leader="dot" w:pos="9016"/>
            </w:tabs>
            <w:rPr>
              <w:noProof/>
              <w:lang w:eastAsia="en-AU"/>
            </w:rPr>
          </w:pPr>
          <w:hyperlink w:anchor="_Toc23841424" w:history="1">
            <w:r w:rsidR="00BB5489" w:rsidRPr="009676A7">
              <w:rPr>
                <w:rStyle w:val="Hyperlink"/>
                <w:noProof/>
              </w:rPr>
              <w:t>Appendix D — TtW outcome types</w:t>
            </w:r>
            <w:r w:rsidR="00BB5489">
              <w:rPr>
                <w:noProof/>
                <w:webHidden/>
              </w:rPr>
              <w:tab/>
            </w:r>
            <w:r w:rsidR="00BB5489">
              <w:rPr>
                <w:noProof/>
                <w:webHidden/>
              </w:rPr>
              <w:fldChar w:fldCharType="begin"/>
            </w:r>
            <w:r w:rsidR="00BB5489">
              <w:rPr>
                <w:noProof/>
                <w:webHidden/>
              </w:rPr>
              <w:instrText xml:space="preserve"> PAGEREF _Toc23841424 \h </w:instrText>
            </w:r>
            <w:r w:rsidR="00BB5489">
              <w:rPr>
                <w:noProof/>
                <w:webHidden/>
              </w:rPr>
            </w:r>
            <w:r w:rsidR="00BB5489">
              <w:rPr>
                <w:noProof/>
                <w:webHidden/>
              </w:rPr>
              <w:fldChar w:fldCharType="separate"/>
            </w:r>
            <w:r w:rsidR="00BB5489">
              <w:rPr>
                <w:noProof/>
                <w:webHidden/>
              </w:rPr>
              <w:t>117</w:t>
            </w:r>
            <w:r w:rsidR="00BB5489">
              <w:rPr>
                <w:noProof/>
                <w:webHidden/>
              </w:rPr>
              <w:fldChar w:fldCharType="end"/>
            </w:r>
          </w:hyperlink>
        </w:p>
        <w:p w14:paraId="3002CD29" w14:textId="2A251485" w:rsidR="00BB5489" w:rsidRDefault="008808DB">
          <w:pPr>
            <w:pStyle w:val="TOC1"/>
            <w:tabs>
              <w:tab w:val="right" w:leader="dot" w:pos="9016"/>
            </w:tabs>
            <w:rPr>
              <w:noProof/>
              <w:lang w:eastAsia="en-AU"/>
            </w:rPr>
          </w:pPr>
          <w:hyperlink w:anchor="_Toc23841425" w:history="1">
            <w:r w:rsidR="00BB5489" w:rsidRPr="009676A7">
              <w:rPr>
                <w:rStyle w:val="Hyperlink"/>
                <w:noProof/>
              </w:rPr>
              <w:t>Appendix E — Education activity types in TtW</w:t>
            </w:r>
            <w:r w:rsidR="00BB5489">
              <w:rPr>
                <w:noProof/>
                <w:webHidden/>
              </w:rPr>
              <w:tab/>
            </w:r>
            <w:r w:rsidR="00BB5489">
              <w:rPr>
                <w:noProof/>
                <w:webHidden/>
              </w:rPr>
              <w:fldChar w:fldCharType="begin"/>
            </w:r>
            <w:r w:rsidR="00BB5489">
              <w:rPr>
                <w:noProof/>
                <w:webHidden/>
              </w:rPr>
              <w:instrText xml:space="preserve"> PAGEREF _Toc23841425 \h </w:instrText>
            </w:r>
            <w:r w:rsidR="00BB5489">
              <w:rPr>
                <w:noProof/>
                <w:webHidden/>
              </w:rPr>
            </w:r>
            <w:r w:rsidR="00BB5489">
              <w:rPr>
                <w:noProof/>
                <w:webHidden/>
              </w:rPr>
              <w:fldChar w:fldCharType="separate"/>
            </w:r>
            <w:r w:rsidR="00BB5489">
              <w:rPr>
                <w:noProof/>
                <w:webHidden/>
              </w:rPr>
              <w:t>119</w:t>
            </w:r>
            <w:r w:rsidR="00BB5489">
              <w:rPr>
                <w:noProof/>
                <w:webHidden/>
              </w:rPr>
              <w:fldChar w:fldCharType="end"/>
            </w:r>
          </w:hyperlink>
        </w:p>
        <w:p w14:paraId="7685787B" w14:textId="33A60EB5" w:rsidR="00BB5489" w:rsidRDefault="008808DB">
          <w:pPr>
            <w:pStyle w:val="TOC1"/>
            <w:tabs>
              <w:tab w:val="right" w:leader="dot" w:pos="9016"/>
            </w:tabs>
            <w:rPr>
              <w:noProof/>
              <w:lang w:eastAsia="en-AU"/>
            </w:rPr>
          </w:pPr>
          <w:hyperlink w:anchor="_Toc23841426" w:history="1">
            <w:r w:rsidR="00BB5489" w:rsidRPr="009676A7">
              <w:rPr>
                <w:rStyle w:val="Hyperlink"/>
                <w:noProof/>
              </w:rPr>
              <w:t>Appendix F — Labour market attachment and positive outcome measures</w:t>
            </w:r>
            <w:r w:rsidR="00BB5489">
              <w:rPr>
                <w:noProof/>
                <w:webHidden/>
              </w:rPr>
              <w:tab/>
            </w:r>
            <w:r w:rsidR="00BB5489">
              <w:rPr>
                <w:noProof/>
                <w:webHidden/>
              </w:rPr>
              <w:fldChar w:fldCharType="begin"/>
            </w:r>
            <w:r w:rsidR="00BB5489">
              <w:rPr>
                <w:noProof/>
                <w:webHidden/>
              </w:rPr>
              <w:instrText xml:space="preserve"> PAGEREF _Toc23841426 \h </w:instrText>
            </w:r>
            <w:r w:rsidR="00BB5489">
              <w:rPr>
                <w:noProof/>
                <w:webHidden/>
              </w:rPr>
            </w:r>
            <w:r w:rsidR="00BB5489">
              <w:rPr>
                <w:noProof/>
                <w:webHidden/>
              </w:rPr>
              <w:fldChar w:fldCharType="separate"/>
            </w:r>
            <w:r w:rsidR="00BB5489">
              <w:rPr>
                <w:noProof/>
                <w:webHidden/>
              </w:rPr>
              <w:t>120</w:t>
            </w:r>
            <w:r w:rsidR="00BB5489">
              <w:rPr>
                <w:noProof/>
                <w:webHidden/>
              </w:rPr>
              <w:fldChar w:fldCharType="end"/>
            </w:r>
          </w:hyperlink>
        </w:p>
        <w:p w14:paraId="796BF7AC" w14:textId="4D567F96" w:rsidR="00BB5489" w:rsidRDefault="008808DB">
          <w:pPr>
            <w:pStyle w:val="TOC2"/>
            <w:tabs>
              <w:tab w:val="right" w:leader="dot" w:pos="9016"/>
            </w:tabs>
            <w:rPr>
              <w:noProof/>
              <w:lang w:eastAsia="en-AU"/>
            </w:rPr>
          </w:pPr>
          <w:hyperlink w:anchor="_Toc23841427" w:history="1">
            <w:r w:rsidR="00BB5489" w:rsidRPr="009676A7">
              <w:rPr>
                <w:rStyle w:val="Hyperlink"/>
                <w:noProof/>
              </w:rPr>
              <w:t>Constructing the labour market attachment measure</w:t>
            </w:r>
            <w:r w:rsidR="00BB5489">
              <w:rPr>
                <w:noProof/>
                <w:webHidden/>
              </w:rPr>
              <w:tab/>
            </w:r>
            <w:r w:rsidR="00BB5489">
              <w:rPr>
                <w:noProof/>
                <w:webHidden/>
              </w:rPr>
              <w:fldChar w:fldCharType="begin"/>
            </w:r>
            <w:r w:rsidR="00BB5489">
              <w:rPr>
                <w:noProof/>
                <w:webHidden/>
              </w:rPr>
              <w:instrText xml:space="preserve"> PAGEREF _Toc23841427 \h </w:instrText>
            </w:r>
            <w:r w:rsidR="00BB5489">
              <w:rPr>
                <w:noProof/>
                <w:webHidden/>
              </w:rPr>
            </w:r>
            <w:r w:rsidR="00BB5489">
              <w:rPr>
                <w:noProof/>
                <w:webHidden/>
              </w:rPr>
              <w:fldChar w:fldCharType="separate"/>
            </w:r>
            <w:r w:rsidR="00BB5489">
              <w:rPr>
                <w:noProof/>
                <w:webHidden/>
              </w:rPr>
              <w:t>120</w:t>
            </w:r>
            <w:r w:rsidR="00BB5489">
              <w:rPr>
                <w:noProof/>
                <w:webHidden/>
              </w:rPr>
              <w:fldChar w:fldCharType="end"/>
            </w:r>
          </w:hyperlink>
        </w:p>
        <w:p w14:paraId="3E097E64" w14:textId="1A3513B9" w:rsidR="00BB5489" w:rsidRDefault="008808DB">
          <w:pPr>
            <w:pStyle w:val="TOC2"/>
            <w:tabs>
              <w:tab w:val="right" w:leader="dot" w:pos="9016"/>
            </w:tabs>
            <w:rPr>
              <w:noProof/>
              <w:lang w:eastAsia="en-AU"/>
            </w:rPr>
          </w:pPr>
          <w:hyperlink w:anchor="_Toc23841428" w:history="1">
            <w:r w:rsidR="00BB5489" w:rsidRPr="009676A7">
              <w:rPr>
                <w:rStyle w:val="Hyperlink"/>
                <w:noProof/>
              </w:rPr>
              <w:t>Logistic regression modelling</w:t>
            </w:r>
            <w:r w:rsidR="00BB5489">
              <w:rPr>
                <w:noProof/>
                <w:webHidden/>
              </w:rPr>
              <w:tab/>
            </w:r>
            <w:r w:rsidR="00BB5489">
              <w:rPr>
                <w:noProof/>
                <w:webHidden/>
              </w:rPr>
              <w:fldChar w:fldCharType="begin"/>
            </w:r>
            <w:r w:rsidR="00BB5489">
              <w:rPr>
                <w:noProof/>
                <w:webHidden/>
              </w:rPr>
              <w:instrText xml:space="preserve"> PAGEREF _Toc23841428 \h </w:instrText>
            </w:r>
            <w:r w:rsidR="00BB5489">
              <w:rPr>
                <w:noProof/>
                <w:webHidden/>
              </w:rPr>
            </w:r>
            <w:r w:rsidR="00BB5489">
              <w:rPr>
                <w:noProof/>
                <w:webHidden/>
              </w:rPr>
              <w:fldChar w:fldCharType="separate"/>
            </w:r>
            <w:r w:rsidR="00BB5489">
              <w:rPr>
                <w:noProof/>
                <w:webHidden/>
              </w:rPr>
              <w:t>120</w:t>
            </w:r>
            <w:r w:rsidR="00BB5489">
              <w:rPr>
                <w:noProof/>
                <w:webHidden/>
              </w:rPr>
              <w:fldChar w:fldCharType="end"/>
            </w:r>
          </w:hyperlink>
        </w:p>
        <w:p w14:paraId="0D429461" w14:textId="436B65A0" w:rsidR="00BB5489" w:rsidRDefault="008808DB">
          <w:pPr>
            <w:pStyle w:val="TOC1"/>
            <w:tabs>
              <w:tab w:val="right" w:leader="dot" w:pos="9016"/>
            </w:tabs>
            <w:rPr>
              <w:noProof/>
              <w:lang w:eastAsia="en-AU"/>
            </w:rPr>
          </w:pPr>
          <w:hyperlink w:anchor="_Toc23841429" w:history="1">
            <w:r w:rsidR="00BB5489" w:rsidRPr="009676A7">
              <w:rPr>
                <w:rStyle w:val="Hyperlink"/>
                <w:noProof/>
              </w:rPr>
              <w:t>Appendix G — Qualitative study discussion and locations</w:t>
            </w:r>
            <w:r w:rsidR="00BB5489">
              <w:rPr>
                <w:noProof/>
                <w:webHidden/>
              </w:rPr>
              <w:tab/>
            </w:r>
            <w:r w:rsidR="00BB5489">
              <w:rPr>
                <w:noProof/>
                <w:webHidden/>
              </w:rPr>
              <w:fldChar w:fldCharType="begin"/>
            </w:r>
            <w:r w:rsidR="00BB5489">
              <w:rPr>
                <w:noProof/>
                <w:webHidden/>
              </w:rPr>
              <w:instrText xml:space="preserve"> PAGEREF _Toc23841429 \h </w:instrText>
            </w:r>
            <w:r w:rsidR="00BB5489">
              <w:rPr>
                <w:noProof/>
                <w:webHidden/>
              </w:rPr>
            </w:r>
            <w:r w:rsidR="00BB5489">
              <w:rPr>
                <w:noProof/>
                <w:webHidden/>
              </w:rPr>
              <w:fldChar w:fldCharType="separate"/>
            </w:r>
            <w:r w:rsidR="00BB5489">
              <w:rPr>
                <w:noProof/>
                <w:webHidden/>
              </w:rPr>
              <w:t>124</w:t>
            </w:r>
            <w:r w:rsidR="00BB5489">
              <w:rPr>
                <w:noProof/>
                <w:webHidden/>
              </w:rPr>
              <w:fldChar w:fldCharType="end"/>
            </w:r>
          </w:hyperlink>
        </w:p>
        <w:p w14:paraId="4E42FCBE" w14:textId="7EDFA95B" w:rsidR="00BB5489" w:rsidRDefault="008808DB">
          <w:pPr>
            <w:pStyle w:val="TOC2"/>
            <w:tabs>
              <w:tab w:val="right" w:leader="dot" w:pos="9016"/>
            </w:tabs>
            <w:rPr>
              <w:noProof/>
              <w:lang w:eastAsia="en-AU"/>
            </w:rPr>
          </w:pPr>
          <w:hyperlink w:anchor="_Toc23841430" w:history="1">
            <w:r w:rsidR="00BB5489" w:rsidRPr="009676A7">
              <w:rPr>
                <w:rStyle w:val="Hyperlink"/>
                <w:noProof/>
              </w:rPr>
              <w:t>Questions guiding discussion on operational aspects of TtW post implementation</w:t>
            </w:r>
            <w:r w:rsidR="00BB5489">
              <w:rPr>
                <w:noProof/>
                <w:webHidden/>
              </w:rPr>
              <w:tab/>
            </w:r>
            <w:r w:rsidR="00BB5489">
              <w:rPr>
                <w:noProof/>
                <w:webHidden/>
              </w:rPr>
              <w:fldChar w:fldCharType="begin"/>
            </w:r>
            <w:r w:rsidR="00BB5489">
              <w:rPr>
                <w:noProof/>
                <w:webHidden/>
              </w:rPr>
              <w:instrText xml:space="preserve"> PAGEREF _Toc23841430 \h </w:instrText>
            </w:r>
            <w:r w:rsidR="00BB5489">
              <w:rPr>
                <w:noProof/>
                <w:webHidden/>
              </w:rPr>
            </w:r>
            <w:r w:rsidR="00BB5489">
              <w:rPr>
                <w:noProof/>
                <w:webHidden/>
              </w:rPr>
              <w:fldChar w:fldCharType="separate"/>
            </w:r>
            <w:r w:rsidR="00BB5489">
              <w:rPr>
                <w:noProof/>
                <w:webHidden/>
              </w:rPr>
              <w:t>124</w:t>
            </w:r>
            <w:r w:rsidR="00BB5489">
              <w:rPr>
                <w:noProof/>
                <w:webHidden/>
              </w:rPr>
              <w:fldChar w:fldCharType="end"/>
            </w:r>
          </w:hyperlink>
        </w:p>
        <w:p w14:paraId="7AE6E501" w14:textId="028C5DE8" w:rsidR="00BB5489" w:rsidRDefault="008808DB">
          <w:pPr>
            <w:pStyle w:val="TOC1"/>
            <w:tabs>
              <w:tab w:val="right" w:leader="dot" w:pos="9016"/>
            </w:tabs>
            <w:rPr>
              <w:noProof/>
              <w:lang w:eastAsia="en-AU"/>
            </w:rPr>
          </w:pPr>
          <w:hyperlink w:anchor="_Toc23841431" w:history="1">
            <w:r w:rsidR="00BB5489" w:rsidRPr="009676A7">
              <w:rPr>
                <w:rStyle w:val="Hyperlink"/>
                <w:noProof/>
              </w:rPr>
              <w:t>Appendix H — Income support and reported earnings status</w:t>
            </w:r>
            <w:r w:rsidR="00BB5489">
              <w:rPr>
                <w:noProof/>
                <w:webHidden/>
              </w:rPr>
              <w:tab/>
            </w:r>
            <w:r w:rsidR="00BB5489">
              <w:rPr>
                <w:noProof/>
                <w:webHidden/>
              </w:rPr>
              <w:fldChar w:fldCharType="begin"/>
            </w:r>
            <w:r w:rsidR="00BB5489">
              <w:rPr>
                <w:noProof/>
                <w:webHidden/>
              </w:rPr>
              <w:instrText xml:space="preserve"> PAGEREF _Toc23841431 \h </w:instrText>
            </w:r>
            <w:r w:rsidR="00BB5489">
              <w:rPr>
                <w:noProof/>
                <w:webHidden/>
              </w:rPr>
            </w:r>
            <w:r w:rsidR="00BB5489">
              <w:rPr>
                <w:noProof/>
                <w:webHidden/>
              </w:rPr>
              <w:fldChar w:fldCharType="separate"/>
            </w:r>
            <w:r w:rsidR="00BB5489">
              <w:rPr>
                <w:noProof/>
                <w:webHidden/>
              </w:rPr>
              <w:t>125</w:t>
            </w:r>
            <w:r w:rsidR="00BB5489">
              <w:rPr>
                <w:noProof/>
                <w:webHidden/>
              </w:rPr>
              <w:fldChar w:fldCharType="end"/>
            </w:r>
          </w:hyperlink>
        </w:p>
        <w:p w14:paraId="06EC4B5B" w14:textId="7555CD93" w:rsidR="00BB5489" w:rsidRDefault="008808DB">
          <w:pPr>
            <w:pStyle w:val="TOC2"/>
            <w:tabs>
              <w:tab w:val="right" w:leader="dot" w:pos="9016"/>
            </w:tabs>
            <w:rPr>
              <w:noProof/>
              <w:lang w:eastAsia="en-AU"/>
            </w:rPr>
          </w:pPr>
          <w:hyperlink w:anchor="_Toc23841432" w:history="1">
            <w:r w:rsidR="00BB5489" w:rsidRPr="009676A7">
              <w:rPr>
                <w:rStyle w:val="Hyperlink"/>
                <w:noProof/>
              </w:rPr>
              <w:t>TtW participants had a slightly lower rate of exiting income support, and this may be attributed to their higher level of engagement in education and training activities</w:t>
            </w:r>
            <w:r w:rsidR="00BB5489">
              <w:rPr>
                <w:noProof/>
                <w:webHidden/>
              </w:rPr>
              <w:tab/>
            </w:r>
            <w:r w:rsidR="00BB5489">
              <w:rPr>
                <w:noProof/>
                <w:webHidden/>
              </w:rPr>
              <w:fldChar w:fldCharType="begin"/>
            </w:r>
            <w:r w:rsidR="00BB5489">
              <w:rPr>
                <w:noProof/>
                <w:webHidden/>
              </w:rPr>
              <w:instrText xml:space="preserve"> PAGEREF _Toc23841432 \h </w:instrText>
            </w:r>
            <w:r w:rsidR="00BB5489">
              <w:rPr>
                <w:noProof/>
                <w:webHidden/>
              </w:rPr>
            </w:r>
            <w:r w:rsidR="00BB5489">
              <w:rPr>
                <w:noProof/>
                <w:webHidden/>
              </w:rPr>
              <w:fldChar w:fldCharType="separate"/>
            </w:r>
            <w:r w:rsidR="00BB5489">
              <w:rPr>
                <w:noProof/>
                <w:webHidden/>
              </w:rPr>
              <w:t>125</w:t>
            </w:r>
            <w:r w:rsidR="00BB5489">
              <w:rPr>
                <w:noProof/>
                <w:webHidden/>
              </w:rPr>
              <w:fldChar w:fldCharType="end"/>
            </w:r>
          </w:hyperlink>
        </w:p>
        <w:p w14:paraId="32139C6E" w14:textId="0063DD36" w:rsidR="00BB5489" w:rsidRDefault="008808DB">
          <w:pPr>
            <w:pStyle w:val="TOC2"/>
            <w:tabs>
              <w:tab w:val="right" w:leader="dot" w:pos="9016"/>
            </w:tabs>
            <w:rPr>
              <w:noProof/>
              <w:lang w:eastAsia="en-AU"/>
            </w:rPr>
          </w:pPr>
          <w:hyperlink w:anchor="_Toc23841433" w:history="1">
            <w:r w:rsidR="00BB5489" w:rsidRPr="009676A7">
              <w:rPr>
                <w:rStyle w:val="Hyperlink"/>
                <w:noProof/>
              </w:rPr>
              <w:t>Low earnings among young people meant that few went off income support or reduced their income support payments significantly</w:t>
            </w:r>
            <w:r w:rsidR="00BB5489">
              <w:rPr>
                <w:noProof/>
                <w:webHidden/>
              </w:rPr>
              <w:tab/>
            </w:r>
            <w:r w:rsidR="00BB5489">
              <w:rPr>
                <w:noProof/>
                <w:webHidden/>
              </w:rPr>
              <w:fldChar w:fldCharType="begin"/>
            </w:r>
            <w:r w:rsidR="00BB5489">
              <w:rPr>
                <w:noProof/>
                <w:webHidden/>
              </w:rPr>
              <w:instrText xml:space="preserve"> PAGEREF _Toc23841433 \h </w:instrText>
            </w:r>
            <w:r w:rsidR="00BB5489">
              <w:rPr>
                <w:noProof/>
                <w:webHidden/>
              </w:rPr>
            </w:r>
            <w:r w:rsidR="00BB5489">
              <w:rPr>
                <w:noProof/>
                <w:webHidden/>
              </w:rPr>
              <w:fldChar w:fldCharType="separate"/>
            </w:r>
            <w:r w:rsidR="00BB5489">
              <w:rPr>
                <w:noProof/>
                <w:webHidden/>
              </w:rPr>
              <w:t>126</w:t>
            </w:r>
            <w:r w:rsidR="00BB5489">
              <w:rPr>
                <w:noProof/>
                <w:webHidden/>
              </w:rPr>
              <w:fldChar w:fldCharType="end"/>
            </w:r>
          </w:hyperlink>
        </w:p>
        <w:p w14:paraId="3564EE8B" w14:textId="0ACD60F8" w:rsidR="00BB5489" w:rsidRDefault="008808DB">
          <w:pPr>
            <w:pStyle w:val="TOC2"/>
            <w:tabs>
              <w:tab w:val="right" w:leader="dot" w:pos="9016"/>
            </w:tabs>
            <w:rPr>
              <w:noProof/>
              <w:lang w:eastAsia="en-AU"/>
            </w:rPr>
          </w:pPr>
          <w:hyperlink w:anchor="_Toc23841434" w:history="1">
            <w:r w:rsidR="00BB5489" w:rsidRPr="009676A7">
              <w:rPr>
                <w:rStyle w:val="Hyperlink"/>
                <w:noProof/>
              </w:rPr>
              <w:t>After six months in services there was little difference in earnings and income support reliance between TtW and jobactive</w:t>
            </w:r>
            <w:r w:rsidR="00BB5489">
              <w:rPr>
                <w:noProof/>
                <w:webHidden/>
              </w:rPr>
              <w:tab/>
            </w:r>
            <w:r w:rsidR="00BB5489">
              <w:rPr>
                <w:noProof/>
                <w:webHidden/>
              </w:rPr>
              <w:fldChar w:fldCharType="begin"/>
            </w:r>
            <w:r w:rsidR="00BB5489">
              <w:rPr>
                <w:noProof/>
                <w:webHidden/>
              </w:rPr>
              <w:instrText xml:space="preserve"> PAGEREF _Toc23841434 \h </w:instrText>
            </w:r>
            <w:r w:rsidR="00BB5489">
              <w:rPr>
                <w:noProof/>
                <w:webHidden/>
              </w:rPr>
            </w:r>
            <w:r w:rsidR="00BB5489">
              <w:rPr>
                <w:noProof/>
                <w:webHidden/>
              </w:rPr>
              <w:fldChar w:fldCharType="separate"/>
            </w:r>
            <w:r w:rsidR="00BB5489">
              <w:rPr>
                <w:noProof/>
                <w:webHidden/>
              </w:rPr>
              <w:t>128</w:t>
            </w:r>
            <w:r w:rsidR="00BB5489">
              <w:rPr>
                <w:noProof/>
                <w:webHidden/>
              </w:rPr>
              <w:fldChar w:fldCharType="end"/>
            </w:r>
          </w:hyperlink>
        </w:p>
        <w:p w14:paraId="7C202861" w14:textId="3291F0CF" w:rsidR="00BB5489" w:rsidRDefault="008808DB">
          <w:pPr>
            <w:pStyle w:val="TOC1"/>
            <w:tabs>
              <w:tab w:val="right" w:leader="dot" w:pos="9016"/>
            </w:tabs>
            <w:rPr>
              <w:noProof/>
              <w:lang w:eastAsia="en-AU"/>
            </w:rPr>
          </w:pPr>
          <w:hyperlink w:anchor="_Toc23841435" w:history="1">
            <w:r w:rsidR="00BB5489" w:rsidRPr="009676A7">
              <w:rPr>
                <w:rStyle w:val="Hyperlink"/>
                <w:noProof/>
              </w:rPr>
              <w:t>End notes</w:t>
            </w:r>
            <w:r w:rsidR="00BB5489">
              <w:rPr>
                <w:noProof/>
                <w:webHidden/>
              </w:rPr>
              <w:tab/>
            </w:r>
            <w:r w:rsidR="00BB5489">
              <w:rPr>
                <w:noProof/>
                <w:webHidden/>
              </w:rPr>
              <w:fldChar w:fldCharType="begin"/>
            </w:r>
            <w:r w:rsidR="00BB5489">
              <w:rPr>
                <w:noProof/>
                <w:webHidden/>
              </w:rPr>
              <w:instrText xml:space="preserve"> PAGEREF _Toc23841435 \h </w:instrText>
            </w:r>
            <w:r w:rsidR="00BB5489">
              <w:rPr>
                <w:noProof/>
                <w:webHidden/>
              </w:rPr>
            </w:r>
            <w:r w:rsidR="00BB5489">
              <w:rPr>
                <w:noProof/>
                <w:webHidden/>
              </w:rPr>
              <w:fldChar w:fldCharType="separate"/>
            </w:r>
            <w:r w:rsidR="00BB5489">
              <w:rPr>
                <w:noProof/>
                <w:webHidden/>
              </w:rPr>
              <w:t>130</w:t>
            </w:r>
            <w:r w:rsidR="00BB5489">
              <w:rPr>
                <w:noProof/>
                <w:webHidden/>
              </w:rPr>
              <w:fldChar w:fldCharType="end"/>
            </w:r>
          </w:hyperlink>
        </w:p>
        <w:p w14:paraId="0145C757" w14:textId="02AE769D" w:rsidR="002B3DC2" w:rsidRPr="003C539C" w:rsidRDefault="002D49E6" w:rsidP="00B050B7">
          <w:r>
            <w:fldChar w:fldCharType="end"/>
          </w:r>
        </w:p>
      </w:sdtContent>
    </w:sdt>
    <w:p w14:paraId="6CFCF712" w14:textId="77777777" w:rsidR="00CC4E3D" w:rsidRDefault="00CC4E3D" w:rsidP="00CC4E3D">
      <w:pPr>
        <w:rPr>
          <w:b/>
        </w:rPr>
      </w:pPr>
      <w:r>
        <w:rPr>
          <w:b/>
        </w:rPr>
        <w:br w:type="page"/>
      </w:r>
    </w:p>
    <w:p w14:paraId="3F9F5CA9" w14:textId="77777777" w:rsidR="00CC4E3D" w:rsidRPr="00447B94" w:rsidRDefault="00CC4E3D" w:rsidP="00CC4E3D">
      <w:pPr>
        <w:rPr>
          <w:sz w:val="20"/>
          <w:szCs w:val="20"/>
        </w:rPr>
        <w:sectPr w:rsidR="00CC4E3D" w:rsidRPr="00447B94" w:rsidSect="00CC4E3D">
          <w:pgSz w:w="11906" w:h="16838"/>
          <w:pgMar w:top="1843" w:right="1440" w:bottom="1440" w:left="1440" w:header="709" w:footer="709" w:gutter="0"/>
          <w:cols w:space="708"/>
          <w:docGrid w:linePitch="360"/>
        </w:sectPr>
      </w:pPr>
    </w:p>
    <w:p w14:paraId="5FB28CCB" w14:textId="77777777" w:rsidR="00CC4E3D" w:rsidRDefault="00CC4E3D" w:rsidP="00CC4E3D">
      <w:pPr>
        <w:pStyle w:val="Heading1"/>
        <w:spacing w:after="240"/>
      </w:pPr>
      <w:bookmarkStart w:id="1" w:name="_Toc535498834"/>
      <w:bookmarkStart w:id="2" w:name="_Toc23841314"/>
      <w:r>
        <w:lastRenderedPageBreak/>
        <w:t>List of tables</w:t>
      </w:r>
      <w:bookmarkEnd w:id="1"/>
      <w:bookmarkEnd w:id="2"/>
    </w:p>
    <w:p w14:paraId="5B4699F3" w14:textId="18A8F992" w:rsidR="00BB5489" w:rsidRDefault="00CC4E3D">
      <w:pPr>
        <w:pStyle w:val="TableofFigures"/>
        <w:tabs>
          <w:tab w:val="right" w:pos="9016"/>
        </w:tabs>
        <w:rPr>
          <w:rFonts w:cstheme="minorBidi"/>
          <w:noProof/>
          <w:szCs w:val="22"/>
          <w:lang w:eastAsia="en-AU"/>
        </w:rPr>
      </w:pPr>
      <w:r>
        <w:fldChar w:fldCharType="begin"/>
      </w:r>
      <w:r>
        <w:instrText xml:space="preserve"> TOC \f f \h \z \c "Table" </w:instrText>
      </w:r>
      <w:r>
        <w:fldChar w:fldCharType="separate"/>
      </w:r>
      <w:hyperlink w:anchor="_Toc23841436" w:history="1">
        <w:r w:rsidR="00BB5489" w:rsidRPr="00584C91">
          <w:rPr>
            <w:rStyle w:val="Hyperlink"/>
            <w:noProof/>
          </w:rPr>
          <w:t>Table 2.1</w:t>
        </w:r>
        <w:r w:rsidR="00BB5489">
          <w:rPr>
            <w:rFonts w:cstheme="minorBidi"/>
            <w:noProof/>
            <w:szCs w:val="22"/>
            <w:lang w:eastAsia="en-AU"/>
          </w:rPr>
          <w:tab/>
        </w:r>
        <w:r w:rsidR="00BB5489" w:rsidRPr="00584C91">
          <w:rPr>
            <w:rStyle w:val="Hyperlink"/>
            <w:noProof/>
          </w:rPr>
          <w:t>TtW and jobactive participants on income support at referral and 30 days after referral</w:t>
        </w:r>
        <w:r w:rsidR="00BB5489">
          <w:rPr>
            <w:noProof/>
            <w:webHidden/>
          </w:rPr>
          <w:tab/>
        </w:r>
        <w:r w:rsidR="00BB5489">
          <w:rPr>
            <w:noProof/>
            <w:webHidden/>
          </w:rPr>
          <w:fldChar w:fldCharType="begin"/>
        </w:r>
        <w:r w:rsidR="00BB5489">
          <w:rPr>
            <w:noProof/>
            <w:webHidden/>
          </w:rPr>
          <w:instrText xml:space="preserve"> PAGEREF _Toc23841436 \h </w:instrText>
        </w:r>
        <w:r w:rsidR="00BB5489">
          <w:rPr>
            <w:noProof/>
            <w:webHidden/>
          </w:rPr>
        </w:r>
        <w:r w:rsidR="00BB5489">
          <w:rPr>
            <w:noProof/>
            <w:webHidden/>
          </w:rPr>
          <w:fldChar w:fldCharType="separate"/>
        </w:r>
        <w:r w:rsidR="00BB5489">
          <w:rPr>
            <w:noProof/>
            <w:webHidden/>
          </w:rPr>
          <w:t>39</w:t>
        </w:r>
        <w:r w:rsidR="00BB5489">
          <w:rPr>
            <w:noProof/>
            <w:webHidden/>
          </w:rPr>
          <w:fldChar w:fldCharType="end"/>
        </w:r>
      </w:hyperlink>
    </w:p>
    <w:p w14:paraId="3E8CF7FD" w14:textId="7D7F8639" w:rsidR="00BB5489" w:rsidRDefault="008808DB">
      <w:pPr>
        <w:pStyle w:val="TableofFigures"/>
        <w:tabs>
          <w:tab w:val="right" w:pos="9016"/>
        </w:tabs>
        <w:rPr>
          <w:rFonts w:cstheme="minorBidi"/>
          <w:noProof/>
          <w:szCs w:val="22"/>
          <w:lang w:eastAsia="en-AU"/>
        </w:rPr>
      </w:pPr>
      <w:hyperlink w:anchor="_Toc23841437" w:history="1">
        <w:r w:rsidR="00BB5489" w:rsidRPr="00584C91">
          <w:rPr>
            <w:rStyle w:val="Hyperlink"/>
            <w:noProof/>
          </w:rPr>
          <w:t>Table 3.1</w:t>
        </w:r>
        <w:r w:rsidR="00BB5489">
          <w:rPr>
            <w:rFonts w:cstheme="minorBidi"/>
            <w:noProof/>
            <w:szCs w:val="22"/>
            <w:lang w:eastAsia="en-AU"/>
          </w:rPr>
          <w:tab/>
        </w:r>
        <w:r w:rsidR="00BB5489" w:rsidRPr="00584C91">
          <w:rPr>
            <w:rStyle w:val="Hyperlink"/>
            <w:noProof/>
          </w:rPr>
          <w:t>Phases of TtW rollout</w:t>
        </w:r>
        <w:r w:rsidR="00BB5489">
          <w:rPr>
            <w:noProof/>
            <w:webHidden/>
          </w:rPr>
          <w:tab/>
        </w:r>
        <w:r w:rsidR="00BB5489">
          <w:rPr>
            <w:noProof/>
            <w:webHidden/>
          </w:rPr>
          <w:fldChar w:fldCharType="begin"/>
        </w:r>
        <w:r w:rsidR="00BB5489">
          <w:rPr>
            <w:noProof/>
            <w:webHidden/>
          </w:rPr>
          <w:instrText xml:space="preserve"> PAGEREF _Toc23841437 \h </w:instrText>
        </w:r>
        <w:r w:rsidR="00BB5489">
          <w:rPr>
            <w:noProof/>
            <w:webHidden/>
          </w:rPr>
        </w:r>
        <w:r w:rsidR="00BB5489">
          <w:rPr>
            <w:noProof/>
            <w:webHidden/>
          </w:rPr>
          <w:fldChar w:fldCharType="separate"/>
        </w:r>
        <w:r w:rsidR="00BB5489">
          <w:rPr>
            <w:noProof/>
            <w:webHidden/>
          </w:rPr>
          <w:t>41</w:t>
        </w:r>
        <w:r w:rsidR="00BB5489">
          <w:rPr>
            <w:noProof/>
            <w:webHidden/>
          </w:rPr>
          <w:fldChar w:fldCharType="end"/>
        </w:r>
      </w:hyperlink>
    </w:p>
    <w:p w14:paraId="4112704A" w14:textId="00FF79E6" w:rsidR="00BB5489" w:rsidRDefault="008808DB">
      <w:pPr>
        <w:pStyle w:val="TableofFigures"/>
        <w:tabs>
          <w:tab w:val="right" w:pos="9016"/>
        </w:tabs>
        <w:rPr>
          <w:rFonts w:cstheme="minorBidi"/>
          <w:noProof/>
          <w:szCs w:val="22"/>
          <w:lang w:eastAsia="en-AU"/>
        </w:rPr>
      </w:pPr>
      <w:hyperlink w:anchor="_Toc23841438" w:history="1">
        <w:r w:rsidR="00BB5489" w:rsidRPr="00584C91">
          <w:rPr>
            <w:rStyle w:val="Hyperlink"/>
            <w:noProof/>
          </w:rPr>
          <w:t>Table 3.2</w:t>
        </w:r>
        <w:r w:rsidR="00BB5489">
          <w:rPr>
            <w:rFonts w:cstheme="minorBidi"/>
            <w:noProof/>
            <w:szCs w:val="22"/>
            <w:lang w:eastAsia="en-AU"/>
          </w:rPr>
          <w:tab/>
        </w:r>
        <w:r w:rsidR="00BB5489" w:rsidRPr="00584C91">
          <w:rPr>
            <w:rStyle w:val="Hyperlink"/>
            <w:noProof/>
          </w:rPr>
          <w:t>Referral paths of the three target groups</w:t>
        </w:r>
        <w:r w:rsidR="00BB5489">
          <w:rPr>
            <w:noProof/>
            <w:webHidden/>
          </w:rPr>
          <w:tab/>
        </w:r>
        <w:r w:rsidR="00BB5489">
          <w:rPr>
            <w:noProof/>
            <w:webHidden/>
          </w:rPr>
          <w:fldChar w:fldCharType="begin"/>
        </w:r>
        <w:r w:rsidR="00BB5489">
          <w:rPr>
            <w:noProof/>
            <w:webHidden/>
          </w:rPr>
          <w:instrText xml:space="preserve"> PAGEREF _Toc23841438 \h </w:instrText>
        </w:r>
        <w:r w:rsidR="00BB5489">
          <w:rPr>
            <w:noProof/>
            <w:webHidden/>
          </w:rPr>
        </w:r>
        <w:r w:rsidR="00BB5489">
          <w:rPr>
            <w:noProof/>
            <w:webHidden/>
          </w:rPr>
          <w:fldChar w:fldCharType="separate"/>
        </w:r>
        <w:r w:rsidR="00BB5489">
          <w:rPr>
            <w:noProof/>
            <w:webHidden/>
          </w:rPr>
          <w:t>52</w:t>
        </w:r>
        <w:r w:rsidR="00BB5489">
          <w:rPr>
            <w:noProof/>
            <w:webHidden/>
          </w:rPr>
          <w:fldChar w:fldCharType="end"/>
        </w:r>
      </w:hyperlink>
    </w:p>
    <w:p w14:paraId="7B6A9661" w14:textId="1DCD50CE" w:rsidR="00BB5489" w:rsidRDefault="008808DB">
      <w:pPr>
        <w:pStyle w:val="TableofFigures"/>
        <w:tabs>
          <w:tab w:val="right" w:pos="9016"/>
        </w:tabs>
        <w:rPr>
          <w:rFonts w:cstheme="minorBidi"/>
          <w:noProof/>
          <w:szCs w:val="22"/>
          <w:lang w:eastAsia="en-AU"/>
        </w:rPr>
      </w:pPr>
      <w:hyperlink w:anchor="_Toc23841439" w:history="1">
        <w:r w:rsidR="00BB5489" w:rsidRPr="00584C91">
          <w:rPr>
            <w:rStyle w:val="Hyperlink"/>
            <w:noProof/>
          </w:rPr>
          <w:t>Table 4.1</w:t>
        </w:r>
        <w:r w:rsidR="00BB5489">
          <w:rPr>
            <w:rFonts w:cstheme="minorBidi"/>
            <w:noProof/>
            <w:szCs w:val="22"/>
            <w:lang w:eastAsia="en-AU"/>
          </w:rPr>
          <w:tab/>
        </w:r>
        <w:r w:rsidR="00BB5489" w:rsidRPr="00584C91">
          <w:rPr>
            <w:rStyle w:val="Hyperlink"/>
            <w:noProof/>
          </w:rPr>
          <w:t>Caseload at 31 July 2016 and 31 January 2017</w:t>
        </w:r>
        <w:r w:rsidR="00BB5489">
          <w:rPr>
            <w:noProof/>
            <w:webHidden/>
          </w:rPr>
          <w:tab/>
        </w:r>
        <w:r w:rsidR="00BB5489">
          <w:rPr>
            <w:noProof/>
            <w:webHidden/>
          </w:rPr>
          <w:fldChar w:fldCharType="begin"/>
        </w:r>
        <w:r w:rsidR="00BB5489">
          <w:rPr>
            <w:noProof/>
            <w:webHidden/>
          </w:rPr>
          <w:instrText xml:space="preserve"> PAGEREF _Toc23841439 \h </w:instrText>
        </w:r>
        <w:r w:rsidR="00BB5489">
          <w:rPr>
            <w:noProof/>
            <w:webHidden/>
          </w:rPr>
        </w:r>
        <w:r w:rsidR="00BB5489">
          <w:rPr>
            <w:noProof/>
            <w:webHidden/>
          </w:rPr>
          <w:fldChar w:fldCharType="separate"/>
        </w:r>
        <w:r w:rsidR="00BB5489">
          <w:rPr>
            <w:noProof/>
            <w:webHidden/>
          </w:rPr>
          <w:t>71</w:t>
        </w:r>
        <w:r w:rsidR="00BB5489">
          <w:rPr>
            <w:noProof/>
            <w:webHidden/>
          </w:rPr>
          <w:fldChar w:fldCharType="end"/>
        </w:r>
      </w:hyperlink>
    </w:p>
    <w:p w14:paraId="4317FCBA" w14:textId="7478A982" w:rsidR="00BB5489" w:rsidRDefault="008808DB">
      <w:pPr>
        <w:pStyle w:val="TableofFigures"/>
        <w:tabs>
          <w:tab w:val="right" w:pos="9016"/>
        </w:tabs>
        <w:rPr>
          <w:rFonts w:cstheme="minorBidi"/>
          <w:noProof/>
          <w:szCs w:val="22"/>
          <w:lang w:eastAsia="en-AU"/>
        </w:rPr>
      </w:pPr>
      <w:hyperlink w:anchor="_Toc23841440" w:history="1">
        <w:r w:rsidR="00BB5489" w:rsidRPr="00584C91">
          <w:rPr>
            <w:rStyle w:val="Hyperlink"/>
            <w:noProof/>
          </w:rPr>
          <w:t>Table 4.2</w:t>
        </w:r>
        <w:r w:rsidR="00BB5489">
          <w:rPr>
            <w:rFonts w:cstheme="minorBidi"/>
            <w:noProof/>
            <w:szCs w:val="22"/>
            <w:lang w:eastAsia="en-AU"/>
          </w:rPr>
          <w:tab/>
        </w:r>
        <w:r w:rsidR="00BB5489" w:rsidRPr="00584C91">
          <w:rPr>
            <w:rStyle w:val="Hyperlink"/>
            <w:noProof/>
          </w:rPr>
          <w:t>Initial appointment attendance rates for participants who commenced within 30 days of referral, comparing TtW and the jobactive comparison group</w:t>
        </w:r>
        <w:r w:rsidR="00BB5489">
          <w:rPr>
            <w:noProof/>
            <w:webHidden/>
          </w:rPr>
          <w:tab/>
        </w:r>
        <w:r w:rsidR="00BB5489">
          <w:rPr>
            <w:noProof/>
            <w:webHidden/>
          </w:rPr>
          <w:fldChar w:fldCharType="begin"/>
        </w:r>
        <w:r w:rsidR="00BB5489">
          <w:rPr>
            <w:noProof/>
            <w:webHidden/>
          </w:rPr>
          <w:instrText xml:space="preserve"> PAGEREF _Toc23841440 \h </w:instrText>
        </w:r>
        <w:r w:rsidR="00BB5489">
          <w:rPr>
            <w:noProof/>
            <w:webHidden/>
          </w:rPr>
        </w:r>
        <w:r w:rsidR="00BB5489">
          <w:rPr>
            <w:noProof/>
            <w:webHidden/>
          </w:rPr>
          <w:fldChar w:fldCharType="separate"/>
        </w:r>
        <w:r w:rsidR="00BB5489">
          <w:rPr>
            <w:noProof/>
            <w:webHidden/>
          </w:rPr>
          <w:t>77</w:t>
        </w:r>
        <w:r w:rsidR="00BB5489">
          <w:rPr>
            <w:noProof/>
            <w:webHidden/>
          </w:rPr>
          <w:fldChar w:fldCharType="end"/>
        </w:r>
      </w:hyperlink>
    </w:p>
    <w:p w14:paraId="0A473E38" w14:textId="59C44EE2" w:rsidR="00BB5489" w:rsidRDefault="008808DB">
      <w:pPr>
        <w:pStyle w:val="TableofFigures"/>
        <w:tabs>
          <w:tab w:val="right" w:pos="9016"/>
        </w:tabs>
        <w:rPr>
          <w:rFonts w:cstheme="minorBidi"/>
          <w:noProof/>
          <w:szCs w:val="22"/>
          <w:lang w:eastAsia="en-AU"/>
        </w:rPr>
      </w:pPr>
      <w:hyperlink w:anchor="_Toc23841441" w:history="1">
        <w:r w:rsidR="00BB5489" w:rsidRPr="00584C91">
          <w:rPr>
            <w:rStyle w:val="Hyperlink"/>
            <w:noProof/>
          </w:rPr>
          <w:t>Table 4.3</w:t>
        </w:r>
        <w:r w:rsidR="00BB5489">
          <w:rPr>
            <w:rFonts w:cstheme="minorBidi"/>
            <w:noProof/>
            <w:szCs w:val="22"/>
            <w:lang w:eastAsia="en-AU"/>
          </w:rPr>
          <w:tab/>
        </w:r>
        <w:r w:rsidR="00BB5489" w:rsidRPr="00584C91">
          <w:rPr>
            <w:rStyle w:val="Hyperlink"/>
            <w:noProof/>
            <w:lang w:eastAsia="en-AU"/>
          </w:rPr>
          <w:t>Appointments attended in the first 180 days from commencement, comparing TtW and jobactive</w:t>
        </w:r>
        <w:r w:rsidR="00BB5489">
          <w:rPr>
            <w:noProof/>
            <w:webHidden/>
          </w:rPr>
          <w:tab/>
        </w:r>
        <w:r w:rsidR="00BB5489">
          <w:rPr>
            <w:noProof/>
            <w:webHidden/>
          </w:rPr>
          <w:fldChar w:fldCharType="begin"/>
        </w:r>
        <w:r w:rsidR="00BB5489">
          <w:rPr>
            <w:noProof/>
            <w:webHidden/>
          </w:rPr>
          <w:instrText xml:space="preserve"> PAGEREF _Toc23841441 \h </w:instrText>
        </w:r>
        <w:r w:rsidR="00BB5489">
          <w:rPr>
            <w:noProof/>
            <w:webHidden/>
          </w:rPr>
        </w:r>
        <w:r w:rsidR="00BB5489">
          <w:rPr>
            <w:noProof/>
            <w:webHidden/>
          </w:rPr>
          <w:fldChar w:fldCharType="separate"/>
        </w:r>
        <w:r w:rsidR="00BB5489">
          <w:rPr>
            <w:noProof/>
            <w:webHidden/>
          </w:rPr>
          <w:t>78</w:t>
        </w:r>
        <w:r w:rsidR="00BB5489">
          <w:rPr>
            <w:noProof/>
            <w:webHidden/>
          </w:rPr>
          <w:fldChar w:fldCharType="end"/>
        </w:r>
      </w:hyperlink>
    </w:p>
    <w:p w14:paraId="6A2AAB3B" w14:textId="5BCF42FC" w:rsidR="00BB5489" w:rsidRDefault="008808DB">
      <w:pPr>
        <w:pStyle w:val="TableofFigures"/>
        <w:tabs>
          <w:tab w:val="right" w:pos="9016"/>
        </w:tabs>
        <w:rPr>
          <w:rFonts w:cstheme="minorBidi"/>
          <w:noProof/>
          <w:szCs w:val="22"/>
          <w:lang w:eastAsia="en-AU"/>
        </w:rPr>
      </w:pPr>
      <w:hyperlink w:anchor="_Toc23841442" w:history="1">
        <w:r w:rsidR="00BB5489" w:rsidRPr="00584C91">
          <w:rPr>
            <w:rStyle w:val="Hyperlink"/>
            <w:noProof/>
          </w:rPr>
          <w:t>Table 5.1</w:t>
        </w:r>
        <w:r w:rsidR="00BB5489">
          <w:rPr>
            <w:rFonts w:cstheme="minorBidi"/>
            <w:noProof/>
            <w:szCs w:val="22"/>
            <w:lang w:eastAsia="en-AU"/>
          </w:rPr>
          <w:tab/>
        </w:r>
        <w:r w:rsidR="00BB5489" w:rsidRPr="00584C91">
          <w:rPr>
            <w:rStyle w:val="Hyperlink"/>
            <w:noProof/>
          </w:rPr>
          <w:t>Breakdown of outcomes achieved, by outcome type</w:t>
        </w:r>
        <w:r w:rsidR="00BB5489">
          <w:rPr>
            <w:noProof/>
            <w:webHidden/>
          </w:rPr>
          <w:tab/>
        </w:r>
        <w:r w:rsidR="00BB5489">
          <w:rPr>
            <w:noProof/>
            <w:webHidden/>
          </w:rPr>
          <w:fldChar w:fldCharType="begin"/>
        </w:r>
        <w:r w:rsidR="00BB5489">
          <w:rPr>
            <w:noProof/>
            <w:webHidden/>
          </w:rPr>
          <w:instrText xml:space="preserve"> PAGEREF _Toc23841442 \h </w:instrText>
        </w:r>
        <w:r w:rsidR="00BB5489">
          <w:rPr>
            <w:noProof/>
            <w:webHidden/>
          </w:rPr>
        </w:r>
        <w:r w:rsidR="00BB5489">
          <w:rPr>
            <w:noProof/>
            <w:webHidden/>
          </w:rPr>
          <w:fldChar w:fldCharType="separate"/>
        </w:r>
        <w:r w:rsidR="00BB5489">
          <w:rPr>
            <w:noProof/>
            <w:webHidden/>
          </w:rPr>
          <w:t>97</w:t>
        </w:r>
        <w:r w:rsidR="00BB5489">
          <w:rPr>
            <w:noProof/>
            <w:webHidden/>
          </w:rPr>
          <w:fldChar w:fldCharType="end"/>
        </w:r>
      </w:hyperlink>
    </w:p>
    <w:p w14:paraId="01F7DBD1" w14:textId="43FD82B0" w:rsidR="00BB5489" w:rsidRDefault="008808DB">
      <w:pPr>
        <w:pStyle w:val="TableofFigures"/>
        <w:tabs>
          <w:tab w:val="right" w:pos="9016"/>
        </w:tabs>
        <w:rPr>
          <w:rFonts w:cstheme="minorBidi"/>
          <w:noProof/>
          <w:szCs w:val="22"/>
          <w:lang w:eastAsia="en-AU"/>
        </w:rPr>
      </w:pPr>
      <w:hyperlink w:anchor="_Toc23841443" w:history="1">
        <w:r w:rsidR="00BB5489" w:rsidRPr="00584C91">
          <w:rPr>
            <w:rStyle w:val="Hyperlink"/>
            <w:noProof/>
          </w:rPr>
          <w:t>Table 5.2</w:t>
        </w:r>
        <w:r w:rsidR="00BB5489">
          <w:rPr>
            <w:rFonts w:cstheme="minorBidi"/>
            <w:noProof/>
            <w:szCs w:val="22"/>
            <w:lang w:eastAsia="en-AU"/>
          </w:rPr>
          <w:tab/>
        </w:r>
        <w:r w:rsidR="00BB5489" w:rsidRPr="00584C91">
          <w:rPr>
            <w:rStyle w:val="Hyperlink"/>
            <w:noProof/>
          </w:rPr>
          <w:t>Participation in education and training in the first 180 days after commencement</w:t>
        </w:r>
        <w:r w:rsidR="00BB5489">
          <w:rPr>
            <w:noProof/>
            <w:webHidden/>
          </w:rPr>
          <w:tab/>
        </w:r>
        <w:r w:rsidR="00BB5489">
          <w:rPr>
            <w:noProof/>
            <w:webHidden/>
          </w:rPr>
          <w:fldChar w:fldCharType="begin"/>
        </w:r>
        <w:r w:rsidR="00BB5489">
          <w:rPr>
            <w:noProof/>
            <w:webHidden/>
          </w:rPr>
          <w:instrText xml:space="preserve"> PAGEREF _Toc23841443 \h </w:instrText>
        </w:r>
        <w:r w:rsidR="00BB5489">
          <w:rPr>
            <w:noProof/>
            <w:webHidden/>
          </w:rPr>
        </w:r>
        <w:r w:rsidR="00BB5489">
          <w:rPr>
            <w:noProof/>
            <w:webHidden/>
          </w:rPr>
          <w:fldChar w:fldCharType="separate"/>
        </w:r>
        <w:r w:rsidR="00BB5489">
          <w:rPr>
            <w:noProof/>
            <w:webHidden/>
          </w:rPr>
          <w:t>98</w:t>
        </w:r>
        <w:r w:rsidR="00BB5489">
          <w:rPr>
            <w:noProof/>
            <w:webHidden/>
          </w:rPr>
          <w:fldChar w:fldCharType="end"/>
        </w:r>
      </w:hyperlink>
    </w:p>
    <w:p w14:paraId="1CB88B30" w14:textId="53BCA090" w:rsidR="00BB5489" w:rsidRDefault="008808DB">
      <w:pPr>
        <w:pStyle w:val="TableofFigures"/>
        <w:tabs>
          <w:tab w:val="right" w:pos="9016"/>
        </w:tabs>
        <w:rPr>
          <w:rFonts w:cstheme="minorBidi"/>
          <w:noProof/>
          <w:szCs w:val="22"/>
          <w:lang w:eastAsia="en-AU"/>
        </w:rPr>
      </w:pPr>
      <w:hyperlink w:anchor="_Toc23841444" w:history="1">
        <w:r w:rsidR="00BB5489" w:rsidRPr="00584C91">
          <w:rPr>
            <w:rStyle w:val="Hyperlink"/>
            <w:noProof/>
          </w:rPr>
          <w:t>Table 5.3</w:t>
        </w:r>
        <w:r w:rsidR="00BB5489">
          <w:rPr>
            <w:rFonts w:cstheme="minorBidi"/>
            <w:noProof/>
            <w:szCs w:val="22"/>
            <w:lang w:eastAsia="en-AU"/>
          </w:rPr>
          <w:tab/>
        </w:r>
        <w:r w:rsidR="00BB5489" w:rsidRPr="00584C91">
          <w:rPr>
            <w:rStyle w:val="Hyperlink"/>
            <w:noProof/>
          </w:rPr>
          <w:t>Outcome measures achieved, by month of participation, comparing TtW and jobactive</w:t>
        </w:r>
        <w:r w:rsidR="00BB5489">
          <w:rPr>
            <w:noProof/>
            <w:webHidden/>
          </w:rPr>
          <w:tab/>
        </w:r>
        <w:r w:rsidR="00BB5489">
          <w:rPr>
            <w:noProof/>
            <w:webHidden/>
          </w:rPr>
          <w:fldChar w:fldCharType="begin"/>
        </w:r>
        <w:r w:rsidR="00BB5489">
          <w:rPr>
            <w:noProof/>
            <w:webHidden/>
          </w:rPr>
          <w:instrText xml:space="preserve"> PAGEREF _Toc23841444 \h </w:instrText>
        </w:r>
        <w:r w:rsidR="00BB5489">
          <w:rPr>
            <w:noProof/>
            <w:webHidden/>
          </w:rPr>
        </w:r>
        <w:r w:rsidR="00BB5489">
          <w:rPr>
            <w:noProof/>
            <w:webHidden/>
          </w:rPr>
          <w:fldChar w:fldCharType="separate"/>
        </w:r>
        <w:r w:rsidR="00BB5489">
          <w:rPr>
            <w:noProof/>
            <w:webHidden/>
          </w:rPr>
          <w:t>101</w:t>
        </w:r>
        <w:r w:rsidR="00BB5489">
          <w:rPr>
            <w:noProof/>
            <w:webHidden/>
          </w:rPr>
          <w:fldChar w:fldCharType="end"/>
        </w:r>
      </w:hyperlink>
    </w:p>
    <w:p w14:paraId="6EC074FF" w14:textId="5ECF39BC" w:rsidR="00BB5489" w:rsidRDefault="008808DB">
      <w:pPr>
        <w:pStyle w:val="TableofFigures"/>
        <w:tabs>
          <w:tab w:val="right" w:pos="9016"/>
        </w:tabs>
        <w:rPr>
          <w:rFonts w:cstheme="minorBidi"/>
          <w:noProof/>
          <w:szCs w:val="22"/>
          <w:lang w:eastAsia="en-AU"/>
        </w:rPr>
      </w:pPr>
      <w:hyperlink w:anchor="_Toc23841445" w:history="1">
        <w:r w:rsidR="00BB5489" w:rsidRPr="00584C91">
          <w:rPr>
            <w:rStyle w:val="Hyperlink"/>
            <w:noProof/>
          </w:rPr>
          <w:t>Table 5.4</w:t>
        </w:r>
        <w:r w:rsidR="00BB5489">
          <w:rPr>
            <w:rFonts w:cstheme="minorBidi"/>
            <w:noProof/>
            <w:szCs w:val="22"/>
            <w:lang w:eastAsia="en-AU"/>
          </w:rPr>
          <w:tab/>
        </w:r>
        <w:r w:rsidR="00BB5489" w:rsidRPr="00584C91">
          <w:rPr>
            <w:rStyle w:val="Hyperlink"/>
            <w:noProof/>
          </w:rPr>
          <w:t>Odds ratios for labour market attachment and positive outcome, comparing TtW and the jobactive comparison group</w:t>
        </w:r>
        <w:r w:rsidR="00BB5489">
          <w:rPr>
            <w:noProof/>
            <w:webHidden/>
          </w:rPr>
          <w:tab/>
        </w:r>
        <w:r w:rsidR="00BB5489">
          <w:rPr>
            <w:noProof/>
            <w:webHidden/>
          </w:rPr>
          <w:fldChar w:fldCharType="begin"/>
        </w:r>
        <w:r w:rsidR="00BB5489">
          <w:rPr>
            <w:noProof/>
            <w:webHidden/>
          </w:rPr>
          <w:instrText xml:space="preserve"> PAGEREF _Toc23841445 \h </w:instrText>
        </w:r>
        <w:r w:rsidR="00BB5489">
          <w:rPr>
            <w:noProof/>
            <w:webHidden/>
          </w:rPr>
        </w:r>
        <w:r w:rsidR="00BB5489">
          <w:rPr>
            <w:noProof/>
            <w:webHidden/>
          </w:rPr>
          <w:fldChar w:fldCharType="separate"/>
        </w:r>
        <w:r w:rsidR="00BB5489">
          <w:rPr>
            <w:noProof/>
            <w:webHidden/>
          </w:rPr>
          <w:t>105</w:t>
        </w:r>
        <w:r w:rsidR="00BB5489">
          <w:rPr>
            <w:noProof/>
            <w:webHidden/>
          </w:rPr>
          <w:fldChar w:fldCharType="end"/>
        </w:r>
      </w:hyperlink>
    </w:p>
    <w:p w14:paraId="2986344C" w14:textId="6679BE63" w:rsidR="00BB5489" w:rsidRDefault="00CC4E3D">
      <w:pPr>
        <w:pStyle w:val="TableofFigures"/>
        <w:tabs>
          <w:tab w:val="right" w:pos="9016"/>
        </w:tabs>
        <w:rPr>
          <w:rFonts w:cstheme="minorBidi"/>
          <w:noProof/>
          <w:szCs w:val="22"/>
          <w:lang w:eastAsia="en-AU"/>
        </w:rPr>
      </w:pPr>
      <w:r>
        <w:fldChar w:fldCharType="end"/>
      </w:r>
      <w:r>
        <w:fldChar w:fldCharType="begin"/>
      </w:r>
      <w:r>
        <w:instrText xml:space="preserve"> TOC \h \z \c "Table C." </w:instrText>
      </w:r>
      <w:r>
        <w:fldChar w:fldCharType="separate"/>
      </w:r>
      <w:hyperlink w:anchor="_Toc23841446" w:history="1">
        <w:r w:rsidR="00BB5489" w:rsidRPr="007B2B8B">
          <w:rPr>
            <w:rStyle w:val="Hyperlink"/>
            <w:noProof/>
          </w:rPr>
          <w:t>Table C. 1</w:t>
        </w:r>
        <w:r w:rsidR="00BB5489">
          <w:rPr>
            <w:rFonts w:cstheme="minorBidi"/>
            <w:noProof/>
            <w:szCs w:val="22"/>
            <w:lang w:eastAsia="en-AU"/>
          </w:rPr>
          <w:tab/>
        </w:r>
        <w:r w:rsidR="00BB5489" w:rsidRPr="007B2B8B">
          <w:rPr>
            <w:rStyle w:val="Hyperlink"/>
            <w:noProof/>
          </w:rPr>
          <w:t>Demographic characteristics of TtW inflow population and matched samples for TtW and jobactive</w:t>
        </w:r>
        <w:r w:rsidR="00BB5489">
          <w:rPr>
            <w:noProof/>
            <w:webHidden/>
          </w:rPr>
          <w:tab/>
        </w:r>
        <w:r w:rsidR="00BB5489">
          <w:rPr>
            <w:noProof/>
            <w:webHidden/>
          </w:rPr>
          <w:fldChar w:fldCharType="begin"/>
        </w:r>
        <w:r w:rsidR="00BB5489">
          <w:rPr>
            <w:noProof/>
            <w:webHidden/>
          </w:rPr>
          <w:instrText xml:space="preserve"> PAGEREF _Toc23841446 \h </w:instrText>
        </w:r>
        <w:r w:rsidR="00BB5489">
          <w:rPr>
            <w:noProof/>
            <w:webHidden/>
          </w:rPr>
        </w:r>
        <w:r w:rsidR="00BB5489">
          <w:rPr>
            <w:noProof/>
            <w:webHidden/>
          </w:rPr>
          <w:fldChar w:fldCharType="separate"/>
        </w:r>
        <w:r w:rsidR="00BB5489">
          <w:rPr>
            <w:noProof/>
            <w:webHidden/>
          </w:rPr>
          <w:t>113</w:t>
        </w:r>
        <w:r w:rsidR="00BB5489">
          <w:rPr>
            <w:noProof/>
            <w:webHidden/>
          </w:rPr>
          <w:fldChar w:fldCharType="end"/>
        </w:r>
      </w:hyperlink>
    </w:p>
    <w:p w14:paraId="048E226A" w14:textId="7346C0D9" w:rsidR="00BB5489" w:rsidRDefault="008808DB" w:rsidP="00CC4E3D">
      <w:pPr>
        <w:pStyle w:val="TableofFigures"/>
        <w:tabs>
          <w:tab w:val="right" w:pos="9016"/>
        </w:tabs>
        <w:rPr>
          <w:noProof/>
        </w:rPr>
      </w:pPr>
      <w:hyperlink w:anchor="_Toc23841447" w:history="1">
        <w:r w:rsidR="00BB5489" w:rsidRPr="007B2B8B">
          <w:rPr>
            <w:rStyle w:val="Hyperlink"/>
            <w:noProof/>
          </w:rPr>
          <w:t>Table C. 2</w:t>
        </w:r>
        <w:r w:rsidR="00BB5489">
          <w:rPr>
            <w:rFonts w:cstheme="minorBidi"/>
            <w:noProof/>
            <w:szCs w:val="22"/>
            <w:lang w:eastAsia="en-AU"/>
          </w:rPr>
          <w:tab/>
        </w:r>
        <w:r w:rsidR="00BB5489" w:rsidRPr="007B2B8B">
          <w:rPr>
            <w:rStyle w:val="Hyperlink"/>
            <w:noProof/>
          </w:rPr>
          <w:t>Key demographic comparisons — statistical differences</w:t>
        </w:r>
        <w:r w:rsidR="00BB5489">
          <w:rPr>
            <w:noProof/>
            <w:webHidden/>
          </w:rPr>
          <w:tab/>
        </w:r>
        <w:r w:rsidR="00BB5489">
          <w:rPr>
            <w:noProof/>
            <w:webHidden/>
          </w:rPr>
          <w:fldChar w:fldCharType="begin"/>
        </w:r>
        <w:r w:rsidR="00BB5489">
          <w:rPr>
            <w:noProof/>
            <w:webHidden/>
          </w:rPr>
          <w:instrText xml:space="preserve"> PAGEREF _Toc23841447 \h </w:instrText>
        </w:r>
        <w:r w:rsidR="00BB5489">
          <w:rPr>
            <w:noProof/>
            <w:webHidden/>
          </w:rPr>
        </w:r>
        <w:r w:rsidR="00BB5489">
          <w:rPr>
            <w:noProof/>
            <w:webHidden/>
          </w:rPr>
          <w:fldChar w:fldCharType="separate"/>
        </w:r>
        <w:r w:rsidR="00BB5489">
          <w:rPr>
            <w:noProof/>
            <w:webHidden/>
          </w:rPr>
          <w:t>115</w:t>
        </w:r>
        <w:r w:rsidR="00BB5489">
          <w:rPr>
            <w:noProof/>
            <w:webHidden/>
          </w:rPr>
          <w:fldChar w:fldCharType="end"/>
        </w:r>
      </w:hyperlink>
      <w:r w:rsidR="00CC4E3D">
        <w:fldChar w:fldCharType="end"/>
      </w:r>
      <w:r w:rsidR="00CC4E3D">
        <w:fldChar w:fldCharType="begin"/>
      </w:r>
      <w:r w:rsidR="00CC4E3D">
        <w:instrText xml:space="preserve"> TOC \h \z \c "Table D." </w:instrText>
      </w:r>
      <w:r w:rsidR="00CC4E3D">
        <w:fldChar w:fldCharType="separate"/>
      </w:r>
    </w:p>
    <w:p w14:paraId="21ECF40D" w14:textId="4ADAAF21" w:rsidR="00BB5489" w:rsidRDefault="008808DB" w:rsidP="00CC4E3D">
      <w:pPr>
        <w:pStyle w:val="TableofFigures"/>
        <w:tabs>
          <w:tab w:val="right" w:pos="9016"/>
        </w:tabs>
        <w:rPr>
          <w:noProof/>
        </w:rPr>
      </w:pPr>
      <w:hyperlink w:anchor="_Toc23841448" w:history="1">
        <w:r w:rsidR="00BB5489" w:rsidRPr="006B3FB3">
          <w:rPr>
            <w:rStyle w:val="Hyperlink"/>
            <w:noProof/>
          </w:rPr>
          <w:t>Table D. 1</w:t>
        </w:r>
        <w:r w:rsidR="00BB5489">
          <w:rPr>
            <w:rFonts w:cstheme="minorBidi"/>
            <w:noProof/>
            <w:szCs w:val="22"/>
            <w:lang w:eastAsia="en-AU"/>
          </w:rPr>
          <w:tab/>
        </w:r>
        <w:r w:rsidR="00BB5489" w:rsidRPr="006B3FB3">
          <w:rPr>
            <w:rStyle w:val="Hyperlink"/>
            <w:noProof/>
          </w:rPr>
          <w:t>Outcomes achieved, by outcome type and quarter, to 31 March 2017</w:t>
        </w:r>
        <w:r w:rsidR="00BB5489">
          <w:rPr>
            <w:noProof/>
            <w:webHidden/>
          </w:rPr>
          <w:tab/>
        </w:r>
        <w:r w:rsidR="00BB5489">
          <w:rPr>
            <w:noProof/>
            <w:webHidden/>
          </w:rPr>
          <w:fldChar w:fldCharType="begin"/>
        </w:r>
        <w:r w:rsidR="00BB5489">
          <w:rPr>
            <w:noProof/>
            <w:webHidden/>
          </w:rPr>
          <w:instrText xml:space="preserve"> PAGEREF _Toc23841448 \h </w:instrText>
        </w:r>
        <w:r w:rsidR="00BB5489">
          <w:rPr>
            <w:noProof/>
            <w:webHidden/>
          </w:rPr>
        </w:r>
        <w:r w:rsidR="00BB5489">
          <w:rPr>
            <w:noProof/>
            <w:webHidden/>
          </w:rPr>
          <w:fldChar w:fldCharType="separate"/>
        </w:r>
        <w:r w:rsidR="00BB5489">
          <w:rPr>
            <w:noProof/>
            <w:webHidden/>
          </w:rPr>
          <w:t>118</w:t>
        </w:r>
        <w:r w:rsidR="00BB5489">
          <w:rPr>
            <w:noProof/>
            <w:webHidden/>
          </w:rPr>
          <w:fldChar w:fldCharType="end"/>
        </w:r>
      </w:hyperlink>
      <w:r w:rsidR="00CC4E3D">
        <w:fldChar w:fldCharType="end"/>
      </w:r>
      <w:r w:rsidR="00CC4E3D">
        <w:fldChar w:fldCharType="begin"/>
      </w:r>
      <w:r w:rsidR="00CC4E3D">
        <w:instrText xml:space="preserve"> TOC \h \z \c "Table F." </w:instrText>
      </w:r>
      <w:r w:rsidR="00CC4E3D">
        <w:fldChar w:fldCharType="separate"/>
      </w:r>
    </w:p>
    <w:p w14:paraId="1A5B4DF3" w14:textId="66424A9E" w:rsidR="00BB5489" w:rsidRDefault="008808DB">
      <w:pPr>
        <w:pStyle w:val="TableofFigures"/>
        <w:tabs>
          <w:tab w:val="right" w:pos="9016"/>
        </w:tabs>
        <w:rPr>
          <w:rFonts w:cstheme="minorBidi"/>
          <w:noProof/>
          <w:szCs w:val="22"/>
          <w:lang w:eastAsia="en-AU"/>
        </w:rPr>
      </w:pPr>
      <w:hyperlink w:anchor="_Toc23841449" w:history="1">
        <w:r w:rsidR="00BB5489" w:rsidRPr="00496A58">
          <w:rPr>
            <w:rStyle w:val="Hyperlink"/>
            <w:noProof/>
          </w:rPr>
          <w:t>Table F. 1</w:t>
        </w:r>
        <w:r w:rsidR="00BB5489">
          <w:rPr>
            <w:rFonts w:cstheme="minorBidi"/>
            <w:noProof/>
            <w:szCs w:val="22"/>
            <w:lang w:eastAsia="en-AU"/>
          </w:rPr>
          <w:tab/>
        </w:r>
        <w:r w:rsidR="00BB5489" w:rsidRPr="00496A58">
          <w:rPr>
            <w:rStyle w:val="Hyperlink"/>
            <w:noProof/>
          </w:rPr>
          <w:t>Logistic regression — labour market attachment</w:t>
        </w:r>
        <w:r w:rsidR="00BB5489">
          <w:rPr>
            <w:noProof/>
            <w:webHidden/>
          </w:rPr>
          <w:tab/>
        </w:r>
        <w:r w:rsidR="00BB5489">
          <w:rPr>
            <w:noProof/>
            <w:webHidden/>
          </w:rPr>
          <w:fldChar w:fldCharType="begin"/>
        </w:r>
        <w:r w:rsidR="00BB5489">
          <w:rPr>
            <w:noProof/>
            <w:webHidden/>
          </w:rPr>
          <w:instrText xml:space="preserve"> PAGEREF _Toc23841449 \h </w:instrText>
        </w:r>
        <w:r w:rsidR="00BB5489">
          <w:rPr>
            <w:noProof/>
            <w:webHidden/>
          </w:rPr>
        </w:r>
        <w:r w:rsidR="00BB5489">
          <w:rPr>
            <w:noProof/>
            <w:webHidden/>
          </w:rPr>
          <w:fldChar w:fldCharType="separate"/>
        </w:r>
        <w:r w:rsidR="00BB5489">
          <w:rPr>
            <w:noProof/>
            <w:webHidden/>
          </w:rPr>
          <w:t>122</w:t>
        </w:r>
        <w:r w:rsidR="00BB5489">
          <w:rPr>
            <w:noProof/>
            <w:webHidden/>
          </w:rPr>
          <w:fldChar w:fldCharType="end"/>
        </w:r>
      </w:hyperlink>
    </w:p>
    <w:p w14:paraId="65C6009B" w14:textId="2965AE93" w:rsidR="00BB5489" w:rsidRDefault="008808DB">
      <w:pPr>
        <w:pStyle w:val="TableofFigures"/>
        <w:tabs>
          <w:tab w:val="right" w:pos="9016"/>
        </w:tabs>
        <w:rPr>
          <w:noProof/>
        </w:rPr>
      </w:pPr>
      <w:hyperlink w:anchor="_Toc23841450" w:history="1">
        <w:r w:rsidR="00BB5489" w:rsidRPr="00496A58">
          <w:rPr>
            <w:rStyle w:val="Hyperlink"/>
            <w:noProof/>
          </w:rPr>
          <w:t>Table F. 2</w:t>
        </w:r>
        <w:r w:rsidR="00BB5489">
          <w:rPr>
            <w:rFonts w:cstheme="minorBidi"/>
            <w:noProof/>
            <w:szCs w:val="22"/>
            <w:lang w:eastAsia="en-AU"/>
          </w:rPr>
          <w:tab/>
        </w:r>
        <w:r w:rsidR="00BB5489" w:rsidRPr="00496A58">
          <w:rPr>
            <w:rStyle w:val="Hyperlink"/>
            <w:noProof/>
          </w:rPr>
          <w:t>Logistic regression — positive outcome</w:t>
        </w:r>
        <w:r w:rsidR="00BB5489">
          <w:rPr>
            <w:noProof/>
            <w:webHidden/>
          </w:rPr>
          <w:tab/>
        </w:r>
        <w:r w:rsidR="00BB5489">
          <w:rPr>
            <w:noProof/>
            <w:webHidden/>
          </w:rPr>
          <w:fldChar w:fldCharType="begin"/>
        </w:r>
        <w:r w:rsidR="00BB5489">
          <w:rPr>
            <w:noProof/>
            <w:webHidden/>
          </w:rPr>
          <w:instrText xml:space="preserve"> PAGEREF _Toc23841450 \h </w:instrText>
        </w:r>
        <w:r w:rsidR="00BB5489">
          <w:rPr>
            <w:noProof/>
            <w:webHidden/>
          </w:rPr>
        </w:r>
        <w:r w:rsidR="00BB5489">
          <w:rPr>
            <w:noProof/>
            <w:webHidden/>
          </w:rPr>
          <w:fldChar w:fldCharType="separate"/>
        </w:r>
        <w:r w:rsidR="00BB5489">
          <w:rPr>
            <w:noProof/>
            <w:webHidden/>
          </w:rPr>
          <w:t>123</w:t>
        </w:r>
        <w:r w:rsidR="00BB5489">
          <w:rPr>
            <w:noProof/>
            <w:webHidden/>
          </w:rPr>
          <w:fldChar w:fldCharType="end"/>
        </w:r>
      </w:hyperlink>
      <w:r w:rsidR="00CC4E3D">
        <w:fldChar w:fldCharType="end"/>
      </w:r>
      <w:r w:rsidR="00CC4E3D">
        <w:fldChar w:fldCharType="begin"/>
      </w:r>
      <w:r w:rsidR="00CC4E3D">
        <w:instrText xml:space="preserve"> TOC \h \z \c "Table G." </w:instrText>
      </w:r>
      <w:r w:rsidR="00CC4E3D">
        <w:fldChar w:fldCharType="separate"/>
      </w:r>
    </w:p>
    <w:p w14:paraId="78122CB9" w14:textId="2D5D143B" w:rsidR="00BB5489" w:rsidRDefault="008808DB">
      <w:pPr>
        <w:pStyle w:val="TableofFigures"/>
        <w:tabs>
          <w:tab w:val="right" w:pos="9016"/>
        </w:tabs>
        <w:rPr>
          <w:rFonts w:cstheme="minorBidi"/>
          <w:noProof/>
          <w:szCs w:val="22"/>
          <w:lang w:eastAsia="en-AU"/>
        </w:rPr>
      </w:pPr>
      <w:hyperlink w:anchor="_Toc23841451" w:history="1">
        <w:r w:rsidR="00BB5489" w:rsidRPr="002243D1">
          <w:rPr>
            <w:rStyle w:val="Hyperlink"/>
            <w:noProof/>
          </w:rPr>
          <w:t>Table G. 1</w:t>
        </w:r>
        <w:r w:rsidR="00BB5489">
          <w:rPr>
            <w:rFonts w:cstheme="minorBidi"/>
            <w:noProof/>
            <w:szCs w:val="22"/>
            <w:lang w:eastAsia="en-AU"/>
          </w:rPr>
          <w:tab/>
        </w:r>
        <w:r w:rsidR="00BB5489" w:rsidRPr="002243D1">
          <w:rPr>
            <w:rStyle w:val="Hyperlink"/>
            <w:noProof/>
          </w:rPr>
          <w:t>Qualitative discussions with TtW participants and stakeholders</w:t>
        </w:r>
        <w:r w:rsidR="00BB5489">
          <w:rPr>
            <w:noProof/>
            <w:webHidden/>
          </w:rPr>
          <w:tab/>
        </w:r>
        <w:r w:rsidR="00BB5489">
          <w:rPr>
            <w:noProof/>
            <w:webHidden/>
          </w:rPr>
          <w:fldChar w:fldCharType="begin"/>
        </w:r>
        <w:r w:rsidR="00BB5489">
          <w:rPr>
            <w:noProof/>
            <w:webHidden/>
          </w:rPr>
          <w:instrText xml:space="preserve"> PAGEREF _Toc23841451 \h </w:instrText>
        </w:r>
        <w:r w:rsidR="00BB5489">
          <w:rPr>
            <w:noProof/>
            <w:webHidden/>
          </w:rPr>
        </w:r>
        <w:r w:rsidR="00BB5489">
          <w:rPr>
            <w:noProof/>
            <w:webHidden/>
          </w:rPr>
          <w:fldChar w:fldCharType="separate"/>
        </w:r>
        <w:r w:rsidR="00BB5489">
          <w:rPr>
            <w:noProof/>
            <w:webHidden/>
          </w:rPr>
          <w:t>124</w:t>
        </w:r>
        <w:r w:rsidR="00BB5489">
          <w:rPr>
            <w:noProof/>
            <w:webHidden/>
          </w:rPr>
          <w:fldChar w:fldCharType="end"/>
        </w:r>
      </w:hyperlink>
    </w:p>
    <w:p w14:paraId="20E1EB63" w14:textId="77777777" w:rsidR="00CC4E3D" w:rsidRDefault="00CC4E3D" w:rsidP="00CC4E3D">
      <w:r>
        <w:fldChar w:fldCharType="end"/>
      </w:r>
      <w:r>
        <w:br w:type="page"/>
      </w:r>
    </w:p>
    <w:p w14:paraId="160FFF85" w14:textId="77777777" w:rsidR="00CC4E3D" w:rsidRDefault="00CC4E3D" w:rsidP="00CC4E3D">
      <w:pPr>
        <w:pStyle w:val="Heading1"/>
        <w:spacing w:before="0" w:after="120"/>
      </w:pPr>
      <w:bookmarkStart w:id="3" w:name="_Toc535498835"/>
      <w:bookmarkStart w:id="4" w:name="_Toc23841315"/>
      <w:r>
        <w:lastRenderedPageBreak/>
        <w:t>List of figures</w:t>
      </w:r>
      <w:bookmarkEnd w:id="3"/>
      <w:bookmarkEnd w:id="4"/>
    </w:p>
    <w:p w14:paraId="30157232" w14:textId="76CCECDC" w:rsidR="00BB5489" w:rsidRDefault="00CC4E3D">
      <w:pPr>
        <w:pStyle w:val="TableofFigures"/>
        <w:tabs>
          <w:tab w:val="right" w:pos="9016"/>
        </w:tabs>
        <w:rPr>
          <w:rFonts w:cstheme="minorBidi"/>
          <w:noProof/>
          <w:szCs w:val="22"/>
          <w:lang w:eastAsia="en-AU"/>
        </w:rPr>
      </w:pPr>
      <w:r>
        <w:fldChar w:fldCharType="begin"/>
      </w:r>
      <w:r>
        <w:instrText xml:space="preserve"> TOC \h \z \c "Figure" </w:instrText>
      </w:r>
      <w:r>
        <w:fldChar w:fldCharType="separate"/>
      </w:r>
      <w:hyperlink w:anchor="_Toc23841452" w:history="1">
        <w:r w:rsidR="00BB5489" w:rsidRPr="00052DB9">
          <w:rPr>
            <w:rStyle w:val="Hyperlink"/>
            <w:noProof/>
          </w:rPr>
          <w:t>Figure 1.1</w:t>
        </w:r>
        <w:r w:rsidR="00BB5489">
          <w:rPr>
            <w:rFonts w:cstheme="minorBidi"/>
            <w:noProof/>
            <w:szCs w:val="22"/>
            <w:lang w:eastAsia="en-AU"/>
          </w:rPr>
          <w:tab/>
        </w:r>
        <w:r w:rsidR="00BB5489" w:rsidRPr="00052DB9">
          <w:rPr>
            <w:rStyle w:val="Hyperlink"/>
            <w:noProof/>
          </w:rPr>
          <w:t>Pathway to employment showing five points at which policy interventions can either keep young people from disengaging or bring them back on track</w:t>
        </w:r>
        <w:r w:rsidR="00BB5489">
          <w:rPr>
            <w:noProof/>
            <w:webHidden/>
          </w:rPr>
          <w:tab/>
        </w:r>
        <w:r w:rsidR="00BB5489">
          <w:rPr>
            <w:noProof/>
            <w:webHidden/>
          </w:rPr>
          <w:fldChar w:fldCharType="begin"/>
        </w:r>
        <w:r w:rsidR="00BB5489">
          <w:rPr>
            <w:noProof/>
            <w:webHidden/>
          </w:rPr>
          <w:instrText xml:space="preserve"> PAGEREF _Toc23841452 \h </w:instrText>
        </w:r>
        <w:r w:rsidR="00BB5489">
          <w:rPr>
            <w:noProof/>
            <w:webHidden/>
          </w:rPr>
        </w:r>
        <w:r w:rsidR="00BB5489">
          <w:rPr>
            <w:noProof/>
            <w:webHidden/>
          </w:rPr>
          <w:fldChar w:fldCharType="separate"/>
        </w:r>
        <w:r w:rsidR="00BB5489">
          <w:rPr>
            <w:noProof/>
            <w:webHidden/>
          </w:rPr>
          <w:t>25</w:t>
        </w:r>
        <w:r w:rsidR="00BB5489">
          <w:rPr>
            <w:noProof/>
            <w:webHidden/>
          </w:rPr>
          <w:fldChar w:fldCharType="end"/>
        </w:r>
      </w:hyperlink>
    </w:p>
    <w:p w14:paraId="41CAB80A" w14:textId="34AA97B1" w:rsidR="00BB5489" w:rsidRDefault="008808DB">
      <w:pPr>
        <w:pStyle w:val="TableofFigures"/>
        <w:tabs>
          <w:tab w:val="right" w:pos="9016"/>
        </w:tabs>
        <w:rPr>
          <w:rFonts w:cstheme="minorBidi"/>
          <w:noProof/>
          <w:szCs w:val="22"/>
          <w:lang w:eastAsia="en-AU"/>
        </w:rPr>
      </w:pPr>
      <w:hyperlink w:anchor="_Toc23841453" w:history="1">
        <w:r w:rsidR="00BB5489" w:rsidRPr="00052DB9">
          <w:rPr>
            <w:rStyle w:val="Hyperlink"/>
            <w:noProof/>
          </w:rPr>
          <w:t>Figure 1.2</w:t>
        </w:r>
        <w:r w:rsidR="00BB5489">
          <w:rPr>
            <w:rFonts w:cstheme="minorBidi"/>
            <w:noProof/>
            <w:szCs w:val="22"/>
            <w:lang w:eastAsia="en-AU"/>
          </w:rPr>
          <w:tab/>
        </w:r>
        <w:r w:rsidR="00BB5489" w:rsidRPr="00052DB9">
          <w:rPr>
            <w:rStyle w:val="Hyperlink"/>
            <w:noProof/>
          </w:rPr>
          <w:t>Transition to Work pathway for Group One</w:t>
        </w:r>
        <w:r w:rsidR="00BB5489">
          <w:rPr>
            <w:noProof/>
            <w:webHidden/>
          </w:rPr>
          <w:tab/>
        </w:r>
        <w:r w:rsidR="00BB5489">
          <w:rPr>
            <w:noProof/>
            <w:webHidden/>
          </w:rPr>
          <w:fldChar w:fldCharType="begin"/>
        </w:r>
        <w:r w:rsidR="00BB5489">
          <w:rPr>
            <w:noProof/>
            <w:webHidden/>
          </w:rPr>
          <w:instrText xml:space="preserve"> PAGEREF _Toc23841453 \h </w:instrText>
        </w:r>
        <w:r w:rsidR="00BB5489">
          <w:rPr>
            <w:noProof/>
            <w:webHidden/>
          </w:rPr>
        </w:r>
        <w:r w:rsidR="00BB5489">
          <w:rPr>
            <w:noProof/>
            <w:webHidden/>
          </w:rPr>
          <w:fldChar w:fldCharType="separate"/>
        </w:r>
        <w:r w:rsidR="00BB5489">
          <w:rPr>
            <w:noProof/>
            <w:webHidden/>
          </w:rPr>
          <w:t>29</w:t>
        </w:r>
        <w:r w:rsidR="00BB5489">
          <w:rPr>
            <w:noProof/>
            <w:webHidden/>
          </w:rPr>
          <w:fldChar w:fldCharType="end"/>
        </w:r>
      </w:hyperlink>
    </w:p>
    <w:p w14:paraId="1903233D" w14:textId="688FE2B9" w:rsidR="00BB5489" w:rsidRDefault="008808DB">
      <w:pPr>
        <w:pStyle w:val="TableofFigures"/>
        <w:tabs>
          <w:tab w:val="right" w:pos="9016"/>
        </w:tabs>
        <w:rPr>
          <w:rFonts w:cstheme="minorBidi"/>
          <w:noProof/>
          <w:szCs w:val="22"/>
          <w:lang w:eastAsia="en-AU"/>
        </w:rPr>
      </w:pPr>
      <w:hyperlink w:anchor="_Toc23841454" w:history="1">
        <w:r w:rsidR="00BB5489" w:rsidRPr="00052DB9">
          <w:rPr>
            <w:rStyle w:val="Hyperlink"/>
            <w:noProof/>
          </w:rPr>
          <w:t>Figure 2.1</w:t>
        </w:r>
        <w:r w:rsidR="00BB5489">
          <w:rPr>
            <w:rFonts w:cstheme="minorBidi"/>
            <w:noProof/>
            <w:szCs w:val="22"/>
            <w:lang w:eastAsia="en-AU"/>
          </w:rPr>
          <w:tab/>
        </w:r>
        <w:r w:rsidR="00BB5489" w:rsidRPr="00052DB9">
          <w:rPr>
            <w:rStyle w:val="Hyperlink"/>
            <w:noProof/>
          </w:rPr>
          <w:t>Age at referral to TtW</w:t>
        </w:r>
        <w:r w:rsidR="00BB5489">
          <w:rPr>
            <w:noProof/>
            <w:webHidden/>
          </w:rPr>
          <w:tab/>
        </w:r>
        <w:r w:rsidR="00BB5489">
          <w:rPr>
            <w:noProof/>
            <w:webHidden/>
          </w:rPr>
          <w:fldChar w:fldCharType="begin"/>
        </w:r>
        <w:r w:rsidR="00BB5489">
          <w:rPr>
            <w:noProof/>
            <w:webHidden/>
          </w:rPr>
          <w:instrText xml:space="preserve"> PAGEREF _Toc23841454 \h </w:instrText>
        </w:r>
        <w:r w:rsidR="00BB5489">
          <w:rPr>
            <w:noProof/>
            <w:webHidden/>
          </w:rPr>
        </w:r>
        <w:r w:rsidR="00BB5489">
          <w:rPr>
            <w:noProof/>
            <w:webHidden/>
          </w:rPr>
          <w:fldChar w:fldCharType="separate"/>
        </w:r>
        <w:r w:rsidR="00BB5489">
          <w:rPr>
            <w:noProof/>
            <w:webHidden/>
          </w:rPr>
          <w:t>38</w:t>
        </w:r>
        <w:r w:rsidR="00BB5489">
          <w:rPr>
            <w:noProof/>
            <w:webHidden/>
          </w:rPr>
          <w:fldChar w:fldCharType="end"/>
        </w:r>
      </w:hyperlink>
    </w:p>
    <w:p w14:paraId="286B9934" w14:textId="79235781" w:rsidR="00BB5489" w:rsidRDefault="008808DB">
      <w:pPr>
        <w:pStyle w:val="TableofFigures"/>
        <w:tabs>
          <w:tab w:val="right" w:pos="9016"/>
        </w:tabs>
        <w:rPr>
          <w:rFonts w:cstheme="minorBidi"/>
          <w:noProof/>
          <w:szCs w:val="22"/>
          <w:lang w:eastAsia="en-AU"/>
        </w:rPr>
      </w:pPr>
      <w:hyperlink w:anchor="_Toc23841455" w:history="1">
        <w:r w:rsidR="00BB5489" w:rsidRPr="00052DB9">
          <w:rPr>
            <w:rStyle w:val="Hyperlink"/>
            <w:noProof/>
          </w:rPr>
          <w:t>Figure 3.1</w:t>
        </w:r>
        <w:r w:rsidR="00BB5489">
          <w:rPr>
            <w:rFonts w:cstheme="minorBidi"/>
            <w:noProof/>
            <w:szCs w:val="22"/>
            <w:lang w:eastAsia="en-AU"/>
          </w:rPr>
          <w:tab/>
        </w:r>
        <w:r w:rsidR="00BB5489" w:rsidRPr="00052DB9">
          <w:rPr>
            <w:rStyle w:val="Hyperlink"/>
            <w:noProof/>
          </w:rPr>
          <w:t>Provider views on start-up caseload referrals</w:t>
        </w:r>
        <w:r w:rsidR="00BB5489">
          <w:rPr>
            <w:noProof/>
            <w:webHidden/>
          </w:rPr>
          <w:tab/>
        </w:r>
        <w:r w:rsidR="00BB5489">
          <w:rPr>
            <w:noProof/>
            <w:webHidden/>
          </w:rPr>
          <w:fldChar w:fldCharType="begin"/>
        </w:r>
        <w:r w:rsidR="00BB5489">
          <w:rPr>
            <w:noProof/>
            <w:webHidden/>
          </w:rPr>
          <w:instrText xml:space="preserve"> PAGEREF _Toc23841455 \h </w:instrText>
        </w:r>
        <w:r w:rsidR="00BB5489">
          <w:rPr>
            <w:noProof/>
            <w:webHidden/>
          </w:rPr>
        </w:r>
        <w:r w:rsidR="00BB5489">
          <w:rPr>
            <w:noProof/>
            <w:webHidden/>
          </w:rPr>
          <w:fldChar w:fldCharType="separate"/>
        </w:r>
        <w:r w:rsidR="00BB5489">
          <w:rPr>
            <w:noProof/>
            <w:webHidden/>
          </w:rPr>
          <w:t>43</w:t>
        </w:r>
        <w:r w:rsidR="00BB5489">
          <w:rPr>
            <w:noProof/>
            <w:webHidden/>
          </w:rPr>
          <w:fldChar w:fldCharType="end"/>
        </w:r>
      </w:hyperlink>
    </w:p>
    <w:p w14:paraId="42E122A7" w14:textId="02316B50" w:rsidR="00BB5489" w:rsidRDefault="008808DB">
      <w:pPr>
        <w:pStyle w:val="TableofFigures"/>
        <w:tabs>
          <w:tab w:val="right" w:pos="9016"/>
        </w:tabs>
        <w:rPr>
          <w:rFonts w:cstheme="minorBidi"/>
          <w:noProof/>
          <w:szCs w:val="22"/>
          <w:lang w:eastAsia="en-AU"/>
        </w:rPr>
      </w:pPr>
      <w:hyperlink w:anchor="_Toc23841456" w:history="1">
        <w:r w:rsidR="00BB5489" w:rsidRPr="00052DB9">
          <w:rPr>
            <w:rStyle w:val="Hyperlink"/>
            <w:noProof/>
          </w:rPr>
          <w:t>Figure 3.2</w:t>
        </w:r>
        <w:r w:rsidR="00BB5489">
          <w:rPr>
            <w:rFonts w:cstheme="minorBidi"/>
            <w:noProof/>
            <w:szCs w:val="22"/>
            <w:lang w:eastAsia="en-AU"/>
          </w:rPr>
          <w:tab/>
        </w:r>
        <w:r w:rsidR="00BB5489" w:rsidRPr="00052DB9">
          <w:rPr>
            <w:rStyle w:val="Hyperlink"/>
            <w:noProof/>
          </w:rPr>
          <w:t>Provider views on suitability of referrals at contract start date and November 2016 (current at time of survey)</w:t>
        </w:r>
        <w:r w:rsidR="00BB5489">
          <w:rPr>
            <w:noProof/>
            <w:webHidden/>
          </w:rPr>
          <w:tab/>
        </w:r>
        <w:r w:rsidR="00BB5489">
          <w:rPr>
            <w:noProof/>
            <w:webHidden/>
          </w:rPr>
          <w:fldChar w:fldCharType="begin"/>
        </w:r>
        <w:r w:rsidR="00BB5489">
          <w:rPr>
            <w:noProof/>
            <w:webHidden/>
          </w:rPr>
          <w:instrText xml:space="preserve"> PAGEREF _Toc23841456 \h </w:instrText>
        </w:r>
        <w:r w:rsidR="00BB5489">
          <w:rPr>
            <w:noProof/>
            <w:webHidden/>
          </w:rPr>
        </w:r>
        <w:r w:rsidR="00BB5489">
          <w:rPr>
            <w:noProof/>
            <w:webHidden/>
          </w:rPr>
          <w:fldChar w:fldCharType="separate"/>
        </w:r>
        <w:r w:rsidR="00BB5489">
          <w:rPr>
            <w:noProof/>
            <w:webHidden/>
          </w:rPr>
          <w:t>44</w:t>
        </w:r>
        <w:r w:rsidR="00BB5489">
          <w:rPr>
            <w:noProof/>
            <w:webHidden/>
          </w:rPr>
          <w:fldChar w:fldCharType="end"/>
        </w:r>
      </w:hyperlink>
    </w:p>
    <w:p w14:paraId="51FB3470" w14:textId="43383D5F" w:rsidR="00BB5489" w:rsidRDefault="008808DB">
      <w:pPr>
        <w:pStyle w:val="TableofFigures"/>
        <w:tabs>
          <w:tab w:val="right" w:pos="9016"/>
        </w:tabs>
        <w:rPr>
          <w:rFonts w:cstheme="minorBidi"/>
          <w:noProof/>
          <w:szCs w:val="22"/>
          <w:lang w:eastAsia="en-AU"/>
        </w:rPr>
      </w:pPr>
      <w:hyperlink w:anchor="_Toc23841457" w:history="1">
        <w:r w:rsidR="00BB5489" w:rsidRPr="00052DB9">
          <w:rPr>
            <w:rStyle w:val="Hyperlink"/>
            <w:noProof/>
          </w:rPr>
          <w:t>Figure 3.3</w:t>
        </w:r>
        <w:r w:rsidR="00BB5489">
          <w:rPr>
            <w:rFonts w:cstheme="minorBidi"/>
            <w:noProof/>
            <w:szCs w:val="22"/>
            <w:lang w:eastAsia="en-AU"/>
          </w:rPr>
          <w:tab/>
        </w:r>
        <w:r w:rsidR="00BB5489" w:rsidRPr="00052DB9">
          <w:rPr>
            <w:rStyle w:val="Hyperlink"/>
            <w:noProof/>
          </w:rPr>
          <w:t>Provider satisfaction with departmental support in their first three months, by provider start phase</w:t>
        </w:r>
        <w:r w:rsidR="00BB5489">
          <w:rPr>
            <w:noProof/>
            <w:webHidden/>
          </w:rPr>
          <w:tab/>
        </w:r>
        <w:r w:rsidR="00BB5489">
          <w:rPr>
            <w:noProof/>
            <w:webHidden/>
          </w:rPr>
          <w:fldChar w:fldCharType="begin"/>
        </w:r>
        <w:r w:rsidR="00BB5489">
          <w:rPr>
            <w:noProof/>
            <w:webHidden/>
          </w:rPr>
          <w:instrText xml:space="preserve"> PAGEREF _Toc23841457 \h </w:instrText>
        </w:r>
        <w:r w:rsidR="00BB5489">
          <w:rPr>
            <w:noProof/>
            <w:webHidden/>
          </w:rPr>
        </w:r>
        <w:r w:rsidR="00BB5489">
          <w:rPr>
            <w:noProof/>
            <w:webHidden/>
          </w:rPr>
          <w:fldChar w:fldCharType="separate"/>
        </w:r>
        <w:r w:rsidR="00BB5489">
          <w:rPr>
            <w:noProof/>
            <w:webHidden/>
          </w:rPr>
          <w:t>45</w:t>
        </w:r>
        <w:r w:rsidR="00BB5489">
          <w:rPr>
            <w:noProof/>
            <w:webHidden/>
          </w:rPr>
          <w:fldChar w:fldCharType="end"/>
        </w:r>
      </w:hyperlink>
    </w:p>
    <w:p w14:paraId="2D178960" w14:textId="3EE3BB8D" w:rsidR="00BB5489" w:rsidRDefault="008808DB">
      <w:pPr>
        <w:pStyle w:val="TableofFigures"/>
        <w:tabs>
          <w:tab w:val="right" w:pos="9016"/>
        </w:tabs>
        <w:rPr>
          <w:rFonts w:cstheme="minorBidi"/>
          <w:noProof/>
          <w:szCs w:val="22"/>
          <w:lang w:eastAsia="en-AU"/>
        </w:rPr>
      </w:pPr>
      <w:hyperlink w:anchor="_Toc23841458" w:history="1">
        <w:r w:rsidR="00BB5489" w:rsidRPr="00052DB9">
          <w:rPr>
            <w:rStyle w:val="Hyperlink"/>
            <w:noProof/>
          </w:rPr>
          <w:t>Figure 3.4</w:t>
        </w:r>
        <w:r w:rsidR="00BB5489">
          <w:rPr>
            <w:rFonts w:cstheme="minorBidi"/>
            <w:noProof/>
            <w:szCs w:val="22"/>
            <w:lang w:eastAsia="en-AU"/>
          </w:rPr>
          <w:tab/>
        </w:r>
        <w:r w:rsidR="00BB5489" w:rsidRPr="00052DB9">
          <w:rPr>
            <w:rStyle w:val="Hyperlink"/>
            <w:noProof/>
          </w:rPr>
          <w:t>Provider views on whether departmental staff communicated clearly, by provider start phase</w:t>
        </w:r>
        <w:r w:rsidR="00BB5489">
          <w:rPr>
            <w:noProof/>
            <w:webHidden/>
          </w:rPr>
          <w:tab/>
        </w:r>
        <w:r w:rsidR="00BB5489">
          <w:rPr>
            <w:noProof/>
            <w:webHidden/>
          </w:rPr>
          <w:fldChar w:fldCharType="begin"/>
        </w:r>
        <w:r w:rsidR="00BB5489">
          <w:rPr>
            <w:noProof/>
            <w:webHidden/>
          </w:rPr>
          <w:instrText xml:space="preserve"> PAGEREF _Toc23841458 \h </w:instrText>
        </w:r>
        <w:r w:rsidR="00BB5489">
          <w:rPr>
            <w:noProof/>
            <w:webHidden/>
          </w:rPr>
        </w:r>
        <w:r w:rsidR="00BB5489">
          <w:rPr>
            <w:noProof/>
            <w:webHidden/>
          </w:rPr>
          <w:fldChar w:fldCharType="separate"/>
        </w:r>
        <w:r w:rsidR="00BB5489">
          <w:rPr>
            <w:noProof/>
            <w:webHidden/>
          </w:rPr>
          <w:t>46</w:t>
        </w:r>
        <w:r w:rsidR="00BB5489">
          <w:rPr>
            <w:noProof/>
            <w:webHidden/>
          </w:rPr>
          <w:fldChar w:fldCharType="end"/>
        </w:r>
      </w:hyperlink>
    </w:p>
    <w:p w14:paraId="7AFDF5CC" w14:textId="003EC525" w:rsidR="00BB5489" w:rsidRDefault="008808DB">
      <w:pPr>
        <w:pStyle w:val="TableofFigures"/>
        <w:tabs>
          <w:tab w:val="right" w:pos="9016"/>
        </w:tabs>
        <w:rPr>
          <w:rFonts w:cstheme="minorBidi"/>
          <w:noProof/>
          <w:szCs w:val="22"/>
          <w:lang w:eastAsia="en-AU"/>
        </w:rPr>
      </w:pPr>
      <w:hyperlink w:anchor="_Toc23841459" w:history="1">
        <w:r w:rsidR="00BB5489" w:rsidRPr="00052DB9">
          <w:rPr>
            <w:rStyle w:val="Hyperlink"/>
            <w:noProof/>
          </w:rPr>
          <w:t>Figure 3.5</w:t>
        </w:r>
        <w:r w:rsidR="00BB5489">
          <w:rPr>
            <w:rFonts w:cstheme="minorBidi"/>
            <w:noProof/>
            <w:szCs w:val="22"/>
            <w:lang w:eastAsia="en-AU"/>
          </w:rPr>
          <w:tab/>
        </w:r>
        <w:r w:rsidR="00BB5489" w:rsidRPr="00052DB9">
          <w:rPr>
            <w:rStyle w:val="Hyperlink"/>
            <w:noProof/>
          </w:rPr>
          <w:t>Provider views on departmental support during the implementation phase</w:t>
        </w:r>
        <w:r w:rsidR="00BB5489">
          <w:rPr>
            <w:noProof/>
            <w:webHidden/>
          </w:rPr>
          <w:tab/>
        </w:r>
        <w:r w:rsidR="00BB5489">
          <w:rPr>
            <w:noProof/>
            <w:webHidden/>
          </w:rPr>
          <w:fldChar w:fldCharType="begin"/>
        </w:r>
        <w:r w:rsidR="00BB5489">
          <w:rPr>
            <w:noProof/>
            <w:webHidden/>
          </w:rPr>
          <w:instrText xml:space="preserve"> PAGEREF _Toc23841459 \h </w:instrText>
        </w:r>
        <w:r w:rsidR="00BB5489">
          <w:rPr>
            <w:noProof/>
            <w:webHidden/>
          </w:rPr>
        </w:r>
        <w:r w:rsidR="00BB5489">
          <w:rPr>
            <w:noProof/>
            <w:webHidden/>
          </w:rPr>
          <w:fldChar w:fldCharType="separate"/>
        </w:r>
        <w:r w:rsidR="00BB5489">
          <w:rPr>
            <w:noProof/>
            <w:webHidden/>
          </w:rPr>
          <w:t>47</w:t>
        </w:r>
        <w:r w:rsidR="00BB5489">
          <w:rPr>
            <w:noProof/>
            <w:webHidden/>
          </w:rPr>
          <w:fldChar w:fldCharType="end"/>
        </w:r>
      </w:hyperlink>
    </w:p>
    <w:p w14:paraId="7BCB8FB6" w14:textId="5CF67880" w:rsidR="00BB5489" w:rsidRDefault="008808DB">
      <w:pPr>
        <w:pStyle w:val="TableofFigures"/>
        <w:tabs>
          <w:tab w:val="right" w:pos="9016"/>
        </w:tabs>
        <w:rPr>
          <w:rFonts w:cstheme="minorBidi"/>
          <w:noProof/>
          <w:szCs w:val="22"/>
          <w:lang w:eastAsia="en-AU"/>
        </w:rPr>
      </w:pPr>
      <w:hyperlink w:anchor="_Toc23841460" w:history="1">
        <w:r w:rsidR="00BB5489" w:rsidRPr="00052DB9">
          <w:rPr>
            <w:rStyle w:val="Hyperlink"/>
            <w:noProof/>
          </w:rPr>
          <w:t>Figure 3.6</w:t>
        </w:r>
        <w:r w:rsidR="00BB5489">
          <w:rPr>
            <w:rFonts w:cstheme="minorBidi"/>
            <w:noProof/>
            <w:szCs w:val="22"/>
            <w:lang w:eastAsia="en-AU"/>
          </w:rPr>
          <w:tab/>
        </w:r>
        <w:r w:rsidR="00BB5489" w:rsidRPr="00052DB9">
          <w:rPr>
            <w:rStyle w:val="Hyperlink"/>
            <w:noProof/>
          </w:rPr>
          <w:t>Provider views on departmental responses to queries</w:t>
        </w:r>
        <w:r w:rsidR="00BB5489">
          <w:rPr>
            <w:noProof/>
            <w:webHidden/>
          </w:rPr>
          <w:tab/>
        </w:r>
        <w:r w:rsidR="00BB5489">
          <w:rPr>
            <w:noProof/>
            <w:webHidden/>
          </w:rPr>
          <w:fldChar w:fldCharType="begin"/>
        </w:r>
        <w:r w:rsidR="00BB5489">
          <w:rPr>
            <w:noProof/>
            <w:webHidden/>
          </w:rPr>
          <w:instrText xml:space="preserve"> PAGEREF _Toc23841460 \h </w:instrText>
        </w:r>
        <w:r w:rsidR="00BB5489">
          <w:rPr>
            <w:noProof/>
            <w:webHidden/>
          </w:rPr>
        </w:r>
        <w:r w:rsidR="00BB5489">
          <w:rPr>
            <w:noProof/>
            <w:webHidden/>
          </w:rPr>
          <w:fldChar w:fldCharType="separate"/>
        </w:r>
        <w:r w:rsidR="00BB5489">
          <w:rPr>
            <w:noProof/>
            <w:webHidden/>
          </w:rPr>
          <w:t>48</w:t>
        </w:r>
        <w:r w:rsidR="00BB5489">
          <w:rPr>
            <w:noProof/>
            <w:webHidden/>
          </w:rPr>
          <w:fldChar w:fldCharType="end"/>
        </w:r>
      </w:hyperlink>
    </w:p>
    <w:p w14:paraId="4B553C04" w14:textId="56020677" w:rsidR="00BB5489" w:rsidRDefault="008808DB">
      <w:pPr>
        <w:pStyle w:val="TableofFigures"/>
        <w:tabs>
          <w:tab w:val="right" w:pos="9016"/>
        </w:tabs>
        <w:rPr>
          <w:rFonts w:cstheme="minorBidi"/>
          <w:noProof/>
          <w:szCs w:val="22"/>
          <w:lang w:eastAsia="en-AU"/>
        </w:rPr>
      </w:pPr>
      <w:hyperlink w:anchor="_Toc23841461" w:history="1">
        <w:r w:rsidR="00BB5489" w:rsidRPr="00052DB9">
          <w:rPr>
            <w:rStyle w:val="Hyperlink"/>
            <w:noProof/>
          </w:rPr>
          <w:t>Figure 3.7</w:t>
        </w:r>
        <w:r w:rsidR="00BB5489">
          <w:rPr>
            <w:rFonts w:cstheme="minorBidi"/>
            <w:noProof/>
            <w:szCs w:val="22"/>
            <w:lang w:eastAsia="en-AU"/>
          </w:rPr>
          <w:tab/>
        </w:r>
        <w:r w:rsidR="00BB5489" w:rsidRPr="00052DB9">
          <w:rPr>
            <w:rStyle w:val="Hyperlink"/>
            <w:noProof/>
          </w:rPr>
          <w:t>Provider views on the department’s notice about changes and responsiveness to queries</w:t>
        </w:r>
        <w:r w:rsidR="00BB5489">
          <w:rPr>
            <w:noProof/>
            <w:webHidden/>
          </w:rPr>
          <w:tab/>
        </w:r>
        <w:r w:rsidR="00BB5489">
          <w:rPr>
            <w:noProof/>
            <w:webHidden/>
          </w:rPr>
          <w:fldChar w:fldCharType="begin"/>
        </w:r>
        <w:r w:rsidR="00BB5489">
          <w:rPr>
            <w:noProof/>
            <w:webHidden/>
          </w:rPr>
          <w:instrText xml:space="preserve"> PAGEREF _Toc23841461 \h </w:instrText>
        </w:r>
        <w:r w:rsidR="00BB5489">
          <w:rPr>
            <w:noProof/>
            <w:webHidden/>
          </w:rPr>
        </w:r>
        <w:r w:rsidR="00BB5489">
          <w:rPr>
            <w:noProof/>
            <w:webHidden/>
          </w:rPr>
          <w:fldChar w:fldCharType="separate"/>
        </w:r>
        <w:r w:rsidR="00BB5489">
          <w:rPr>
            <w:noProof/>
            <w:webHidden/>
          </w:rPr>
          <w:t>49</w:t>
        </w:r>
        <w:r w:rsidR="00BB5489">
          <w:rPr>
            <w:noProof/>
            <w:webHidden/>
          </w:rPr>
          <w:fldChar w:fldCharType="end"/>
        </w:r>
      </w:hyperlink>
    </w:p>
    <w:p w14:paraId="1FEC4BE2" w14:textId="2E74A3AE" w:rsidR="00BB5489" w:rsidRDefault="008808DB">
      <w:pPr>
        <w:pStyle w:val="TableofFigures"/>
        <w:tabs>
          <w:tab w:val="right" w:pos="9016"/>
        </w:tabs>
        <w:rPr>
          <w:rFonts w:cstheme="minorBidi"/>
          <w:noProof/>
          <w:szCs w:val="22"/>
          <w:lang w:eastAsia="en-AU"/>
        </w:rPr>
      </w:pPr>
      <w:hyperlink w:anchor="_Toc23841462" w:history="1">
        <w:r w:rsidR="00BB5489" w:rsidRPr="00052DB9">
          <w:rPr>
            <w:rStyle w:val="Hyperlink"/>
            <w:noProof/>
          </w:rPr>
          <w:t>Figure 3.8</w:t>
        </w:r>
        <w:r w:rsidR="00BB5489">
          <w:rPr>
            <w:rFonts w:cstheme="minorBidi"/>
            <w:noProof/>
            <w:szCs w:val="22"/>
            <w:lang w:eastAsia="en-AU"/>
          </w:rPr>
          <w:tab/>
        </w:r>
        <w:r w:rsidR="00BB5489" w:rsidRPr="00052DB9">
          <w:rPr>
            <w:rStyle w:val="Hyperlink"/>
            <w:noProof/>
          </w:rPr>
          <w:t>Provider views on courtesy and respectfulness of departmental staff</w:t>
        </w:r>
        <w:r w:rsidR="00BB5489">
          <w:rPr>
            <w:noProof/>
            <w:webHidden/>
          </w:rPr>
          <w:tab/>
        </w:r>
        <w:r w:rsidR="00BB5489">
          <w:rPr>
            <w:noProof/>
            <w:webHidden/>
          </w:rPr>
          <w:fldChar w:fldCharType="begin"/>
        </w:r>
        <w:r w:rsidR="00BB5489">
          <w:rPr>
            <w:noProof/>
            <w:webHidden/>
          </w:rPr>
          <w:instrText xml:space="preserve"> PAGEREF _Toc23841462 \h </w:instrText>
        </w:r>
        <w:r w:rsidR="00BB5489">
          <w:rPr>
            <w:noProof/>
            <w:webHidden/>
          </w:rPr>
        </w:r>
        <w:r w:rsidR="00BB5489">
          <w:rPr>
            <w:noProof/>
            <w:webHidden/>
          </w:rPr>
          <w:fldChar w:fldCharType="separate"/>
        </w:r>
        <w:r w:rsidR="00BB5489">
          <w:rPr>
            <w:noProof/>
            <w:webHidden/>
          </w:rPr>
          <w:t>49</w:t>
        </w:r>
        <w:r w:rsidR="00BB5489">
          <w:rPr>
            <w:noProof/>
            <w:webHidden/>
          </w:rPr>
          <w:fldChar w:fldCharType="end"/>
        </w:r>
      </w:hyperlink>
    </w:p>
    <w:p w14:paraId="4727DC31" w14:textId="7852F459" w:rsidR="00BB5489" w:rsidRDefault="008808DB">
      <w:pPr>
        <w:pStyle w:val="TableofFigures"/>
        <w:tabs>
          <w:tab w:val="right" w:pos="9016"/>
        </w:tabs>
        <w:rPr>
          <w:rFonts w:cstheme="minorBidi"/>
          <w:noProof/>
          <w:szCs w:val="22"/>
          <w:lang w:eastAsia="en-AU"/>
        </w:rPr>
      </w:pPr>
      <w:hyperlink w:anchor="_Toc23841463" w:history="1">
        <w:r w:rsidR="00BB5489" w:rsidRPr="00052DB9">
          <w:rPr>
            <w:rStyle w:val="Hyperlink"/>
            <w:noProof/>
          </w:rPr>
          <w:t>Figure 3.9</w:t>
        </w:r>
        <w:r w:rsidR="00BB5489">
          <w:rPr>
            <w:rFonts w:cstheme="minorBidi"/>
            <w:noProof/>
            <w:szCs w:val="22"/>
            <w:lang w:eastAsia="en-AU"/>
          </w:rPr>
          <w:tab/>
        </w:r>
        <w:r w:rsidR="00BB5489" w:rsidRPr="00052DB9">
          <w:rPr>
            <w:rStyle w:val="Hyperlink"/>
            <w:noProof/>
          </w:rPr>
          <w:t>Provider views on communication skills of departmental staff</w:t>
        </w:r>
        <w:r w:rsidR="00BB5489">
          <w:rPr>
            <w:noProof/>
            <w:webHidden/>
          </w:rPr>
          <w:tab/>
        </w:r>
        <w:r w:rsidR="00BB5489">
          <w:rPr>
            <w:noProof/>
            <w:webHidden/>
          </w:rPr>
          <w:fldChar w:fldCharType="begin"/>
        </w:r>
        <w:r w:rsidR="00BB5489">
          <w:rPr>
            <w:noProof/>
            <w:webHidden/>
          </w:rPr>
          <w:instrText xml:space="preserve"> PAGEREF _Toc23841463 \h </w:instrText>
        </w:r>
        <w:r w:rsidR="00BB5489">
          <w:rPr>
            <w:noProof/>
            <w:webHidden/>
          </w:rPr>
        </w:r>
        <w:r w:rsidR="00BB5489">
          <w:rPr>
            <w:noProof/>
            <w:webHidden/>
          </w:rPr>
          <w:fldChar w:fldCharType="separate"/>
        </w:r>
        <w:r w:rsidR="00BB5489">
          <w:rPr>
            <w:noProof/>
            <w:webHidden/>
          </w:rPr>
          <w:t>50</w:t>
        </w:r>
        <w:r w:rsidR="00BB5489">
          <w:rPr>
            <w:noProof/>
            <w:webHidden/>
          </w:rPr>
          <w:fldChar w:fldCharType="end"/>
        </w:r>
      </w:hyperlink>
    </w:p>
    <w:p w14:paraId="5F371B64" w14:textId="2805CE2E" w:rsidR="00BB5489" w:rsidRDefault="008808DB">
      <w:pPr>
        <w:pStyle w:val="TableofFigures"/>
        <w:tabs>
          <w:tab w:val="right" w:pos="9016"/>
        </w:tabs>
        <w:rPr>
          <w:rFonts w:cstheme="minorBidi"/>
          <w:noProof/>
          <w:szCs w:val="22"/>
          <w:lang w:eastAsia="en-AU"/>
        </w:rPr>
      </w:pPr>
      <w:hyperlink w:anchor="_Toc23841464" w:history="1">
        <w:r w:rsidR="00BB5489" w:rsidRPr="00052DB9">
          <w:rPr>
            <w:rStyle w:val="Hyperlink"/>
            <w:noProof/>
          </w:rPr>
          <w:t>Figure 3.10</w:t>
        </w:r>
        <w:r w:rsidR="00BB5489">
          <w:rPr>
            <w:rFonts w:cstheme="minorBidi"/>
            <w:noProof/>
            <w:szCs w:val="22"/>
            <w:lang w:eastAsia="en-AU"/>
          </w:rPr>
          <w:tab/>
        </w:r>
        <w:r w:rsidR="00BB5489" w:rsidRPr="00052DB9">
          <w:rPr>
            <w:rStyle w:val="Hyperlink"/>
            <w:noProof/>
          </w:rPr>
          <w:t>Provider views on difficulty of engaging Group Two participants</w:t>
        </w:r>
        <w:r w:rsidR="00BB5489">
          <w:rPr>
            <w:noProof/>
            <w:webHidden/>
          </w:rPr>
          <w:tab/>
        </w:r>
        <w:r w:rsidR="00BB5489">
          <w:rPr>
            <w:noProof/>
            <w:webHidden/>
          </w:rPr>
          <w:fldChar w:fldCharType="begin"/>
        </w:r>
        <w:r w:rsidR="00BB5489">
          <w:rPr>
            <w:noProof/>
            <w:webHidden/>
          </w:rPr>
          <w:instrText xml:space="preserve"> PAGEREF _Toc23841464 \h </w:instrText>
        </w:r>
        <w:r w:rsidR="00BB5489">
          <w:rPr>
            <w:noProof/>
            <w:webHidden/>
          </w:rPr>
        </w:r>
        <w:r w:rsidR="00BB5489">
          <w:rPr>
            <w:noProof/>
            <w:webHidden/>
          </w:rPr>
          <w:fldChar w:fldCharType="separate"/>
        </w:r>
        <w:r w:rsidR="00BB5489">
          <w:rPr>
            <w:noProof/>
            <w:webHidden/>
          </w:rPr>
          <w:t>53</w:t>
        </w:r>
        <w:r w:rsidR="00BB5489">
          <w:rPr>
            <w:noProof/>
            <w:webHidden/>
          </w:rPr>
          <w:fldChar w:fldCharType="end"/>
        </w:r>
      </w:hyperlink>
    </w:p>
    <w:p w14:paraId="6022B221" w14:textId="478159F3" w:rsidR="00BB5489" w:rsidRDefault="008808DB">
      <w:pPr>
        <w:pStyle w:val="TableofFigures"/>
        <w:tabs>
          <w:tab w:val="right" w:pos="9016"/>
        </w:tabs>
        <w:rPr>
          <w:rFonts w:cstheme="minorBidi"/>
          <w:noProof/>
          <w:szCs w:val="22"/>
          <w:lang w:eastAsia="en-AU"/>
        </w:rPr>
      </w:pPr>
      <w:hyperlink w:anchor="_Toc23841465" w:history="1">
        <w:r w:rsidR="00BB5489" w:rsidRPr="00052DB9">
          <w:rPr>
            <w:rStyle w:val="Hyperlink"/>
            <w:noProof/>
          </w:rPr>
          <w:t>Figure 3.11</w:t>
        </w:r>
        <w:r w:rsidR="00BB5489">
          <w:rPr>
            <w:rFonts w:cstheme="minorBidi"/>
            <w:noProof/>
            <w:szCs w:val="22"/>
            <w:lang w:eastAsia="en-AU"/>
          </w:rPr>
          <w:tab/>
        </w:r>
        <w:r w:rsidR="00BB5489" w:rsidRPr="00052DB9">
          <w:rPr>
            <w:rStyle w:val="Hyperlink"/>
            <w:noProof/>
          </w:rPr>
          <w:t>Referrals and commencements in the first 30 days of provider contracts, by participant group</w:t>
        </w:r>
        <w:r w:rsidR="00BB5489">
          <w:rPr>
            <w:noProof/>
            <w:webHidden/>
          </w:rPr>
          <w:tab/>
        </w:r>
        <w:r w:rsidR="00BB5489">
          <w:rPr>
            <w:noProof/>
            <w:webHidden/>
          </w:rPr>
          <w:fldChar w:fldCharType="begin"/>
        </w:r>
        <w:r w:rsidR="00BB5489">
          <w:rPr>
            <w:noProof/>
            <w:webHidden/>
          </w:rPr>
          <w:instrText xml:space="preserve"> PAGEREF _Toc23841465 \h </w:instrText>
        </w:r>
        <w:r w:rsidR="00BB5489">
          <w:rPr>
            <w:noProof/>
            <w:webHidden/>
          </w:rPr>
        </w:r>
        <w:r w:rsidR="00BB5489">
          <w:rPr>
            <w:noProof/>
            <w:webHidden/>
          </w:rPr>
          <w:fldChar w:fldCharType="separate"/>
        </w:r>
        <w:r w:rsidR="00BB5489">
          <w:rPr>
            <w:noProof/>
            <w:webHidden/>
          </w:rPr>
          <w:t>54</w:t>
        </w:r>
        <w:r w:rsidR="00BB5489">
          <w:rPr>
            <w:noProof/>
            <w:webHidden/>
          </w:rPr>
          <w:fldChar w:fldCharType="end"/>
        </w:r>
      </w:hyperlink>
    </w:p>
    <w:p w14:paraId="2E187DEC" w14:textId="4C5220E2" w:rsidR="00BB5489" w:rsidRDefault="008808DB">
      <w:pPr>
        <w:pStyle w:val="TableofFigures"/>
        <w:tabs>
          <w:tab w:val="right" w:pos="9016"/>
        </w:tabs>
        <w:rPr>
          <w:rFonts w:cstheme="minorBidi"/>
          <w:noProof/>
          <w:szCs w:val="22"/>
          <w:lang w:eastAsia="en-AU"/>
        </w:rPr>
      </w:pPr>
      <w:hyperlink w:anchor="_Toc23841466" w:history="1">
        <w:r w:rsidR="00BB5489" w:rsidRPr="00052DB9">
          <w:rPr>
            <w:rStyle w:val="Hyperlink"/>
            <w:noProof/>
          </w:rPr>
          <w:t>Figure 3.12</w:t>
        </w:r>
        <w:r w:rsidR="00BB5489">
          <w:rPr>
            <w:rFonts w:cstheme="minorBidi"/>
            <w:noProof/>
            <w:szCs w:val="22"/>
            <w:lang w:eastAsia="en-AU"/>
          </w:rPr>
          <w:tab/>
        </w:r>
        <w:r w:rsidR="00BB5489" w:rsidRPr="00052DB9">
          <w:rPr>
            <w:rStyle w:val="Hyperlink"/>
            <w:noProof/>
          </w:rPr>
          <w:t>Provider satisfaction with the Learning Centre, program guidelines and TtW Deed</w:t>
        </w:r>
        <w:r w:rsidR="00BB5489">
          <w:rPr>
            <w:noProof/>
            <w:webHidden/>
          </w:rPr>
          <w:tab/>
        </w:r>
        <w:r w:rsidR="00BB5489">
          <w:rPr>
            <w:noProof/>
            <w:webHidden/>
          </w:rPr>
          <w:fldChar w:fldCharType="begin"/>
        </w:r>
        <w:r w:rsidR="00BB5489">
          <w:rPr>
            <w:noProof/>
            <w:webHidden/>
          </w:rPr>
          <w:instrText xml:space="preserve"> PAGEREF _Toc23841466 \h </w:instrText>
        </w:r>
        <w:r w:rsidR="00BB5489">
          <w:rPr>
            <w:noProof/>
            <w:webHidden/>
          </w:rPr>
        </w:r>
        <w:r w:rsidR="00BB5489">
          <w:rPr>
            <w:noProof/>
            <w:webHidden/>
          </w:rPr>
          <w:fldChar w:fldCharType="separate"/>
        </w:r>
        <w:r w:rsidR="00BB5489">
          <w:rPr>
            <w:noProof/>
            <w:webHidden/>
          </w:rPr>
          <w:t>57</w:t>
        </w:r>
        <w:r w:rsidR="00BB5489">
          <w:rPr>
            <w:noProof/>
            <w:webHidden/>
          </w:rPr>
          <w:fldChar w:fldCharType="end"/>
        </w:r>
      </w:hyperlink>
    </w:p>
    <w:p w14:paraId="7CA389B8" w14:textId="0408A4AB" w:rsidR="00BB5489" w:rsidRDefault="008808DB">
      <w:pPr>
        <w:pStyle w:val="TableofFigures"/>
        <w:tabs>
          <w:tab w:val="right" w:pos="9016"/>
        </w:tabs>
        <w:rPr>
          <w:rFonts w:cstheme="minorBidi"/>
          <w:noProof/>
          <w:szCs w:val="22"/>
          <w:lang w:eastAsia="en-AU"/>
        </w:rPr>
      </w:pPr>
      <w:hyperlink w:anchor="_Toc23841467" w:history="1">
        <w:r w:rsidR="00BB5489" w:rsidRPr="00052DB9">
          <w:rPr>
            <w:rStyle w:val="Hyperlink"/>
            <w:noProof/>
          </w:rPr>
          <w:t>Figure 3.13</w:t>
        </w:r>
        <w:r w:rsidR="00BB5489">
          <w:rPr>
            <w:rFonts w:cstheme="minorBidi"/>
            <w:noProof/>
            <w:szCs w:val="22"/>
            <w:lang w:eastAsia="en-AU"/>
          </w:rPr>
          <w:tab/>
        </w:r>
        <w:r w:rsidR="00BB5489" w:rsidRPr="00052DB9">
          <w:rPr>
            <w:rStyle w:val="Hyperlink"/>
            <w:noProof/>
          </w:rPr>
          <w:t>Provider views on TtW’s suitability for the target groups</w:t>
        </w:r>
        <w:r w:rsidR="00BB5489">
          <w:rPr>
            <w:noProof/>
            <w:webHidden/>
          </w:rPr>
          <w:tab/>
        </w:r>
        <w:r w:rsidR="00BB5489">
          <w:rPr>
            <w:noProof/>
            <w:webHidden/>
          </w:rPr>
          <w:fldChar w:fldCharType="begin"/>
        </w:r>
        <w:r w:rsidR="00BB5489">
          <w:rPr>
            <w:noProof/>
            <w:webHidden/>
          </w:rPr>
          <w:instrText xml:space="preserve"> PAGEREF _Toc23841467 \h </w:instrText>
        </w:r>
        <w:r w:rsidR="00BB5489">
          <w:rPr>
            <w:noProof/>
            <w:webHidden/>
          </w:rPr>
        </w:r>
        <w:r w:rsidR="00BB5489">
          <w:rPr>
            <w:noProof/>
            <w:webHidden/>
          </w:rPr>
          <w:fldChar w:fldCharType="separate"/>
        </w:r>
        <w:r w:rsidR="00BB5489">
          <w:rPr>
            <w:noProof/>
            <w:webHidden/>
          </w:rPr>
          <w:t>61</w:t>
        </w:r>
        <w:r w:rsidR="00BB5489">
          <w:rPr>
            <w:noProof/>
            <w:webHidden/>
          </w:rPr>
          <w:fldChar w:fldCharType="end"/>
        </w:r>
      </w:hyperlink>
    </w:p>
    <w:p w14:paraId="28E74085" w14:textId="451C094C" w:rsidR="00BB5489" w:rsidRDefault="008808DB">
      <w:pPr>
        <w:pStyle w:val="TableofFigures"/>
        <w:tabs>
          <w:tab w:val="right" w:pos="9016"/>
        </w:tabs>
        <w:rPr>
          <w:rFonts w:cstheme="minorBidi"/>
          <w:noProof/>
          <w:szCs w:val="22"/>
          <w:lang w:eastAsia="en-AU"/>
        </w:rPr>
      </w:pPr>
      <w:hyperlink w:anchor="_Toc23841468" w:history="1">
        <w:r w:rsidR="00BB5489" w:rsidRPr="00052DB9">
          <w:rPr>
            <w:rStyle w:val="Hyperlink"/>
            <w:noProof/>
          </w:rPr>
          <w:t>Figure 3.14</w:t>
        </w:r>
        <w:r w:rsidR="00BB5489">
          <w:rPr>
            <w:rFonts w:cstheme="minorBidi"/>
            <w:noProof/>
            <w:szCs w:val="22"/>
            <w:lang w:eastAsia="en-AU"/>
          </w:rPr>
          <w:tab/>
        </w:r>
        <w:r w:rsidR="00BB5489" w:rsidRPr="00052DB9">
          <w:rPr>
            <w:rStyle w:val="Hyperlink"/>
            <w:noProof/>
          </w:rPr>
          <w:t>Provider views on TtW’s flexibility in meeting participant needs</w:t>
        </w:r>
        <w:r w:rsidR="00BB5489">
          <w:rPr>
            <w:noProof/>
            <w:webHidden/>
          </w:rPr>
          <w:tab/>
        </w:r>
        <w:r w:rsidR="00BB5489">
          <w:rPr>
            <w:noProof/>
            <w:webHidden/>
          </w:rPr>
          <w:fldChar w:fldCharType="begin"/>
        </w:r>
        <w:r w:rsidR="00BB5489">
          <w:rPr>
            <w:noProof/>
            <w:webHidden/>
          </w:rPr>
          <w:instrText xml:space="preserve"> PAGEREF _Toc23841468 \h </w:instrText>
        </w:r>
        <w:r w:rsidR="00BB5489">
          <w:rPr>
            <w:noProof/>
            <w:webHidden/>
          </w:rPr>
        </w:r>
        <w:r w:rsidR="00BB5489">
          <w:rPr>
            <w:noProof/>
            <w:webHidden/>
          </w:rPr>
          <w:fldChar w:fldCharType="separate"/>
        </w:r>
        <w:r w:rsidR="00BB5489">
          <w:rPr>
            <w:noProof/>
            <w:webHidden/>
          </w:rPr>
          <w:t>62</w:t>
        </w:r>
        <w:r w:rsidR="00BB5489">
          <w:rPr>
            <w:noProof/>
            <w:webHidden/>
          </w:rPr>
          <w:fldChar w:fldCharType="end"/>
        </w:r>
      </w:hyperlink>
    </w:p>
    <w:p w14:paraId="4AA2FEB7" w14:textId="7D09E23B" w:rsidR="00BB5489" w:rsidRDefault="008808DB">
      <w:pPr>
        <w:pStyle w:val="TableofFigures"/>
        <w:tabs>
          <w:tab w:val="right" w:pos="9016"/>
        </w:tabs>
        <w:rPr>
          <w:rFonts w:cstheme="minorBidi"/>
          <w:noProof/>
          <w:szCs w:val="22"/>
          <w:lang w:eastAsia="en-AU"/>
        </w:rPr>
      </w:pPr>
      <w:hyperlink w:anchor="_Toc23841469" w:history="1">
        <w:r w:rsidR="00BB5489" w:rsidRPr="00052DB9">
          <w:rPr>
            <w:rStyle w:val="Hyperlink"/>
            <w:noProof/>
          </w:rPr>
          <w:t>Figure 3.15</w:t>
        </w:r>
        <w:r w:rsidR="00BB5489">
          <w:rPr>
            <w:rFonts w:cstheme="minorBidi"/>
            <w:noProof/>
            <w:szCs w:val="22"/>
            <w:lang w:eastAsia="en-AU"/>
          </w:rPr>
          <w:tab/>
        </w:r>
        <w:r w:rsidR="00BB5489" w:rsidRPr="00052DB9">
          <w:rPr>
            <w:rStyle w:val="Hyperlink"/>
            <w:noProof/>
          </w:rPr>
          <w:t>Provider views on TtW’s flexibility in meeting participant and employer circumstances</w:t>
        </w:r>
        <w:r w:rsidR="00BB5489">
          <w:rPr>
            <w:noProof/>
            <w:webHidden/>
          </w:rPr>
          <w:tab/>
        </w:r>
        <w:r w:rsidR="00BB5489">
          <w:rPr>
            <w:noProof/>
            <w:webHidden/>
          </w:rPr>
          <w:fldChar w:fldCharType="begin"/>
        </w:r>
        <w:r w:rsidR="00BB5489">
          <w:rPr>
            <w:noProof/>
            <w:webHidden/>
          </w:rPr>
          <w:instrText xml:space="preserve"> PAGEREF _Toc23841469 \h </w:instrText>
        </w:r>
        <w:r w:rsidR="00BB5489">
          <w:rPr>
            <w:noProof/>
            <w:webHidden/>
          </w:rPr>
        </w:r>
        <w:r w:rsidR="00BB5489">
          <w:rPr>
            <w:noProof/>
            <w:webHidden/>
          </w:rPr>
          <w:fldChar w:fldCharType="separate"/>
        </w:r>
        <w:r w:rsidR="00BB5489">
          <w:rPr>
            <w:noProof/>
            <w:webHidden/>
          </w:rPr>
          <w:t>63</w:t>
        </w:r>
        <w:r w:rsidR="00BB5489">
          <w:rPr>
            <w:noProof/>
            <w:webHidden/>
          </w:rPr>
          <w:fldChar w:fldCharType="end"/>
        </w:r>
      </w:hyperlink>
    </w:p>
    <w:p w14:paraId="6A12887F" w14:textId="5B28E98E" w:rsidR="00BB5489" w:rsidRDefault="008808DB">
      <w:pPr>
        <w:pStyle w:val="TableofFigures"/>
        <w:tabs>
          <w:tab w:val="right" w:pos="9016"/>
        </w:tabs>
        <w:rPr>
          <w:rFonts w:cstheme="minorBidi"/>
          <w:noProof/>
          <w:szCs w:val="22"/>
          <w:lang w:eastAsia="en-AU"/>
        </w:rPr>
      </w:pPr>
      <w:hyperlink w:anchor="_Toc23841470" w:history="1">
        <w:r w:rsidR="00BB5489" w:rsidRPr="00052DB9">
          <w:rPr>
            <w:rStyle w:val="Hyperlink"/>
            <w:noProof/>
          </w:rPr>
          <w:t>Figure 3.16</w:t>
        </w:r>
        <w:r w:rsidR="00BB5489">
          <w:rPr>
            <w:rFonts w:cstheme="minorBidi"/>
            <w:noProof/>
            <w:szCs w:val="22"/>
            <w:lang w:eastAsia="en-AU"/>
          </w:rPr>
          <w:tab/>
        </w:r>
        <w:r w:rsidR="00BB5489" w:rsidRPr="00052DB9">
          <w:rPr>
            <w:rStyle w:val="Hyperlink"/>
            <w:noProof/>
          </w:rPr>
          <w:t>Service approaches reported by TtW providers</w:t>
        </w:r>
        <w:r w:rsidR="00BB5489">
          <w:rPr>
            <w:noProof/>
            <w:webHidden/>
          </w:rPr>
          <w:tab/>
        </w:r>
        <w:r w:rsidR="00BB5489">
          <w:rPr>
            <w:noProof/>
            <w:webHidden/>
          </w:rPr>
          <w:fldChar w:fldCharType="begin"/>
        </w:r>
        <w:r w:rsidR="00BB5489">
          <w:rPr>
            <w:noProof/>
            <w:webHidden/>
          </w:rPr>
          <w:instrText xml:space="preserve"> PAGEREF _Toc23841470 \h </w:instrText>
        </w:r>
        <w:r w:rsidR="00BB5489">
          <w:rPr>
            <w:noProof/>
            <w:webHidden/>
          </w:rPr>
        </w:r>
        <w:r w:rsidR="00BB5489">
          <w:rPr>
            <w:noProof/>
            <w:webHidden/>
          </w:rPr>
          <w:fldChar w:fldCharType="separate"/>
        </w:r>
        <w:r w:rsidR="00BB5489">
          <w:rPr>
            <w:noProof/>
            <w:webHidden/>
          </w:rPr>
          <w:t>64</w:t>
        </w:r>
        <w:r w:rsidR="00BB5489">
          <w:rPr>
            <w:noProof/>
            <w:webHidden/>
          </w:rPr>
          <w:fldChar w:fldCharType="end"/>
        </w:r>
      </w:hyperlink>
    </w:p>
    <w:p w14:paraId="640B5E0E" w14:textId="1B4A014B" w:rsidR="00BB5489" w:rsidRDefault="008808DB">
      <w:pPr>
        <w:pStyle w:val="TableofFigures"/>
        <w:tabs>
          <w:tab w:val="right" w:pos="9016"/>
        </w:tabs>
        <w:rPr>
          <w:rFonts w:cstheme="minorBidi"/>
          <w:noProof/>
          <w:szCs w:val="22"/>
          <w:lang w:eastAsia="en-AU"/>
        </w:rPr>
      </w:pPr>
      <w:hyperlink w:anchor="_Toc23841471" w:history="1">
        <w:r w:rsidR="00BB5489" w:rsidRPr="00052DB9">
          <w:rPr>
            <w:rStyle w:val="Hyperlink"/>
            <w:noProof/>
          </w:rPr>
          <w:t>Figure 4.1</w:t>
        </w:r>
        <w:r w:rsidR="00BB5489">
          <w:rPr>
            <w:rFonts w:cstheme="minorBidi"/>
            <w:noProof/>
            <w:szCs w:val="22"/>
            <w:lang w:eastAsia="en-AU"/>
          </w:rPr>
          <w:tab/>
        </w:r>
        <w:r w:rsidR="00BB5489" w:rsidRPr="00052DB9">
          <w:rPr>
            <w:rStyle w:val="Hyperlink"/>
            <w:noProof/>
          </w:rPr>
          <w:t>Timeline of contracts approved during the implementation phase</w:t>
        </w:r>
        <w:r w:rsidR="00BB5489">
          <w:rPr>
            <w:noProof/>
            <w:webHidden/>
          </w:rPr>
          <w:tab/>
        </w:r>
        <w:r w:rsidR="00BB5489">
          <w:rPr>
            <w:noProof/>
            <w:webHidden/>
          </w:rPr>
          <w:fldChar w:fldCharType="begin"/>
        </w:r>
        <w:r w:rsidR="00BB5489">
          <w:rPr>
            <w:noProof/>
            <w:webHidden/>
          </w:rPr>
          <w:instrText xml:space="preserve"> PAGEREF _Toc23841471 \h </w:instrText>
        </w:r>
        <w:r w:rsidR="00BB5489">
          <w:rPr>
            <w:noProof/>
            <w:webHidden/>
          </w:rPr>
        </w:r>
        <w:r w:rsidR="00BB5489">
          <w:rPr>
            <w:noProof/>
            <w:webHidden/>
          </w:rPr>
          <w:fldChar w:fldCharType="separate"/>
        </w:r>
        <w:r w:rsidR="00BB5489">
          <w:rPr>
            <w:noProof/>
            <w:webHidden/>
          </w:rPr>
          <w:t>69</w:t>
        </w:r>
        <w:r w:rsidR="00BB5489">
          <w:rPr>
            <w:noProof/>
            <w:webHidden/>
          </w:rPr>
          <w:fldChar w:fldCharType="end"/>
        </w:r>
      </w:hyperlink>
    </w:p>
    <w:p w14:paraId="23242AD6" w14:textId="4E0B2257" w:rsidR="00BB5489" w:rsidRDefault="008808DB">
      <w:pPr>
        <w:pStyle w:val="TableofFigures"/>
        <w:tabs>
          <w:tab w:val="right" w:pos="9016"/>
        </w:tabs>
        <w:rPr>
          <w:rFonts w:cstheme="minorBidi"/>
          <w:noProof/>
          <w:szCs w:val="22"/>
          <w:lang w:eastAsia="en-AU"/>
        </w:rPr>
      </w:pPr>
      <w:hyperlink w:anchor="_Toc23841472" w:history="1">
        <w:r w:rsidR="00BB5489" w:rsidRPr="00052DB9">
          <w:rPr>
            <w:rStyle w:val="Hyperlink"/>
            <w:noProof/>
          </w:rPr>
          <w:t>Figure 4.2</w:t>
        </w:r>
        <w:r w:rsidR="00BB5489">
          <w:rPr>
            <w:rFonts w:cstheme="minorBidi"/>
            <w:noProof/>
            <w:szCs w:val="22"/>
            <w:lang w:eastAsia="en-AU"/>
          </w:rPr>
          <w:tab/>
        </w:r>
        <w:r w:rsidR="00BB5489" w:rsidRPr="00052DB9">
          <w:rPr>
            <w:rStyle w:val="Hyperlink"/>
            <w:noProof/>
          </w:rPr>
          <w:t>Use of Annual Funded Places per provider contract, by days from contract start</w:t>
        </w:r>
        <w:r w:rsidR="00BB5489">
          <w:rPr>
            <w:noProof/>
            <w:webHidden/>
          </w:rPr>
          <w:tab/>
        </w:r>
        <w:r w:rsidR="00BB5489">
          <w:rPr>
            <w:noProof/>
            <w:webHidden/>
          </w:rPr>
          <w:fldChar w:fldCharType="begin"/>
        </w:r>
        <w:r w:rsidR="00BB5489">
          <w:rPr>
            <w:noProof/>
            <w:webHidden/>
          </w:rPr>
          <w:instrText xml:space="preserve"> PAGEREF _Toc23841472 \h </w:instrText>
        </w:r>
        <w:r w:rsidR="00BB5489">
          <w:rPr>
            <w:noProof/>
            <w:webHidden/>
          </w:rPr>
        </w:r>
        <w:r w:rsidR="00BB5489">
          <w:rPr>
            <w:noProof/>
            <w:webHidden/>
          </w:rPr>
          <w:fldChar w:fldCharType="separate"/>
        </w:r>
        <w:r w:rsidR="00BB5489">
          <w:rPr>
            <w:noProof/>
            <w:webHidden/>
          </w:rPr>
          <w:t>70</w:t>
        </w:r>
        <w:r w:rsidR="00BB5489">
          <w:rPr>
            <w:noProof/>
            <w:webHidden/>
          </w:rPr>
          <w:fldChar w:fldCharType="end"/>
        </w:r>
      </w:hyperlink>
    </w:p>
    <w:p w14:paraId="3D8C0EDC" w14:textId="7D81063E" w:rsidR="00BB5489" w:rsidRDefault="008808DB">
      <w:pPr>
        <w:pStyle w:val="TableofFigures"/>
        <w:tabs>
          <w:tab w:val="right" w:pos="9016"/>
        </w:tabs>
        <w:rPr>
          <w:rFonts w:cstheme="minorBidi"/>
          <w:noProof/>
          <w:szCs w:val="22"/>
          <w:lang w:eastAsia="en-AU"/>
        </w:rPr>
      </w:pPr>
      <w:hyperlink w:anchor="_Toc23841473" w:history="1">
        <w:r w:rsidR="00BB5489" w:rsidRPr="00052DB9">
          <w:rPr>
            <w:rStyle w:val="Hyperlink"/>
            <w:noProof/>
          </w:rPr>
          <w:t>Figure 4.3</w:t>
        </w:r>
        <w:r w:rsidR="00BB5489">
          <w:rPr>
            <w:rFonts w:cstheme="minorBidi"/>
            <w:noProof/>
            <w:szCs w:val="22"/>
            <w:lang w:eastAsia="en-AU"/>
          </w:rPr>
          <w:tab/>
        </w:r>
        <w:r w:rsidR="00BB5489" w:rsidRPr="00052DB9">
          <w:rPr>
            <w:rStyle w:val="Hyperlink"/>
            <w:noProof/>
          </w:rPr>
          <w:t>Utilisation rates of Group Three Annual Funded Places, 31 July 2016 and 31 January 2017</w:t>
        </w:r>
        <w:r w:rsidR="00BB5489">
          <w:rPr>
            <w:noProof/>
            <w:webHidden/>
          </w:rPr>
          <w:tab/>
        </w:r>
        <w:r w:rsidR="00BB5489">
          <w:rPr>
            <w:noProof/>
            <w:webHidden/>
          </w:rPr>
          <w:fldChar w:fldCharType="begin"/>
        </w:r>
        <w:r w:rsidR="00BB5489">
          <w:rPr>
            <w:noProof/>
            <w:webHidden/>
          </w:rPr>
          <w:instrText xml:space="preserve"> PAGEREF _Toc23841473 \h </w:instrText>
        </w:r>
        <w:r w:rsidR="00BB5489">
          <w:rPr>
            <w:noProof/>
            <w:webHidden/>
          </w:rPr>
        </w:r>
        <w:r w:rsidR="00BB5489">
          <w:rPr>
            <w:noProof/>
            <w:webHidden/>
          </w:rPr>
          <w:fldChar w:fldCharType="separate"/>
        </w:r>
        <w:r w:rsidR="00BB5489">
          <w:rPr>
            <w:noProof/>
            <w:webHidden/>
          </w:rPr>
          <w:t>71</w:t>
        </w:r>
        <w:r w:rsidR="00BB5489">
          <w:rPr>
            <w:noProof/>
            <w:webHidden/>
          </w:rPr>
          <w:fldChar w:fldCharType="end"/>
        </w:r>
      </w:hyperlink>
    </w:p>
    <w:p w14:paraId="4122F3D3" w14:textId="0E54E459" w:rsidR="00BB5489" w:rsidRDefault="008808DB">
      <w:pPr>
        <w:pStyle w:val="TableofFigures"/>
        <w:tabs>
          <w:tab w:val="right" w:pos="9016"/>
        </w:tabs>
        <w:rPr>
          <w:rFonts w:cstheme="minorBidi"/>
          <w:noProof/>
          <w:szCs w:val="22"/>
          <w:lang w:eastAsia="en-AU"/>
        </w:rPr>
      </w:pPr>
      <w:hyperlink w:anchor="_Toc23841474" w:history="1">
        <w:r w:rsidR="00BB5489" w:rsidRPr="00052DB9">
          <w:rPr>
            <w:rStyle w:val="Hyperlink"/>
            <w:noProof/>
          </w:rPr>
          <w:t>Figure 4.4</w:t>
        </w:r>
        <w:r w:rsidR="00BB5489">
          <w:rPr>
            <w:rFonts w:cstheme="minorBidi"/>
            <w:noProof/>
            <w:szCs w:val="22"/>
            <w:lang w:eastAsia="en-AU"/>
          </w:rPr>
          <w:tab/>
        </w:r>
        <w:r w:rsidR="00BB5489" w:rsidRPr="00052DB9">
          <w:rPr>
            <w:rStyle w:val="Hyperlink"/>
            <w:noProof/>
          </w:rPr>
          <w:t>Median days from referral to commencement, by month from TtW provider contract start</w:t>
        </w:r>
        <w:r w:rsidR="00BB5489">
          <w:rPr>
            <w:noProof/>
            <w:webHidden/>
          </w:rPr>
          <w:tab/>
        </w:r>
        <w:r w:rsidR="00BB5489">
          <w:rPr>
            <w:noProof/>
            <w:webHidden/>
          </w:rPr>
          <w:fldChar w:fldCharType="begin"/>
        </w:r>
        <w:r w:rsidR="00BB5489">
          <w:rPr>
            <w:noProof/>
            <w:webHidden/>
          </w:rPr>
          <w:instrText xml:space="preserve"> PAGEREF _Toc23841474 \h </w:instrText>
        </w:r>
        <w:r w:rsidR="00BB5489">
          <w:rPr>
            <w:noProof/>
            <w:webHidden/>
          </w:rPr>
        </w:r>
        <w:r w:rsidR="00BB5489">
          <w:rPr>
            <w:noProof/>
            <w:webHidden/>
          </w:rPr>
          <w:fldChar w:fldCharType="separate"/>
        </w:r>
        <w:r w:rsidR="00BB5489">
          <w:rPr>
            <w:noProof/>
            <w:webHidden/>
          </w:rPr>
          <w:t>73</w:t>
        </w:r>
        <w:r w:rsidR="00BB5489">
          <w:rPr>
            <w:noProof/>
            <w:webHidden/>
          </w:rPr>
          <w:fldChar w:fldCharType="end"/>
        </w:r>
      </w:hyperlink>
    </w:p>
    <w:p w14:paraId="74F0C0B0" w14:textId="1C6C1065" w:rsidR="00BB5489" w:rsidRDefault="008808DB">
      <w:pPr>
        <w:pStyle w:val="TableofFigures"/>
        <w:tabs>
          <w:tab w:val="right" w:pos="9016"/>
        </w:tabs>
        <w:rPr>
          <w:rFonts w:cstheme="minorBidi"/>
          <w:noProof/>
          <w:szCs w:val="22"/>
          <w:lang w:eastAsia="en-AU"/>
        </w:rPr>
      </w:pPr>
      <w:hyperlink w:anchor="_Toc23841475" w:history="1">
        <w:r w:rsidR="00BB5489" w:rsidRPr="00052DB9">
          <w:rPr>
            <w:rStyle w:val="Hyperlink"/>
            <w:noProof/>
          </w:rPr>
          <w:t>Figure 4.5</w:t>
        </w:r>
        <w:r w:rsidR="00BB5489">
          <w:rPr>
            <w:rFonts w:cstheme="minorBidi"/>
            <w:noProof/>
            <w:szCs w:val="22"/>
            <w:lang w:eastAsia="en-AU"/>
          </w:rPr>
          <w:tab/>
        </w:r>
        <w:r w:rsidR="00BB5489" w:rsidRPr="00052DB9">
          <w:rPr>
            <w:rStyle w:val="Hyperlink"/>
            <w:noProof/>
          </w:rPr>
          <w:t>Days from referral to commencement of Group Two participants</w:t>
        </w:r>
        <w:r w:rsidR="00BB5489">
          <w:rPr>
            <w:noProof/>
            <w:webHidden/>
          </w:rPr>
          <w:tab/>
        </w:r>
        <w:r w:rsidR="00BB5489">
          <w:rPr>
            <w:noProof/>
            <w:webHidden/>
          </w:rPr>
          <w:fldChar w:fldCharType="begin"/>
        </w:r>
        <w:r w:rsidR="00BB5489">
          <w:rPr>
            <w:noProof/>
            <w:webHidden/>
          </w:rPr>
          <w:instrText xml:space="preserve"> PAGEREF _Toc23841475 \h </w:instrText>
        </w:r>
        <w:r w:rsidR="00BB5489">
          <w:rPr>
            <w:noProof/>
            <w:webHidden/>
          </w:rPr>
        </w:r>
        <w:r w:rsidR="00BB5489">
          <w:rPr>
            <w:noProof/>
            <w:webHidden/>
          </w:rPr>
          <w:fldChar w:fldCharType="separate"/>
        </w:r>
        <w:r w:rsidR="00BB5489">
          <w:rPr>
            <w:noProof/>
            <w:webHidden/>
          </w:rPr>
          <w:t>74</w:t>
        </w:r>
        <w:r w:rsidR="00BB5489">
          <w:rPr>
            <w:noProof/>
            <w:webHidden/>
          </w:rPr>
          <w:fldChar w:fldCharType="end"/>
        </w:r>
      </w:hyperlink>
    </w:p>
    <w:p w14:paraId="531D1460" w14:textId="06E49345" w:rsidR="00BB5489" w:rsidRDefault="008808DB">
      <w:pPr>
        <w:pStyle w:val="TableofFigures"/>
        <w:tabs>
          <w:tab w:val="right" w:pos="9016"/>
        </w:tabs>
        <w:rPr>
          <w:rFonts w:cstheme="minorBidi"/>
          <w:noProof/>
          <w:szCs w:val="22"/>
          <w:lang w:eastAsia="en-AU"/>
        </w:rPr>
      </w:pPr>
      <w:hyperlink w:anchor="_Toc23841476" w:history="1">
        <w:r w:rsidR="00BB5489" w:rsidRPr="00052DB9">
          <w:rPr>
            <w:rStyle w:val="Hyperlink"/>
            <w:noProof/>
          </w:rPr>
          <w:t>Figure 4.6</w:t>
        </w:r>
        <w:r w:rsidR="00BB5489">
          <w:rPr>
            <w:rFonts w:cstheme="minorBidi"/>
            <w:noProof/>
            <w:szCs w:val="22"/>
            <w:lang w:eastAsia="en-AU"/>
          </w:rPr>
          <w:tab/>
        </w:r>
        <w:r w:rsidR="00BB5489" w:rsidRPr="00052DB9">
          <w:rPr>
            <w:rStyle w:val="Hyperlink"/>
            <w:noProof/>
          </w:rPr>
          <w:t>Cumulative percentage of commencements within 30 days, by days from referral</w:t>
        </w:r>
        <w:r w:rsidR="00BB5489">
          <w:rPr>
            <w:noProof/>
            <w:webHidden/>
          </w:rPr>
          <w:tab/>
        </w:r>
        <w:r w:rsidR="00BB5489">
          <w:rPr>
            <w:noProof/>
            <w:webHidden/>
          </w:rPr>
          <w:fldChar w:fldCharType="begin"/>
        </w:r>
        <w:r w:rsidR="00BB5489">
          <w:rPr>
            <w:noProof/>
            <w:webHidden/>
          </w:rPr>
          <w:instrText xml:space="preserve"> PAGEREF _Toc23841476 \h </w:instrText>
        </w:r>
        <w:r w:rsidR="00BB5489">
          <w:rPr>
            <w:noProof/>
            <w:webHidden/>
          </w:rPr>
        </w:r>
        <w:r w:rsidR="00BB5489">
          <w:rPr>
            <w:noProof/>
            <w:webHidden/>
          </w:rPr>
          <w:fldChar w:fldCharType="separate"/>
        </w:r>
        <w:r w:rsidR="00BB5489">
          <w:rPr>
            <w:noProof/>
            <w:webHidden/>
          </w:rPr>
          <w:t>75</w:t>
        </w:r>
        <w:r w:rsidR="00BB5489">
          <w:rPr>
            <w:noProof/>
            <w:webHidden/>
          </w:rPr>
          <w:fldChar w:fldCharType="end"/>
        </w:r>
      </w:hyperlink>
    </w:p>
    <w:p w14:paraId="1DA38B35" w14:textId="26EA8BCE" w:rsidR="00BB5489" w:rsidRDefault="008808DB">
      <w:pPr>
        <w:pStyle w:val="TableofFigures"/>
        <w:tabs>
          <w:tab w:val="right" w:pos="9016"/>
        </w:tabs>
        <w:rPr>
          <w:rFonts w:cstheme="minorBidi"/>
          <w:noProof/>
          <w:szCs w:val="22"/>
          <w:lang w:eastAsia="en-AU"/>
        </w:rPr>
      </w:pPr>
      <w:hyperlink w:anchor="_Toc23841477" w:history="1">
        <w:r w:rsidR="00BB5489" w:rsidRPr="00052DB9">
          <w:rPr>
            <w:rStyle w:val="Hyperlink"/>
            <w:noProof/>
          </w:rPr>
          <w:t>Figure 4.7</w:t>
        </w:r>
        <w:r w:rsidR="00BB5489">
          <w:rPr>
            <w:rFonts w:cstheme="minorBidi"/>
            <w:noProof/>
            <w:szCs w:val="22"/>
            <w:lang w:eastAsia="en-AU"/>
          </w:rPr>
          <w:tab/>
        </w:r>
        <w:r w:rsidR="00BB5489" w:rsidRPr="00052DB9">
          <w:rPr>
            <w:rStyle w:val="Hyperlink"/>
            <w:noProof/>
          </w:rPr>
          <w:t>Number of activities per participant in the first 180 days* from commencement</w:t>
        </w:r>
        <w:r w:rsidR="00BB5489">
          <w:rPr>
            <w:noProof/>
            <w:webHidden/>
          </w:rPr>
          <w:tab/>
        </w:r>
        <w:r w:rsidR="00BB5489">
          <w:rPr>
            <w:noProof/>
            <w:webHidden/>
          </w:rPr>
          <w:fldChar w:fldCharType="begin"/>
        </w:r>
        <w:r w:rsidR="00BB5489">
          <w:rPr>
            <w:noProof/>
            <w:webHidden/>
          </w:rPr>
          <w:instrText xml:space="preserve"> PAGEREF _Toc23841477 \h </w:instrText>
        </w:r>
        <w:r w:rsidR="00BB5489">
          <w:rPr>
            <w:noProof/>
            <w:webHidden/>
          </w:rPr>
        </w:r>
        <w:r w:rsidR="00BB5489">
          <w:rPr>
            <w:noProof/>
            <w:webHidden/>
          </w:rPr>
          <w:fldChar w:fldCharType="separate"/>
        </w:r>
        <w:r w:rsidR="00BB5489">
          <w:rPr>
            <w:noProof/>
            <w:webHidden/>
          </w:rPr>
          <w:t>79</w:t>
        </w:r>
        <w:r w:rsidR="00BB5489">
          <w:rPr>
            <w:noProof/>
            <w:webHidden/>
          </w:rPr>
          <w:fldChar w:fldCharType="end"/>
        </w:r>
      </w:hyperlink>
    </w:p>
    <w:p w14:paraId="26202C0C" w14:textId="15AE1B27" w:rsidR="00BB5489" w:rsidRDefault="008808DB">
      <w:pPr>
        <w:pStyle w:val="TableofFigures"/>
        <w:tabs>
          <w:tab w:val="right" w:pos="9016"/>
        </w:tabs>
        <w:rPr>
          <w:rFonts w:cstheme="minorBidi"/>
          <w:noProof/>
          <w:szCs w:val="22"/>
          <w:lang w:eastAsia="en-AU"/>
        </w:rPr>
      </w:pPr>
      <w:hyperlink w:anchor="_Toc23841478" w:history="1">
        <w:r w:rsidR="00BB5489" w:rsidRPr="00052DB9">
          <w:rPr>
            <w:rStyle w:val="Hyperlink"/>
            <w:noProof/>
          </w:rPr>
          <w:t>Figure 4.8</w:t>
        </w:r>
        <w:r w:rsidR="00BB5489">
          <w:rPr>
            <w:rFonts w:cstheme="minorBidi"/>
            <w:noProof/>
            <w:szCs w:val="22"/>
            <w:lang w:eastAsia="en-AU"/>
          </w:rPr>
          <w:tab/>
        </w:r>
        <w:r w:rsidR="00BB5489" w:rsidRPr="00052DB9">
          <w:rPr>
            <w:rStyle w:val="Hyperlink"/>
            <w:noProof/>
          </w:rPr>
          <w:t>Timing of first recorded participant activity</w:t>
        </w:r>
        <w:r w:rsidR="00BB5489">
          <w:rPr>
            <w:noProof/>
            <w:webHidden/>
          </w:rPr>
          <w:tab/>
        </w:r>
        <w:r w:rsidR="00BB5489">
          <w:rPr>
            <w:noProof/>
            <w:webHidden/>
          </w:rPr>
          <w:fldChar w:fldCharType="begin"/>
        </w:r>
        <w:r w:rsidR="00BB5489">
          <w:rPr>
            <w:noProof/>
            <w:webHidden/>
          </w:rPr>
          <w:instrText xml:space="preserve"> PAGEREF _Toc23841478 \h </w:instrText>
        </w:r>
        <w:r w:rsidR="00BB5489">
          <w:rPr>
            <w:noProof/>
            <w:webHidden/>
          </w:rPr>
        </w:r>
        <w:r w:rsidR="00BB5489">
          <w:rPr>
            <w:noProof/>
            <w:webHidden/>
          </w:rPr>
          <w:fldChar w:fldCharType="separate"/>
        </w:r>
        <w:r w:rsidR="00BB5489">
          <w:rPr>
            <w:noProof/>
            <w:webHidden/>
          </w:rPr>
          <w:t>80</w:t>
        </w:r>
        <w:r w:rsidR="00BB5489">
          <w:rPr>
            <w:noProof/>
            <w:webHidden/>
          </w:rPr>
          <w:fldChar w:fldCharType="end"/>
        </w:r>
      </w:hyperlink>
    </w:p>
    <w:p w14:paraId="3B46A040" w14:textId="2E5C3544" w:rsidR="00BB5489" w:rsidRDefault="008808DB">
      <w:pPr>
        <w:pStyle w:val="TableofFigures"/>
        <w:tabs>
          <w:tab w:val="right" w:pos="9016"/>
        </w:tabs>
        <w:rPr>
          <w:rFonts w:cstheme="minorBidi"/>
          <w:noProof/>
          <w:szCs w:val="22"/>
          <w:lang w:eastAsia="en-AU"/>
        </w:rPr>
      </w:pPr>
      <w:hyperlink w:anchor="_Toc23841479" w:history="1">
        <w:r w:rsidR="00BB5489" w:rsidRPr="00052DB9">
          <w:rPr>
            <w:rStyle w:val="Hyperlink"/>
            <w:noProof/>
          </w:rPr>
          <w:t>Figure 4.9</w:t>
        </w:r>
        <w:r w:rsidR="00BB5489">
          <w:rPr>
            <w:rFonts w:cstheme="minorBidi"/>
            <w:noProof/>
            <w:szCs w:val="22"/>
            <w:lang w:eastAsia="en-AU"/>
          </w:rPr>
          <w:tab/>
        </w:r>
        <w:r w:rsidR="00BB5489" w:rsidRPr="00052DB9">
          <w:rPr>
            <w:rStyle w:val="Hyperlink"/>
            <w:noProof/>
          </w:rPr>
          <w:t>Participation in different types* of activities, comparing TtW and the jobactive comparison group</w:t>
        </w:r>
        <w:r w:rsidR="00BB5489">
          <w:rPr>
            <w:noProof/>
            <w:webHidden/>
          </w:rPr>
          <w:tab/>
        </w:r>
        <w:r w:rsidR="00BB5489">
          <w:rPr>
            <w:noProof/>
            <w:webHidden/>
          </w:rPr>
          <w:fldChar w:fldCharType="begin"/>
        </w:r>
        <w:r w:rsidR="00BB5489">
          <w:rPr>
            <w:noProof/>
            <w:webHidden/>
          </w:rPr>
          <w:instrText xml:space="preserve"> PAGEREF _Toc23841479 \h </w:instrText>
        </w:r>
        <w:r w:rsidR="00BB5489">
          <w:rPr>
            <w:noProof/>
            <w:webHidden/>
          </w:rPr>
        </w:r>
        <w:r w:rsidR="00BB5489">
          <w:rPr>
            <w:noProof/>
            <w:webHidden/>
          </w:rPr>
          <w:fldChar w:fldCharType="separate"/>
        </w:r>
        <w:r w:rsidR="00BB5489">
          <w:rPr>
            <w:noProof/>
            <w:webHidden/>
          </w:rPr>
          <w:t>82</w:t>
        </w:r>
        <w:r w:rsidR="00BB5489">
          <w:rPr>
            <w:noProof/>
            <w:webHidden/>
          </w:rPr>
          <w:fldChar w:fldCharType="end"/>
        </w:r>
      </w:hyperlink>
    </w:p>
    <w:p w14:paraId="1F7E9390" w14:textId="2021178E" w:rsidR="00BB5489" w:rsidRDefault="008808DB">
      <w:pPr>
        <w:pStyle w:val="TableofFigures"/>
        <w:tabs>
          <w:tab w:val="right" w:pos="9016"/>
        </w:tabs>
        <w:rPr>
          <w:rFonts w:cstheme="minorBidi"/>
          <w:noProof/>
          <w:szCs w:val="22"/>
          <w:lang w:eastAsia="en-AU"/>
        </w:rPr>
      </w:pPr>
      <w:hyperlink w:anchor="_Toc23841480" w:history="1">
        <w:r w:rsidR="00BB5489" w:rsidRPr="00052DB9">
          <w:rPr>
            <w:rStyle w:val="Hyperlink"/>
            <w:noProof/>
          </w:rPr>
          <w:t>Figure 4.10</w:t>
        </w:r>
        <w:r w:rsidR="00BB5489">
          <w:rPr>
            <w:rFonts w:cstheme="minorBidi"/>
            <w:noProof/>
            <w:szCs w:val="22"/>
            <w:lang w:eastAsia="en-AU"/>
          </w:rPr>
          <w:tab/>
        </w:r>
        <w:r w:rsidR="00BB5489" w:rsidRPr="00052DB9">
          <w:rPr>
            <w:rStyle w:val="Hyperlink"/>
            <w:noProof/>
          </w:rPr>
          <w:t>TtW provider views on the most important job placement strategies</w:t>
        </w:r>
        <w:r w:rsidR="00BB5489">
          <w:rPr>
            <w:noProof/>
            <w:webHidden/>
          </w:rPr>
          <w:tab/>
        </w:r>
        <w:r w:rsidR="00BB5489">
          <w:rPr>
            <w:noProof/>
            <w:webHidden/>
          </w:rPr>
          <w:fldChar w:fldCharType="begin"/>
        </w:r>
        <w:r w:rsidR="00BB5489">
          <w:rPr>
            <w:noProof/>
            <w:webHidden/>
          </w:rPr>
          <w:instrText xml:space="preserve"> PAGEREF _Toc23841480 \h </w:instrText>
        </w:r>
        <w:r w:rsidR="00BB5489">
          <w:rPr>
            <w:noProof/>
            <w:webHidden/>
          </w:rPr>
        </w:r>
        <w:r w:rsidR="00BB5489">
          <w:rPr>
            <w:noProof/>
            <w:webHidden/>
          </w:rPr>
          <w:fldChar w:fldCharType="separate"/>
        </w:r>
        <w:r w:rsidR="00BB5489">
          <w:rPr>
            <w:noProof/>
            <w:webHidden/>
          </w:rPr>
          <w:t>83</w:t>
        </w:r>
        <w:r w:rsidR="00BB5489">
          <w:rPr>
            <w:noProof/>
            <w:webHidden/>
          </w:rPr>
          <w:fldChar w:fldCharType="end"/>
        </w:r>
      </w:hyperlink>
    </w:p>
    <w:p w14:paraId="55EFCCC2" w14:textId="5209FF40" w:rsidR="00BB5489" w:rsidRDefault="008808DB">
      <w:pPr>
        <w:pStyle w:val="TableofFigures"/>
        <w:tabs>
          <w:tab w:val="right" w:pos="9016"/>
        </w:tabs>
        <w:rPr>
          <w:rFonts w:cstheme="minorBidi"/>
          <w:noProof/>
          <w:szCs w:val="22"/>
          <w:lang w:eastAsia="en-AU"/>
        </w:rPr>
      </w:pPr>
      <w:hyperlink w:anchor="_Toc23841481" w:history="1">
        <w:r w:rsidR="00BB5489" w:rsidRPr="00052DB9">
          <w:rPr>
            <w:rStyle w:val="Hyperlink"/>
            <w:noProof/>
          </w:rPr>
          <w:t>Figure 4.11</w:t>
        </w:r>
        <w:r w:rsidR="00BB5489">
          <w:rPr>
            <w:rFonts w:cstheme="minorBidi"/>
            <w:noProof/>
            <w:szCs w:val="22"/>
            <w:lang w:eastAsia="en-AU"/>
          </w:rPr>
          <w:tab/>
        </w:r>
        <w:r w:rsidR="00BB5489" w:rsidRPr="00052DB9">
          <w:rPr>
            <w:rStyle w:val="Hyperlink"/>
            <w:noProof/>
          </w:rPr>
          <w:t>Percentage of referred participants who did not commence, by month from referral, comparing TtW and jobactive</w:t>
        </w:r>
        <w:r w:rsidR="00BB5489">
          <w:rPr>
            <w:noProof/>
            <w:webHidden/>
          </w:rPr>
          <w:tab/>
        </w:r>
        <w:r w:rsidR="00BB5489">
          <w:rPr>
            <w:noProof/>
            <w:webHidden/>
          </w:rPr>
          <w:fldChar w:fldCharType="begin"/>
        </w:r>
        <w:r w:rsidR="00BB5489">
          <w:rPr>
            <w:noProof/>
            <w:webHidden/>
          </w:rPr>
          <w:instrText xml:space="preserve"> PAGEREF _Toc23841481 \h </w:instrText>
        </w:r>
        <w:r w:rsidR="00BB5489">
          <w:rPr>
            <w:noProof/>
            <w:webHidden/>
          </w:rPr>
        </w:r>
        <w:r w:rsidR="00BB5489">
          <w:rPr>
            <w:noProof/>
            <w:webHidden/>
          </w:rPr>
          <w:fldChar w:fldCharType="separate"/>
        </w:r>
        <w:r w:rsidR="00BB5489">
          <w:rPr>
            <w:noProof/>
            <w:webHidden/>
          </w:rPr>
          <w:t>84</w:t>
        </w:r>
        <w:r w:rsidR="00BB5489">
          <w:rPr>
            <w:noProof/>
            <w:webHidden/>
          </w:rPr>
          <w:fldChar w:fldCharType="end"/>
        </w:r>
      </w:hyperlink>
    </w:p>
    <w:p w14:paraId="6B8F1952" w14:textId="1ABAF33B" w:rsidR="00BB5489" w:rsidRDefault="008808DB">
      <w:pPr>
        <w:pStyle w:val="TableofFigures"/>
        <w:tabs>
          <w:tab w:val="right" w:pos="9016"/>
        </w:tabs>
        <w:rPr>
          <w:rFonts w:cstheme="minorBidi"/>
          <w:noProof/>
          <w:szCs w:val="22"/>
          <w:lang w:eastAsia="en-AU"/>
        </w:rPr>
      </w:pPr>
      <w:hyperlink w:anchor="_Toc23841482" w:history="1">
        <w:r w:rsidR="00BB5489" w:rsidRPr="00052DB9">
          <w:rPr>
            <w:rStyle w:val="Hyperlink"/>
            <w:noProof/>
          </w:rPr>
          <w:t>Figure 4.12</w:t>
        </w:r>
        <w:r w:rsidR="00BB5489">
          <w:rPr>
            <w:rFonts w:cstheme="minorBidi"/>
            <w:noProof/>
            <w:szCs w:val="22"/>
            <w:lang w:eastAsia="en-AU"/>
          </w:rPr>
          <w:tab/>
        </w:r>
        <w:r w:rsidR="00BB5489" w:rsidRPr="00052DB9">
          <w:rPr>
            <w:rStyle w:val="Hyperlink"/>
            <w:noProof/>
          </w:rPr>
          <w:t>Percentage of commenced participants who exited, by month from commencement, comparing TtW and jobactive</w:t>
        </w:r>
        <w:r w:rsidR="00BB5489">
          <w:rPr>
            <w:noProof/>
            <w:webHidden/>
          </w:rPr>
          <w:tab/>
        </w:r>
        <w:r w:rsidR="00BB5489">
          <w:rPr>
            <w:noProof/>
            <w:webHidden/>
          </w:rPr>
          <w:fldChar w:fldCharType="begin"/>
        </w:r>
        <w:r w:rsidR="00BB5489">
          <w:rPr>
            <w:noProof/>
            <w:webHidden/>
          </w:rPr>
          <w:instrText xml:space="preserve"> PAGEREF _Toc23841482 \h </w:instrText>
        </w:r>
        <w:r w:rsidR="00BB5489">
          <w:rPr>
            <w:noProof/>
            <w:webHidden/>
          </w:rPr>
        </w:r>
        <w:r w:rsidR="00BB5489">
          <w:rPr>
            <w:noProof/>
            <w:webHidden/>
          </w:rPr>
          <w:fldChar w:fldCharType="separate"/>
        </w:r>
        <w:r w:rsidR="00BB5489">
          <w:rPr>
            <w:noProof/>
            <w:webHidden/>
          </w:rPr>
          <w:t>85</w:t>
        </w:r>
        <w:r w:rsidR="00BB5489">
          <w:rPr>
            <w:noProof/>
            <w:webHidden/>
          </w:rPr>
          <w:fldChar w:fldCharType="end"/>
        </w:r>
      </w:hyperlink>
    </w:p>
    <w:p w14:paraId="6BCB5FBD" w14:textId="3532EECB" w:rsidR="00BB5489" w:rsidRDefault="008808DB">
      <w:pPr>
        <w:pStyle w:val="TableofFigures"/>
        <w:tabs>
          <w:tab w:val="right" w:pos="9016"/>
        </w:tabs>
        <w:rPr>
          <w:rFonts w:cstheme="minorBidi"/>
          <w:noProof/>
          <w:szCs w:val="22"/>
          <w:lang w:eastAsia="en-AU"/>
        </w:rPr>
      </w:pPr>
      <w:hyperlink w:anchor="_Toc23841483" w:history="1">
        <w:r w:rsidR="00BB5489" w:rsidRPr="00052DB9">
          <w:rPr>
            <w:rStyle w:val="Hyperlink"/>
            <w:noProof/>
          </w:rPr>
          <w:t>Figure 4.13</w:t>
        </w:r>
        <w:r w:rsidR="00BB5489">
          <w:rPr>
            <w:rFonts w:cstheme="minorBidi"/>
            <w:noProof/>
            <w:szCs w:val="22"/>
            <w:lang w:eastAsia="en-AU"/>
          </w:rPr>
          <w:tab/>
        </w:r>
        <w:r w:rsidR="00BB5489" w:rsidRPr="00052DB9">
          <w:rPr>
            <w:rStyle w:val="Hyperlink"/>
            <w:noProof/>
          </w:rPr>
          <w:t>Reasons for non-commencement in the first three months from referral, comparing TtW and the jobactive comparison group</w:t>
        </w:r>
        <w:r w:rsidR="00BB5489">
          <w:rPr>
            <w:noProof/>
            <w:webHidden/>
          </w:rPr>
          <w:tab/>
        </w:r>
        <w:r w:rsidR="00BB5489">
          <w:rPr>
            <w:noProof/>
            <w:webHidden/>
          </w:rPr>
          <w:fldChar w:fldCharType="begin"/>
        </w:r>
        <w:r w:rsidR="00BB5489">
          <w:rPr>
            <w:noProof/>
            <w:webHidden/>
          </w:rPr>
          <w:instrText xml:space="preserve"> PAGEREF _Toc23841483 \h </w:instrText>
        </w:r>
        <w:r w:rsidR="00BB5489">
          <w:rPr>
            <w:noProof/>
            <w:webHidden/>
          </w:rPr>
        </w:r>
        <w:r w:rsidR="00BB5489">
          <w:rPr>
            <w:noProof/>
            <w:webHidden/>
          </w:rPr>
          <w:fldChar w:fldCharType="separate"/>
        </w:r>
        <w:r w:rsidR="00BB5489">
          <w:rPr>
            <w:noProof/>
            <w:webHidden/>
          </w:rPr>
          <w:t>86</w:t>
        </w:r>
        <w:r w:rsidR="00BB5489">
          <w:rPr>
            <w:noProof/>
            <w:webHidden/>
          </w:rPr>
          <w:fldChar w:fldCharType="end"/>
        </w:r>
      </w:hyperlink>
    </w:p>
    <w:p w14:paraId="7424C6B9" w14:textId="18D1EE7A" w:rsidR="00BB5489" w:rsidRDefault="008808DB">
      <w:pPr>
        <w:pStyle w:val="TableofFigures"/>
        <w:tabs>
          <w:tab w:val="right" w:pos="9016"/>
        </w:tabs>
        <w:rPr>
          <w:rFonts w:cstheme="minorBidi"/>
          <w:noProof/>
          <w:szCs w:val="22"/>
          <w:lang w:eastAsia="en-AU"/>
        </w:rPr>
      </w:pPr>
      <w:hyperlink w:anchor="_Toc23841484" w:history="1">
        <w:r w:rsidR="00BB5489" w:rsidRPr="00052DB9">
          <w:rPr>
            <w:rStyle w:val="Hyperlink"/>
            <w:noProof/>
          </w:rPr>
          <w:t>Figure 4.14</w:t>
        </w:r>
        <w:r w:rsidR="00BB5489">
          <w:rPr>
            <w:rFonts w:cstheme="minorBidi"/>
            <w:noProof/>
            <w:szCs w:val="22"/>
            <w:lang w:eastAsia="en-AU"/>
          </w:rPr>
          <w:tab/>
        </w:r>
        <w:r w:rsidR="00BB5489" w:rsidRPr="00052DB9">
          <w:rPr>
            <w:rStyle w:val="Hyperlink"/>
            <w:noProof/>
          </w:rPr>
          <w:t>Reasons for exit during the first six months, comparing TtW and the jobactive comparison group who commenced in services</w:t>
        </w:r>
        <w:r w:rsidR="00BB5489">
          <w:rPr>
            <w:noProof/>
            <w:webHidden/>
          </w:rPr>
          <w:tab/>
        </w:r>
        <w:r w:rsidR="00BB5489">
          <w:rPr>
            <w:noProof/>
            <w:webHidden/>
          </w:rPr>
          <w:fldChar w:fldCharType="begin"/>
        </w:r>
        <w:r w:rsidR="00BB5489">
          <w:rPr>
            <w:noProof/>
            <w:webHidden/>
          </w:rPr>
          <w:instrText xml:space="preserve"> PAGEREF _Toc23841484 \h </w:instrText>
        </w:r>
        <w:r w:rsidR="00BB5489">
          <w:rPr>
            <w:noProof/>
            <w:webHidden/>
          </w:rPr>
        </w:r>
        <w:r w:rsidR="00BB5489">
          <w:rPr>
            <w:noProof/>
            <w:webHidden/>
          </w:rPr>
          <w:fldChar w:fldCharType="separate"/>
        </w:r>
        <w:r w:rsidR="00BB5489">
          <w:rPr>
            <w:noProof/>
            <w:webHidden/>
          </w:rPr>
          <w:t>87</w:t>
        </w:r>
        <w:r w:rsidR="00BB5489">
          <w:rPr>
            <w:noProof/>
            <w:webHidden/>
          </w:rPr>
          <w:fldChar w:fldCharType="end"/>
        </w:r>
      </w:hyperlink>
    </w:p>
    <w:p w14:paraId="41E8AB28" w14:textId="2FC1F4FF" w:rsidR="00BB5489" w:rsidRDefault="008808DB">
      <w:pPr>
        <w:pStyle w:val="TableofFigures"/>
        <w:tabs>
          <w:tab w:val="right" w:pos="9016"/>
        </w:tabs>
        <w:rPr>
          <w:rFonts w:cstheme="minorBidi"/>
          <w:noProof/>
          <w:szCs w:val="22"/>
          <w:lang w:eastAsia="en-AU"/>
        </w:rPr>
      </w:pPr>
      <w:hyperlink w:anchor="_Toc23841485" w:history="1">
        <w:r w:rsidR="00BB5489" w:rsidRPr="00052DB9">
          <w:rPr>
            <w:rStyle w:val="Hyperlink"/>
            <w:noProof/>
          </w:rPr>
          <w:t>Figure 4.15</w:t>
        </w:r>
        <w:r w:rsidR="00BB5489">
          <w:rPr>
            <w:rFonts w:cstheme="minorBidi"/>
            <w:noProof/>
            <w:szCs w:val="22"/>
            <w:lang w:eastAsia="en-AU"/>
          </w:rPr>
          <w:tab/>
        </w:r>
        <w:r w:rsidR="00BB5489" w:rsidRPr="00052DB9">
          <w:rPr>
            <w:rStyle w:val="Hyperlink"/>
            <w:noProof/>
          </w:rPr>
          <w:t>Percentage of exits and breakdown of main reasons, by month from commencement — TtW</w:t>
        </w:r>
        <w:r w:rsidR="00BB5489">
          <w:rPr>
            <w:noProof/>
            <w:webHidden/>
          </w:rPr>
          <w:tab/>
        </w:r>
        <w:r w:rsidR="00BB5489">
          <w:rPr>
            <w:noProof/>
            <w:webHidden/>
          </w:rPr>
          <w:fldChar w:fldCharType="begin"/>
        </w:r>
        <w:r w:rsidR="00BB5489">
          <w:rPr>
            <w:noProof/>
            <w:webHidden/>
          </w:rPr>
          <w:instrText xml:space="preserve"> PAGEREF _Toc23841485 \h </w:instrText>
        </w:r>
        <w:r w:rsidR="00BB5489">
          <w:rPr>
            <w:noProof/>
            <w:webHidden/>
          </w:rPr>
        </w:r>
        <w:r w:rsidR="00BB5489">
          <w:rPr>
            <w:noProof/>
            <w:webHidden/>
          </w:rPr>
          <w:fldChar w:fldCharType="separate"/>
        </w:r>
        <w:r w:rsidR="00BB5489">
          <w:rPr>
            <w:noProof/>
            <w:webHidden/>
          </w:rPr>
          <w:t>89</w:t>
        </w:r>
        <w:r w:rsidR="00BB5489">
          <w:rPr>
            <w:noProof/>
            <w:webHidden/>
          </w:rPr>
          <w:fldChar w:fldCharType="end"/>
        </w:r>
      </w:hyperlink>
    </w:p>
    <w:p w14:paraId="15FAF26E" w14:textId="1C90CB45" w:rsidR="00BB5489" w:rsidRDefault="008808DB">
      <w:pPr>
        <w:pStyle w:val="TableofFigures"/>
        <w:tabs>
          <w:tab w:val="right" w:pos="9016"/>
        </w:tabs>
        <w:rPr>
          <w:rFonts w:cstheme="minorBidi"/>
          <w:noProof/>
          <w:szCs w:val="22"/>
          <w:lang w:eastAsia="en-AU"/>
        </w:rPr>
      </w:pPr>
      <w:hyperlink w:anchor="_Toc23841486" w:history="1">
        <w:r w:rsidR="00BB5489" w:rsidRPr="00052DB9">
          <w:rPr>
            <w:rStyle w:val="Hyperlink"/>
            <w:noProof/>
          </w:rPr>
          <w:t>Figure 4.16</w:t>
        </w:r>
        <w:r w:rsidR="00BB5489">
          <w:rPr>
            <w:rFonts w:cstheme="minorBidi"/>
            <w:noProof/>
            <w:szCs w:val="22"/>
            <w:lang w:eastAsia="en-AU"/>
          </w:rPr>
          <w:tab/>
        </w:r>
        <w:r w:rsidR="00BB5489" w:rsidRPr="00052DB9">
          <w:rPr>
            <w:rStyle w:val="Hyperlink"/>
            <w:noProof/>
          </w:rPr>
          <w:t>Percentage of exits and breakdown of main reasons, by month from commencement — jobactive</w:t>
        </w:r>
        <w:r w:rsidR="00BB5489">
          <w:rPr>
            <w:noProof/>
            <w:webHidden/>
          </w:rPr>
          <w:tab/>
        </w:r>
        <w:r w:rsidR="00BB5489">
          <w:rPr>
            <w:noProof/>
            <w:webHidden/>
          </w:rPr>
          <w:fldChar w:fldCharType="begin"/>
        </w:r>
        <w:r w:rsidR="00BB5489">
          <w:rPr>
            <w:noProof/>
            <w:webHidden/>
          </w:rPr>
          <w:instrText xml:space="preserve"> PAGEREF _Toc23841486 \h </w:instrText>
        </w:r>
        <w:r w:rsidR="00BB5489">
          <w:rPr>
            <w:noProof/>
            <w:webHidden/>
          </w:rPr>
        </w:r>
        <w:r w:rsidR="00BB5489">
          <w:rPr>
            <w:noProof/>
            <w:webHidden/>
          </w:rPr>
          <w:fldChar w:fldCharType="separate"/>
        </w:r>
        <w:r w:rsidR="00BB5489">
          <w:rPr>
            <w:noProof/>
            <w:webHidden/>
          </w:rPr>
          <w:t>90</w:t>
        </w:r>
        <w:r w:rsidR="00BB5489">
          <w:rPr>
            <w:noProof/>
            <w:webHidden/>
          </w:rPr>
          <w:fldChar w:fldCharType="end"/>
        </w:r>
      </w:hyperlink>
    </w:p>
    <w:p w14:paraId="573311B8" w14:textId="10655235" w:rsidR="00BB5489" w:rsidRDefault="008808DB">
      <w:pPr>
        <w:pStyle w:val="TableofFigures"/>
        <w:tabs>
          <w:tab w:val="right" w:pos="9016"/>
        </w:tabs>
        <w:rPr>
          <w:rFonts w:cstheme="minorBidi"/>
          <w:noProof/>
          <w:szCs w:val="22"/>
          <w:lang w:eastAsia="en-AU"/>
        </w:rPr>
      </w:pPr>
      <w:hyperlink w:anchor="_Toc23841487" w:history="1">
        <w:r w:rsidR="00BB5489" w:rsidRPr="00052DB9">
          <w:rPr>
            <w:rStyle w:val="Hyperlink"/>
            <w:noProof/>
          </w:rPr>
          <w:t>Figure 5.1</w:t>
        </w:r>
        <w:r w:rsidR="00BB5489">
          <w:rPr>
            <w:rFonts w:cstheme="minorBidi"/>
            <w:noProof/>
            <w:szCs w:val="22"/>
            <w:lang w:eastAsia="en-AU"/>
          </w:rPr>
          <w:tab/>
        </w:r>
        <w:r w:rsidR="00BB5489" w:rsidRPr="00052DB9">
          <w:rPr>
            <w:rStyle w:val="Hyperlink"/>
            <w:noProof/>
          </w:rPr>
          <w:t>Outcome performance, by contract start month and target quarter</w:t>
        </w:r>
        <w:r w:rsidR="00BB5489">
          <w:rPr>
            <w:noProof/>
            <w:webHidden/>
          </w:rPr>
          <w:tab/>
        </w:r>
        <w:r w:rsidR="00BB5489">
          <w:rPr>
            <w:noProof/>
            <w:webHidden/>
          </w:rPr>
          <w:fldChar w:fldCharType="begin"/>
        </w:r>
        <w:r w:rsidR="00BB5489">
          <w:rPr>
            <w:noProof/>
            <w:webHidden/>
          </w:rPr>
          <w:instrText xml:space="preserve"> PAGEREF _Toc23841487 \h </w:instrText>
        </w:r>
        <w:r w:rsidR="00BB5489">
          <w:rPr>
            <w:noProof/>
            <w:webHidden/>
          </w:rPr>
        </w:r>
        <w:r w:rsidR="00BB5489">
          <w:rPr>
            <w:noProof/>
            <w:webHidden/>
          </w:rPr>
          <w:fldChar w:fldCharType="separate"/>
        </w:r>
        <w:r w:rsidR="00BB5489">
          <w:rPr>
            <w:noProof/>
            <w:webHidden/>
          </w:rPr>
          <w:t>94</w:t>
        </w:r>
        <w:r w:rsidR="00BB5489">
          <w:rPr>
            <w:noProof/>
            <w:webHidden/>
          </w:rPr>
          <w:fldChar w:fldCharType="end"/>
        </w:r>
      </w:hyperlink>
    </w:p>
    <w:p w14:paraId="5D3B9CAE" w14:textId="024E6BC5" w:rsidR="00BB5489" w:rsidRDefault="008808DB">
      <w:pPr>
        <w:pStyle w:val="TableofFigures"/>
        <w:tabs>
          <w:tab w:val="right" w:pos="9016"/>
        </w:tabs>
        <w:rPr>
          <w:rFonts w:cstheme="minorBidi"/>
          <w:noProof/>
          <w:szCs w:val="22"/>
          <w:lang w:eastAsia="en-AU"/>
        </w:rPr>
      </w:pPr>
      <w:hyperlink w:anchor="_Toc23841488" w:history="1">
        <w:r w:rsidR="00BB5489" w:rsidRPr="00052DB9">
          <w:rPr>
            <w:rStyle w:val="Hyperlink"/>
            <w:noProof/>
          </w:rPr>
          <w:t>Figure 5.2</w:t>
        </w:r>
        <w:r w:rsidR="00BB5489">
          <w:rPr>
            <w:rFonts w:cstheme="minorBidi"/>
            <w:noProof/>
            <w:szCs w:val="22"/>
            <w:lang w:eastAsia="en-AU"/>
          </w:rPr>
          <w:tab/>
        </w:r>
        <w:r w:rsidR="00BB5489" w:rsidRPr="00052DB9">
          <w:rPr>
            <w:rStyle w:val="Hyperlink"/>
            <w:noProof/>
          </w:rPr>
          <w:t>Core outcome categories</w:t>
        </w:r>
        <w:r w:rsidR="00BB5489">
          <w:rPr>
            <w:noProof/>
            <w:webHidden/>
          </w:rPr>
          <w:tab/>
        </w:r>
        <w:r w:rsidR="00BB5489">
          <w:rPr>
            <w:noProof/>
            <w:webHidden/>
          </w:rPr>
          <w:fldChar w:fldCharType="begin"/>
        </w:r>
        <w:r w:rsidR="00BB5489">
          <w:rPr>
            <w:noProof/>
            <w:webHidden/>
          </w:rPr>
          <w:instrText xml:space="preserve"> PAGEREF _Toc23841488 \h </w:instrText>
        </w:r>
        <w:r w:rsidR="00BB5489">
          <w:rPr>
            <w:noProof/>
            <w:webHidden/>
          </w:rPr>
        </w:r>
        <w:r w:rsidR="00BB5489">
          <w:rPr>
            <w:noProof/>
            <w:webHidden/>
          </w:rPr>
          <w:fldChar w:fldCharType="separate"/>
        </w:r>
        <w:r w:rsidR="00BB5489">
          <w:rPr>
            <w:noProof/>
            <w:webHidden/>
          </w:rPr>
          <w:t>96</w:t>
        </w:r>
        <w:r w:rsidR="00BB5489">
          <w:rPr>
            <w:noProof/>
            <w:webHidden/>
          </w:rPr>
          <w:fldChar w:fldCharType="end"/>
        </w:r>
      </w:hyperlink>
    </w:p>
    <w:p w14:paraId="52F69B12" w14:textId="2F5E6117" w:rsidR="00BB5489" w:rsidRDefault="008808DB">
      <w:pPr>
        <w:pStyle w:val="TableofFigures"/>
        <w:tabs>
          <w:tab w:val="right" w:pos="9016"/>
        </w:tabs>
        <w:rPr>
          <w:rFonts w:cstheme="minorBidi"/>
          <w:noProof/>
          <w:szCs w:val="22"/>
          <w:lang w:eastAsia="en-AU"/>
        </w:rPr>
      </w:pPr>
      <w:hyperlink w:anchor="_Toc23841489" w:history="1">
        <w:r w:rsidR="00BB5489" w:rsidRPr="00052DB9">
          <w:rPr>
            <w:rStyle w:val="Hyperlink"/>
            <w:noProof/>
          </w:rPr>
          <w:t>Figure 5.3</w:t>
        </w:r>
        <w:r w:rsidR="00BB5489">
          <w:rPr>
            <w:rFonts w:cstheme="minorBidi"/>
            <w:noProof/>
            <w:szCs w:val="22"/>
            <w:lang w:eastAsia="en-AU"/>
          </w:rPr>
          <w:tab/>
        </w:r>
        <w:r w:rsidR="00BB5489" w:rsidRPr="00052DB9">
          <w:rPr>
            <w:rStyle w:val="Hyperlink"/>
            <w:noProof/>
          </w:rPr>
          <w:t>Percentages of education and training placements that qualified for an education outcome, by activity type</w:t>
        </w:r>
        <w:r w:rsidR="00BB5489">
          <w:rPr>
            <w:noProof/>
            <w:webHidden/>
          </w:rPr>
          <w:tab/>
        </w:r>
        <w:r w:rsidR="00BB5489">
          <w:rPr>
            <w:noProof/>
            <w:webHidden/>
          </w:rPr>
          <w:fldChar w:fldCharType="begin"/>
        </w:r>
        <w:r w:rsidR="00BB5489">
          <w:rPr>
            <w:noProof/>
            <w:webHidden/>
          </w:rPr>
          <w:instrText xml:space="preserve"> PAGEREF _Toc23841489 \h </w:instrText>
        </w:r>
        <w:r w:rsidR="00BB5489">
          <w:rPr>
            <w:noProof/>
            <w:webHidden/>
          </w:rPr>
        </w:r>
        <w:r w:rsidR="00BB5489">
          <w:rPr>
            <w:noProof/>
            <w:webHidden/>
          </w:rPr>
          <w:fldChar w:fldCharType="separate"/>
        </w:r>
        <w:r w:rsidR="00BB5489">
          <w:rPr>
            <w:noProof/>
            <w:webHidden/>
          </w:rPr>
          <w:t>99</w:t>
        </w:r>
        <w:r w:rsidR="00BB5489">
          <w:rPr>
            <w:noProof/>
            <w:webHidden/>
          </w:rPr>
          <w:fldChar w:fldCharType="end"/>
        </w:r>
      </w:hyperlink>
    </w:p>
    <w:p w14:paraId="59A7F5E7" w14:textId="4D3A9F60" w:rsidR="00BB5489" w:rsidRDefault="008808DB">
      <w:pPr>
        <w:pStyle w:val="TableofFigures"/>
        <w:tabs>
          <w:tab w:val="right" w:pos="9016"/>
        </w:tabs>
        <w:rPr>
          <w:rFonts w:cstheme="minorBidi"/>
          <w:noProof/>
          <w:szCs w:val="22"/>
          <w:lang w:eastAsia="en-AU"/>
        </w:rPr>
      </w:pPr>
      <w:hyperlink w:anchor="_Toc23841490" w:history="1">
        <w:r w:rsidR="00BB5489" w:rsidRPr="00052DB9">
          <w:rPr>
            <w:rStyle w:val="Hyperlink"/>
            <w:noProof/>
          </w:rPr>
          <w:t>Figure 5.4</w:t>
        </w:r>
        <w:r w:rsidR="00BB5489">
          <w:rPr>
            <w:rFonts w:cstheme="minorBidi"/>
            <w:noProof/>
            <w:szCs w:val="22"/>
            <w:lang w:eastAsia="en-AU"/>
          </w:rPr>
          <w:tab/>
        </w:r>
        <w:r w:rsidR="00BB5489" w:rsidRPr="00052DB9">
          <w:rPr>
            <w:rStyle w:val="Hyperlink"/>
            <w:noProof/>
          </w:rPr>
          <w:t>Change in percentage of commenced participants who reported employment income to DHS, by month from referral*, comparing TtW and jobactive</w:t>
        </w:r>
        <w:r w:rsidR="00BB5489">
          <w:rPr>
            <w:noProof/>
            <w:webHidden/>
          </w:rPr>
          <w:tab/>
        </w:r>
        <w:r w:rsidR="00BB5489">
          <w:rPr>
            <w:noProof/>
            <w:webHidden/>
          </w:rPr>
          <w:fldChar w:fldCharType="begin"/>
        </w:r>
        <w:r w:rsidR="00BB5489">
          <w:rPr>
            <w:noProof/>
            <w:webHidden/>
          </w:rPr>
          <w:instrText xml:space="preserve"> PAGEREF _Toc23841490 \h </w:instrText>
        </w:r>
        <w:r w:rsidR="00BB5489">
          <w:rPr>
            <w:noProof/>
            <w:webHidden/>
          </w:rPr>
        </w:r>
        <w:r w:rsidR="00BB5489">
          <w:rPr>
            <w:noProof/>
            <w:webHidden/>
          </w:rPr>
          <w:fldChar w:fldCharType="separate"/>
        </w:r>
        <w:r w:rsidR="00BB5489">
          <w:rPr>
            <w:noProof/>
            <w:webHidden/>
          </w:rPr>
          <w:t>102</w:t>
        </w:r>
        <w:r w:rsidR="00BB5489">
          <w:rPr>
            <w:noProof/>
            <w:webHidden/>
          </w:rPr>
          <w:fldChar w:fldCharType="end"/>
        </w:r>
      </w:hyperlink>
    </w:p>
    <w:p w14:paraId="1B917C22" w14:textId="185B2D81" w:rsidR="00BB5489" w:rsidRDefault="008808DB">
      <w:pPr>
        <w:pStyle w:val="TableofFigures"/>
        <w:tabs>
          <w:tab w:val="right" w:pos="9016"/>
        </w:tabs>
        <w:rPr>
          <w:rFonts w:cstheme="minorBidi"/>
          <w:noProof/>
          <w:szCs w:val="22"/>
          <w:lang w:eastAsia="en-AU"/>
        </w:rPr>
      </w:pPr>
      <w:hyperlink w:anchor="_Toc23841491" w:history="1">
        <w:r w:rsidR="00BB5489" w:rsidRPr="00052DB9">
          <w:rPr>
            <w:rStyle w:val="Hyperlink"/>
            <w:noProof/>
          </w:rPr>
          <w:t>Figure 5.5</w:t>
        </w:r>
        <w:r w:rsidR="00BB5489">
          <w:rPr>
            <w:rFonts w:cstheme="minorBidi"/>
            <w:noProof/>
            <w:szCs w:val="22"/>
            <w:lang w:eastAsia="en-AU"/>
          </w:rPr>
          <w:tab/>
        </w:r>
        <w:r w:rsidR="00BB5489" w:rsidRPr="00052DB9">
          <w:rPr>
            <w:rStyle w:val="Hyperlink"/>
            <w:noProof/>
          </w:rPr>
          <w:t>Change in labour market attachment rates, by month from referral, comparing TtW and jobactive commenced participants</w:t>
        </w:r>
        <w:r w:rsidR="00BB5489">
          <w:rPr>
            <w:noProof/>
            <w:webHidden/>
          </w:rPr>
          <w:tab/>
        </w:r>
        <w:r w:rsidR="00BB5489">
          <w:rPr>
            <w:noProof/>
            <w:webHidden/>
          </w:rPr>
          <w:fldChar w:fldCharType="begin"/>
        </w:r>
        <w:r w:rsidR="00BB5489">
          <w:rPr>
            <w:noProof/>
            <w:webHidden/>
          </w:rPr>
          <w:instrText xml:space="preserve"> PAGEREF _Toc23841491 \h </w:instrText>
        </w:r>
        <w:r w:rsidR="00BB5489">
          <w:rPr>
            <w:noProof/>
            <w:webHidden/>
          </w:rPr>
        </w:r>
        <w:r w:rsidR="00BB5489">
          <w:rPr>
            <w:noProof/>
            <w:webHidden/>
          </w:rPr>
          <w:fldChar w:fldCharType="separate"/>
        </w:r>
        <w:r w:rsidR="00BB5489">
          <w:rPr>
            <w:noProof/>
            <w:webHidden/>
          </w:rPr>
          <w:t>103</w:t>
        </w:r>
        <w:r w:rsidR="00BB5489">
          <w:rPr>
            <w:noProof/>
            <w:webHidden/>
          </w:rPr>
          <w:fldChar w:fldCharType="end"/>
        </w:r>
      </w:hyperlink>
    </w:p>
    <w:p w14:paraId="3753D654" w14:textId="22CACFB5" w:rsidR="00BB5489" w:rsidRDefault="008808DB">
      <w:pPr>
        <w:pStyle w:val="TableofFigures"/>
        <w:tabs>
          <w:tab w:val="right" w:pos="9016"/>
        </w:tabs>
        <w:rPr>
          <w:rFonts w:cstheme="minorBidi"/>
          <w:noProof/>
          <w:szCs w:val="22"/>
          <w:lang w:eastAsia="en-AU"/>
        </w:rPr>
      </w:pPr>
      <w:hyperlink w:anchor="_Toc23841492" w:history="1">
        <w:r w:rsidR="00BB5489" w:rsidRPr="00052DB9">
          <w:rPr>
            <w:rStyle w:val="Hyperlink"/>
            <w:noProof/>
          </w:rPr>
          <w:t>Figure 5.6</w:t>
        </w:r>
        <w:r w:rsidR="00BB5489">
          <w:rPr>
            <w:rFonts w:cstheme="minorBidi"/>
            <w:noProof/>
            <w:szCs w:val="22"/>
            <w:lang w:eastAsia="en-AU"/>
          </w:rPr>
          <w:tab/>
        </w:r>
        <w:r w:rsidR="00BB5489" w:rsidRPr="00052DB9">
          <w:rPr>
            <w:rStyle w:val="Hyperlink"/>
            <w:noProof/>
          </w:rPr>
          <w:t>Change in positive outcome rates, by month from referral, comparing TtW and jobactive</w:t>
        </w:r>
        <w:r w:rsidR="00BB5489">
          <w:rPr>
            <w:noProof/>
            <w:webHidden/>
          </w:rPr>
          <w:tab/>
        </w:r>
        <w:r w:rsidR="00BB5489">
          <w:rPr>
            <w:noProof/>
            <w:webHidden/>
          </w:rPr>
          <w:fldChar w:fldCharType="begin"/>
        </w:r>
        <w:r w:rsidR="00BB5489">
          <w:rPr>
            <w:noProof/>
            <w:webHidden/>
          </w:rPr>
          <w:instrText xml:space="preserve"> PAGEREF _Toc23841492 \h </w:instrText>
        </w:r>
        <w:r w:rsidR="00BB5489">
          <w:rPr>
            <w:noProof/>
            <w:webHidden/>
          </w:rPr>
        </w:r>
        <w:r w:rsidR="00BB5489">
          <w:rPr>
            <w:noProof/>
            <w:webHidden/>
          </w:rPr>
          <w:fldChar w:fldCharType="separate"/>
        </w:r>
        <w:r w:rsidR="00BB5489">
          <w:rPr>
            <w:noProof/>
            <w:webHidden/>
          </w:rPr>
          <w:t>104</w:t>
        </w:r>
        <w:r w:rsidR="00BB5489">
          <w:rPr>
            <w:noProof/>
            <w:webHidden/>
          </w:rPr>
          <w:fldChar w:fldCharType="end"/>
        </w:r>
      </w:hyperlink>
    </w:p>
    <w:p w14:paraId="399A0038" w14:textId="1B38F30D" w:rsidR="00BB5489" w:rsidRDefault="00CC4E3D">
      <w:pPr>
        <w:pStyle w:val="TableofFigures"/>
        <w:tabs>
          <w:tab w:val="right" w:pos="9016"/>
        </w:tabs>
        <w:rPr>
          <w:noProof/>
        </w:rPr>
      </w:pPr>
      <w:r>
        <w:fldChar w:fldCharType="end"/>
      </w:r>
      <w:r w:rsidR="008808DB">
        <w:fldChar w:fldCharType="begin"/>
      </w:r>
      <w:r w:rsidR="008808DB">
        <w:instrText xml:space="preserve"> TOC \h \z \c "Figure A." </w:instrText>
      </w:r>
      <w:r w:rsidR="008808DB">
        <w:fldChar w:fldCharType="separate"/>
      </w:r>
      <w:hyperlink w:anchor="_Toc23331233" w:history="1">
        <w:r w:rsidR="009E37F6" w:rsidRPr="00A53BC0">
          <w:rPr>
            <w:rStyle w:val="Hyperlink"/>
            <w:noProof/>
          </w:rPr>
          <w:t>Figure A. 1</w:t>
        </w:r>
        <w:r w:rsidR="009E37F6">
          <w:rPr>
            <w:rFonts w:cstheme="minorBidi"/>
            <w:noProof/>
            <w:szCs w:val="22"/>
            <w:lang w:eastAsia="en-AU"/>
          </w:rPr>
          <w:tab/>
        </w:r>
        <w:r w:rsidR="009E37F6" w:rsidRPr="00A53BC0">
          <w:rPr>
            <w:rStyle w:val="Hyperlink"/>
            <w:noProof/>
          </w:rPr>
          <w:t>Employment regions</w:t>
        </w:r>
        <w:r w:rsidR="009E37F6">
          <w:rPr>
            <w:noProof/>
            <w:webHidden/>
          </w:rPr>
          <w:tab/>
        </w:r>
        <w:r w:rsidR="009E37F6">
          <w:rPr>
            <w:noProof/>
            <w:webHidden/>
          </w:rPr>
          <w:fldChar w:fldCharType="begin"/>
        </w:r>
        <w:r w:rsidR="009E37F6">
          <w:rPr>
            <w:noProof/>
            <w:webHidden/>
          </w:rPr>
          <w:instrText xml:space="preserve"> PAGEREF _Toc23331233 \h </w:instrText>
        </w:r>
        <w:r w:rsidR="009E37F6">
          <w:rPr>
            <w:noProof/>
            <w:webHidden/>
          </w:rPr>
        </w:r>
        <w:r w:rsidR="009E37F6">
          <w:rPr>
            <w:noProof/>
            <w:webHidden/>
          </w:rPr>
          <w:fldChar w:fldCharType="separate"/>
        </w:r>
        <w:r w:rsidR="00BB5489">
          <w:rPr>
            <w:noProof/>
            <w:webHidden/>
          </w:rPr>
          <w:t>111</w:t>
        </w:r>
        <w:r w:rsidR="009E37F6">
          <w:rPr>
            <w:noProof/>
            <w:webHidden/>
          </w:rPr>
          <w:fldChar w:fldCharType="end"/>
        </w:r>
      </w:hyperlink>
      <w:r w:rsidR="008808DB">
        <w:rPr>
          <w:noProof/>
        </w:rPr>
        <w:fldChar w:fldCharType="end"/>
      </w:r>
      <w:r>
        <w:fldChar w:fldCharType="begin"/>
      </w:r>
      <w:r>
        <w:instrText xml:space="preserve"> TOC \h \z \c "Figure C." </w:instrText>
      </w:r>
      <w:r>
        <w:fldChar w:fldCharType="separate"/>
      </w:r>
    </w:p>
    <w:p w14:paraId="3904F8E3" w14:textId="2ED41CA8" w:rsidR="00BB5489" w:rsidRDefault="008808DB">
      <w:pPr>
        <w:pStyle w:val="TableofFigures"/>
        <w:tabs>
          <w:tab w:val="right" w:pos="9016"/>
        </w:tabs>
        <w:rPr>
          <w:noProof/>
        </w:rPr>
      </w:pPr>
      <w:hyperlink w:anchor="_Toc23841496" w:history="1">
        <w:r w:rsidR="00BB5489" w:rsidRPr="00A74841">
          <w:rPr>
            <w:rStyle w:val="Hyperlink"/>
            <w:noProof/>
          </w:rPr>
          <w:t>Figure C. 1</w:t>
        </w:r>
        <w:r w:rsidR="00BB5489">
          <w:rPr>
            <w:rFonts w:cstheme="minorBidi"/>
            <w:noProof/>
            <w:szCs w:val="22"/>
            <w:lang w:eastAsia="en-AU"/>
          </w:rPr>
          <w:tab/>
        </w:r>
        <w:r w:rsidR="00BB5489" w:rsidRPr="00A74841">
          <w:rPr>
            <w:rStyle w:val="Hyperlink"/>
            <w:noProof/>
          </w:rPr>
          <w:t>Implementation, data capture and analysis timeline</w:t>
        </w:r>
        <w:r w:rsidR="00BB5489">
          <w:rPr>
            <w:noProof/>
            <w:webHidden/>
          </w:rPr>
          <w:tab/>
        </w:r>
        <w:r w:rsidR="00BB5489">
          <w:rPr>
            <w:noProof/>
            <w:webHidden/>
          </w:rPr>
          <w:fldChar w:fldCharType="begin"/>
        </w:r>
        <w:r w:rsidR="00BB5489">
          <w:rPr>
            <w:noProof/>
            <w:webHidden/>
          </w:rPr>
          <w:instrText xml:space="preserve"> PAGEREF _Toc23841496 \h </w:instrText>
        </w:r>
        <w:r w:rsidR="00BB5489">
          <w:rPr>
            <w:noProof/>
            <w:webHidden/>
          </w:rPr>
        </w:r>
        <w:r w:rsidR="00BB5489">
          <w:rPr>
            <w:noProof/>
            <w:webHidden/>
          </w:rPr>
          <w:fldChar w:fldCharType="separate"/>
        </w:r>
        <w:r w:rsidR="00BB5489">
          <w:rPr>
            <w:noProof/>
            <w:webHidden/>
          </w:rPr>
          <w:t>117</w:t>
        </w:r>
        <w:r w:rsidR="00BB5489">
          <w:rPr>
            <w:noProof/>
            <w:webHidden/>
          </w:rPr>
          <w:fldChar w:fldCharType="end"/>
        </w:r>
      </w:hyperlink>
      <w:r w:rsidR="00CC4E3D">
        <w:fldChar w:fldCharType="end"/>
      </w:r>
      <w:r w:rsidR="00CC4E3D">
        <w:fldChar w:fldCharType="begin"/>
      </w:r>
      <w:r w:rsidR="00CC4E3D">
        <w:instrText xml:space="preserve"> TOC \h \z \c "Figure E." </w:instrText>
      </w:r>
      <w:r w:rsidR="00CC4E3D">
        <w:fldChar w:fldCharType="separate"/>
      </w:r>
    </w:p>
    <w:p w14:paraId="242FF781" w14:textId="1E439DF5" w:rsidR="00BB5489" w:rsidRDefault="008808DB">
      <w:pPr>
        <w:pStyle w:val="TableofFigures"/>
        <w:tabs>
          <w:tab w:val="right" w:pos="9016"/>
        </w:tabs>
        <w:rPr>
          <w:noProof/>
        </w:rPr>
      </w:pPr>
      <w:hyperlink w:anchor="_Toc23841497" w:history="1">
        <w:r w:rsidR="00BB5489" w:rsidRPr="00B11AE9">
          <w:rPr>
            <w:rStyle w:val="Hyperlink"/>
            <w:noProof/>
          </w:rPr>
          <w:t>Figure E. 1</w:t>
        </w:r>
        <w:r w:rsidR="00BB5489">
          <w:rPr>
            <w:rFonts w:cstheme="minorBidi"/>
            <w:noProof/>
            <w:szCs w:val="22"/>
            <w:lang w:eastAsia="en-AU"/>
          </w:rPr>
          <w:tab/>
        </w:r>
        <w:r w:rsidR="00BB5489" w:rsidRPr="00B11AE9">
          <w:rPr>
            <w:rStyle w:val="Hyperlink"/>
            <w:noProof/>
          </w:rPr>
          <w:t>Education activity types</w:t>
        </w:r>
        <w:r w:rsidR="00BB5489">
          <w:rPr>
            <w:noProof/>
            <w:webHidden/>
          </w:rPr>
          <w:tab/>
        </w:r>
        <w:r w:rsidR="00BB5489">
          <w:rPr>
            <w:noProof/>
            <w:webHidden/>
          </w:rPr>
          <w:fldChar w:fldCharType="begin"/>
        </w:r>
        <w:r w:rsidR="00BB5489">
          <w:rPr>
            <w:noProof/>
            <w:webHidden/>
          </w:rPr>
          <w:instrText xml:space="preserve"> PAGEREF _Toc23841497 \h </w:instrText>
        </w:r>
        <w:r w:rsidR="00BB5489">
          <w:rPr>
            <w:noProof/>
            <w:webHidden/>
          </w:rPr>
        </w:r>
        <w:r w:rsidR="00BB5489">
          <w:rPr>
            <w:noProof/>
            <w:webHidden/>
          </w:rPr>
          <w:fldChar w:fldCharType="separate"/>
        </w:r>
        <w:r w:rsidR="00BB5489">
          <w:rPr>
            <w:noProof/>
            <w:webHidden/>
          </w:rPr>
          <w:t>120</w:t>
        </w:r>
        <w:r w:rsidR="00BB5489">
          <w:rPr>
            <w:noProof/>
            <w:webHidden/>
          </w:rPr>
          <w:fldChar w:fldCharType="end"/>
        </w:r>
      </w:hyperlink>
      <w:r w:rsidR="00CC4E3D">
        <w:fldChar w:fldCharType="end"/>
      </w:r>
      <w:r w:rsidR="00CC4E3D">
        <w:fldChar w:fldCharType="begin"/>
      </w:r>
      <w:r w:rsidR="00CC4E3D">
        <w:instrText xml:space="preserve"> TOC \h \z \c "Figure H." </w:instrText>
      </w:r>
      <w:r w:rsidR="00CC4E3D">
        <w:fldChar w:fldCharType="separate"/>
      </w:r>
    </w:p>
    <w:p w14:paraId="5F36D326" w14:textId="105874B7" w:rsidR="00BB5489" w:rsidRDefault="008808DB">
      <w:pPr>
        <w:pStyle w:val="TableofFigures"/>
        <w:tabs>
          <w:tab w:val="right" w:pos="9016"/>
        </w:tabs>
        <w:rPr>
          <w:rFonts w:cstheme="minorBidi"/>
          <w:noProof/>
          <w:szCs w:val="22"/>
          <w:lang w:eastAsia="en-AU"/>
        </w:rPr>
      </w:pPr>
      <w:hyperlink w:anchor="_Toc23841493" w:history="1">
        <w:r w:rsidR="00BB5489" w:rsidRPr="00884554">
          <w:rPr>
            <w:rStyle w:val="Hyperlink"/>
            <w:noProof/>
          </w:rPr>
          <w:t>Figure H. 1</w:t>
        </w:r>
        <w:r w:rsidR="00BB5489">
          <w:rPr>
            <w:rFonts w:cstheme="minorBidi"/>
            <w:noProof/>
            <w:szCs w:val="22"/>
            <w:lang w:eastAsia="en-AU"/>
          </w:rPr>
          <w:tab/>
        </w:r>
        <w:r w:rsidR="00BB5489" w:rsidRPr="00884554">
          <w:rPr>
            <w:rStyle w:val="Hyperlink"/>
            <w:noProof/>
          </w:rPr>
          <w:t>Changes in income support, by months in employment services for commenced placements*</w:t>
        </w:r>
        <w:r w:rsidR="00BB5489">
          <w:rPr>
            <w:noProof/>
            <w:webHidden/>
          </w:rPr>
          <w:tab/>
        </w:r>
        <w:r w:rsidR="00BB5489">
          <w:rPr>
            <w:noProof/>
            <w:webHidden/>
          </w:rPr>
          <w:fldChar w:fldCharType="begin"/>
        </w:r>
        <w:r w:rsidR="00BB5489">
          <w:rPr>
            <w:noProof/>
            <w:webHidden/>
          </w:rPr>
          <w:instrText xml:space="preserve"> PAGEREF _Toc23841493 \h </w:instrText>
        </w:r>
        <w:r w:rsidR="00BB5489">
          <w:rPr>
            <w:noProof/>
            <w:webHidden/>
          </w:rPr>
        </w:r>
        <w:r w:rsidR="00BB5489">
          <w:rPr>
            <w:noProof/>
            <w:webHidden/>
          </w:rPr>
          <w:fldChar w:fldCharType="separate"/>
        </w:r>
        <w:r w:rsidR="00BB5489">
          <w:rPr>
            <w:noProof/>
            <w:webHidden/>
          </w:rPr>
          <w:t>126</w:t>
        </w:r>
        <w:r w:rsidR="00BB5489">
          <w:rPr>
            <w:noProof/>
            <w:webHidden/>
          </w:rPr>
          <w:fldChar w:fldCharType="end"/>
        </w:r>
      </w:hyperlink>
    </w:p>
    <w:p w14:paraId="554F36FD" w14:textId="1C4296CA" w:rsidR="00BB5489" w:rsidRDefault="008808DB">
      <w:pPr>
        <w:pStyle w:val="TableofFigures"/>
        <w:tabs>
          <w:tab w:val="right" w:pos="9016"/>
        </w:tabs>
        <w:rPr>
          <w:rFonts w:cstheme="minorBidi"/>
          <w:noProof/>
          <w:szCs w:val="22"/>
          <w:lang w:eastAsia="en-AU"/>
        </w:rPr>
      </w:pPr>
      <w:hyperlink w:anchor="_Toc23841494" w:history="1">
        <w:r w:rsidR="00BB5489" w:rsidRPr="00884554">
          <w:rPr>
            <w:rStyle w:val="Hyperlink"/>
            <w:noProof/>
          </w:rPr>
          <w:t>Figure H. 2</w:t>
        </w:r>
        <w:r w:rsidR="00BB5489">
          <w:rPr>
            <w:rFonts w:cstheme="minorBidi"/>
            <w:noProof/>
            <w:szCs w:val="22"/>
            <w:lang w:eastAsia="en-AU"/>
          </w:rPr>
          <w:tab/>
        </w:r>
        <w:r w:rsidR="00BB5489" w:rsidRPr="00884554">
          <w:rPr>
            <w:rStyle w:val="Hyperlink"/>
            <w:noProof/>
          </w:rPr>
          <w:t>Average earnings for participants commenced within 30 days of referral who reported employment income to DHS, by month</w:t>
        </w:r>
        <w:r w:rsidR="00BB5489">
          <w:rPr>
            <w:noProof/>
            <w:webHidden/>
          </w:rPr>
          <w:tab/>
        </w:r>
        <w:r w:rsidR="00BB5489">
          <w:rPr>
            <w:noProof/>
            <w:webHidden/>
          </w:rPr>
          <w:fldChar w:fldCharType="begin"/>
        </w:r>
        <w:r w:rsidR="00BB5489">
          <w:rPr>
            <w:noProof/>
            <w:webHidden/>
          </w:rPr>
          <w:instrText xml:space="preserve"> PAGEREF _Toc23841494 \h </w:instrText>
        </w:r>
        <w:r w:rsidR="00BB5489">
          <w:rPr>
            <w:noProof/>
            <w:webHidden/>
          </w:rPr>
        </w:r>
        <w:r w:rsidR="00BB5489">
          <w:rPr>
            <w:noProof/>
            <w:webHidden/>
          </w:rPr>
          <w:fldChar w:fldCharType="separate"/>
        </w:r>
        <w:r w:rsidR="00BB5489">
          <w:rPr>
            <w:noProof/>
            <w:webHidden/>
          </w:rPr>
          <w:t>128</w:t>
        </w:r>
        <w:r w:rsidR="00BB5489">
          <w:rPr>
            <w:noProof/>
            <w:webHidden/>
          </w:rPr>
          <w:fldChar w:fldCharType="end"/>
        </w:r>
      </w:hyperlink>
    </w:p>
    <w:p w14:paraId="5AFD6E1C" w14:textId="5BC96667" w:rsidR="00BB5489" w:rsidRDefault="008808DB">
      <w:pPr>
        <w:pStyle w:val="TableofFigures"/>
        <w:tabs>
          <w:tab w:val="right" w:pos="9016"/>
        </w:tabs>
        <w:rPr>
          <w:rFonts w:cstheme="minorBidi"/>
          <w:noProof/>
          <w:szCs w:val="22"/>
          <w:lang w:eastAsia="en-AU"/>
        </w:rPr>
      </w:pPr>
      <w:hyperlink w:anchor="_Toc23841495" w:history="1">
        <w:r w:rsidR="00BB5489" w:rsidRPr="00884554">
          <w:rPr>
            <w:rStyle w:val="Hyperlink"/>
            <w:noProof/>
          </w:rPr>
          <w:t>Figure H. 3</w:t>
        </w:r>
        <w:r w:rsidR="00BB5489">
          <w:rPr>
            <w:rFonts w:cstheme="minorBidi"/>
            <w:noProof/>
            <w:szCs w:val="22"/>
            <w:lang w:eastAsia="en-AU"/>
          </w:rPr>
          <w:tab/>
        </w:r>
        <w:r w:rsidR="00BB5489" w:rsidRPr="00884554">
          <w:rPr>
            <w:rStyle w:val="Hyperlink"/>
            <w:noProof/>
          </w:rPr>
          <w:t>Median base rate paid per month for participants commenced within 30 days of referral</w:t>
        </w:r>
        <w:r w:rsidR="00BB5489">
          <w:rPr>
            <w:noProof/>
            <w:webHidden/>
          </w:rPr>
          <w:tab/>
        </w:r>
        <w:r w:rsidR="00BB5489">
          <w:rPr>
            <w:noProof/>
            <w:webHidden/>
          </w:rPr>
          <w:fldChar w:fldCharType="begin"/>
        </w:r>
        <w:r w:rsidR="00BB5489">
          <w:rPr>
            <w:noProof/>
            <w:webHidden/>
          </w:rPr>
          <w:instrText xml:space="preserve"> PAGEREF _Toc23841495 \h </w:instrText>
        </w:r>
        <w:r w:rsidR="00BB5489">
          <w:rPr>
            <w:noProof/>
            <w:webHidden/>
          </w:rPr>
        </w:r>
        <w:r w:rsidR="00BB5489">
          <w:rPr>
            <w:noProof/>
            <w:webHidden/>
          </w:rPr>
          <w:fldChar w:fldCharType="separate"/>
        </w:r>
        <w:r w:rsidR="00BB5489">
          <w:rPr>
            <w:noProof/>
            <w:webHidden/>
          </w:rPr>
          <w:t>129</w:t>
        </w:r>
        <w:r w:rsidR="00BB5489">
          <w:rPr>
            <w:noProof/>
            <w:webHidden/>
          </w:rPr>
          <w:fldChar w:fldCharType="end"/>
        </w:r>
      </w:hyperlink>
    </w:p>
    <w:p w14:paraId="7F802C01" w14:textId="77777777" w:rsidR="00CC4E3D" w:rsidRPr="00A860F5" w:rsidRDefault="00CC4E3D" w:rsidP="00CC4E3D">
      <w:pPr>
        <w:tabs>
          <w:tab w:val="right" w:pos="9016"/>
        </w:tabs>
      </w:pPr>
      <w:r>
        <w:fldChar w:fldCharType="end"/>
      </w:r>
      <w:r w:rsidRPr="00A860F5">
        <w:br w:type="page"/>
      </w:r>
    </w:p>
    <w:p w14:paraId="73252F9A" w14:textId="77777777" w:rsidR="00CC4E3D" w:rsidRDefault="00CC4E3D" w:rsidP="00263855">
      <w:pPr>
        <w:pStyle w:val="Heading1"/>
        <w:spacing w:after="240"/>
      </w:pPr>
      <w:bookmarkStart w:id="5" w:name="_Toc535498836"/>
      <w:bookmarkStart w:id="6" w:name="_Toc23841316"/>
      <w:r>
        <w:lastRenderedPageBreak/>
        <w:t>List of short forms</w:t>
      </w:r>
      <w:bookmarkEnd w:id="5"/>
      <w:bookmarkEnd w:id="6"/>
    </w:p>
    <w:tbl>
      <w:tblPr>
        <w:tblStyle w:val="JobsTable"/>
        <w:tblW w:w="0" w:type="auto"/>
        <w:tblBorders>
          <w:bottom w:val="none" w:sz="0" w:space="0" w:color="auto"/>
        </w:tblBorders>
        <w:tblLook w:val="04A0" w:firstRow="1" w:lastRow="0" w:firstColumn="1" w:lastColumn="0" w:noHBand="0" w:noVBand="1"/>
        <w:tblDescription w:val="ABS Australian Bureau of Statistics&#10;Department Department of Jobs and Small Business&#10;DHS Department of Human Services&#10;ESAt Employment Services Assessment &#10;ESS Employment Services System&#10;Eurofound European Foundation for the Improvement of Living and Working Conditions&#10;JSCI Job Seeker Classification Instrument&#10;KPI key performance indicator&#10;OECD Organisation for Economic Co-operation and Development&#10;RED Research and Evaluation Database&#10;SDP Service Delivery Plan&#10;TtW Transition to Work&#10;TtW Deed Transition to Work Deed 2016–2020 &#10;"/>
      </w:tblPr>
      <w:tblGrid>
        <w:gridCol w:w="2552"/>
        <w:gridCol w:w="6464"/>
      </w:tblGrid>
      <w:tr w:rsidR="00CC4E3D" w:rsidRPr="00263855" w14:paraId="0E92FD8E" w14:textId="77777777" w:rsidTr="00A75A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52" w:type="dxa"/>
          </w:tcPr>
          <w:p w14:paraId="74A00FEB" w14:textId="77777777" w:rsidR="00CC4E3D" w:rsidRPr="00263855" w:rsidRDefault="00CC4E3D" w:rsidP="00CF510D">
            <w:pPr>
              <w:spacing w:before="40" w:after="40"/>
              <w:rPr>
                <w:b/>
                <w:bCs/>
              </w:rPr>
            </w:pPr>
            <w:r w:rsidRPr="00263855">
              <w:rPr>
                <w:b/>
                <w:bCs/>
              </w:rPr>
              <w:t>Short form</w:t>
            </w:r>
          </w:p>
        </w:tc>
        <w:tc>
          <w:tcPr>
            <w:tcW w:w="6464" w:type="dxa"/>
          </w:tcPr>
          <w:p w14:paraId="3B8F96A5" w14:textId="77777777" w:rsidR="00CC4E3D" w:rsidRPr="00263855" w:rsidRDefault="00CC4E3D" w:rsidP="00CF510D">
            <w:pPr>
              <w:spacing w:before="40" w:after="40"/>
              <w:cnfStyle w:val="100000000000" w:firstRow="1" w:lastRow="0" w:firstColumn="0" w:lastColumn="0" w:oddVBand="0" w:evenVBand="0" w:oddHBand="0" w:evenHBand="0" w:firstRowFirstColumn="0" w:firstRowLastColumn="0" w:lastRowFirstColumn="0" w:lastRowLastColumn="0"/>
              <w:rPr>
                <w:b/>
                <w:bCs/>
              </w:rPr>
            </w:pPr>
            <w:r w:rsidRPr="00263855">
              <w:rPr>
                <w:b/>
                <w:bCs/>
              </w:rPr>
              <w:t>In full</w:t>
            </w:r>
          </w:p>
        </w:tc>
      </w:tr>
      <w:tr w:rsidR="00CC4E3D" w:rsidRPr="00263855" w14:paraId="124C3DC3" w14:textId="77777777" w:rsidTr="00A75A0C">
        <w:tc>
          <w:tcPr>
            <w:cnfStyle w:val="001000000000" w:firstRow="0" w:lastRow="0" w:firstColumn="1" w:lastColumn="0" w:oddVBand="0" w:evenVBand="0" w:oddHBand="0" w:evenHBand="0" w:firstRowFirstColumn="0" w:firstRowLastColumn="0" w:lastRowFirstColumn="0" w:lastRowLastColumn="0"/>
            <w:tcW w:w="2552" w:type="dxa"/>
          </w:tcPr>
          <w:p w14:paraId="3815DA3F" w14:textId="77777777" w:rsidR="00CC4E3D" w:rsidRPr="00263855" w:rsidRDefault="00CC4E3D" w:rsidP="00CF510D">
            <w:pPr>
              <w:spacing w:before="40" w:after="40"/>
            </w:pPr>
            <w:r w:rsidRPr="00263855">
              <w:t>ABS</w:t>
            </w:r>
          </w:p>
        </w:tc>
        <w:tc>
          <w:tcPr>
            <w:tcW w:w="6464" w:type="dxa"/>
          </w:tcPr>
          <w:p w14:paraId="39627C6D" w14:textId="77777777" w:rsidR="00CC4E3D" w:rsidRPr="00263855" w:rsidRDefault="00CC4E3D" w:rsidP="00CF510D">
            <w:pPr>
              <w:spacing w:before="40" w:after="40"/>
              <w:cnfStyle w:val="000000000000" w:firstRow="0" w:lastRow="0" w:firstColumn="0" w:lastColumn="0" w:oddVBand="0" w:evenVBand="0" w:oddHBand="0" w:evenHBand="0" w:firstRowFirstColumn="0" w:firstRowLastColumn="0" w:lastRowFirstColumn="0" w:lastRowLastColumn="0"/>
            </w:pPr>
            <w:r w:rsidRPr="00263855">
              <w:t>Australian Bureau of Statistics</w:t>
            </w:r>
          </w:p>
        </w:tc>
      </w:tr>
      <w:tr w:rsidR="00CC4E3D" w:rsidRPr="00263855" w14:paraId="63A79B12" w14:textId="77777777" w:rsidTr="00A75A0C">
        <w:tc>
          <w:tcPr>
            <w:cnfStyle w:val="001000000000" w:firstRow="0" w:lastRow="0" w:firstColumn="1" w:lastColumn="0" w:oddVBand="0" w:evenVBand="0" w:oddHBand="0" w:evenHBand="0" w:firstRowFirstColumn="0" w:firstRowLastColumn="0" w:lastRowFirstColumn="0" w:lastRowLastColumn="0"/>
            <w:tcW w:w="2552" w:type="dxa"/>
            <w:shd w:val="clear" w:color="auto" w:fill="F2F2F2" w:themeFill="background2"/>
          </w:tcPr>
          <w:p w14:paraId="11EA255A" w14:textId="77777777" w:rsidR="00CC4E3D" w:rsidRPr="00263855" w:rsidRDefault="00CC4E3D" w:rsidP="00CF510D">
            <w:pPr>
              <w:spacing w:before="40" w:after="40"/>
            </w:pPr>
            <w:r w:rsidRPr="00263855">
              <w:t>ALMPs</w:t>
            </w:r>
          </w:p>
        </w:tc>
        <w:tc>
          <w:tcPr>
            <w:tcW w:w="6464" w:type="dxa"/>
            <w:shd w:val="clear" w:color="auto" w:fill="F2F2F2" w:themeFill="background2"/>
          </w:tcPr>
          <w:p w14:paraId="5EA7BA6C" w14:textId="77777777" w:rsidR="00CC4E3D" w:rsidRPr="00263855" w:rsidRDefault="00CC4E3D" w:rsidP="00CF510D">
            <w:pPr>
              <w:spacing w:before="40" w:after="40"/>
              <w:cnfStyle w:val="000000000000" w:firstRow="0" w:lastRow="0" w:firstColumn="0" w:lastColumn="0" w:oddVBand="0" w:evenVBand="0" w:oddHBand="0" w:evenHBand="0" w:firstRowFirstColumn="0" w:firstRowLastColumn="0" w:lastRowFirstColumn="0" w:lastRowLastColumn="0"/>
            </w:pPr>
            <w:r w:rsidRPr="00263855">
              <w:t>Active Labour Market Policies or Programs</w:t>
            </w:r>
          </w:p>
        </w:tc>
      </w:tr>
      <w:tr w:rsidR="00CC4E3D" w:rsidRPr="00263855" w14:paraId="6E431AF8" w14:textId="77777777" w:rsidTr="00A75A0C">
        <w:tc>
          <w:tcPr>
            <w:cnfStyle w:val="001000000000" w:firstRow="0" w:lastRow="0" w:firstColumn="1" w:lastColumn="0" w:oddVBand="0" w:evenVBand="0" w:oddHBand="0" w:evenHBand="0" w:firstRowFirstColumn="0" w:firstRowLastColumn="0" w:lastRowFirstColumn="0" w:lastRowLastColumn="0"/>
            <w:tcW w:w="2552" w:type="dxa"/>
          </w:tcPr>
          <w:p w14:paraId="2FF4F993" w14:textId="19C10E25" w:rsidR="00CC4E3D" w:rsidRPr="00263855" w:rsidRDefault="00082F50" w:rsidP="00CF510D">
            <w:pPr>
              <w:spacing w:before="40" w:after="40"/>
            </w:pPr>
            <w:r>
              <w:t>d</w:t>
            </w:r>
            <w:r w:rsidR="00CC4E3D" w:rsidRPr="00263855">
              <w:t>epartment</w:t>
            </w:r>
          </w:p>
        </w:tc>
        <w:tc>
          <w:tcPr>
            <w:tcW w:w="6464" w:type="dxa"/>
          </w:tcPr>
          <w:p w14:paraId="641755CA" w14:textId="04D1D99E" w:rsidR="00CC4E3D" w:rsidRPr="00263855" w:rsidRDefault="00CC4E3D" w:rsidP="009C06E3">
            <w:pPr>
              <w:spacing w:before="40" w:after="40"/>
              <w:cnfStyle w:val="000000000000" w:firstRow="0" w:lastRow="0" w:firstColumn="0" w:lastColumn="0" w:oddVBand="0" w:evenVBand="0" w:oddHBand="0" w:evenHBand="0" w:firstRowFirstColumn="0" w:firstRowLastColumn="0" w:lastRowFirstColumn="0" w:lastRowLastColumn="0"/>
            </w:pPr>
            <w:r w:rsidRPr="00263855">
              <w:t xml:space="preserve">Department of </w:t>
            </w:r>
            <w:r w:rsidR="009C06E3">
              <w:t>Employment, Skills, Small and Family Business</w:t>
            </w:r>
          </w:p>
        </w:tc>
      </w:tr>
      <w:tr w:rsidR="00CC4E3D" w:rsidRPr="00263855" w14:paraId="4A127CF9" w14:textId="77777777" w:rsidTr="00A75A0C">
        <w:tc>
          <w:tcPr>
            <w:cnfStyle w:val="001000000000" w:firstRow="0" w:lastRow="0" w:firstColumn="1" w:lastColumn="0" w:oddVBand="0" w:evenVBand="0" w:oddHBand="0" w:evenHBand="0" w:firstRowFirstColumn="0" w:firstRowLastColumn="0" w:lastRowFirstColumn="0" w:lastRowLastColumn="0"/>
            <w:tcW w:w="2552" w:type="dxa"/>
            <w:shd w:val="clear" w:color="auto" w:fill="F2F2F2" w:themeFill="background2"/>
          </w:tcPr>
          <w:p w14:paraId="1F6E8E36" w14:textId="77777777" w:rsidR="00CC4E3D" w:rsidRPr="00263855" w:rsidRDefault="00CC4E3D" w:rsidP="00CF510D">
            <w:pPr>
              <w:spacing w:before="40" w:after="40"/>
            </w:pPr>
            <w:r w:rsidRPr="00263855">
              <w:t>DHS</w:t>
            </w:r>
          </w:p>
        </w:tc>
        <w:tc>
          <w:tcPr>
            <w:tcW w:w="6464" w:type="dxa"/>
            <w:shd w:val="clear" w:color="auto" w:fill="F2F2F2" w:themeFill="background2"/>
          </w:tcPr>
          <w:p w14:paraId="6F5279AB" w14:textId="50754F91" w:rsidR="00CC4E3D" w:rsidRPr="00263855" w:rsidRDefault="009C06E3" w:rsidP="00CF510D">
            <w:pPr>
              <w:spacing w:before="40" w:after="40"/>
              <w:cnfStyle w:val="000000000000" w:firstRow="0" w:lastRow="0" w:firstColumn="0" w:lastColumn="0" w:oddVBand="0" w:evenVBand="0" w:oddHBand="0" w:evenHBand="0" w:firstRowFirstColumn="0" w:firstRowLastColumn="0" w:lastRowFirstColumn="0" w:lastRowLastColumn="0"/>
            </w:pPr>
            <w:r>
              <w:t xml:space="preserve">Services Australia (previously </w:t>
            </w:r>
            <w:r w:rsidR="00CC4E3D" w:rsidRPr="00263855">
              <w:t>Department of Human Services</w:t>
            </w:r>
            <w:r>
              <w:t>)</w:t>
            </w:r>
          </w:p>
        </w:tc>
      </w:tr>
      <w:tr w:rsidR="00CC4E3D" w:rsidRPr="00263855" w14:paraId="7147001A" w14:textId="77777777" w:rsidTr="00A75A0C">
        <w:tc>
          <w:tcPr>
            <w:cnfStyle w:val="001000000000" w:firstRow="0" w:lastRow="0" w:firstColumn="1" w:lastColumn="0" w:oddVBand="0" w:evenVBand="0" w:oddHBand="0" w:evenHBand="0" w:firstRowFirstColumn="0" w:firstRowLastColumn="0" w:lastRowFirstColumn="0" w:lastRowLastColumn="0"/>
            <w:tcW w:w="2552" w:type="dxa"/>
          </w:tcPr>
          <w:p w14:paraId="42512D01" w14:textId="77777777" w:rsidR="00CC4E3D" w:rsidRPr="00263855" w:rsidRDefault="00CC4E3D" w:rsidP="00CF510D">
            <w:pPr>
              <w:spacing w:before="40" w:after="40"/>
            </w:pPr>
            <w:r w:rsidRPr="00263855">
              <w:t>ESAt</w:t>
            </w:r>
          </w:p>
        </w:tc>
        <w:tc>
          <w:tcPr>
            <w:tcW w:w="6464" w:type="dxa"/>
          </w:tcPr>
          <w:p w14:paraId="3F386351" w14:textId="77777777" w:rsidR="00CC4E3D" w:rsidRPr="00263855" w:rsidRDefault="00CC4E3D" w:rsidP="00CF510D">
            <w:pPr>
              <w:spacing w:before="40" w:after="40"/>
              <w:cnfStyle w:val="000000000000" w:firstRow="0" w:lastRow="0" w:firstColumn="0" w:lastColumn="0" w:oddVBand="0" w:evenVBand="0" w:oddHBand="0" w:evenHBand="0" w:firstRowFirstColumn="0" w:firstRowLastColumn="0" w:lastRowFirstColumn="0" w:lastRowLastColumn="0"/>
            </w:pPr>
            <w:r w:rsidRPr="00263855">
              <w:t xml:space="preserve">Employment Services Assessment </w:t>
            </w:r>
          </w:p>
        </w:tc>
      </w:tr>
      <w:tr w:rsidR="00CC4E3D" w:rsidRPr="00263855" w14:paraId="088AA0F8" w14:textId="77777777" w:rsidTr="00A75A0C">
        <w:tc>
          <w:tcPr>
            <w:cnfStyle w:val="001000000000" w:firstRow="0" w:lastRow="0" w:firstColumn="1" w:lastColumn="0" w:oddVBand="0" w:evenVBand="0" w:oddHBand="0" w:evenHBand="0" w:firstRowFirstColumn="0" w:firstRowLastColumn="0" w:lastRowFirstColumn="0" w:lastRowLastColumn="0"/>
            <w:tcW w:w="2552" w:type="dxa"/>
            <w:shd w:val="clear" w:color="auto" w:fill="F2F2F2" w:themeFill="background2"/>
          </w:tcPr>
          <w:p w14:paraId="4BDBD1F1" w14:textId="77777777" w:rsidR="00CC4E3D" w:rsidRPr="00263855" w:rsidRDefault="00CC4E3D" w:rsidP="00CF510D">
            <w:pPr>
              <w:spacing w:before="40" w:after="40"/>
            </w:pPr>
            <w:r w:rsidRPr="00263855">
              <w:t>ESS</w:t>
            </w:r>
          </w:p>
        </w:tc>
        <w:tc>
          <w:tcPr>
            <w:tcW w:w="6464" w:type="dxa"/>
            <w:shd w:val="clear" w:color="auto" w:fill="F2F2F2" w:themeFill="background2"/>
          </w:tcPr>
          <w:p w14:paraId="4B11E4FD" w14:textId="77777777" w:rsidR="00CC4E3D" w:rsidRPr="00263855" w:rsidRDefault="00CC4E3D" w:rsidP="00CF510D">
            <w:pPr>
              <w:spacing w:before="40" w:after="40"/>
              <w:cnfStyle w:val="000000000000" w:firstRow="0" w:lastRow="0" w:firstColumn="0" w:lastColumn="0" w:oddVBand="0" w:evenVBand="0" w:oddHBand="0" w:evenHBand="0" w:firstRowFirstColumn="0" w:firstRowLastColumn="0" w:lastRowFirstColumn="0" w:lastRowLastColumn="0"/>
            </w:pPr>
            <w:r w:rsidRPr="00263855">
              <w:t>Employment Services System</w:t>
            </w:r>
          </w:p>
        </w:tc>
      </w:tr>
      <w:tr w:rsidR="00CC4E3D" w:rsidRPr="00263855" w14:paraId="705ABB4A" w14:textId="77777777" w:rsidTr="00A75A0C">
        <w:tc>
          <w:tcPr>
            <w:cnfStyle w:val="001000000000" w:firstRow="0" w:lastRow="0" w:firstColumn="1" w:lastColumn="0" w:oddVBand="0" w:evenVBand="0" w:oddHBand="0" w:evenHBand="0" w:firstRowFirstColumn="0" w:firstRowLastColumn="0" w:lastRowFirstColumn="0" w:lastRowLastColumn="0"/>
            <w:tcW w:w="2552" w:type="dxa"/>
          </w:tcPr>
          <w:p w14:paraId="494E0284" w14:textId="77777777" w:rsidR="00CC4E3D" w:rsidRPr="00263855" w:rsidRDefault="00CC4E3D" w:rsidP="00CF510D">
            <w:pPr>
              <w:spacing w:before="40" w:after="40"/>
            </w:pPr>
            <w:r w:rsidRPr="00263855">
              <w:t>Eurofound</w:t>
            </w:r>
          </w:p>
        </w:tc>
        <w:tc>
          <w:tcPr>
            <w:tcW w:w="6464" w:type="dxa"/>
          </w:tcPr>
          <w:p w14:paraId="50C3532D" w14:textId="77777777" w:rsidR="00CC4E3D" w:rsidRPr="00263855" w:rsidRDefault="00CC4E3D" w:rsidP="00CF510D">
            <w:pPr>
              <w:spacing w:before="40" w:after="40"/>
              <w:cnfStyle w:val="000000000000" w:firstRow="0" w:lastRow="0" w:firstColumn="0" w:lastColumn="0" w:oddVBand="0" w:evenVBand="0" w:oddHBand="0" w:evenHBand="0" w:firstRowFirstColumn="0" w:firstRowLastColumn="0" w:lastRowFirstColumn="0" w:lastRowLastColumn="0"/>
            </w:pPr>
            <w:r w:rsidRPr="00263855">
              <w:t>European Foundation for the Improvement of Living and Working Conditions</w:t>
            </w:r>
          </w:p>
        </w:tc>
      </w:tr>
      <w:tr w:rsidR="00CC4E3D" w:rsidRPr="00263855" w14:paraId="1665ECBD" w14:textId="77777777" w:rsidTr="00A75A0C">
        <w:tc>
          <w:tcPr>
            <w:cnfStyle w:val="001000000000" w:firstRow="0" w:lastRow="0" w:firstColumn="1" w:lastColumn="0" w:oddVBand="0" w:evenVBand="0" w:oddHBand="0" w:evenHBand="0" w:firstRowFirstColumn="0" w:firstRowLastColumn="0" w:lastRowFirstColumn="0" w:lastRowLastColumn="0"/>
            <w:tcW w:w="2552" w:type="dxa"/>
            <w:shd w:val="clear" w:color="auto" w:fill="F2F2F2" w:themeFill="background2"/>
          </w:tcPr>
          <w:p w14:paraId="63CFECD5" w14:textId="77777777" w:rsidR="00CC4E3D" w:rsidRPr="00263855" w:rsidRDefault="00CC4E3D" w:rsidP="00CF510D">
            <w:pPr>
              <w:spacing w:before="40" w:after="40"/>
            </w:pPr>
            <w:r w:rsidRPr="00263855">
              <w:t>JSCI</w:t>
            </w:r>
          </w:p>
        </w:tc>
        <w:tc>
          <w:tcPr>
            <w:tcW w:w="6464" w:type="dxa"/>
            <w:shd w:val="clear" w:color="auto" w:fill="F2F2F2" w:themeFill="background2"/>
          </w:tcPr>
          <w:p w14:paraId="3ABD9766" w14:textId="77777777" w:rsidR="00CC4E3D" w:rsidRPr="00263855" w:rsidRDefault="00CC4E3D" w:rsidP="00CF510D">
            <w:pPr>
              <w:spacing w:before="40" w:after="40"/>
              <w:cnfStyle w:val="000000000000" w:firstRow="0" w:lastRow="0" w:firstColumn="0" w:lastColumn="0" w:oddVBand="0" w:evenVBand="0" w:oddHBand="0" w:evenHBand="0" w:firstRowFirstColumn="0" w:firstRowLastColumn="0" w:lastRowFirstColumn="0" w:lastRowLastColumn="0"/>
            </w:pPr>
            <w:r w:rsidRPr="00263855">
              <w:t>Job Seeker Classification Instrument</w:t>
            </w:r>
          </w:p>
        </w:tc>
      </w:tr>
      <w:tr w:rsidR="00CC4E3D" w:rsidRPr="00263855" w14:paraId="01015AA5" w14:textId="77777777" w:rsidTr="00A75A0C">
        <w:tc>
          <w:tcPr>
            <w:cnfStyle w:val="001000000000" w:firstRow="0" w:lastRow="0" w:firstColumn="1" w:lastColumn="0" w:oddVBand="0" w:evenVBand="0" w:oddHBand="0" w:evenHBand="0" w:firstRowFirstColumn="0" w:firstRowLastColumn="0" w:lastRowFirstColumn="0" w:lastRowLastColumn="0"/>
            <w:tcW w:w="2552" w:type="dxa"/>
          </w:tcPr>
          <w:p w14:paraId="5F37C97A" w14:textId="77777777" w:rsidR="00CC4E3D" w:rsidRPr="00263855" w:rsidRDefault="00CC4E3D" w:rsidP="00CF510D">
            <w:pPr>
              <w:spacing w:before="40" w:after="40"/>
            </w:pPr>
            <w:r w:rsidRPr="00263855">
              <w:t>KPI</w:t>
            </w:r>
          </w:p>
        </w:tc>
        <w:tc>
          <w:tcPr>
            <w:tcW w:w="6464" w:type="dxa"/>
          </w:tcPr>
          <w:p w14:paraId="7A393DB6" w14:textId="77777777" w:rsidR="00CC4E3D" w:rsidRPr="00263855" w:rsidRDefault="00CC4E3D" w:rsidP="00CF510D">
            <w:pPr>
              <w:spacing w:before="40" w:after="40"/>
              <w:cnfStyle w:val="000000000000" w:firstRow="0" w:lastRow="0" w:firstColumn="0" w:lastColumn="0" w:oddVBand="0" w:evenVBand="0" w:oddHBand="0" w:evenHBand="0" w:firstRowFirstColumn="0" w:firstRowLastColumn="0" w:lastRowFirstColumn="0" w:lastRowLastColumn="0"/>
            </w:pPr>
            <w:r w:rsidRPr="00263855">
              <w:t>key performance indicator</w:t>
            </w:r>
          </w:p>
        </w:tc>
      </w:tr>
      <w:tr w:rsidR="00CC4E3D" w:rsidRPr="00263855" w14:paraId="72C275A1" w14:textId="77777777" w:rsidTr="00A75A0C">
        <w:tc>
          <w:tcPr>
            <w:cnfStyle w:val="001000000000" w:firstRow="0" w:lastRow="0" w:firstColumn="1" w:lastColumn="0" w:oddVBand="0" w:evenVBand="0" w:oddHBand="0" w:evenHBand="0" w:firstRowFirstColumn="0" w:firstRowLastColumn="0" w:lastRowFirstColumn="0" w:lastRowLastColumn="0"/>
            <w:tcW w:w="2552" w:type="dxa"/>
            <w:shd w:val="clear" w:color="auto" w:fill="F2F2F2" w:themeFill="background2"/>
          </w:tcPr>
          <w:p w14:paraId="2BFF123B" w14:textId="77777777" w:rsidR="00CC4E3D" w:rsidRPr="00263855" w:rsidRDefault="00CC4E3D" w:rsidP="00CF510D">
            <w:pPr>
              <w:spacing w:before="40" w:after="40"/>
            </w:pPr>
            <w:r w:rsidRPr="00263855">
              <w:t>OECD</w:t>
            </w:r>
          </w:p>
        </w:tc>
        <w:tc>
          <w:tcPr>
            <w:tcW w:w="6464" w:type="dxa"/>
            <w:shd w:val="clear" w:color="auto" w:fill="F2F2F2" w:themeFill="background2"/>
          </w:tcPr>
          <w:p w14:paraId="736B344D" w14:textId="77777777" w:rsidR="00CC4E3D" w:rsidRPr="00263855" w:rsidRDefault="00CC4E3D" w:rsidP="00CF510D">
            <w:pPr>
              <w:spacing w:before="40" w:after="40"/>
              <w:cnfStyle w:val="000000000000" w:firstRow="0" w:lastRow="0" w:firstColumn="0" w:lastColumn="0" w:oddVBand="0" w:evenVBand="0" w:oddHBand="0" w:evenHBand="0" w:firstRowFirstColumn="0" w:firstRowLastColumn="0" w:lastRowFirstColumn="0" w:lastRowLastColumn="0"/>
            </w:pPr>
            <w:r w:rsidRPr="00263855">
              <w:t>Organisation for Economic Co-operation and Development</w:t>
            </w:r>
          </w:p>
        </w:tc>
      </w:tr>
      <w:tr w:rsidR="00CC4E3D" w:rsidRPr="00263855" w14:paraId="12B9355D" w14:textId="77777777" w:rsidTr="00A75A0C">
        <w:tc>
          <w:tcPr>
            <w:cnfStyle w:val="001000000000" w:firstRow="0" w:lastRow="0" w:firstColumn="1" w:lastColumn="0" w:oddVBand="0" w:evenVBand="0" w:oddHBand="0" w:evenHBand="0" w:firstRowFirstColumn="0" w:firstRowLastColumn="0" w:lastRowFirstColumn="0" w:lastRowLastColumn="0"/>
            <w:tcW w:w="2552" w:type="dxa"/>
          </w:tcPr>
          <w:p w14:paraId="29278944" w14:textId="77777777" w:rsidR="00CC4E3D" w:rsidRPr="00263855" w:rsidRDefault="00CC4E3D" w:rsidP="00CF510D">
            <w:pPr>
              <w:spacing w:before="40" w:after="40"/>
            </w:pPr>
            <w:r w:rsidRPr="00263855">
              <w:t>RED</w:t>
            </w:r>
          </w:p>
        </w:tc>
        <w:tc>
          <w:tcPr>
            <w:tcW w:w="6464" w:type="dxa"/>
          </w:tcPr>
          <w:p w14:paraId="6CC9BF35" w14:textId="77777777" w:rsidR="00CC4E3D" w:rsidRPr="00263855" w:rsidRDefault="00CC4E3D" w:rsidP="00CF510D">
            <w:pPr>
              <w:spacing w:before="40" w:after="40"/>
              <w:cnfStyle w:val="000000000000" w:firstRow="0" w:lastRow="0" w:firstColumn="0" w:lastColumn="0" w:oddVBand="0" w:evenVBand="0" w:oddHBand="0" w:evenHBand="0" w:firstRowFirstColumn="0" w:firstRowLastColumn="0" w:lastRowFirstColumn="0" w:lastRowLastColumn="0"/>
            </w:pPr>
            <w:r w:rsidRPr="00263855">
              <w:t>Research and Evaluation Database</w:t>
            </w:r>
          </w:p>
        </w:tc>
      </w:tr>
      <w:tr w:rsidR="00CC4E3D" w:rsidRPr="00263855" w14:paraId="3D8045BD" w14:textId="77777777" w:rsidTr="00A75A0C">
        <w:tc>
          <w:tcPr>
            <w:cnfStyle w:val="001000000000" w:firstRow="0" w:lastRow="0" w:firstColumn="1" w:lastColumn="0" w:oddVBand="0" w:evenVBand="0" w:oddHBand="0" w:evenHBand="0" w:firstRowFirstColumn="0" w:firstRowLastColumn="0" w:lastRowFirstColumn="0" w:lastRowLastColumn="0"/>
            <w:tcW w:w="2552" w:type="dxa"/>
            <w:shd w:val="clear" w:color="auto" w:fill="F2F2F2" w:themeFill="background2"/>
          </w:tcPr>
          <w:p w14:paraId="6640F3D8" w14:textId="77777777" w:rsidR="00CC4E3D" w:rsidRPr="00263855" w:rsidRDefault="00CC4E3D" w:rsidP="00CF510D">
            <w:pPr>
              <w:spacing w:before="40" w:after="40"/>
            </w:pPr>
            <w:r w:rsidRPr="00263855">
              <w:t>SDP</w:t>
            </w:r>
          </w:p>
        </w:tc>
        <w:tc>
          <w:tcPr>
            <w:tcW w:w="6464" w:type="dxa"/>
            <w:shd w:val="clear" w:color="auto" w:fill="F2F2F2" w:themeFill="background2"/>
          </w:tcPr>
          <w:p w14:paraId="64D7951C" w14:textId="77777777" w:rsidR="00CC4E3D" w:rsidRPr="00263855" w:rsidRDefault="00CC4E3D" w:rsidP="00CF510D">
            <w:pPr>
              <w:spacing w:before="40" w:after="40"/>
              <w:cnfStyle w:val="000000000000" w:firstRow="0" w:lastRow="0" w:firstColumn="0" w:lastColumn="0" w:oddVBand="0" w:evenVBand="0" w:oddHBand="0" w:evenHBand="0" w:firstRowFirstColumn="0" w:firstRowLastColumn="0" w:lastRowFirstColumn="0" w:lastRowLastColumn="0"/>
            </w:pPr>
            <w:r w:rsidRPr="00263855">
              <w:t>Service Delivery Plan</w:t>
            </w:r>
          </w:p>
        </w:tc>
      </w:tr>
      <w:tr w:rsidR="00CC4E3D" w:rsidRPr="00263855" w14:paraId="2AB0D7A6" w14:textId="77777777" w:rsidTr="00A75A0C">
        <w:tc>
          <w:tcPr>
            <w:cnfStyle w:val="001000000000" w:firstRow="0" w:lastRow="0" w:firstColumn="1" w:lastColumn="0" w:oddVBand="0" w:evenVBand="0" w:oddHBand="0" w:evenHBand="0" w:firstRowFirstColumn="0" w:firstRowLastColumn="0" w:lastRowFirstColumn="0" w:lastRowLastColumn="0"/>
            <w:tcW w:w="2552" w:type="dxa"/>
          </w:tcPr>
          <w:p w14:paraId="7D003315" w14:textId="77777777" w:rsidR="00CC4E3D" w:rsidRPr="00263855" w:rsidRDefault="00CC4E3D" w:rsidP="00CF510D">
            <w:pPr>
              <w:spacing w:before="40" w:after="40"/>
            </w:pPr>
            <w:r w:rsidRPr="00263855">
              <w:t>TtW</w:t>
            </w:r>
          </w:p>
        </w:tc>
        <w:tc>
          <w:tcPr>
            <w:tcW w:w="6464" w:type="dxa"/>
          </w:tcPr>
          <w:p w14:paraId="0BB49B27" w14:textId="77777777" w:rsidR="00CC4E3D" w:rsidRPr="00263855" w:rsidRDefault="00CC4E3D" w:rsidP="00CF510D">
            <w:pPr>
              <w:spacing w:before="40" w:after="40"/>
              <w:cnfStyle w:val="000000000000" w:firstRow="0" w:lastRow="0" w:firstColumn="0" w:lastColumn="0" w:oddVBand="0" w:evenVBand="0" w:oddHBand="0" w:evenHBand="0" w:firstRowFirstColumn="0" w:firstRowLastColumn="0" w:lastRowFirstColumn="0" w:lastRowLastColumn="0"/>
            </w:pPr>
            <w:r w:rsidRPr="00263855">
              <w:t>Transition to Work</w:t>
            </w:r>
          </w:p>
        </w:tc>
      </w:tr>
      <w:tr w:rsidR="00CC4E3D" w:rsidRPr="00263855" w14:paraId="4484E0B6" w14:textId="77777777" w:rsidTr="00A75A0C">
        <w:tc>
          <w:tcPr>
            <w:cnfStyle w:val="001000000000" w:firstRow="0" w:lastRow="0" w:firstColumn="1" w:lastColumn="0" w:oddVBand="0" w:evenVBand="0" w:oddHBand="0" w:evenHBand="0" w:firstRowFirstColumn="0" w:firstRowLastColumn="0" w:lastRowFirstColumn="0" w:lastRowLastColumn="0"/>
            <w:tcW w:w="2552" w:type="dxa"/>
            <w:shd w:val="clear" w:color="auto" w:fill="F2F2F2" w:themeFill="background2"/>
          </w:tcPr>
          <w:p w14:paraId="5D4DC2C9" w14:textId="77777777" w:rsidR="00CC4E3D" w:rsidRPr="00263855" w:rsidRDefault="00CC4E3D" w:rsidP="00CF510D">
            <w:pPr>
              <w:spacing w:before="40" w:after="40"/>
            </w:pPr>
            <w:r w:rsidRPr="00263855">
              <w:t>TtW Deed</w:t>
            </w:r>
          </w:p>
        </w:tc>
        <w:tc>
          <w:tcPr>
            <w:tcW w:w="6464" w:type="dxa"/>
            <w:shd w:val="clear" w:color="auto" w:fill="F2F2F2" w:themeFill="background2"/>
          </w:tcPr>
          <w:p w14:paraId="0B367DCD" w14:textId="77777777" w:rsidR="00CC4E3D" w:rsidRPr="00263855" w:rsidRDefault="00CC4E3D" w:rsidP="00CF510D">
            <w:pPr>
              <w:spacing w:before="40" w:after="40"/>
              <w:cnfStyle w:val="000000000000" w:firstRow="0" w:lastRow="0" w:firstColumn="0" w:lastColumn="0" w:oddVBand="0" w:evenVBand="0" w:oddHBand="0" w:evenHBand="0" w:firstRowFirstColumn="0" w:firstRowLastColumn="0" w:lastRowFirstColumn="0" w:lastRowLastColumn="0"/>
            </w:pPr>
            <w:r w:rsidRPr="00263855">
              <w:t>Transition to Work Deed 2016–2020 </w:t>
            </w:r>
          </w:p>
        </w:tc>
      </w:tr>
    </w:tbl>
    <w:p w14:paraId="38AD8BA5" w14:textId="77777777" w:rsidR="00CC4E3D" w:rsidRDefault="00CC4E3D" w:rsidP="00CC4E3D">
      <w:r>
        <w:br w:type="page"/>
      </w:r>
    </w:p>
    <w:p w14:paraId="74D3177F" w14:textId="77777777" w:rsidR="00CC4E3D" w:rsidRDefault="00CC4E3D" w:rsidP="00263855">
      <w:pPr>
        <w:pStyle w:val="Heading1"/>
        <w:spacing w:after="240"/>
      </w:pPr>
      <w:bookmarkStart w:id="7" w:name="_Toc535498837"/>
      <w:bookmarkStart w:id="8" w:name="_Toc23841317"/>
      <w:r>
        <w:lastRenderedPageBreak/>
        <w:t>Glossary</w:t>
      </w:r>
      <w:bookmarkEnd w:id="7"/>
      <w:bookmarkEnd w:id="8"/>
    </w:p>
    <w:tbl>
      <w:tblPr>
        <w:tblStyle w:val="JobsTable"/>
        <w:tblW w:w="0" w:type="auto"/>
        <w:tblBorders>
          <w:bottom w:val="none" w:sz="0" w:space="0" w:color="auto"/>
        </w:tblBorders>
        <w:tblLook w:val="06A0" w:firstRow="1" w:lastRow="0" w:firstColumn="1" w:lastColumn="0" w:noHBand="1" w:noVBand="1"/>
        <w:tblDescription w:val="Annual Funded Places: TtW providers are contracted for an agreed number of places per annum per employment region, with each funded place expected to allow participation for two young people on average per annum. &#10;Commence(ment): In this report, to commence(ment) is to start actively engaging with employment services. A participant commences with TtW when they attend their first appointment with the TtW provider. Then there is a 28-day ‘Initial Phase’ when the provider must explain their services and make sure the participant understands the Mutual Obligation Requirements and the consequences of not participating appropriately. A participant commences with jobactive when they attend their first appointment with the jobactive provider. The provider assesses the job seeker’s circumstances, explains to the job seeker their obligations under social security law and, together with the job seeker, develops and agrees on a Job Plan. &#10;commencement rate: The commencement rate is the percentage of people referred to TtW who attended an initial appointment with a TtW provider.&#10;contract: In this report, a contract is an agreement between a provider and the Australian Government to deliver TtW services in a particular Employment Region. Some providers have more than one contract because they deliver TtW in more than one region.&#10;Employment Fund: The Employment Fund General Account (Employment Fund) is a flexible pool of funds available to jobactive providers. Each jobactive provider receives credits which they can use to claim reimbursement for goods and services that genuinely support and assist job seekers to gain the tools, skills and experience they need to get and keep a job. TtW does not provide Employment Fund access, as providers are expected to use up front payments to support young people to get and keep a job.&#10;ESS Web: This is the Employment Services System secure web interface, where providers enter servicing information about participant transactions that stimulate payments consistent with the contractual arrangement with the Department.&#10;exit: In this report, an exit is when a TtW provider removes a participant from their caseload. Most exits are automatic (effective exit) for reasons such as stopping or changing income support payments, changing to another employment service, death and imprisonment. Providers can initiate a manual exit (provider exit). They must record reasons for exits.&#10;Group One: Young people referred to TtW through DHS Centrelink who meet the following eligibility criteria:&#10;—have not been awarded a Year 12 certificate or a Certificate III or higher&#10;—are receiving Youth Allowance (Other) or any other activity-tested income support payment&#10;—are eligible for Stream B in jobactive but do not have a pending Employment Services Assessment (ESAt).&#10;Group Two: Disengaged young people who are directly registered with a TtW provider and who meet the following eligibility criteria:&#10;—have not been awarded a Year 12 certificate or a Certificate III or higher&#10;—are not already participating in employment services&#10;—for the last 13 weeks have not been working an average of eight hours or more per week&#10;—have not attended secondary education for 13 weeks, are not enrolled in secondary education and do not have an approved exemption from legal requirements to attend school&#10;—are not receiving income support or are receiving non-activity-tested income support such as Parenting Payment.&#10;Group Three: Young people referred from a jobactive provider who meet the following eligibility criteria:&#10;—are in Stream C in jobactive&#10;—are identified by their jobactive provider as having capacity to benefit from TtW (e.g. young people with particular types of disadvantages, such as unstable housing).&#10;Initial Phase: In this report, the Initial Phase is the 28 days immediately after a participant commences with TtW. (Also referred to as ‘initial commencement phase’.) &#10;Job Plan: A Job Plan is an agreement that a jobactive or TtW participant must make with their employment services provider and comply with in return for receiving income support payments and services. It covers things they need to do to find work, including applying for jobs, attending appointments with the provider and participating in approved activities.&#10;jobactive: jobactive is the Australian Government’s mainstream employment service. &#10;jobactive comparison group: For the purpose of evaluation, a comparison group of jobactive participants was matched to the TtW inflow sample on age at referral, stream, and educational attainment.&#10;Learning Centre: The Learning Centre is an online learning site on the Department of Jobs and Small Business website.&#10;Mutual Obligation Requirements: Mutual Obligation Requirements are things that people on activity-tested income support must do in return for receiving payments. These include requirements for job seekers to attend employment service provider appointments and interviews, undertake activities to improve their job prospects, and look for and accept suitable paid work.&#10;Outcome Performance Targets: Outcome Performance Targets are the benchmark for provider performance in TtW. TtW providers are required to achieve an agreed specified number of outcomes each year. &#10;participant: In this report, a participant is a young person who has commenced with the TtW service (or in some cases with jobactive).&#10;program guidelines: Program guidelines provide information on administering employment service programs and are published on the Department’s Provider Portal&#10;provider: In this report, a provider is an organisation that has a contract (or contracts) to deliver TtW (or, where specified, jobactive) services.&#10;Provider Portal: The Provider Portal is a secure website for providers of Australian Government employment services and departmental staff to access policy and program advice.&#10;Question Manager: Question Manager is a knowledge-based system that supports the lodgement, transmission and resolution of policy and operational questions. &#10;RapidConnect: RapidConnect is the commencement timeline for most young people who contact DHS to claim or transfer to Youth Allowance as a job seeker. RapidConnect typically requires attendance at an initial appointment with an employment services provider within two working days of initial contact with DHS.&#10;referrals: In this report, referrals are people who have been referred by DHS and TtW providers to the TtW service (or in some cases to jobactive). &#10;Stream A (jobactive): Stream A participants are assessed as the most job ready. They receive services to help them understand what employers want and how to navigate the local labour market, build résumés, and look for jobs.&#10;Stream B (jobactive): Stream B participants are those who require more assistance from their jobactive provider. They may have barriers such as housing instability or poor language, literacy and numeracy skills that make them less competitive in the job market.&#10;Stream C (jobactive): Stream C participants are the most disadvantaged group in jobactive. They have a combination of serious issues that need to be addressed before they can take up and retain a job.&#10;study period: Participants in the matched TtW and jobactive inflows who had started in the services by 31 August 2016 were followed for 180 days from their commencement date. Unless otherwise indicated, this was the study period for this evaluation. The inflow population includes young people referred to the service in the period between 1 February 2016 and 31 July 2016. Caseload refers to the number of participants in services and information about this group captured at a point in time.&#10;TtW Deed: This is the legal agreement under which a provider is contracted to deliver TtW services.&#10;utilisation rate: In this report, the utilisation rate is the percentage of a TtW provider’s Annual Funded Places that are being used by a TtW participant.&#10;"/>
      </w:tblPr>
      <w:tblGrid>
        <w:gridCol w:w="1943"/>
        <w:gridCol w:w="7078"/>
      </w:tblGrid>
      <w:tr w:rsidR="00CC4E3D" w:rsidRPr="00343DF0" w14:paraId="2F9B7627" w14:textId="77777777" w:rsidTr="00A75A0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61396C2E" w14:textId="77777777" w:rsidR="00CC4E3D" w:rsidRPr="00263855" w:rsidRDefault="00CC4E3D" w:rsidP="00263855">
            <w:pPr>
              <w:pStyle w:val="Notes"/>
              <w:spacing w:before="60" w:after="60"/>
              <w:rPr>
                <w:rFonts w:asciiTheme="majorHAnsi" w:hAnsiTheme="majorHAnsi" w:cstheme="majorHAnsi"/>
                <w:b/>
                <w:bCs/>
                <w:sz w:val="22"/>
                <w:szCs w:val="22"/>
              </w:rPr>
            </w:pPr>
            <w:r w:rsidRPr="00263855">
              <w:rPr>
                <w:rFonts w:asciiTheme="majorHAnsi" w:hAnsiTheme="majorHAnsi" w:cstheme="majorHAnsi"/>
                <w:b/>
                <w:bCs/>
                <w:sz w:val="22"/>
                <w:szCs w:val="22"/>
              </w:rPr>
              <w:t>Term</w:t>
            </w:r>
          </w:p>
        </w:tc>
        <w:tc>
          <w:tcPr>
            <w:tcW w:w="7078" w:type="dxa"/>
            <w:vAlign w:val="center"/>
          </w:tcPr>
          <w:p w14:paraId="72F80317" w14:textId="77777777" w:rsidR="00CC4E3D" w:rsidRPr="00263855" w:rsidRDefault="00CC4E3D" w:rsidP="00263855">
            <w:pPr>
              <w:pStyle w:val="Notes"/>
              <w:spacing w:before="60"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sz w:val="22"/>
                <w:szCs w:val="22"/>
              </w:rPr>
            </w:pPr>
            <w:r w:rsidRPr="00263855">
              <w:rPr>
                <w:rFonts w:asciiTheme="majorHAnsi" w:hAnsiTheme="majorHAnsi" w:cstheme="majorHAnsi"/>
                <w:b/>
                <w:bCs/>
                <w:sz w:val="22"/>
                <w:szCs w:val="22"/>
              </w:rPr>
              <w:t>Description</w:t>
            </w:r>
          </w:p>
        </w:tc>
      </w:tr>
      <w:tr w:rsidR="00CC4E3D" w:rsidRPr="00343DF0" w14:paraId="06567F08"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7A10861D" w14:textId="77777777" w:rsidR="00CC4E3D" w:rsidRPr="00263855" w:rsidRDefault="00CC4E3D" w:rsidP="00263855">
            <w:pPr>
              <w:spacing w:before="60" w:after="60"/>
              <w:rPr>
                <w:rFonts w:asciiTheme="majorHAnsi" w:hAnsiTheme="majorHAnsi" w:cstheme="majorHAnsi"/>
              </w:rPr>
            </w:pPr>
            <w:r w:rsidRPr="00263855">
              <w:rPr>
                <w:rFonts w:asciiTheme="majorHAnsi" w:hAnsiTheme="majorHAnsi" w:cstheme="majorHAnsi"/>
              </w:rPr>
              <w:t>Annual Funded Places</w:t>
            </w:r>
          </w:p>
        </w:tc>
        <w:tc>
          <w:tcPr>
            <w:tcW w:w="7078" w:type="dxa"/>
            <w:vAlign w:val="center"/>
          </w:tcPr>
          <w:p w14:paraId="66F5FF78"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TtW providers are contracted for an agreed number of funded places per annum per employment region, with each funded place expected to allow participation for two young people on average per annum.</w:t>
            </w:r>
          </w:p>
        </w:tc>
      </w:tr>
      <w:tr w:rsidR="00CC4E3D" w:rsidRPr="00343DF0" w14:paraId="0C0B52CB"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shd w:val="clear" w:color="auto" w:fill="F2F2F2" w:themeFill="background2"/>
            <w:vAlign w:val="center"/>
          </w:tcPr>
          <w:p w14:paraId="3F54009E" w14:textId="77777777" w:rsidR="00CC4E3D" w:rsidRPr="00263855" w:rsidRDefault="00CC4E3D" w:rsidP="00263855">
            <w:pPr>
              <w:spacing w:before="60" w:after="60"/>
              <w:rPr>
                <w:rFonts w:asciiTheme="majorHAnsi" w:hAnsiTheme="majorHAnsi" w:cstheme="majorHAnsi"/>
              </w:rPr>
            </w:pPr>
            <w:r w:rsidRPr="00263855">
              <w:rPr>
                <w:rFonts w:asciiTheme="majorHAnsi" w:hAnsiTheme="majorHAnsi" w:cstheme="majorHAnsi"/>
              </w:rPr>
              <w:t xml:space="preserve">commence(ment) </w:t>
            </w:r>
          </w:p>
        </w:tc>
        <w:tc>
          <w:tcPr>
            <w:tcW w:w="7078" w:type="dxa"/>
            <w:shd w:val="clear" w:color="auto" w:fill="F2F2F2" w:themeFill="background2"/>
            <w:vAlign w:val="center"/>
          </w:tcPr>
          <w:p w14:paraId="14A87568"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In this report, to commence(ment) is to start actively engaging with employment services. A participant commences with TtW when they attend their first appointment with the TtW provider. Then there is a 28-day ‘Initial Phase’ when the provider must explain their services and make sure the participant understands the participation requirement and consequences of not participating appropriately.</w:t>
            </w:r>
          </w:p>
          <w:p w14:paraId="1DACDF9D"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 xml:space="preserve">A participant commences with jobactive when they attend their first appointment with the jobactive provider. The provider assesses the job seeker’s circumstances, explains to the job seeker their obligations under social security law and, together with the job seeker, develops and agrees on a Job Plan. </w:t>
            </w:r>
          </w:p>
        </w:tc>
      </w:tr>
      <w:tr w:rsidR="00CC4E3D" w:rsidRPr="00807127" w14:paraId="5A15C0BE"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2973F789" w14:textId="77777777" w:rsidR="00CC4E3D" w:rsidRPr="00263855" w:rsidRDefault="00CC4E3D" w:rsidP="00263855">
            <w:pPr>
              <w:spacing w:before="60" w:after="60"/>
              <w:rPr>
                <w:rFonts w:asciiTheme="majorHAnsi" w:hAnsiTheme="majorHAnsi" w:cstheme="majorHAnsi"/>
              </w:rPr>
            </w:pPr>
            <w:r w:rsidRPr="00263855">
              <w:rPr>
                <w:rFonts w:asciiTheme="majorHAnsi" w:hAnsiTheme="majorHAnsi" w:cstheme="majorHAnsi"/>
              </w:rPr>
              <w:t>commencement rate</w:t>
            </w:r>
          </w:p>
        </w:tc>
        <w:tc>
          <w:tcPr>
            <w:tcW w:w="7078" w:type="dxa"/>
            <w:vAlign w:val="center"/>
          </w:tcPr>
          <w:p w14:paraId="60EC08AD"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The commencement rate is the percentage of people referred to TtW who attended an initial appointment with a TtW provider.</w:t>
            </w:r>
          </w:p>
        </w:tc>
      </w:tr>
      <w:tr w:rsidR="00CC4E3D" w:rsidRPr="00343DF0" w14:paraId="5EFAA5E7"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shd w:val="clear" w:color="auto" w:fill="F2F2F2" w:themeFill="background2"/>
            <w:vAlign w:val="center"/>
          </w:tcPr>
          <w:p w14:paraId="0F902872" w14:textId="77777777" w:rsidR="00CC4E3D" w:rsidRPr="00263855" w:rsidRDefault="00CC4E3D" w:rsidP="00263855">
            <w:pPr>
              <w:spacing w:before="60" w:after="60"/>
              <w:rPr>
                <w:rFonts w:asciiTheme="majorHAnsi" w:hAnsiTheme="majorHAnsi" w:cstheme="majorHAnsi"/>
              </w:rPr>
            </w:pPr>
            <w:r w:rsidRPr="00263855">
              <w:rPr>
                <w:rFonts w:asciiTheme="majorHAnsi" w:hAnsiTheme="majorHAnsi" w:cstheme="majorHAnsi"/>
              </w:rPr>
              <w:t>contract</w:t>
            </w:r>
          </w:p>
        </w:tc>
        <w:tc>
          <w:tcPr>
            <w:tcW w:w="7078" w:type="dxa"/>
            <w:shd w:val="clear" w:color="auto" w:fill="F2F2F2" w:themeFill="background2"/>
            <w:vAlign w:val="center"/>
          </w:tcPr>
          <w:p w14:paraId="286C54B7"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In this report, a contract is an agreement between a provider and the Australian Government to deliver TtW services in a particular Employment Region. Some providers have more than one contract because they deliver TtW in more than one region.</w:t>
            </w:r>
          </w:p>
        </w:tc>
      </w:tr>
      <w:tr w:rsidR="00CC4E3D" w:rsidRPr="00343DF0" w14:paraId="75D8FCA7"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50BB7C50" w14:textId="77777777" w:rsidR="00CC4E3D" w:rsidRPr="00263855" w:rsidRDefault="00CC4E3D" w:rsidP="00263855">
            <w:pPr>
              <w:spacing w:before="60" w:after="60"/>
              <w:rPr>
                <w:rFonts w:asciiTheme="majorHAnsi" w:hAnsiTheme="majorHAnsi" w:cstheme="majorHAnsi"/>
              </w:rPr>
            </w:pPr>
            <w:r w:rsidRPr="00263855">
              <w:rPr>
                <w:rFonts w:asciiTheme="majorHAnsi" w:hAnsiTheme="majorHAnsi" w:cstheme="majorHAnsi"/>
              </w:rPr>
              <w:t>Employment Fund</w:t>
            </w:r>
          </w:p>
        </w:tc>
        <w:tc>
          <w:tcPr>
            <w:tcW w:w="7078" w:type="dxa"/>
            <w:vAlign w:val="center"/>
          </w:tcPr>
          <w:p w14:paraId="439CEA65"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The Employment Fund General Account (Employment Fund) is a flexible pool of funds available to jobactive providers. Each jobactive provider receives credits which they can use to claim reimbursement for goods and services that genuinely support and assist job seekers to gain the tools, skills and experience they need to get and keep a job. TtW does not provide Employment Fund access, as providers are expected to use up</w:t>
            </w:r>
            <w:r w:rsidRPr="00263855">
              <w:rPr>
                <w:rFonts w:asciiTheme="majorHAnsi" w:hAnsiTheme="majorHAnsi" w:cstheme="majorHAnsi"/>
              </w:rPr>
              <w:noBreakHyphen/>
              <w:t>front payments to support young people to get and keep a job.</w:t>
            </w:r>
          </w:p>
        </w:tc>
      </w:tr>
      <w:tr w:rsidR="00CC4E3D" w:rsidRPr="00343DF0" w14:paraId="01EB7F10"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shd w:val="clear" w:color="auto" w:fill="F2F2F2" w:themeFill="background2"/>
            <w:vAlign w:val="center"/>
          </w:tcPr>
          <w:p w14:paraId="20619C50" w14:textId="77777777" w:rsidR="00CC4E3D" w:rsidRPr="00263855" w:rsidRDefault="00CC4E3D" w:rsidP="00263855">
            <w:pPr>
              <w:spacing w:before="60" w:after="60"/>
              <w:rPr>
                <w:rFonts w:asciiTheme="majorHAnsi" w:hAnsiTheme="majorHAnsi" w:cstheme="majorHAnsi"/>
              </w:rPr>
            </w:pPr>
            <w:r w:rsidRPr="00263855">
              <w:rPr>
                <w:rFonts w:asciiTheme="majorHAnsi" w:hAnsiTheme="majorHAnsi" w:cstheme="majorHAnsi"/>
              </w:rPr>
              <w:t>ESS Web</w:t>
            </w:r>
          </w:p>
        </w:tc>
        <w:tc>
          <w:tcPr>
            <w:tcW w:w="7078" w:type="dxa"/>
            <w:shd w:val="clear" w:color="auto" w:fill="F2F2F2" w:themeFill="background2"/>
            <w:vAlign w:val="center"/>
          </w:tcPr>
          <w:p w14:paraId="5BB67676" w14:textId="4CA368F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 xml:space="preserve">This is the Employment Services System secure web interface where providers enter servicing information about participant transactions that stimulate payments consistent with the contractual arrangement with the </w:t>
            </w:r>
            <w:r w:rsidR="00082F50">
              <w:rPr>
                <w:rFonts w:asciiTheme="majorHAnsi" w:hAnsiTheme="majorHAnsi" w:cstheme="majorHAnsi"/>
              </w:rPr>
              <w:t>d</w:t>
            </w:r>
            <w:r w:rsidRPr="00263855">
              <w:rPr>
                <w:rFonts w:asciiTheme="majorHAnsi" w:hAnsiTheme="majorHAnsi" w:cstheme="majorHAnsi"/>
              </w:rPr>
              <w:t>epartment.</w:t>
            </w:r>
          </w:p>
        </w:tc>
      </w:tr>
      <w:tr w:rsidR="00CC4E3D" w:rsidRPr="00343DF0" w14:paraId="7E99DEAF"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42763565" w14:textId="77777777" w:rsidR="00CC4E3D" w:rsidRPr="00263855" w:rsidRDefault="00CC4E3D" w:rsidP="00263855">
            <w:pPr>
              <w:spacing w:before="60" w:after="60"/>
              <w:rPr>
                <w:rFonts w:asciiTheme="majorHAnsi" w:hAnsiTheme="majorHAnsi" w:cstheme="majorHAnsi"/>
              </w:rPr>
            </w:pPr>
            <w:r w:rsidRPr="00263855">
              <w:rPr>
                <w:rFonts w:asciiTheme="majorHAnsi" w:hAnsiTheme="majorHAnsi" w:cstheme="majorHAnsi"/>
              </w:rPr>
              <w:t>exit</w:t>
            </w:r>
          </w:p>
        </w:tc>
        <w:tc>
          <w:tcPr>
            <w:tcW w:w="7078" w:type="dxa"/>
            <w:vAlign w:val="center"/>
          </w:tcPr>
          <w:p w14:paraId="4BEB4074"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 xml:space="preserve">In this report, an exit is when a participant is exited from the caseload of a TtW or jobactive provider. </w:t>
            </w:r>
          </w:p>
          <w:p w14:paraId="1B148E0A"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Most exits are automatic (effective exit) for reasons such as stopping or changing income support payments, changing to another employment service, death or imprisonment. Providers can initiate a manual exit (provider exit). They must record reasons for exits.</w:t>
            </w:r>
          </w:p>
        </w:tc>
      </w:tr>
      <w:tr w:rsidR="00CC4E3D" w:rsidRPr="00343DF0" w14:paraId="3DF70172"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7000E398" w14:textId="77777777" w:rsidR="00CC4E3D" w:rsidRPr="00263855" w:rsidRDefault="00CC4E3D" w:rsidP="00263855">
            <w:pPr>
              <w:spacing w:before="60" w:after="60"/>
              <w:rPr>
                <w:rFonts w:asciiTheme="majorHAnsi" w:hAnsiTheme="majorHAnsi" w:cstheme="majorHAnsi"/>
              </w:rPr>
            </w:pPr>
            <w:r w:rsidRPr="00263855">
              <w:rPr>
                <w:rFonts w:asciiTheme="majorHAnsi" w:hAnsiTheme="majorHAnsi" w:cstheme="majorHAnsi"/>
              </w:rPr>
              <w:lastRenderedPageBreak/>
              <w:t>Group One</w:t>
            </w:r>
          </w:p>
        </w:tc>
        <w:tc>
          <w:tcPr>
            <w:tcW w:w="7078" w:type="dxa"/>
            <w:vAlign w:val="center"/>
          </w:tcPr>
          <w:p w14:paraId="6D284084"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Young people referred to TtW through DHS who meet the following eligibility criteria:</w:t>
            </w:r>
          </w:p>
          <w:p w14:paraId="3C40035C" w14:textId="77777777" w:rsidR="00CC4E3D" w:rsidRPr="00263855" w:rsidRDefault="00CC4E3D" w:rsidP="001C25D9">
            <w:pPr>
              <w:pStyle w:val="ListParagraph"/>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have not been awarded a Year 12 certificate or a Certificate III or higher</w:t>
            </w:r>
          </w:p>
          <w:p w14:paraId="7ECDC08D" w14:textId="77777777" w:rsidR="00CC4E3D" w:rsidRPr="00263855" w:rsidRDefault="00CC4E3D" w:rsidP="001C25D9">
            <w:pPr>
              <w:pStyle w:val="ListParagraph"/>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are receiving Youth Allowance (Other) or any other activity-tested income support payment</w:t>
            </w:r>
          </w:p>
          <w:p w14:paraId="3660E326" w14:textId="77777777" w:rsidR="00CC4E3D" w:rsidRPr="00263855" w:rsidRDefault="00CC4E3D" w:rsidP="001C25D9">
            <w:pPr>
              <w:pStyle w:val="ListParagraph"/>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are eligible for Stream B in jobactive but do not have a pending Employment Services Assessment (ESAt).</w:t>
            </w:r>
          </w:p>
        </w:tc>
      </w:tr>
      <w:tr w:rsidR="00CC4E3D" w:rsidRPr="00343DF0" w14:paraId="312D496E"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shd w:val="clear" w:color="auto" w:fill="F2F2F2" w:themeFill="background2"/>
            <w:vAlign w:val="center"/>
          </w:tcPr>
          <w:p w14:paraId="47FF47AF" w14:textId="77777777" w:rsidR="00CC4E3D" w:rsidRPr="00263855" w:rsidRDefault="00CC4E3D" w:rsidP="00263855">
            <w:pPr>
              <w:pStyle w:val="Note"/>
              <w:spacing w:before="60" w:after="60"/>
              <w:jc w:val="left"/>
              <w:rPr>
                <w:rFonts w:asciiTheme="majorHAnsi" w:hAnsiTheme="majorHAnsi" w:cstheme="majorHAnsi"/>
                <w:sz w:val="22"/>
              </w:rPr>
            </w:pPr>
            <w:r w:rsidRPr="00263855">
              <w:rPr>
                <w:rFonts w:asciiTheme="majorHAnsi" w:hAnsiTheme="majorHAnsi" w:cstheme="majorHAnsi"/>
                <w:sz w:val="22"/>
              </w:rPr>
              <w:t>Group Two</w:t>
            </w:r>
          </w:p>
        </w:tc>
        <w:tc>
          <w:tcPr>
            <w:tcW w:w="7078" w:type="dxa"/>
            <w:shd w:val="clear" w:color="auto" w:fill="F2F2F2" w:themeFill="background2"/>
            <w:vAlign w:val="center"/>
          </w:tcPr>
          <w:p w14:paraId="276DD32D"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Disengaged young people who are directly registered with a TtW provider (or referred by DHS as an eligible Group Two participant) and who meet the following eligibility criteria:</w:t>
            </w:r>
          </w:p>
          <w:p w14:paraId="3B4B2D94" w14:textId="77777777" w:rsidR="00CC4E3D" w:rsidRPr="00263855" w:rsidRDefault="00CC4E3D" w:rsidP="001C25D9">
            <w:pPr>
              <w:pStyle w:val="ListParagraph"/>
              <w:numPr>
                <w:ilvl w:val="0"/>
                <w:numId w:val="12"/>
              </w:num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have not been awarded a Year 12 certificate or a Certificate III or higher</w:t>
            </w:r>
          </w:p>
          <w:p w14:paraId="4E206480" w14:textId="77777777" w:rsidR="00CC4E3D" w:rsidRPr="00263855" w:rsidRDefault="00CC4E3D" w:rsidP="001C25D9">
            <w:pPr>
              <w:pStyle w:val="ListParagraph"/>
              <w:numPr>
                <w:ilvl w:val="0"/>
                <w:numId w:val="12"/>
              </w:num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are not already participating in employment services</w:t>
            </w:r>
          </w:p>
          <w:p w14:paraId="4BBC6541" w14:textId="77777777" w:rsidR="00CC4E3D" w:rsidRPr="00263855" w:rsidRDefault="00CC4E3D" w:rsidP="001C25D9">
            <w:pPr>
              <w:pStyle w:val="ListParagraph"/>
              <w:numPr>
                <w:ilvl w:val="0"/>
                <w:numId w:val="12"/>
              </w:num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for the last 13 weeks have not been working an average of eight hours or more per week</w:t>
            </w:r>
          </w:p>
          <w:p w14:paraId="158557E4" w14:textId="77777777" w:rsidR="00CC4E3D" w:rsidRPr="00263855" w:rsidRDefault="00CC4E3D" w:rsidP="001C25D9">
            <w:pPr>
              <w:pStyle w:val="ListParagraph"/>
              <w:numPr>
                <w:ilvl w:val="0"/>
                <w:numId w:val="12"/>
              </w:num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have not attended secondary education for 13 weeks, are not enrolled in secondary education and do not have an approved exemption from legal requirements to attend school.</w:t>
            </w:r>
          </w:p>
          <w:p w14:paraId="3789812C" w14:textId="77777777" w:rsidR="00CC4E3D" w:rsidRPr="00263855" w:rsidRDefault="00CC4E3D" w:rsidP="001C25D9">
            <w:pPr>
              <w:pStyle w:val="ListParagraph"/>
              <w:numPr>
                <w:ilvl w:val="0"/>
                <w:numId w:val="12"/>
              </w:num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are not receiving income support or are receiving non-activity-tested income support such as Parenting Payment.</w:t>
            </w:r>
          </w:p>
        </w:tc>
      </w:tr>
      <w:tr w:rsidR="00CC4E3D" w:rsidRPr="00343DF0" w14:paraId="73D81114"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3166CFA3" w14:textId="77777777" w:rsidR="00CC4E3D" w:rsidRPr="00263855" w:rsidRDefault="00CC4E3D" w:rsidP="00263855">
            <w:pPr>
              <w:pStyle w:val="Note"/>
              <w:spacing w:before="60" w:after="60"/>
              <w:jc w:val="left"/>
              <w:rPr>
                <w:rFonts w:asciiTheme="majorHAnsi" w:hAnsiTheme="majorHAnsi" w:cstheme="majorHAnsi"/>
                <w:sz w:val="22"/>
              </w:rPr>
            </w:pPr>
            <w:r w:rsidRPr="00263855">
              <w:rPr>
                <w:rFonts w:asciiTheme="majorHAnsi" w:hAnsiTheme="majorHAnsi" w:cstheme="majorHAnsi"/>
                <w:sz w:val="22"/>
              </w:rPr>
              <w:t>Group Three</w:t>
            </w:r>
          </w:p>
        </w:tc>
        <w:tc>
          <w:tcPr>
            <w:tcW w:w="7078" w:type="dxa"/>
            <w:vAlign w:val="center"/>
          </w:tcPr>
          <w:p w14:paraId="50386F6A"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Young people referred from a jobactive provider who meet the following eligibility criteria:</w:t>
            </w:r>
          </w:p>
          <w:p w14:paraId="20170F20" w14:textId="77777777" w:rsidR="00CC4E3D" w:rsidRPr="00263855" w:rsidRDefault="00CC4E3D" w:rsidP="001C25D9">
            <w:pPr>
              <w:pStyle w:val="ListParagraph"/>
              <w:numPr>
                <w:ilvl w:val="0"/>
                <w:numId w:val="13"/>
              </w:num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are in Stream C in jobactive</w:t>
            </w:r>
          </w:p>
          <w:p w14:paraId="2FABFB65" w14:textId="77777777" w:rsidR="00CC4E3D" w:rsidRPr="00263855" w:rsidRDefault="00CC4E3D" w:rsidP="001C25D9">
            <w:pPr>
              <w:pStyle w:val="ListParagraph"/>
              <w:numPr>
                <w:ilvl w:val="0"/>
                <w:numId w:val="13"/>
              </w:num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are identified by their jobactive provider as having capacity to benefit from TtW (e.g. young people with one or more particular types of disadvantage, such as unstable housing).</w:t>
            </w:r>
          </w:p>
        </w:tc>
      </w:tr>
      <w:tr w:rsidR="00CC4E3D" w:rsidRPr="00343DF0" w14:paraId="30489D8D"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shd w:val="clear" w:color="auto" w:fill="F2F2F2" w:themeFill="background2"/>
            <w:vAlign w:val="center"/>
          </w:tcPr>
          <w:p w14:paraId="43141FBB" w14:textId="77777777" w:rsidR="00CC4E3D" w:rsidRPr="00263855" w:rsidRDefault="00CC4E3D" w:rsidP="00263855">
            <w:pPr>
              <w:pStyle w:val="Note"/>
              <w:spacing w:before="60" w:after="60"/>
              <w:jc w:val="left"/>
              <w:rPr>
                <w:rFonts w:asciiTheme="majorHAnsi" w:hAnsiTheme="majorHAnsi" w:cstheme="majorHAnsi"/>
                <w:sz w:val="22"/>
              </w:rPr>
            </w:pPr>
            <w:r w:rsidRPr="00263855">
              <w:rPr>
                <w:rFonts w:asciiTheme="majorHAnsi" w:hAnsiTheme="majorHAnsi" w:cstheme="majorHAnsi"/>
                <w:sz w:val="22"/>
              </w:rPr>
              <w:t>Initial Phase</w:t>
            </w:r>
          </w:p>
        </w:tc>
        <w:tc>
          <w:tcPr>
            <w:tcW w:w="7078" w:type="dxa"/>
            <w:shd w:val="clear" w:color="auto" w:fill="F2F2F2" w:themeFill="background2"/>
            <w:vAlign w:val="center"/>
          </w:tcPr>
          <w:p w14:paraId="76121F53"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 xml:space="preserve">In this report, the Initial Phase is the 28 days immediately after a participant commences with TtW. (Also referred to as ‘initial commencement phase’.) </w:t>
            </w:r>
          </w:p>
        </w:tc>
      </w:tr>
      <w:tr w:rsidR="00CC4E3D" w:rsidRPr="00343DF0" w14:paraId="6BF9A985"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6CD1015D" w14:textId="77777777" w:rsidR="00CC4E3D" w:rsidRPr="00263855" w:rsidRDefault="00CC4E3D" w:rsidP="00263855">
            <w:pPr>
              <w:pStyle w:val="Note"/>
              <w:spacing w:before="60" w:after="60"/>
              <w:jc w:val="left"/>
              <w:rPr>
                <w:rFonts w:asciiTheme="majorHAnsi" w:hAnsiTheme="majorHAnsi" w:cstheme="majorHAnsi"/>
                <w:sz w:val="22"/>
              </w:rPr>
            </w:pPr>
            <w:r w:rsidRPr="00263855">
              <w:rPr>
                <w:rFonts w:asciiTheme="majorHAnsi" w:hAnsiTheme="majorHAnsi" w:cstheme="majorHAnsi"/>
                <w:sz w:val="22"/>
              </w:rPr>
              <w:t>Job Plan</w:t>
            </w:r>
          </w:p>
        </w:tc>
        <w:tc>
          <w:tcPr>
            <w:tcW w:w="7078" w:type="dxa"/>
            <w:vAlign w:val="center"/>
          </w:tcPr>
          <w:p w14:paraId="292E3024"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A Job Plan is an agreement that a jobactive or TtW participant must make with their employment services provider and comply with in return for receiving income support payments and services. It covers things they need to do to find work, including applying for jobs, attending appointments with the provider and participating in approved activities.</w:t>
            </w:r>
          </w:p>
        </w:tc>
      </w:tr>
      <w:tr w:rsidR="00CC4E3D" w:rsidRPr="00343DF0" w14:paraId="44F56F55"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shd w:val="clear" w:color="auto" w:fill="F2F2F2" w:themeFill="background2"/>
            <w:vAlign w:val="center"/>
          </w:tcPr>
          <w:p w14:paraId="63E9485A" w14:textId="77777777" w:rsidR="00CC4E3D" w:rsidRPr="00263855" w:rsidRDefault="00CC4E3D" w:rsidP="00263855">
            <w:pPr>
              <w:pStyle w:val="Note"/>
              <w:spacing w:before="60" w:after="60"/>
              <w:jc w:val="left"/>
              <w:rPr>
                <w:rFonts w:asciiTheme="majorHAnsi" w:hAnsiTheme="majorHAnsi" w:cstheme="majorHAnsi"/>
                <w:sz w:val="22"/>
              </w:rPr>
            </w:pPr>
            <w:r w:rsidRPr="00263855">
              <w:rPr>
                <w:rFonts w:asciiTheme="majorHAnsi" w:hAnsiTheme="majorHAnsi" w:cstheme="majorHAnsi"/>
                <w:sz w:val="22"/>
              </w:rPr>
              <w:t>jobactive</w:t>
            </w:r>
          </w:p>
        </w:tc>
        <w:tc>
          <w:tcPr>
            <w:tcW w:w="7078" w:type="dxa"/>
            <w:shd w:val="clear" w:color="auto" w:fill="F2F2F2" w:themeFill="background2"/>
            <w:vAlign w:val="center"/>
          </w:tcPr>
          <w:p w14:paraId="07899A69"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 xml:space="preserve">jobactive is the Australian Government’s mainstream employment service. </w:t>
            </w:r>
          </w:p>
        </w:tc>
      </w:tr>
      <w:tr w:rsidR="00CC4E3D" w:rsidRPr="00343DF0" w14:paraId="28D6B0D0"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16BCEAC5" w14:textId="77777777" w:rsidR="00CC4E3D" w:rsidRPr="00263855" w:rsidRDefault="00CC4E3D" w:rsidP="00263855">
            <w:pPr>
              <w:spacing w:before="60" w:after="60"/>
              <w:rPr>
                <w:rFonts w:asciiTheme="majorHAnsi" w:hAnsiTheme="majorHAnsi" w:cstheme="majorHAnsi"/>
              </w:rPr>
            </w:pPr>
            <w:r w:rsidRPr="00263855">
              <w:rPr>
                <w:rFonts w:asciiTheme="majorHAnsi" w:hAnsiTheme="majorHAnsi" w:cstheme="majorHAnsi"/>
              </w:rPr>
              <w:t>jobactive comparison group</w:t>
            </w:r>
          </w:p>
        </w:tc>
        <w:tc>
          <w:tcPr>
            <w:tcW w:w="7078" w:type="dxa"/>
            <w:vAlign w:val="center"/>
          </w:tcPr>
          <w:p w14:paraId="688747B4"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For the purpose of evaluation, a comparison group of jobactive participants was matched to the TtW inflow sample on age at referral, stream and educational attainment.</w:t>
            </w:r>
          </w:p>
        </w:tc>
      </w:tr>
      <w:tr w:rsidR="00CC4E3D" w:rsidRPr="00343DF0" w14:paraId="2E8B1D0A"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shd w:val="clear" w:color="auto" w:fill="F2F2F2" w:themeFill="background2"/>
            <w:vAlign w:val="center"/>
          </w:tcPr>
          <w:p w14:paraId="4F49EF08" w14:textId="77777777" w:rsidR="00CC4E3D" w:rsidRPr="00263855" w:rsidRDefault="00CC4E3D" w:rsidP="00263855">
            <w:pPr>
              <w:spacing w:before="60" w:after="60"/>
              <w:rPr>
                <w:rFonts w:asciiTheme="majorHAnsi" w:hAnsiTheme="majorHAnsi" w:cstheme="majorHAnsi"/>
              </w:rPr>
            </w:pPr>
            <w:r w:rsidRPr="00263855">
              <w:rPr>
                <w:rFonts w:asciiTheme="majorHAnsi" w:hAnsiTheme="majorHAnsi" w:cstheme="majorHAnsi"/>
              </w:rPr>
              <w:t>Learning Centre</w:t>
            </w:r>
          </w:p>
        </w:tc>
        <w:tc>
          <w:tcPr>
            <w:tcW w:w="7078" w:type="dxa"/>
            <w:shd w:val="clear" w:color="auto" w:fill="F2F2F2" w:themeFill="background2"/>
            <w:vAlign w:val="center"/>
          </w:tcPr>
          <w:p w14:paraId="6263ED15" w14:textId="4BC93FCA" w:rsidR="00CC4E3D" w:rsidRPr="00263855" w:rsidRDefault="00CC4E3D" w:rsidP="00F849AD">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 xml:space="preserve">The Learning Centre is an online learning site on the </w:t>
            </w:r>
            <w:r w:rsidR="00AC1C42">
              <w:rPr>
                <w:rFonts w:asciiTheme="majorHAnsi" w:hAnsiTheme="majorHAnsi" w:cstheme="majorHAnsi"/>
              </w:rPr>
              <w:t>d</w:t>
            </w:r>
            <w:r w:rsidRPr="00263855">
              <w:rPr>
                <w:rFonts w:asciiTheme="majorHAnsi" w:hAnsiTheme="majorHAnsi" w:cstheme="majorHAnsi"/>
              </w:rPr>
              <w:t xml:space="preserve">epartment of </w:t>
            </w:r>
            <w:r w:rsidR="00F849AD">
              <w:rPr>
                <w:rFonts w:asciiTheme="majorHAnsi" w:hAnsiTheme="majorHAnsi" w:cstheme="majorHAnsi"/>
              </w:rPr>
              <w:t>Employment, Skills,</w:t>
            </w:r>
            <w:r w:rsidRPr="00263855">
              <w:rPr>
                <w:rFonts w:asciiTheme="majorHAnsi" w:hAnsiTheme="majorHAnsi" w:cstheme="majorHAnsi"/>
              </w:rPr>
              <w:t xml:space="preserve"> Small</w:t>
            </w:r>
            <w:r w:rsidR="00F849AD">
              <w:rPr>
                <w:rFonts w:asciiTheme="majorHAnsi" w:hAnsiTheme="majorHAnsi" w:cstheme="majorHAnsi"/>
              </w:rPr>
              <w:t xml:space="preserve"> and Family</w:t>
            </w:r>
            <w:r w:rsidRPr="00263855">
              <w:rPr>
                <w:rFonts w:asciiTheme="majorHAnsi" w:hAnsiTheme="majorHAnsi" w:cstheme="majorHAnsi"/>
              </w:rPr>
              <w:t xml:space="preserve"> Business website.</w:t>
            </w:r>
          </w:p>
        </w:tc>
      </w:tr>
      <w:tr w:rsidR="00CC4E3D" w:rsidRPr="00343DF0" w14:paraId="7E19924F"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29E5DD61" w14:textId="77777777" w:rsidR="00CC4E3D" w:rsidRPr="00263855" w:rsidRDefault="00CC4E3D" w:rsidP="00D9771E">
            <w:r w:rsidRPr="00263855">
              <w:lastRenderedPageBreak/>
              <w:t>Mutual Obligation Requirements</w:t>
            </w:r>
          </w:p>
        </w:tc>
        <w:tc>
          <w:tcPr>
            <w:tcW w:w="7078" w:type="dxa"/>
            <w:vAlign w:val="center"/>
          </w:tcPr>
          <w:p w14:paraId="726A966C"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Mutual Obligation Requirements are things that people on activity-tested income support must do in return for receiving payments. These include requirements for job seekers to attend employment service provider appointments and interviews, undertake activities to improve their job prospects, and look for and accept suitable paid work.</w:t>
            </w:r>
          </w:p>
        </w:tc>
      </w:tr>
      <w:tr w:rsidR="00CC4E3D" w:rsidRPr="00343DF0" w14:paraId="53DCFF26"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shd w:val="clear" w:color="auto" w:fill="F2F2F2" w:themeFill="background2"/>
            <w:vAlign w:val="center"/>
          </w:tcPr>
          <w:p w14:paraId="360EE240" w14:textId="77777777" w:rsidR="00CC4E3D" w:rsidRPr="00263855" w:rsidRDefault="00CC4E3D" w:rsidP="00D9771E">
            <w:r w:rsidRPr="00263855">
              <w:t>Outcome Performance Targets</w:t>
            </w:r>
          </w:p>
        </w:tc>
        <w:tc>
          <w:tcPr>
            <w:tcW w:w="7078" w:type="dxa"/>
            <w:shd w:val="clear" w:color="auto" w:fill="F2F2F2" w:themeFill="background2"/>
            <w:vAlign w:val="center"/>
          </w:tcPr>
          <w:p w14:paraId="740A8D56"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 xml:space="preserve">Outcome Performance Targets are the benchmark for provider performance in TtW. TtW providers are required to achieve a specified number of outcomes each year. </w:t>
            </w:r>
          </w:p>
        </w:tc>
      </w:tr>
      <w:tr w:rsidR="00CC4E3D" w:rsidRPr="00343DF0" w14:paraId="781F5A8B"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603525A7" w14:textId="77777777" w:rsidR="00CC4E3D" w:rsidRPr="00263855" w:rsidRDefault="00CC4E3D" w:rsidP="00D9771E">
            <w:r w:rsidRPr="00263855">
              <w:t>participant</w:t>
            </w:r>
          </w:p>
        </w:tc>
        <w:tc>
          <w:tcPr>
            <w:tcW w:w="7078" w:type="dxa"/>
            <w:vAlign w:val="center"/>
          </w:tcPr>
          <w:p w14:paraId="71F25121"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In this report, a participant is a young person who has commenced with the TtW service (or, in some cases, with jobactive).</w:t>
            </w:r>
          </w:p>
        </w:tc>
      </w:tr>
      <w:tr w:rsidR="00CC4E3D" w:rsidRPr="00343DF0" w14:paraId="14593CC0"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shd w:val="clear" w:color="auto" w:fill="F2F2F2" w:themeFill="background2"/>
            <w:vAlign w:val="center"/>
          </w:tcPr>
          <w:p w14:paraId="65E17490" w14:textId="77777777" w:rsidR="00CC4E3D" w:rsidRPr="00263855" w:rsidRDefault="00CC4E3D" w:rsidP="00D9771E">
            <w:r w:rsidRPr="00263855">
              <w:t>program guidelines</w:t>
            </w:r>
          </w:p>
        </w:tc>
        <w:tc>
          <w:tcPr>
            <w:tcW w:w="7078" w:type="dxa"/>
            <w:shd w:val="clear" w:color="auto" w:fill="F2F2F2" w:themeFill="background2"/>
            <w:vAlign w:val="center"/>
          </w:tcPr>
          <w:p w14:paraId="1541B213"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Program guidelines provide information on administering employment service programs.</w:t>
            </w:r>
          </w:p>
        </w:tc>
      </w:tr>
      <w:tr w:rsidR="00CC4E3D" w:rsidRPr="00343DF0" w14:paraId="64B0B4BA"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3E7C4DEB" w14:textId="77777777" w:rsidR="00CC4E3D" w:rsidRPr="00263855" w:rsidRDefault="00CC4E3D" w:rsidP="00D9771E">
            <w:r w:rsidRPr="00263855">
              <w:t xml:space="preserve">provider </w:t>
            </w:r>
          </w:p>
        </w:tc>
        <w:tc>
          <w:tcPr>
            <w:tcW w:w="7078" w:type="dxa"/>
            <w:vAlign w:val="center"/>
          </w:tcPr>
          <w:p w14:paraId="41C604BE"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In this report, a provider is an organisation that has a contract (or contracts) to deliver TtW (or, where specified, jobactive) services.</w:t>
            </w:r>
          </w:p>
        </w:tc>
      </w:tr>
      <w:tr w:rsidR="00CC4E3D" w:rsidRPr="00343DF0" w14:paraId="0F00F4DA"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shd w:val="clear" w:color="auto" w:fill="F2F2F2" w:themeFill="background2"/>
            <w:vAlign w:val="center"/>
          </w:tcPr>
          <w:p w14:paraId="6A123D40" w14:textId="77777777" w:rsidR="00CC4E3D" w:rsidRPr="00263855" w:rsidRDefault="00CC4E3D" w:rsidP="00D9771E">
            <w:r w:rsidRPr="00263855">
              <w:t>Provider Portal</w:t>
            </w:r>
          </w:p>
        </w:tc>
        <w:tc>
          <w:tcPr>
            <w:tcW w:w="7078" w:type="dxa"/>
            <w:shd w:val="clear" w:color="auto" w:fill="F2F2F2" w:themeFill="background2"/>
            <w:vAlign w:val="center"/>
          </w:tcPr>
          <w:p w14:paraId="58C4BFDA"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The Provider Portal is a secure website for providers of Australian Government employment services and departmental staff to access policy and program information and advice.</w:t>
            </w:r>
          </w:p>
        </w:tc>
      </w:tr>
      <w:tr w:rsidR="00CC4E3D" w:rsidRPr="00343DF0" w14:paraId="35DD5E73"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32BDFCD4" w14:textId="77777777" w:rsidR="00CC4E3D" w:rsidRPr="00263855" w:rsidRDefault="00CC4E3D" w:rsidP="00D9771E">
            <w:r w:rsidRPr="00263855">
              <w:t>Question Manager</w:t>
            </w:r>
          </w:p>
        </w:tc>
        <w:tc>
          <w:tcPr>
            <w:tcW w:w="7078" w:type="dxa"/>
            <w:vAlign w:val="center"/>
          </w:tcPr>
          <w:p w14:paraId="3D991C3E"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 xml:space="preserve">Question Manager is a knowledge-base system that supports the lodgement and resolution of policy and operational questions. </w:t>
            </w:r>
          </w:p>
        </w:tc>
      </w:tr>
      <w:tr w:rsidR="00CC4E3D" w:rsidRPr="00343DF0" w14:paraId="4EFA5B89"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shd w:val="clear" w:color="auto" w:fill="F2F2F2" w:themeFill="background2"/>
            <w:vAlign w:val="center"/>
          </w:tcPr>
          <w:p w14:paraId="087D3926" w14:textId="77777777" w:rsidR="00CC4E3D" w:rsidRPr="00263855" w:rsidRDefault="00CC4E3D" w:rsidP="00D9771E">
            <w:r w:rsidRPr="00263855">
              <w:t>RapidConnect</w:t>
            </w:r>
          </w:p>
        </w:tc>
        <w:tc>
          <w:tcPr>
            <w:tcW w:w="7078" w:type="dxa"/>
            <w:shd w:val="clear" w:color="auto" w:fill="F2F2F2" w:themeFill="background2"/>
            <w:vAlign w:val="center"/>
          </w:tcPr>
          <w:p w14:paraId="47061257"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RapidConnect is the commencement timeline for most young people who contact DHS to claim or transfer to Youth Allowance as a job seeker. RapidConnect typically requires attendance at an initial appointment with an employment services provider within two working days of initial contact with DHS.</w:t>
            </w:r>
          </w:p>
        </w:tc>
      </w:tr>
      <w:tr w:rsidR="00CC4E3D" w:rsidRPr="00343DF0" w14:paraId="7F498E83"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75967EFE" w14:textId="77777777" w:rsidR="00CC4E3D" w:rsidRPr="00263855" w:rsidRDefault="00CC4E3D" w:rsidP="00D9771E">
            <w:r w:rsidRPr="00263855">
              <w:t>referrals</w:t>
            </w:r>
          </w:p>
        </w:tc>
        <w:tc>
          <w:tcPr>
            <w:tcW w:w="7078" w:type="dxa"/>
            <w:vAlign w:val="center"/>
          </w:tcPr>
          <w:p w14:paraId="2992C984"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 xml:space="preserve">In this report, referrals are people who have been referred by DHS and TtW providers to the TtW service (or, in some cases, to jobactive). </w:t>
            </w:r>
          </w:p>
        </w:tc>
      </w:tr>
      <w:tr w:rsidR="00CC4E3D" w:rsidRPr="00343DF0" w14:paraId="2DAD539D"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shd w:val="clear" w:color="auto" w:fill="F2F2F2" w:themeFill="background2"/>
            <w:vAlign w:val="center"/>
          </w:tcPr>
          <w:p w14:paraId="43ED3552" w14:textId="1F946969" w:rsidR="00CC4E3D" w:rsidRPr="00263855" w:rsidRDefault="00CC4E3D" w:rsidP="00D9771E">
            <w:r w:rsidRPr="00263855">
              <w:t>Stream A (jobactive)</w:t>
            </w:r>
          </w:p>
        </w:tc>
        <w:tc>
          <w:tcPr>
            <w:tcW w:w="7078" w:type="dxa"/>
            <w:shd w:val="clear" w:color="auto" w:fill="F2F2F2" w:themeFill="background2"/>
            <w:vAlign w:val="center"/>
          </w:tcPr>
          <w:p w14:paraId="7E235CD5" w14:textId="5D7587DA"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Stream A participants are assessed as the most job ready. They receive services to help them understand what employers want and how to navigate the local labour market, build résumés and look for jobs.</w:t>
            </w:r>
          </w:p>
        </w:tc>
      </w:tr>
      <w:tr w:rsidR="00CC4E3D" w:rsidRPr="00343DF0" w14:paraId="008B92B3"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6D6D67CD" w14:textId="77777777" w:rsidR="00CC4E3D" w:rsidRPr="00263855" w:rsidRDefault="00CC4E3D" w:rsidP="00D9771E">
            <w:r w:rsidRPr="00263855">
              <w:t>Stream B (jobactive)</w:t>
            </w:r>
          </w:p>
        </w:tc>
        <w:tc>
          <w:tcPr>
            <w:tcW w:w="7078" w:type="dxa"/>
            <w:vAlign w:val="center"/>
          </w:tcPr>
          <w:p w14:paraId="19342567"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 xml:space="preserve">Stream B participants are those who require more assistance from their </w:t>
            </w:r>
            <w:r w:rsidRPr="00263855">
              <w:rPr>
                <w:rFonts w:asciiTheme="majorHAnsi" w:hAnsiTheme="majorHAnsi" w:cstheme="majorHAnsi"/>
                <w:iCs/>
              </w:rPr>
              <w:t xml:space="preserve">jobactive </w:t>
            </w:r>
            <w:r w:rsidRPr="00263855">
              <w:rPr>
                <w:rFonts w:asciiTheme="majorHAnsi" w:hAnsiTheme="majorHAnsi" w:cstheme="majorHAnsi"/>
              </w:rPr>
              <w:t>provider. They may have barriers such as housing instability or poor language, literacy and numeracy skills that make them less competitive in the job market.</w:t>
            </w:r>
          </w:p>
        </w:tc>
      </w:tr>
      <w:tr w:rsidR="00CC4E3D" w:rsidRPr="00343DF0" w14:paraId="516C0F53"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shd w:val="clear" w:color="auto" w:fill="F2F2F2" w:themeFill="background2"/>
            <w:vAlign w:val="center"/>
          </w:tcPr>
          <w:p w14:paraId="05878BF0" w14:textId="77777777" w:rsidR="00CC4E3D" w:rsidRPr="00263855" w:rsidRDefault="00CC4E3D" w:rsidP="00D9771E">
            <w:r w:rsidRPr="00263855">
              <w:t>Stream C (jobactive)</w:t>
            </w:r>
          </w:p>
        </w:tc>
        <w:tc>
          <w:tcPr>
            <w:tcW w:w="7078" w:type="dxa"/>
            <w:shd w:val="clear" w:color="auto" w:fill="F2F2F2" w:themeFill="background2"/>
            <w:vAlign w:val="center"/>
          </w:tcPr>
          <w:p w14:paraId="3C101E6D"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Stream C participants are the most disadvantaged group in jobactive. They have a combination of serious issues that need to be addressed before they are work ready.</w:t>
            </w:r>
          </w:p>
        </w:tc>
      </w:tr>
      <w:tr w:rsidR="00CC4E3D" w:rsidRPr="00343DF0" w14:paraId="36CEDA57"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3994C7EE" w14:textId="77777777" w:rsidR="00CC4E3D" w:rsidRPr="00263855" w:rsidRDefault="00CC4E3D" w:rsidP="00D9771E">
            <w:r w:rsidRPr="00263855">
              <w:lastRenderedPageBreak/>
              <w:t xml:space="preserve">study period </w:t>
            </w:r>
          </w:p>
        </w:tc>
        <w:tc>
          <w:tcPr>
            <w:tcW w:w="7078" w:type="dxa"/>
            <w:vAlign w:val="center"/>
          </w:tcPr>
          <w:p w14:paraId="1BC6DB11"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Participants in the matched TtW and jobactive inflows who had started in the services by 31 August 2016 were followed for 180 days from their commencement date. Unless otherwise indicated, this was the study period for this evaluation. The inflow population includes young people referred to the service in the period between 1 February 2016 and 31 July 2016. Caseload refers to the number of participants in services and information about this group captured at a point in time.</w:t>
            </w:r>
          </w:p>
        </w:tc>
      </w:tr>
      <w:tr w:rsidR="00CC4E3D" w:rsidRPr="00343DF0" w14:paraId="23CF9C7F"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shd w:val="clear" w:color="auto" w:fill="F2F2F2" w:themeFill="background2"/>
            <w:vAlign w:val="center"/>
          </w:tcPr>
          <w:p w14:paraId="389B1A2A" w14:textId="77777777" w:rsidR="00CC4E3D" w:rsidRPr="00263855" w:rsidRDefault="00CC4E3D" w:rsidP="00D9771E">
            <w:r w:rsidRPr="00263855">
              <w:t>TtW Deed</w:t>
            </w:r>
          </w:p>
        </w:tc>
        <w:tc>
          <w:tcPr>
            <w:tcW w:w="7078" w:type="dxa"/>
            <w:shd w:val="clear" w:color="auto" w:fill="F2F2F2" w:themeFill="background2"/>
            <w:vAlign w:val="center"/>
          </w:tcPr>
          <w:p w14:paraId="31479FF1"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This is the legal agreement under which a provider is contracted to deliver TtW services.</w:t>
            </w:r>
          </w:p>
        </w:tc>
      </w:tr>
      <w:tr w:rsidR="00CC4E3D" w:rsidRPr="00343DF0" w14:paraId="7F54FECC" w14:textId="77777777" w:rsidTr="00A75A0C">
        <w:trPr>
          <w:cantSplit/>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6EB37399" w14:textId="77777777" w:rsidR="00CC4E3D" w:rsidRPr="00263855" w:rsidRDefault="00CC4E3D" w:rsidP="00D9771E">
            <w:r w:rsidRPr="00263855">
              <w:t>utilisation rate</w:t>
            </w:r>
          </w:p>
        </w:tc>
        <w:tc>
          <w:tcPr>
            <w:tcW w:w="7078" w:type="dxa"/>
            <w:vAlign w:val="center"/>
          </w:tcPr>
          <w:p w14:paraId="7566AF03" w14:textId="77777777" w:rsidR="00CC4E3D" w:rsidRPr="00263855" w:rsidRDefault="00CC4E3D" w:rsidP="00263855">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3855">
              <w:rPr>
                <w:rFonts w:asciiTheme="majorHAnsi" w:hAnsiTheme="majorHAnsi" w:cstheme="majorHAnsi"/>
              </w:rPr>
              <w:t>In this report, the utilisation rate is the percentage of a TtW provider’s Annual Funded Places that are being used by a TtW participant.</w:t>
            </w:r>
          </w:p>
        </w:tc>
      </w:tr>
    </w:tbl>
    <w:p w14:paraId="5D743975" w14:textId="77777777" w:rsidR="009C06E3" w:rsidRDefault="009C06E3">
      <w:pPr>
        <w:rPr>
          <w:rFonts w:ascii="Calibri" w:eastAsiaTheme="majorEastAsia" w:hAnsi="Calibri" w:cstheme="majorBidi"/>
          <w:b/>
          <w:bCs/>
          <w:color w:val="287BB3"/>
          <w:sz w:val="40"/>
          <w:szCs w:val="48"/>
        </w:rPr>
      </w:pPr>
      <w:bookmarkStart w:id="9" w:name="_Toc535498838"/>
      <w:r>
        <w:br w:type="page"/>
      </w:r>
    </w:p>
    <w:p w14:paraId="7ABFC9EC" w14:textId="046623B3" w:rsidR="00CC4E3D" w:rsidRDefault="00CC4E3D" w:rsidP="00CC4E3D">
      <w:pPr>
        <w:pStyle w:val="Heading1"/>
      </w:pPr>
      <w:bookmarkStart w:id="10" w:name="_Toc23841318"/>
      <w:r>
        <w:lastRenderedPageBreak/>
        <w:t>Executive s</w:t>
      </w:r>
      <w:r w:rsidRPr="00865AE1">
        <w:t>ummary</w:t>
      </w:r>
      <w:bookmarkEnd w:id="9"/>
      <w:bookmarkEnd w:id="10"/>
      <w:r>
        <w:t xml:space="preserve"> </w:t>
      </w:r>
    </w:p>
    <w:p w14:paraId="2AB25FA4" w14:textId="77777777" w:rsidR="00CC4E3D" w:rsidRPr="001F4939" w:rsidRDefault="00CC4E3D" w:rsidP="001F4939">
      <w:pPr>
        <w:pStyle w:val="Heading2"/>
      </w:pPr>
      <w:bookmarkStart w:id="11" w:name="_Toc535498839"/>
      <w:bookmarkStart w:id="12" w:name="_Toc23841319"/>
      <w:r w:rsidRPr="001F4939">
        <w:t>Background</w:t>
      </w:r>
      <w:bookmarkEnd w:id="11"/>
      <w:bookmarkEnd w:id="12"/>
    </w:p>
    <w:p w14:paraId="180BE8A1" w14:textId="77777777" w:rsidR="00CC4E3D" w:rsidRDefault="00CC4E3D" w:rsidP="00CC4E3D">
      <w:r>
        <w:t xml:space="preserve">In the 2015-16 Commonwealth Budget, the Australian Government announced a $322 million Youth Employment Strategy under the Jobs and Small Business Package. The Transition to Work (TtW) service forms an integral component of the Youth Employment Strategy and was rolled out between February 2016 and May 2016. The TtW service helps young people aged 15 to 21 to get into work or education. </w:t>
      </w:r>
    </w:p>
    <w:p w14:paraId="1BE817FF" w14:textId="77777777" w:rsidR="00CC4E3D" w:rsidRDefault="00CC4E3D" w:rsidP="00CC4E3D">
      <w:r>
        <w:t>TtW aims to increase the work-readiness of early school leavers who are finding it difficult to move from education into work by providing intensive pre-employment support to increase the work</w:t>
      </w:r>
      <w:r>
        <w:noBreakHyphen/>
        <w:t xml:space="preserve">readiness of young people and help them into work (including apprenticeships and traineeships) or education. The service also has a strong focus on helping young people to understand and to develop the skills, attitudes and behaviours employers expect. </w:t>
      </w:r>
    </w:p>
    <w:p w14:paraId="31ED4B42" w14:textId="4DE1F6A2" w:rsidR="00CC4E3D" w:rsidRDefault="00CC4E3D" w:rsidP="00CC4E3D">
      <w:r>
        <w:t xml:space="preserve">The </w:t>
      </w:r>
      <w:r w:rsidRPr="000A38F1">
        <w:t xml:space="preserve">Department of </w:t>
      </w:r>
      <w:r w:rsidR="00F849AD">
        <w:t>Employment, Skills, Small and Family Business</w:t>
      </w:r>
      <w:r w:rsidRPr="000A38F1">
        <w:t xml:space="preserve"> (the </w:t>
      </w:r>
      <w:r w:rsidR="00082F50">
        <w:t>d</w:t>
      </w:r>
      <w:r w:rsidRPr="000A38F1">
        <w:t>epartment)</w:t>
      </w:r>
      <w:r>
        <w:t xml:space="preserve"> has overall responsibility for TtW, through providers contracted by the </w:t>
      </w:r>
      <w:r w:rsidR="00082F50">
        <w:t>d</w:t>
      </w:r>
      <w:r>
        <w:t xml:space="preserve">epartment to deliver the service. TtW operates separately from the Government’s mainstream employment service, jobactive, and other targeted employment services such as Disability Employment Services and the Community Development Programme. The </w:t>
      </w:r>
      <w:r w:rsidR="00082F50">
        <w:t>d</w:t>
      </w:r>
      <w:r>
        <w:t>epartment also administers other services, such as Empowering YOUth Initiatives and ParentsNext, which help participants to prepare for employment.</w:t>
      </w:r>
    </w:p>
    <w:p w14:paraId="776CF099" w14:textId="4FE63DA0" w:rsidR="00CC4E3D" w:rsidRDefault="00CC4E3D" w:rsidP="00CC4E3D">
      <w:r>
        <w:t xml:space="preserve">The major difference between TtW and jobactive is that TtW is a 12-month service that specifically targets early school leavers, aged between 15 and 21, who require intensive support to address the barriers they face to entering and maintaining employment. The </w:t>
      </w:r>
      <w:r w:rsidR="00082F50">
        <w:t>d</w:t>
      </w:r>
      <w:r>
        <w:t>epartment requires TtW providers to have experience in working with disengaged youth.</w:t>
      </w:r>
    </w:p>
    <w:p w14:paraId="295724AE" w14:textId="77777777" w:rsidR="00CC4E3D" w:rsidRDefault="00CC4E3D" w:rsidP="00CC4E3D">
      <w:r>
        <w:t xml:space="preserve">The TtW payment model supports intensive servicing and provides strong incentives for providers to achieve set performance targets. TtW providers receive a significant up-front payment of </w:t>
      </w:r>
      <w:r w:rsidRPr="00812607">
        <w:t>$530</w:t>
      </w:r>
      <w:r>
        <w:t>0 per funded place each year to enable them to support participants in achieving employment, engaging in education and increasing</w:t>
      </w:r>
      <w:r w:rsidRPr="0098371E">
        <w:t xml:space="preserve"> work-readiness</w:t>
      </w:r>
      <w:r>
        <w:t>. TtW providers receive bonus payments for achieving outcomes above their performance targets.</w:t>
      </w:r>
    </w:p>
    <w:p w14:paraId="0F26EDDF" w14:textId="77777777" w:rsidR="00CC4E3D" w:rsidRDefault="00CC4E3D" w:rsidP="00CC4E3D">
      <w:r>
        <w:t>TtW providers working with participants have the autonomy to determine the appropriate mix of individual, group and self</w:t>
      </w:r>
      <w:r>
        <w:noBreakHyphen/>
        <w:t xml:space="preserve">directed activities for each participant who must meet a participation requirement of 25 hours each week. These activities range from paid employment to education and training courses and other interventions to address non-vocational barriers. </w:t>
      </w:r>
    </w:p>
    <w:p w14:paraId="63804280" w14:textId="77777777" w:rsidR="00CC4E3D" w:rsidRDefault="00CC4E3D" w:rsidP="00415050">
      <w:pPr>
        <w:keepNext/>
      </w:pPr>
      <w:r>
        <w:lastRenderedPageBreak/>
        <w:t>TtW targets three groups of young people who are considered most at risk of long-term unemployment. While the eligibility requirements vary between the three groups, the overarching eligibility requirements to participate in TtW are for a young person to:</w:t>
      </w:r>
    </w:p>
    <w:p w14:paraId="4A841512" w14:textId="77777777" w:rsidR="00CC4E3D" w:rsidRDefault="00CC4E3D" w:rsidP="00415050">
      <w:pPr>
        <w:pStyle w:val="ListBullet"/>
        <w:keepNext/>
        <w:ind w:left="357" w:hanging="357"/>
      </w:pPr>
      <w:r>
        <w:t>be aged 15-21 years</w:t>
      </w:r>
    </w:p>
    <w:p w14:paraId="482934F2" w14:textId="77777777" w:rsidR="00CC4E3D" w:rsidRDefault="00CC4E3D" w:rsidP="00415050">
      <w:pPr>
        <w:pStyle w:val="ListBullet"/>
        <w:keepNext/>
        <w:ind w:left="357" w:hanging="357"/>
      </w:pPr>
      <w:r>
        <w:t>be an Australian citizen or the holder of a</w:t>
      </w:r>
    </w:p>
    <w:p w14:paraId="6FE106D8" w14:textId="77777777" w:rsidR="00CC4E3D" w:rsidRPr="005965A3" w:rsidRDefault="00CC4E3D" w:rsidP="00415050">
      <w:pPr>
        <w:pStyle w:val="ListBullet2"/>
        <w:spacing w:after="120"/>
      </w:pPr>
      <w:r w:rsidRPr="005965A3">
        <w:t>permanent visa or</w:t>
      </w:r>
    </w:p>
    <w:p w14:paraId="26D091FE" w14:textId="77777777" w:rsidR="00CC4E3D" w:rsidRPr="005965A3" w:rsidRDefault="00CC4E3D" w:rsidP="00415050">
      <w:pPr>
        <w:pStyle w:val="ListBullet2"/>
        <w:spacing w:after="120"/>
      </w:pPr>
      <w:r w:rsidRPr="005965A3">
        <w:t>New Zealand Special Category Visa or</w:t>
      </w:r>
    </w:p>
    <w:p w14:paraId="2A7D8B20" w14:textId="77777777" w:rsidR="00CC4E3D" w:rsidRPr="005965A3" w:rsidRDefault="00CC4E3D" w:rsidP="00415050">
      <w:pPr>
        <w:pStyle w:val="ListBullet2"/>
        <w:spacing w:after="120"/>
      </w:pPr>
      <w:r w:rsidRPr="005965A3">
        <w:t>nominated visa (including Temporary Visa or Safe Haven Visa)</w:t>
      </w:r>
    </w:p>
    <w:p w14:paraId="2D4F19E7" w14:textId="77777777" w:rsidR="00CC4E3D" w:rsidRDefault="00CC4E3D" w:rsidP="00415050">
      <w:pPr>
        <w:pStyle w:val="ListBullet"/>
      </w:pPr>
      <w:r>
        <w:t>live in one of the employment regions in which TtW providers are contracted to deliver services.</w:t>
      </w:r>
    </w:p>
    <w:p w14:paraId="4EA16D23" w14:textId="77777777" w:rsidR="00CC4E3D" w:rsidRDefault="00CC4E3D" w:rsidP="00CC4E3D">
      <w:pPr>
        <w:keepNext/>
      </w:pPr>
      <w:r>
        <w:t>In addition to the core TtW eligibility requirements, a young person must be:</w:t>
      </w:r>
    </w:p>
    <w:p w14:paraId="21E4B6BA" w14:textId="77777777" w:rsidR="00CC4E3D" w:rsidRDefault="00CC4E3D" w:rsidP="00E803E7">
      <w:pPr>
        <w:pStyle w:val="ListBullet"/>
      </w:pPr>
      <w:r>
        <w:t xml:space="preserve">an early school leaver when applying for Youth Allowance (Other) — </w:t>
      </w:r>
      <w:r>
        <w:rPr>
          <w:b/>
        </w:rPr>
        <w:t>Group </w:t>
      </w:r>
      <w:r w:rsidRPr="00D1507B">
        <w:rPr>
          <w:b/>
        </w:rPr>
        <w:t>One</w:t>
      </w:r>
      <w:r>
        <w:rPr>
          <w:b/>
        </w:rPr>
        <w:t xml:space="preserve"> </w:t>
      </w:r>
      <w:r w:rsidRPr="00AC0FB0">
        <w:t>or</w:t>
      </w:r>
    </w:p>
    <w:p w14:paraId="5E42BD55" w14:textId="77777777" w:rsidR="00CC4E3D" w:rsidRDefault="00CC4E3D" w:rsidP="00E803E7">
      <w:pPr>
        <w:pStyle w:val="ListBullet"/>
      </w:pPr>
      <w:r>
        <w:t xml:space="preserve">not engaged in employment or education for three months (or six months for those with Year 12) and not eligible for an income support payment — </w:t>
      </w:r>
      <w:r>
        <w:rPr>
          <w:b/>
        </w:rPr>
        <w:t>Group </w:t>
      </w:r>
      <w:r w:rsidRPr="00D1507B">
        <w:rPr>
          <w:b/>
        </w:rPr>
        <w:t>Two</w:t>
      </w:r>
      <w:r w:rsidRPr="00DC0CB3">
        <w:t xml:space="preserve"> or</w:t>
      </w:r>
    </w:p>
    <w:p w14:paraId="416655D2" w14:textId="77777777" w:rsidR="00CC4E3D" w:rsidRDefault="00CC4E3D" w:rsidP="00E803E7">
      <w:pPr>
        <w:pStyle w:val="ListBullet"/>
      </w:pPr>
      <w:r>
        <w:t xml:space="preserve">participating in Stream C of jobactive and suitable for TtW — </w:t>
      </w:r>
      <w:r>
        <w:rPr>
          <w:b/>
        </w:rPr>
        <w:t>Group </w:t>
      </w:r>
      <w:r w:rsidRPr="00D1507B">
        <w:rPr>
          <w:b/>
        </w:rPr>
        <w:t>Three</w:t>
      </w:r>
      <w:r>
        <w:t>.</w:t>
      </w:r>
    </w:p>
    <w:p w14:paraId="0DF7415E" w14:textId="77777777" w:rsidR="00CC4E3D" w:rsidRDefault="00CC4E3D" w:rsidP="00CC4E3D">
      <w:r>
        <w:t>In addition to the original allocation of $322 million,</w:t>
      </w:r>
      <w:r w:rsidRPr="004E037D">
        <w:t xml:space="preserve"> the </w:t>
      </w:r>
      <w:r>
        <w:t>Government announced a Youth Employment P</w:t>
      </w:r>
      <w:r w:rsidRPr="00B960FC">
        <w:t>ackage</w:t>
      </w:r>
      <w:r w:rsidRPr="004E037D">
        <w:t xml:space="preserve"> </w:t>
      </w:r>
      <w:r>
        <w:t xml:space="preserve">in the </w:t>
      </w:r>
      <w:r w:rsidRPr="004E037D">
        <w:t>2016</w:t>
      </w:r>
      <w:r>
        <w:t>–17 Budget</w:t>
      </w:r>
      <w:r w:rsidRPr="004E037D">
        <w:t xml:space="preserve"> </w:t>
      </w:r>
      <w:r>
        <w:t>that</w:t>
      </w:r>
      <w:r w:rsidRPr="004E037D">
        <w:t xml:space="preserve"> includes Youth Jobs PaTH (Prepare</w:t>
      </w:r>
      <w:r>
        <w:t>–</w:t>
      </w:r>
      <w:r w:rsidRPr="004E037D">
        <w:t>Trial</w:t>
      </w:r>
      <w:r>
        <w:t>–</w:t>
      </w:r>
      <w:r w:rsidRPr="004E037D">
        <w:t>Hire) and measures to encourage young people to start a business and create their own job</w:t>
      </w:r>
      <w:r>
        <w:t xml:space="preserve">. From 1 July 2018 TtW became a demand driven program with uncapped funding (announced in the 2018–19 Budget) following the expansion of the eligibility criteria from 1 January 2018 </w:t>
      </w:r>
      <w:r w:rsidRPr="00C05F1F">
        <w:t>to all Indigenous youth aged 21</w:t>
      </w:r>
      <w:r>
        <w:t> </w:t>
      </w:r>
      <w:r w:rsidRPr="00C05F1F">
        <w:t>years or under, including those who have completed high school</w:t>
      </w:r>
      <w:r>
        <w:t>.</w:t>
      </w:r>
    </w:p>
    <w:p w14:paraId="61937216" w14:textId="77777777" w:rsidR="00CC4E3D" w:rsidRDefault="00CC4E3D" w:rsidP="00CC4E3D">
      <w:r w:rsidRPr="004E037D">
        <w:t>Th</w:t>
      </w:r>
      <w:r>
        <w:t>e Youth Employment P</w:t>
      </w:r>
      <w:r w:rsidRPr="004E037D">
        <w:t>ackage</w:t>
      </w:r>
      <w:r>
        <w:t xml:space="preserve"> and other changes to TtW are</w:t>
      </w:r>
      <w:r w:rsidRPr="004E037D">
        <w:t xml:space="preserve"> outside the scope of this </w:t>
      </w:r>
      <w:r>
        <w:t>analysis and will be separately evaluated.</w:t>
      </w:r>
    </w:p>
    <w:p w14:paraId="708CA602" w14:textId="77777777" w:rsidR="00CC4E3D" w:rsidRPr="001F4939" w:rsidRDefault="00CC4E3D" w:rsidP="00A75A0C">
      <w:pPr>
        <w:pStyle w:val="Heading2"/>
      </w:pPr>
      <w:bookmarkStart w:id="13" w:name="_Toc535498840"/>
      <w:bookmarkStart w:id="14" w:name="_Toc23841320"/>
      <w:r w:rsidRPr="001F4939">
        <w:t>Evaluation of the Transition to Work service</w:t>
      </w:r>
      <w:bookmarkEnd w:id="13"/>
      <w:bookmarkEnd w:id="14"/>
    </w:p>
    <w:p w14:paraId="5EC989C5" w14:textId="77777777" w:rsidR="00CC4E3D" w:rsidRDefault="00CC4E3D" w:rsidP="00CC4E3D">
      <w:r>
        <w:t xml:space="preserve">The evaluation of TtW has two stages: a formative stage and a summative stage. The formative stage focuses on the phased rollout and early referrals up to 31 July 2016 (the inflow period). The summative stage will be an in-depth assessment of the overall performance of referrals to TtW covering the phased rollout from February to May 2016 up to the end of March 2017. </w:t>
      </w:r>
    </w:p>
    <w:p w14:paraId="74B72BE5" w14:textId="77777777" w:rsidR="00CC4E3D" w:rsidRDefault="00CC4E3D" w:rsidP="00CC4E3D">
      <w:r>
        <w:t>This interim evaluation report outlines evaluation activities undertaken during the formative stage, with findings primarily focused on:</w:t>
      </w:r>
    </w:p>
    <w:p w14:paraId="321BEE86" w14:textId="77777777" w:rsidR="00CC4E3D" w:rsidRDefault="00CC4E3D" w:rsidP="00E803E7">
      <w:pPr>
        <w:pStyle w:val="ListBullet"/>
      </w:pPr>
      <w:r>
        <w:t>the early implementation and operation of the TtW service</w:t>
      </w:r>
    </w:p>
    <w:p w14:paraId="749A47BE" w14:textId="77777777" w:rsidR="00CC4E3D" w:rsidRDefault="00CC4E3D" w:rsidP="00E803E7">
      <w:pPr>
        <w:pStyle w:val="ListBullet"/>
      </w:pPr>
      <w:r>
        <w:t>engagement and retention of participants in TtW</w:t>
      </w:r>
    </w:p>
    <w:p w14:paraId="5DBF45A6" w14:textId="77777777" w:rsidR="00CC4E3D" w:rsidRDefault="00CC4E3D" w:rsidP="00E803E7">
      <w:pPr>
        <w:pStyle w:val="ListBullet"/>
      </w:pPr>
      <w:r>
        <w:t>early education, employment and labour market attachment outcomes.</w:t>
      </w:r>
    </w:p>
    <w:p w14:paraId="0DDFD470" w14:textId="77777777" w:rsidR="00CC4E3D" w:rsidRPr="001F4939" w:rsidRDefault="00CC4E3D" w:rsidP="001F4939">
      <w:pPr>
        <w:pStyle w:val="Heading2"/>
      </w:pPr>
      <w:bookmarkStart w:id="15" w:name="_Toc535498841"/>
      <w:bookmarkStart w:id="16" w:name="_Toc23841321"/>
      <w:r w:rsidRPr="001F4939">
        <w:lastRenderedPageBreak/>
        <w:t>Methods and analysis</w:t>
      </w:r>
      <w:bookmarkEnd w:id="15"/>
      <w:bookmarkEnd w:id="16"/>
    </w:p>
    <w:p w14:paraId="5EE58C13" w14:textId="77777777" w:rsidR="00CC4E3D" w:rsidRDefault="00CC4E3D" w:rsidP="00CC4E3D">
      <w:pPr>
        <w:keepNext/>
      </w:pPr>
      <w:r>
        <w:t>The TtW evaluation team adopted a mixed methods approach. It involved collecting and analysing quantitative and qualitative data. Data sources were:</w:t>
      </w:r>
    </w:p>
    <w:p w14:paraId="273BA85E" w14:textId="67D9188B" w:rsidR="00CC4E3D" w:rsidRDefault="00CC4E3D" w:rsidP="00E803E7">
      <w:pPr>
        <w:pStyle w:val="ListBullet"/>
      </w:pPr>
      <w:r>
        <w:t xml:space="preserve">income support </w:t>
      </w:r>
      <w:r w:rsidRPr="00D563F7">
        <w:t xml:space="preserve">administrative data </w:t>
      </w:r>
      <w:r>
        <w:t xml:space="preserve">from </w:t>
      </w:r>
      <w:r w:rsidRPr="00D563F7">
        <w:t xml:space="preserve">the </w:t>
      </w:r>
      <w:r w:rsidRPr="000A38F1">
        <w:t>Department of Human Services (DHS)</w:t>
      </w:r>
      <w:r w:rsidRPr="00CB1708">
        <w:t xml:space="preserve"> </w:t>
      </w:r>
      <w:r>
        <w:t xml:space="preserve">captured in the Department of </w:t>
      </w:r>
      <w:r w:rsidR="00F849AD">
        <w:t>Employment, Skills, Small and Family</w:t>
      </w:r>
      <w:r>
        <w:t xml:space="preserve"> Business’s Research and Evaluation Dataset (RED)</w:t>
      </w:r>
    </w:p>
    <w:p w14:paraId="36B6F477" w14:textId="55E81A65" w:rsidR="00CC4E3D" w:rsidRDefault="00CC4E3D" w:rsidP="00E803E7">
      <w:pPr>
        <w:pStyle w:val="ListBullet"/>
      </w:pPr>
      <w:r>
        <w:t xml:space="preserve">employment services </w:t>
      </w:r>
      <w:r w:rsidRPr="00986A0A">
        <w:t xml:space="preserve">administrative data </w:t>
      </w:r>
      <w:r>
        <w:t xml:space="preserve">from the </w:t>
      </w:r>
      <w:r w:rsidR="00082F50">
        <w:t>d</w:t>
      </w:r>
      <w:r w:rsidRPr="00D563F7">
        <w:t>epartment</w:t>
      </w:r>
    </w:p>
    <w:p w14:paraId="23CD5CAA" w14:textId="78A7B1C7" w:rsidR="00CC4E3D" w:rsidRDefault="00CC4E3D" w:rsidP="00E803E7">
      <w:pPr>
        <w:pStyle w:val="ListBullet"/>
      </w:pPr>
      <w:r w:rsidRPr="00D563F7">
        <w:t>provider survey data from</w:t>
      </w:r>
      <w:r>
        <w:t xml:space="preserve"> a census of all TtW providers collected by</w:t>
      </w:r>
      <w:r w:rsidRPr="00D563F7">
        <w:t xml:space="preserve"> the </w:t>
      </w:r>
      <w:r w:rsidR="00082F50">
        <w:t>d</w:t>
      </w:r>
      <w:r w:rsidRPr="00D563F7">
        <w:t xml:space="preserve">epartment </w:t>
      </w:r>
      <w:r>
        <w:t>during October and November 2016</w:t>
      </w:r>
    </w:p>
    <w:p w14:paraId="18689AA9" w14:textId="77777777" w:rsidR="00CC4E3D" w:rsidRDefault="00CC4E3D" w:rsidP="00E803E7">
      <w:pPr>
        <w:pStyle w:val="ListBullet"/>
      </w:pPr>
      <w:r>
        <w:t>q</w:t>
      </w:r>
      <w:r w:rsidRPr="00D563F7">
        <w:t xml:space="preserve">ualitative data reported by </w:t>
      </w:r>
      <w:r>
        <w:t>the Social Research Centre</w:t>
      </w:r>
      <w:r w:rsidRPr="00D563F7">
        <w:t xml:space="preserve"> from </w:t>
      </w:r>
      <w:r>
        <w:t xml:space="preserve">commissioned </w:t>
      </w:r>
      <w:r w:rsidRPr="00D563F7">
        <w:t>research with stakeholders.</w:t>
      </w:r>
      <w:r>
        <w:t xml:space="preserve"> </w:t>
      </w:r>
    </w:p>
    <w:p w14:paraId="00020204" w14:textId="77777777" w:rsidR="00CC4E3D" w:rsidRPr="00B10FB2" w:rsidRDefault="00CC4E3D" w:rsidP="00CC4E3D">
      <w:r>
        <w:t xml:space="preserve">Statistical methods used to analyse quantitative data include descriptive statistics and logistic regression modelling. The study populations were matched inflow populations of young people referred to TtW and jobactive between 1 February 2016 and 31 July 2016. The TtW inflow sample of 20,684 participants was compared with a matched group of jobactive job seekers. </w:t>
      </w:r>
    </w:p>
    <w:p w14:paraId="681404E7" w14:textId="77777777" w:rsidR="00CC4E3D" w:rsidRPr="001F4939" w:rsidRDefault="00CC4E3D" w:rsidP="001F4939">
      <w:pPr>
        <w:pStyle w:val="Heading2"/>
      </w:pPr>
      <w:bookmarkStart w:id="17" w:name="_Toc535498842"/>
      <w:bookmarkStart w:id="18" w:name="_Toc23841322"/>
      <w:r w:rsidRPr="001F4939">
        <w:t>Main findings</w:t>
      </w:r>
      <w:bookmarkEnd w:id="17"/>
      <w:bookmarkEnd w:id="18"/>
    </w:p>
    <w:p w14:paraId="630D0DA0" w14:textId="19301AD6" w:rsidR="00CC4E3D" w:rsidRPr="001F4939" w:rsidRDefault="00CC4E3D" w:rsidP="001F4939">
      <w:pPr>
        <w:pStyle w:val="Heading3"/>
      </w:pPr>
      <w:bookmarkStart w:id="19" w:name="_Toc535498843"/>
      <w:bookmarkStart w:id="20" w:name="_Toc23841323"/>
      <w:r w:rsidRPr="001F4939">
        <w:t>Early implementation and operation of the TtW service</w:t>
      </w:r>
      <w:bookmarkEnd w:id="19"/>
      <w:bookmarkEnd w:id="20"/>
    </w:p>
    <w:p w14:paraId="06D0968F" w14:textId="77777777" w:rsidR="00CC4E3D" w:rsidRDefault="00CC4E3D" w:rsidP="00CC4E3D">
      <w:r>
        <w:t xml:space="preserve">The qualitative research found that, with the rapid rollout of TtW, a number of providers reported that it was challenging to find sites and train staff by their contract start date. Providers also reported problems with initial referrals, particularly with participant contact details and the suitability for TtW of early transfers from jobactive. Providers, DHS staff and employers all reported that low initial awareness of TtW had contributed to early issues with </w:t>
      </w:r>
      <w:r w:rsidRPr="00F73CA7">
        <w:t>the service.</w:t>
      </w:r>
      <w:r>
        <w:t xml:space="preserve"> </w:t>
      </w:r>
    </w:p>
    <w:p w14:paraId="0B2CA0DA" w14:textId="161DB0ED" w:rsidR="00CC4E3D" w:rsidRDefault="00CC4E3D" w:rsidP="00CC4E3D">
      <w:r>
        <w:t xml:space="preserve">A survey of providers by the </w:t>
      </w:r>
      <w:r w:rsidR="00082F50">
        <w:t>d</w:t>
      </w:r>
      <w:r>
        <w:t xml:space="preserve">epartment during October to November 2016 found that, while start-up issues were challenging, most had been largely resolved. Providers also reported that the service and support provided by the </w:t>
      </w:r>
      <w:r w:rsidR="00082F50">
        <w:t>d</w:t>
      </w:r>
      <w:r>
        <w:t>epartment during the rollout and early stages of TtW were of a high quality.</w:t>
      </w:r>
    </w:p>
    <w:p w14:paraId="4A2387D0" w14:textId="77777777" w:rsidR="00CC4E3D" w:rsidRDefault="00CC4E3D" w:rsidP="00CC4E3D">
      <w:r>
        <w:t xml:space="preserve">Most providers and participants reported that they were satisfied with the flexibility of the TtW service that enabled a strong focus on participant engagement in activities and more time with individual participants to increase their work-readiness and chances of finding a job. Providers also regarded the TtW funding structure as sustainable, and the </w:t>
      </w:r>
      <w:r w:rsidRPr="000A38F1">
        <w:t>key performance indicators (KPIs)</w:t>
      </w:r>
      <w:r>
        <w:t xml:space="preserve"> and Outcome Performance Targets as achievable.</w:t>
      </w:r>
    </w:p>
    <w:p w14:paraId="501E0E61" w14:textId="77777777" w:rsidR="00CC4E3D" w:rsidRDefault="00CC4E3D" w:rsidP="001F4939">
      <w:pPr>
        <w:pStyle w:val="Heading3"/>
      </w:pPr>
      <w:bookmarkStart w:id="21" w:name="_Toc535498844"/>
      <w:bookmarkStart w:id="22" w:name="_Toc23841324"/>
      <w:r>
        <w:t>Engagement and retention of participants in TtW</w:t>
      </w:r>
      <w:bookmarkEnd w:id="21"/>
      <w:bookmarkEnd w:id="22"/>
    </w:p>
    <w:p w14:paraId="2C1A7495" w14:textId="77777777" w:rsidR="00CC4E3D" w:rsidRDefault="00CC4E3D" w:rsidP="00CC4E3D">
      <w:r>
        <w:t xml:space="preserve">Utilisation of TtW places (that is Occupancy of Annual Funded Places) increased over time, with the TtW caseload (pending, commenced and suspended participants) at 78 per cent of Annual Funded Places at the end of July 2016 and rising to 117 per cent six months later. The </w:t>
      </w:r>
      <w:r w:rsidRPr="000678AA">
        <w:t>median</w:t>
      </w:r>
      <w:r>
        <w:t xml:space="preserve"> time to commence a participant fell during </w:t>
      </w:r>
      <w:r w:rsidRPr="000A38F1">
        <w:t>the study period</w:t>
      </w:r>
      <w:r>
        <w:t xml:space="preserve">, from 16 days in the provider’s first month in </w:t>
      </w:r>
      <w:r>
        <w:lastRenderedPageBreak/>
        <w:t>TtW to four days by the provider’s sixth month. Analysis of referrals to both TtW and jobactive in the matched inflow population showed TtW providers achieved a higher commencement rate during the first 30 days after the participant’s referral to them (93 per cent, excluding Group Three transfers from jobactive) than jobactive providers (83 per cent).</w:t>
      </w:r>
    </w:p>
    <w:p w14:paraId="0DF74DB3" w14:textId="77777777" w:rsidR="00CC4E3D" w:rsidRDefault="00CC4E3D" w:rsidP="00CC4E3D">
      <w:r>
        <w:t xml:space="preserve">The attendance rate at the first initial appointment was higher for TtW participants (77 per cent) than for young people in the jobactive comparison group (69 per cent), while the attendance at contact appointments was </w:t>
      </w:r>
      <w:r w:rsidRPr="00633D2A">
        <w:t xml:space="preserve">slightly lower </w:t>
      </w:r>
      <w:r>
        <w:t>(60 per cent for TtW, compared with 63 per cent for the jobactive comparison group). It is worth noting that there is a different</w:t>
      </w:r>
      <w:r w:rsidRPr="00C82DD5">
        <w:t xml:space="preserve"> compliance </w:t>
      </w:r>
      <w:r>
        <w:t xml:space="preserve">arrangement relating to individual appointments and attendance at activities in TtW. TtW does not have sanctions of suspending/cancelling income support payments in relation to non-attendance at appointments or activities (as in jobactive). Instead, TtW providers assess the participant’s overall participation and exit them if they do not meet participation requirements.  </w:t>
      </w:r>
    </w:p>
    <w:p w14:paraId="636C9023" w14:textId="77777777" w:rsidR="00CC4E3D" w:rsidRPr="000B3D2B" w:rsidRDefault="00CC4E3D" w:rsidP="00CC4E3D">
      <w:r>
        <w:t>During the early months, providers reported that they had difficulties in attracting disengaged young people (Group Two) but, once they were engaged, these participants had a high level of commitment to, and retention in, the TtW service. Providers and peak bodies both noted that recruitment of this group improved over time, attributing this to innovative strategies and word of mouth. Referrals of suitable young people from</w:t>
      </w:r>
      <w:r w:rsidRPr="00A27FB2">
        <w:t xml:space="preserve"> </w:t>
      </w:r>
      <w:r>
        <w:t>jobactive Stream C were well below the targeted 10 per cent of Annual Funded Places during the first 12 </w:t>
      </w:r>
      <w:r w:rsidRPr="000B3D2B">
        <w:t>months of operation.</w:t>
      </w:r>
    </w:p>
    <w:p w14:paraId="56E26CD3" w14:textId="77777777" w:rsidR="00CC4E3D" w:rsidRDefault="00CC4E3D" w:rsidP="00CC4E3D">
      <w:r w:rsidRPr="000B3D2B">
        <w:t>TtW participants were required to undertake 25 hours per week of pre-employment activities</w:t>
      </w:r>
      <w:r>
        <w:t>,</w:t>
      </w:r>
      <w:r w:rsidRPr="000B3D2B">
        <w:t xml:space="preserve"> which include</w:t>
      </w:r>
      <w:r>
        <w:t>d placements in</w:t>
      </w:r>
      <w:r w:rsidRPr="000B3D2B">
        <w:t xml:space="preserve"> a wider range of education and training activities than young people in jobactive. TtW participants typically undertook </w:t>
      </w:r>
      <w:r>
        <w:t xml:space="preserve">more </w:t>
      </w:r>
      <w:r w:rsidRPr="000B3D2B">
        <w:t>pre-employment activities</w:t>
      </w:r>
      <w:r>
        <w:t xml:space="preserve"> reflecting the employment preparation focus of the program</w:t>
      </w:r>
      <w:r w:rsidRPr="000B3D2B">
        <w:t xml:space="preserve">. </w:t>
      </w:r>
      <w:r>
        <w:t>By</w:t>
      </w:r>
      <w:r w:rsidRPr="000B3D2B">
        <w:t xml:space="preserve"> contrast, </w:t>
      </w:r>
      <w:r>
        <w:t xml:space="preserve">the jobactive focus on employment outcomes meant </w:t>
      </w:r>
      <w:r w:rsidRPr="000B3D2B">
        <w:t>jobactive participants</w:t>
      </w:r>
      <w:r>
        <w:t>,</w:t>
      </w:r>
      <w:r w:rsidRPr="000B3D2B">
        <w:t xml:space="preserve"> </w:t>
      </w:r>
      <w:r>
        <w:t xml:space="preserve">who were early school leavers, </w:t>
      </w:r>
      <w:r w:rsidRPr="000B3D2B">
        <w:t>were more likely to receive a range of work-related services and support from their providers</w:t>
      </w:r>
      <w:r>
        <w:t>.</w:t>
      </w:r>
      <w:r w:rsidRPr="000B3D2B">
        <w:t xml:space="preserve"> </w:t>
      </w:r>
      <w:r>
        <w:t>This</w:t>
      </w:r>
      <w:r w:rsidRPr="000B3D2B">
        <w:t xml:space="preserve"> included job search, part-time or casual employment</w:t>
      </w:r>
      <w:r>
        <w:t xml:space="preserve">, </w:t>
      </w:r>
      <w:r w:rsidRPr="000B3D2B">
        <w:t xml:space="preserve">participation in other government programs, </w:t>
      </w:r>
      <w:r>
        <w:t xml:space="preserve">and certain </w:t>
      </w:r>
      <w:r w:rsidRPr="000B3D2B">
        <w:t xml:space="preserve">education and training activities depending on their needs and job seeker classification. </w:t>
      </w:r>
      <w:r>
        <w:t xml:space="preserve">As a consequence, </w:t>
      </w:r>
      <w:r w:rsidRPr="000B3D2B">
        <w:t xml:space="preserve">the proportion of young people participating in activities was higher </w:t>
      </w:r>
      <w:r>
        <w:t xml:space="preserve">in TtW </w:t>
      </w:r>
      <w:r w:rsidRPr="000B3D2B">
        <w:t xml:space="preserve">(46 per cent, compared to 19 per cent for the jobactive comparison group) over their first six months in the service. </w:t>
      </w:r>
      <w:r>
        <w:t xml:space="preserve">For participants who were undertaking activities, </w:t>
      </w:r>
      <w:r w:rsidRPr="000B3D2B">
        <w:t>TtW participants were also placed in activities more quickly (55 per cent in the first 30 days after referral, compared with 46 per cent for the jobactive comparison group).</w:t>
      </w:r>
      <w:r>
        <w:t xml:space="preserve"> </w:t>
      </w:r>
    </w:p>
    <w:p w14:paraId="4775B9E3" w14:textId="77777777" w:rsidR="00CC4E3D" w:rsidRDefault="00CC4E3D" w:rsidP="00CC4E3D">
      <w:r>
        <w:t>The commencement processes between TtW and jobactive are similar, but the non-commencement patterns for referrals are different. TtW providers generally recorded young people as a non-commencement from the second month after referral following numerous attempts to engage them. The main recorded reason for non-commencement was ‘young person was not contactable’. Non-commencements from the comparison group in jobactive during the first month were more likely due to many reasons such as failing to attend an initial appointment with their providers, having their income support claims cancelled or withdrawn, or after finding a job. Therefore, recorded reasons in jobactive tend to be ‘referral to other service’ or ‘no longer fully eligible’.</w:t>
      </w:r>
    </w:p>
    <w:p w14:paraId="0A690E23" w14:textId="77777777" w:rsidR="00CC4E3D" w:rsidRDefault="00CC4E3D" w:rsidP="00FD4CA8">
      <w:pPr>
        <w:pStyle w:val="Heading3"/>
      </w:pPr>
      <w:bookmarkStart w:id="23" w:name="_Toc535498845"/>
      <w:bookmarkStart w:id="24" w:name="_Toc23841325"/>
      <w:r>
        <w:lastRenderedPageBreak/>
        <w:t>E</w:t>
      </w:r>
      <w:r w:rsidRPr="00BF6D75">
        <w:t xml:space="preserve">arly education, employment and labour market attachment </w:t>
      </w:r>
      <w:r w:rsidRPr="00FD4CA8">
        <w:t>outcomes</w:t>
      </w:r>
      <w:bookmarkEnd w:id="23"/>
      <w:bookmarkEnd w:id="24"/>
    </w:p>
    <w:p w14:paraId="7B5011EE" w14:textId="77777777" w:rsidR="00CC4E3D" w:rsidRDefault="00CC4E3D" w:rsidP="00CC4E3D">
      <w:r>
        <w:t xml:space="preserve">Approved outcomes in TtW include education, employment or a combination of education and employment outcomes, depending on the participant’s income status and Mutual Obligation Requirements. At the end of March 2017, employment outcomes achieved through TtW comprised 79 per cent of all TtW outcomes, and the March 2017 quarterly Outcome Performance Targets were met for </w:t>
      </w:r>
      <w:r w:rsidRPr="000F176E">
        <w:t>5</w:t>
      </w:r>
      <w:r>
        <w:t>0 </w:t>
      </w:r>
      <w:r w:rsidRPr="000F176E">
        <w:t xml:space="preserve">per cent of all </w:t>
      </w:r>
      <w:r>
        <w:t xml:space="preserve">provider </w:t>
      </w:r>
      <w:r w:rsidRPr="000F176E">
        <w:t>contracts.</w:t>
      </w:r>
      <w:r>
        <w:t xml:space="preserve"> </w:t>
      </w:r>
    </w:p>
    <w:p w14:paraId="49CCC0A9" w14:textId="77777777" w:rsidR="00CC4E3D" w:rsidRDefault="00CC4E3D" w:rsidP="00CC4E3D">
      <w:r>
        <w:t>The high contribution of employment outcomes probably reflects the provider focus, where possible, to get young people in a job to achieve an employment outcome. Qualitative research found placing young people in education in order to obtain an education outcome was considered to be the secondary focus for providers after all avenues of employment were already exhausted. A Certificate III was the main type of study undertaken by TtW participants qualifying for an education outcome.</w:t>
      </w:r>
    </w:p>
    <w:p w14:paraId="4F07EE22" w14:textId="77777777" w:rsidR="00CC4E3D" w:rsidRDefault="00CC4E3D" w:rsidP="00CC4E3D">
      <w:r>
        <w:t>Young people were less likely to report earnings early in their TtW participation period compared to the matched sample of jobactive participants. However, similar proportions of participants reported earnings by the sixth month of service, with the rate of increase slightly faster for TtW.</w:t>
      </w:r>
    </w:p>
    <w:p w14:paraId="7E4766EA" w14:textId="77777777" w:rsidR="00CC4E3D" w:rsidRPr="000678AA" w:rsidRDefault="00CC4E3D" w:rsidP="00CC4E3D">
      <w:r>
        <w:t>The l</w:t>
      </w:r>
      <w:r w:rsidRPr="000678AA">
        <w:t>abour market attachment</w:t>
      </w:r>
      <w:r>
        <w:t xml:space="preserve"> rate,</w:t>
      </w:r>
      <w:r w:rsidRPr="000678AA">
        <w:t xml:space="preserve"> which </w:t>
      </w:r>
      <w:r>
        <w:t>measures</w:t>
      </w:r>
      <w:r w:rsidRPr="000678AA">
        <w:t xml:space="preserve"> </w:t>
      </w:r>
      <w:r>
        <w:t xml:space="preserve">engagement in some paid employment, was higher over </w:t>
      </w:r>
      <w:r w:rsidRPr="000A38F1">
        <w:t>the study period</w:t>
      </w:r>
      <w:r w:rsidRPr="000678AA">
        <w:t xml:space="preserve"> </w:t>
      </w:r>
      <w:r>
        <w:t>for</w:t>
      </w:r>
      <w:r w:rsidRPr="000678AA">
        <w:t xml:space="preserve"> TtW participants </w:t>
      </w:r>
      <w:r>
        <w:t>(</w:t>
      </w:r>
      <w:r w:rsidRPr="000678AA">
        <w:t>3</w:t>
      </w:r>
      <w:r>
        <w:t>3 </w:t>
      </w:r>
      <w:r w:rsidRPr="000678AA">
        <w:t>per cent</w:t>
      </w:r>
      <w:r>
        <w:t>) than for the jobactive comparison group participants</w:t>
      </w:r>
      <w:r w:rsidRPr="000678AA">
        <w:t xml:space="preserve"> </w:t>
      </w:r>
      <w:r>
        <w:t>(</w:t>
      </w:r>
      <w:r w:rsidRPr="000678AA">
        <w:t>2</w:t>
      </w:r>
      <w:r>
        <w:t>8 </w:t>
      </w:r>
      <w:r w:rsidRPr="000678AA">
        <w:t>per cent</w:t>
      </w:r>
      <w:r>
        <w:t>)</w:t>
      </w:r>
      <w:r w:rsidRPr="000678AA">
        <w:t>.</w:t>
      </w:r>
      <w:r>
        <w:t xml:space="preserve"> Employment indicators used for this measure included earnings reported to DHS, reduction in income support payment, participation in casual or part-time employment, and confirmed job placements.</w:t>
      </w:r>
    </w:p>
    <w:p w14:paraId="144413AD" w14:textId="77777777" w:rsidR="00CC4E3D" w:rsidRPr="000678AA" w:rsidRDefault="00CC4E3D" w:rsidP="00CC4E3D">
      <w:r w:rsidRPr="000678AA">
        <w:t>The positive outcome measure</w:t>
      </w:r>
      <w:r>
        <w:t xml:space="preserve"> for this report which includes study</w:t>
      </w:r>
      <w:r w:rsidRPr="000678AA">
        <w:t xml:space="preserve"> in education courses qualifying for an </w:t>
      </w:r>
      <w:r>
        <w:t xml:space="preserve">TtW </w:t>
      </w:r>
      <w:r w:rsidRPr="000678AA">
        <w:t>outcome payment</w:t>
      </w:r>
      <w:r>
        <w:rPr>
          <w:rStyle w:val="FootnoteReference"/>
        </w:rPr>
        <w:footnoteReference w:id="1"/>
      </w:r>
      <w:r>
        <w:t>,</w:t>
      </w:r>
      <w:r w:rsidRPr="000678AA">
        <w:t xml:space="preserve"> as well as the employment indicators</w:t>
      </w:r>
      <w:r>
        <w:t>,</w:t>
      </w:r>
      <w:r w:rsidRPr="000678AA">
        <w:t xml:space="preserve"> was higher for TtW participants (4</w:t>
      </w:r>
      <w:r>
        <w:t>2 </w:t>
      </w:r>
      <w:r w:rsidRPr="000678AA">
        <w:t>per cent</w:t>
      </w:r>
      <w:r>
        <w:t>)</w:t>
      </w:r>
      <w:r w:rsidRPr="000678AA">
        <w:t xml:space="preserve"> </w:t>
      </w:r>
      <w:r>
        <w:t>than for the jobactive</w:t>
      </w:r>
      <w:r w:rsidRPr="000678AA">
        <w:t xml:space="preserve"> </w:t>
      </w:r>
      <w:r>
        <w:t>comparison group participants (</w:t>
      </w:r>
      <w:r w:rsidRPr="000678AA">
        <w:t>3</w:t>
      </w:r>
      <w:r>
        <w:t>3 </w:t>
      </w:r>
      <w:r w:rsidRPr="000678AA">
        <w:t xml:space="preserve">per cent). </w:t>
      </w:r>
      <w:r>
        <w:t>This result is consistent with a higher proportion of TtW participants placed in these education courses compared with the matched cohort of young people in jobactive.</w:t>
      </w:r>
    </w:p>
    <w:p w14:paraId="12B38049" w14:textId="77777777" w:rsidR="00CC4E3D" w:rsidRPr="001F4939" w:rsidRDefault="00CC4E3D" w:rsidP="001F4939">
      <w:pPr>
        <w:pStyle w:val="Heading2"/>
      </w:pPr>
      <w:bookmarkStart w:id="25" w:name="_Toc509402560"/>
      <w:bookmarkStart w:id="26" w:name="_Toc535498846"/>
      <w:bookmarkStart w:id="27" w:name="_Toc23841326"/>
      <w:r w:rsidRPr="001F4939">
        <w:t>Conclusion</w:t>
      </w:r>
      <w:bookmarkEnd w:id="25"/>
      <w:bookmarkEnd w:id="26"/>
      <w:bookmarkEnd w:id="27"/>
    </w:p>
    <w:p w14:paraId="0B4D18FC" w14:textId="77777777" w:rsidR="00CC4E3D" w:rsidRDefault="00CC4E3D" w:rsidP="00CC4E3D">
      <w:pPr>
        <w:rPr>
          <w:rFonts w:cstheme="minorHAnsi"/>
        </w:rPr>
      </w:pPr>
      <w:r w:rsidRPr="00F56087">
        <w:t xml:space="preserve">Overall, </w:t>
      </w:r>
      <w:r>
        <w:t>TtW</w:t>
      </w:r>
      <w:r w:rsidRPr="00F56087">
        <w:t xml:space="preserve"> </w:t>
      </w:r>
      <w:r>
        <w:t xml:space="preserve">is an </w:t>
      </w:r>
      <w:r w:rsidRPr="00F56087">
        <w:t xml:space="preserve">appropriate </w:t>
      </w:r>
      <w:r>
        <w:t xml:space="preserve">and well-received service </w:t>
      </w:r>
      <w:r w:rsidRPr="00F56087">
        <w:t>for young people</w:t>
      </w:r>
      <w:r>
        <w:t>. It</w:t>
      </w:r>
      <w:r w:rsidRPr="00F56087">
        <w:t xml:space="preserve"> deliver</w:t>
      </w:r>
      <w:r>
        <w:t>s</w:t>
      </w:r>
      <w:r w:rsidRPr="00F56087">
        <w:t xml:space="preserve"> high-quality services to </w:t>
      </w:r>
      <w:r>
        <w:t>the identified target groups</w:t>
      </w:r>
      <w:r w:rsidRPr="00F56087">
        <w:t xml:space="preserve"> in a flexible </w:t>
      </w:r>
      <w:r>
        <w:t>and effective manner</w:t>
      </w:r>
      <w:r w:rsidRPr="00F56087">
        <w:t xml:space="preserve">. </w:t>
      </w:r>
      <w:r>
        <w:t xml:space="preserve">Despite some initial issues with </w:t>
      </w:r>
      <w:r w:rsidRPr="00365FB6">
        <w:rPr>
          <w:rFonts w:cstheme="minorHAnsi"/>
        </w:rPr>
        <w:t>the implementation of TtW</w:t>
      </w:r>
      <w:r>
        <w:rPr>
          <w:rFonts w:cstheme="minorHAnsi"/>
        </w:rPr>
        <w:t xml:space="preserve">, </w:t>
      </w:r>
      <w:r w:rsidRPr="004D13C2">
        <w:rPr>
          <w:rFonts w:cstheme="minorHAnsi"/>
        </w:rPr>
        <w:t>the</w:t>
      </w:r>
      <w:r>
        <w:rPr>
          <w:rFonts w:cstheme="minorHAnsi"/>
        </w:rPr>
        <w:t xml:space="preserve"> service’s</w:t>
      </w:r>
      <w:r w:rsidRPr="004D13C2">
        <w:rPr>
          <w:rFonts w:cstheme="minorHAnsi"/>
        </w:rPr>
        <w:t xml:space="preserve"> operational processes</w:t>
      </w:r>
      <w:r>
        <w:rPr>
          <w:rFonts w:cstheme="minorHAnsi"/>
        </w:rPr>
        <w:t xml:space="preserve"> appear sound. </w:t>
      </w:r>
      <w:r w:rsidRPr="00F56087">
        <w:t xml:space="preserve">The </w:t>
      </w:r>
      <w:r>
        <w:t>strong</w:t>
      </w:r>
      <w:r w:rsidRPr="00F56087">
        <w:t xml:space="preserve"> evidence-</w:t>
      </w:r>
      <w:r>
        <w:t xml:space="preserve">based design </w:t>
      </w:r>
      <w:r>
        <w:rPr>
          <w:rFonts w:cstheme="minorHAnsi"/>
        </w:rPr>
        <w:t>underpinning</w:t>
      </w:r>
      <w:r>
        <w:t xml:space="preserve"> TtW, together with funding arrangements that support intensive servicing presumably contributed to the </w:t>
      </w:r>
      <w:r w:rsidRPr="00F56087">
        <w:t>positive outcomes</w:t>
      </w:r>
      <w:r>
        <w:t xml:space="preserve"> achieved over the six month follow up period from commencement in services.</w:t>
      </w:r>
    </w:p>
    <w:p w14:paraId="27C43252" w14:textId="77777777" w:rsidR="00CC4E3D" w:rsidRDefault="00CC4E3D" w:rsidP="00415050">
      <w:pPr>
        <w:keepNext/>
      </w:pPr>
      <w:r>
        <w:lastRenderedPageBreak/>
        <w:t>Providers and participants suggested a number of changes to expand the eligibility for and participation in the TtW service. These included:</w:t>
      </w:r>
    </w:p>
    <w:p w14:paraId="2CCB452A" w14:textId="77777777" w:rsidR="00CC4E3D" w:rsidRPr="004B55A3" w:rsidRDefault="00CC4E3D" w:rsidP="00E803E7">
      <w:pPr>
        <w:pStyle w:val="ListBullet"/>
      </w:pPr>
      <w:r w:rsidRPr="004B55A3">
        <w:t>extending the service delivery time beyond 1</w:t>
      </w:r>
      <w:r>
        <w:t>2 </w:t>
      </w:r>
      <w:r w:rsidRPr="004B55A3">
        <w:t>months</w:t>
      </w:r>
    </w:p>
    <w:p w14:paraId="0D2919C7" w14:textId="77777777" w:rsidR="00CC4E3D" w:rsidRPr="004B55A3" w:rsidRDefault="00CC4E3D" w:rsidP="00E803E7">
      <w:pPr>
        <w:pStyle w:val="ListBullet"/>
      </w:pPr>
      <w:r w:rsidRPr="004B55A3">
        <w:t>extending the upper age limit from 2</w:t>
      </w:r>
      <w:r>
        <w:t>1 </w:t>
      </w:r>
      <w:r w:rsidRPr="004B55A3">
        <w:t>to 2</w:t>
      </w:r>
      <w:r>
        <w:t>5 </w:t>
      </w:r>
      <w:r w:rsidRPr="004B55A3">
        <w:t xml:space="preserve">years </w:t>
      </w:r>
    </w:p>
    <w:p w14:paraId="7CCE9FA3" w14:textId="77777777" w:rsidR="00CC4E3D" w:rsidRPr="004B55A3" w:rsidRDefault="00CC4E3D" w:rsidP="00E803E7">
      <w:pPr>
        <w:pStyle w:val="ListBullet"/>
      </w:pPr>
      <w:r w:rsidRPr="004B55A3">
        <w:t>increasing compliance requirements for participants during the early weeks of engagement</w:t>
      </w:r>
    </w:p>
    <w:p w14:paraId="1DCF20D6" w14:textId="77777777" w:rsidR="00CC4E3D" w:rsidRPr="004B55A3" w:rsidRDefault="00CC4E3D" w:rsidP="00E803E7">
      <w:pPr>
        <w:pStyle w:val="ListBullet"/>
      </w:pPr>
      <w:r w:rsidRPr="004B55A3">
        <w:t>reducing the waiting times for disengaged youth (</w:t>
      </w:r>
      <w:r>
        <w:t>Group </w:t>
      </w:r>
      <w:r w:rsidRPr="004B55A3">
        <w:t>Two)</w:t>
      </w:r>
    </w:p>
    <w:p w14:paraId="2E2B6585" w14:textId="77777777" w:rsidR="00CC4E3D" w:rsidRPr="004B55A3" w:rsidRDefault="00CC4E3D" w:rsidP="00E803E7">
      <w:pPr>
        <w:pStyle w:val="ListBullet"/>
      </w:pPr>
      <w:r>
        <w:t xml:space="preserve">increasing </w:t>
      </w:r>
      <w:r w:rsidRPr="004B55A3">
        <w:t>incentives to encourage more Stream C referrals from jobactive (</w:t>
      </w:r>
      <w:r>
        <w:t>Group </w:t>
      </w:r>
      <w:r w:rsidRPr="004B55A3">
        <w:t>Three).</w:t>
      </w:r>
    </w:p>
    <w:p w14:paraId="51E2667F" w14:textId="43D8137A" w:rsidR="00CC4E3D" w:rsidRPr="00B65E02" w:rsidRDefault="00CC4E3D" w:rsidP="00CC4E3D">
      <w:r>
        <w:t>Providers also recommended that</w:t>
      </w:r>
      <w:r w:rsidRPr="00B65E02">
        <w:t xml:space="preserve"> the </w:t>
      </w:r>
      <w:r w:rsidR="00082F50">
        <w:t>d</w:t>
      </w:r>
      <w:r w:rsidRPr="00B65E02">
        <w:t xml:space="preserve">epartment </w:t>
      </w:r>
      <w:r>
        <w:t>could improve the delivery of TtW by:</w:t>
      </w:r>
    </w:p>
    <w:p w14:paraId="75830567" w14:textId="49EF0D66" w:rsidR="00CC4E3D" w:rsidRPr="00E55C96" w:rsidRDefault="00CC4E3D" w:rsidP="00E803E7">
      <w:pPr>
        <w:pStyle w:val="ListBullet"/>
      </w:pPr>
      <w:r>
        <w:t>offering providers more</w:t>
      </w:r>
      <w:r w:rsidRPr="00E55C96">
        <w:t xml:space="preserve"> training</w:t>
      </w:r>
      <w:r>
        <w:t xml:space="preserve"> on the use of the </w:t>
      </w:r>
      <w:r w:rsidR="00082F50">
        <w:t>d</w:t>
      </w:r>
      <w:r>
        <w:t>epartment’s IT system</w:t>
      </w:r>
    </w:p>
    <w:p w14:paraId="3E733681" w14:textId="77777777" w:rsidR="00CC4E3D" w:rsidRPr="00E55C96" w:rsidRDefault="00CC4E3D" w:rsidP="00E803E7">
      <w:pPr>
        <w:pStyle w:val="ListBullet"/>
      </w:pPr>
      <w:r>
        <w:t>p</w:t>
      </w:r>
      <w:r w:rsidRPr="00E55C96">
        <w:t>roviding more regular feedback to providers</w:t>
      </w:r>
      <w:r>
        <w:t xml:space="preserve"> on their performance</w:t>
      </w:r>
    </w:p>
    <w:p w14:paraId="64FED6E4" w14:textId="222BEE22" w:rsidR="00CC4E3D" w:rsidRDefault="00CC4E3D" w:rsidP="00E803E7">
      <w:pPr>
        <w:pStyle w:val="ListBullet"/>
      </w:pPr>
      <w:r>
        <w:t>e</w:t>
      </w:r>
      <w:r w:rsidRPr="00E55C96">
        <w:t xml:space="preserve">ncouraging greater interaction </w:t>
      </w:r>
      <w:r>
        <w:t xml:space="preserve">between the </w:t>
      </w:r>
      <w:r w:rsidR="00082F50">
        <w:t>d</w:t>
      </w:r>
      <w:r>
        <w:t>epartment, providers and DHS</w:t>
      </w:r>
      <w:r w:rsidRPr="00E55C96">
        <w:t>.</w:t>
      </w:r>
    </w:p>
    <w:p w14:paraId="1F86D57A" w14:textId="77777777" w:rsidR="00CC4E3D" w:rsidRDefault="00CC4E3D" w:rsidP="00CC4E3D">
      <w:r>
        <w:t>The next stage of the evaluation will provide an assessment of the overall performance of the TtW service, addressing questions of service quality, effectiveness, efficiency and good practice. With more data available for analysis covering the full 12 months of services offered to eligible young people, the final (stage two) report will offer more robust assessments of outcomes, including improvement of participant work-readiness, cost and time effectiveness, and service quality. The final report will also assess the impact of specific service elements on employment and education outcomes.</w:t>
      </w:r>
    </w:p>
    <w:p w14:paraId="12B86B56" w14:textId="77777777" w:rsidR="00CC4E3D" w:rsidRPr="00CF510D" w:rsidRDefault="00CC4E3D" w:rsidP="00CF510D">
      <w:r>
        <w:br w:type="page"/>
      </w:r>
    </w:p>
    <w:p w14:paraId="47FA76B1" w14:textId="77777777" w:rsidR="00CC4E3D" w:rsidRDefault="00CC4E3D" w:rsidP="001C25D9">
      <w:pPr>
        <w:pStyle w:val="Heading1"/>
        <w:keepNext w:val="0"/>
        <w:pageBreakBefore/>
        <w:numPr>
          <w:ilvl w:val="0"/>
          <w:numId w:val="4"/>
        </w:numPr>
        <w:spacing w:before="0" w:after="240"/>
        <w:contextualSpacing/>
      </w:pPr>
      <w:bookmarkStart w:id="28" w:name="_Toc535498847"/>
      <w:bookmarkStart w:id="29" w:name="_Toc23841327"/>
      <w:r>
        <w:lastRenderedPageBreak/>
        <w:t>Introduction</w:t>
      </w:r>
      <w:bookmarkEnd w:id="28"/>
      <w:bookmarkEnd w:id="29"/>
    </w:p>
    <w:p w14:paraId="6EA843D5" w14:textId="77777777" w:rsidR="00CC4E3D" w:rsidRDefault="00CC4E3D" w:rsidP="00CC4E3D">
      <w:r>
        <w:t>In most developed countries the transition period from education to employment starts when young people become eligible for employment (generally at 15 years) and ends when they have finished education (usually around 24 years).</w:t>
      </w:r>
      <w:r>
        <w:rPr>
          <w:rStyle w:val="EndnoteReference"/>
        </w:rPr>
        <w:endnoteReference w:id="1"/>
      </w:r>
      <w:r>
        <w:t xml:space="preserve"> During this transition, young people experience rapid biological, psychological and physical changes, as well as changes in social and economic circumstances as they begin to take on the responsibilities of adulthood.</w:t>
      </w:r>
      <w:r>
        <w:rPr>
          <w:rStyle w:val="EndnoteReference"/>
        </w:rPr>
        <w:endnoteReference w:id="2"/>
      </w:r>
      <w:r>
        <w:t xml:space="preserve"> </w:t>
      </w:r>
    </w:p>
    <w:p w14:paraId="483F32EC" w14:textId="77777777" w:rsidR="00CC4E3D" w:rsidRDefault="00CC4E3D" w:rsidP="00CC4E3D">
      <w:r>
        <w:t>Young people who do not make this transition successfully are more likely to face longer periods of unemployment or underemployment. They are also more likely to end up with low-paying and low-skilled jobs, with limited prospects for progression to more highly skilled work.</w:t>
      </w:r>
      <w:r>
        <w:rPr>
          <w:rStyle w:val="EndnoteReference"/>
        </w:rPr>
        <w:endnoteReference w:id="3"/>
      </w:r>
      <w:r>
        <w:t xml:space="preserve"> </w:t>
      </w:r>
    </w:p>
    <w:p w14:paraId="3B915AFB" w14:textId="77777777" w:rsidR="00CC4E3D" w:rsidRDefault="00CC4E3D" w:rsidP="00CC4E3D">
      <w:r>
        <w:t>Creating secure pathways from education to work requires strong partnerships between young people and their parents, schools, universities, training providers, employers and communities. These partnerships can help young people find their first job, or at least work experience that future employers will recognise and value.</w:t>
      </w:r>
    </w:p>
    <w:p w14:paraId="525C2174" w14:textId="77777777" w:rsidR="00CC4E3D" w:rsidRDefault="00CC4E3D" w:rsidP="00CC4E3D">
      <w:r>
        <w:t xml:space="preserve">Before the onset of the global financial crisis in 2008, Australian young people faced a low risk of unemployment, thanks to a buoyant labour market with strong job creation from 2000. The </w:t>
      </w:r>
      <w:r w:rsidRPr="000A38F1">
        <w:t>Organisation for Economic Co-operation and Development (OECD)</w:t>
      </w:r>
      <w:r>
        <w:rPr>
          <w:rStyle w:val="EndnoteReference"/>
        </w:rPr>
        <w:endnoteReference w:id="4"/>
      </w:r>
      <w:r>
        <w:t xml:space="preserve"> found that more than 69.8 per cent of young people in Australia had a job in 2008, the highest level since 1978.</w:t>
      </w:r>
    </w:p>
    <w:p w14:paraId="337C49EA" w14:textId="77777777" w:rsidR="00CC4E3D" w:rsidRPr="00111321" w:rsidRDefault="00CC4E3D" w:rsidP="00CC4E3D">
      <w:r>
        <w:t>The high youth employment rate and relatively small pool of long-term unemployed reflected the high proportion of young people in Australia combining part-time work with study. This provided a protective barrier for</w:t>
      </w:r>
      <w:r w:rsidRPr="00111321">
        <w:t xml:space="preserve"> Australia</w:t>
      </w:r>
      <w:r>
        <w:t>n youth</w:t>
      </w:r>
      <w:r w:rsidRPr="00111321">
        <w:t xml:space="preserve"> </w:t>
      </w:r>
      <w:r>
        <w:t>from</w:t>
      </w:r>
      <w:r w:rsidRPr="00111321">
        <w:t xml:space="preserve"> the high unemployment rates disproportionately felt by young people across Europe and other OECD countries as labour market conditions worsened</w:t>
      </w:r>
      <w:r>
        <w:t xml:space="preserve"> in the lead-up to the global financial crisis</w:t>
      </w:r>
      <w:r w:rsidRPr="00111321">
        <w:t>.</w:t>
      </w:r>
    </w:p>
    <w:p w14:paraId="422C69A1" w14:textId="77777777" w:rsidR="00CC4E3D" w:rsidRDefault="00CC4E3D" w:rsidP="00CC4E3D">
      <w:r w:rsidRPr="00111321">
        <w:t xml:space="preserve">While Australia also faced a period of rising youth unemployment following the onset of the global financial crisis, with many young people finding it difficult to break into employment, the impact was smaller than in other countries. In September 2008, Australia’s youth unemployment rate was less than </w:t>
      </w:r>
      <w:r>
        <w:t>9 </w:t>
      </w:r>
      <w:r w:rsidRPr="00111321">
        <w:t>per cent. In the September quarter of 201</w:t>
      </w:r>
      <w:r>
        <w:t>0 </w:t>
      </w:r>
      <w:r w:rsidRPr="00111321">
        <w:t>it was 1</w:t>
      </w:r>
      <w:r>
        <w:t>1 </w:t>
      </w:r>
      <w:r w:rsidRPr="00111321">
        <w:t>per cent</w:t>
      </w:r>
      <w:r>
        <w:t>,</w:t>
      </w:r>
      <w:r w:rsidRPr="00111321">
        <w:t xml:space="preserve"> compared with 21.</w:t>
      </w:r>
      <w:r>
        <w:t>1 </w:t>
      </w:r>
      <w:r w:rsidRPr="00111321">
        <w:t>per cent for Europe and 18.</w:t>
      </w:r>
      <w:r>
        <w:t>5 </w:t>
      </w:r>
      <w:r w:rsidRPr="00111321">
        <w:t>per cent for the OECD. It rose to a high of 15.</w:t>
      </w:r>
      <w:r>
        <w:t>5 </w:t>
      </w:r>
      <w:r w:rsidRPr="00111321">
        <w:t>per cent in January 2015, still well below the youth unemployment rates experienced in Europe and the OECD. In June 201</w:t>
      </w:r>
      <w:r>
        <w:t>7 </w:t>
      </w:r>
      <w:r w:rsidRPr="00111321">
        <w:t>the youth unemployment rate in Australia remained high (12.</w:t>
      </w:r>
      <w:r>
        <w:t>4 </w:t>
      </w:r>
      <w:r w:rsidRPr="00111321">
        <w:t>per cent)</w:t>
      </w:r>
      <w:r>
        <w:t xml:space="preserve"> compared with the 2008 and 2010 rates in Australia.</w:t>
      </w:r>
      <w:r>
        <w:rPr>
          <w:rStyle w:val="EndnoteReference"/>
        </w:rPr>
        <w:endnoteReference w:id="5"/>
      </w:r>
    </w:p>
    <w:p w14:paraId="3CDD143D" w14:textId="77777777" w:rsidR="00CC4E3D" w:rsidRPr="001F4939" w:rsidRDefault="00CC4E3D" w:rsidP="001F4939">
      <w:pPr>
        <w:pStyle w:val="Heading2"/>
        <w:numPr>
          <w:ilvl w:val="1"/>
          <w:numId w:val="4"/>
        </w:numPr>
      </w:pPr>
      <w:bookmarkStart w:id="30" w:name="_Toc535498848"/>
      <w:bookmarkStart w:id="31" w:name="_Toc23841328"/>
      <w:r w:rsidRPr="001F4939">
        <w:t>The study to work transition — government responses internationally</w:t>
      </w:r>
      <w:bookmarkEnd w:id="30"/>
      <w:bookmarkEnd w:id="31"/>
    </w:p>
    <w:p w14:paraId="085E3E55" w14:textId="77777777" w:rsidR="00CC4E3D" w:rsidRDefault="00CC4E3D" w:rsidP="00CC4E3D">
      <w:r>
        <w:t>Comparison of government policies around the world reveals that interventions to help young people transition from school to employment generally fall into two categories. The first involves ‘demand side’ responses to increase the number of available jobs through stimulating economic growth and ensuring that regulation fosters youth participation in the labour market. The second is ‘supply side’ responses to ensure that young people have the skills and capabilities to fill these jobs.</w:t>
      </w:r>
    </w:p>
    <w:p w14:paraId="2289F203" w14:textId="77777777" w:rsidR="00CC4E3D" w:rsidRDefault="00CC4E3D" w:rsidP="00CC4E3D">
      <w:r>
        <w:lastRenderedPageBreak/>
        <w:t>Local labour market conditions and job vacancies are critical factors contributing to the youth employment rate. Consequently, policies that aim to stimulate job growth are one response to the issue of youth unemployment.</w:t>
      </w:r>
      <w:r>
        <w:rPr>
          <w:rStyle w:val="EndnoteReference"/>
        </w:rPr>
        <w:endnoteReference w:id="6"/>
      </w:r>
      <w:r>
        <w:t xml:space="preserve"> While it is important to note that labour market conditions may inform policy responses, analysis of how governments can best stimulate economic growth and whether this will lead to job creation is outside the scope of this report. The following sections review a small range of ‘supply side’ interventions in Australia and other countries.</w:t>
      </w:r>
    </w:p>
    <w:p w14:paraId="21161A3C" w14:textId="77777777" w:rsidR="00CC4E3D" w:rsidRPr="00FD4CA8" w:rsidRDefault="00CC4E3D" w:rsidP="001C25D9">
      <w:pPr>
        <w:pStyle w:val="Heading3"/>
        <w:numPr>
          <w:ilvl w:val="2"/>
          <w:numId w:val="4"/>
        </w:numPr>
        <w:spacing w:before="200"/>
        <w:rPr>
          <w:szCs w:val="24"/>
        </w:rPr>
      </w:pPr>
      <w:bookmarkStart w:id="32" w:name="_Toc535498849"/>
      <w:bookmarkStart w:id="33" w:name="_Toc23841329"/>
      <w:r w:rsidRPr="00FD4CA8">
        <w:rPr>
          <w:szCs w:val="24"/>
        </w:rPr>
        <w:t>Types of youth employment programs around the world</w:t>
      </w:r>
      <w:bookmarkEnd w:id="32"/>
      <w:bookmarkEnd w:id="33"/>
    </w:p>
    <w:p w14:paraId="67F92BAA" w14:textId="77777777" w:rsidR="00CC4E3D" w:rsidRPr="00FD4CA8" w:rsidRDefault="00CC4E3D">
      <w:pPr>
        <w:pStyle w:val="Heading4"/>
      </w:pPr>
      <w:r w:rsidRPr="00FD4CA8">
        <w:t xml:space="preserve">Ensuring that </w:t>
      </w:r>
      <w:r w:rsidRPr="00282056">
        <w:t>young people a</w:t>
      </w:r>
      <w:r w:rsidRPr="00FD4CA8">
        <w:t>re work ready</w:t>
      </w:r>
    </w:p>
    <w:p w14:paraId="5D0CF79E" w14:textId="77777777" w:rsidR="00CC4E3D" w:rsidRDefault="00CC4E3D" w:rsidP="00CC4E3D">
      <w:r>
        <w:t xml:space="preserve">Enabling young people to graduate from the education system with </w:t>
      </w:r>
      <w:r w:rsidRPr="0065530C">
        <w:t>job</w:t>
      </w:r>
      <w:r>
        <w:t>-</w:t>
      </w:r>
      <w:r w:rsidRPr="0065530C">
        <w:t>relevant</w:t>
      </w:r>
      <w:r>
        <w:t xml:space="preserve"> skills</w:t>
      </w:r>
      <w:r>
        <w:rPr>
          <w:rStyle w:val="EndnoteReference"/>
        </w:rPr>
        <w:endnoteReference w:id="7"/>
      </w:r>
      <w:r>
        <w:t xml:space="preserve"> is a persistent challenge worldwide. In a study involving nine countries (Brazil, Germany, India, Mexico, Morocco, Saudi Arabia, Turkey, the UK and the USA), Mourshed and colleagues (2013) found that 43 per cent of employers surveyed could not find enough skilled entry-level workers.</w:t>
      </w:r>
      <w:r>
        <w:rPr>
          <w:rStyle w:val="EndnoteReference"/>
        </w:rPr>
        <w:endnoteReference w:id="8"/>
      </w:r>
      <w:r>
        <w:t xml:space="preserve"> The study concluded that the journey from education to employment is complicated, with many different routes, resulting in too many young people getting lost along the way.</w:t>
      </w:r>
    </w:p>
    <w:p w14:paraId="55844097" w14:textId="77777777" w:rsidR="00CC4E3D" w:rsidRDefault="00CC4E3D" w:rsidP="00CC4E3D">
      <w:r>
        <w:t>A review by Eurofound (2012) of 25 policies tackling youth unemployment across nine European countries (including the UK) identified five categories of policy interventions a young person may engage with on the road to employment (</w:t>
      </w:r>
      <w:r>
        <w:rPr>
          <w:b/>
        </w:rPr>
        <w:t>Figure </w:t>
      </w:r>
      <w:r w:rsidRPr="003458E5">
        <w:rPr>
          <w:b/>
        </w:rPr>
        <w:t>1.1</w:t>
      </w:r>
      <w:r>
        <w:t>). The review found that preventing participants from ‘dropping out’ of education and training was generally more cost-effective than re-engaging them.</w:t>
      </w:r>
      <w:r>
        <w:rPr>
          <w:rStyle w:val="EndnoteReference"/>
        </w:rPr>
        <w:endnoteReference w:id="9"/>
      </w:r>
      <w:r>
        <w:t xml:space="preserve"> </w:t>
      </w:r>
      <w:r>
        <w:rPr>
          <w:rStyle w:val="EndnoteReference"/>
        </w:rPr>
        <w:endnoteReference w:id="10"/>
      </w:r>
      <w:r>
        <w:t xml:space="preserve"> Measures that successfully help young people who had completed their education to transition to employment were generally found not to work for young people who have dropped out of education and are experiencing complex problems.</w:t>
      </w:r>
      <w:r>
        <w:rPr>
          <w:rStyle w:val="EndnoteReference"/>
        </w:rPr>
        <w:endnoteReference w:id="11"/>
      </w:r>
    </w:p>
    <w:p w14:paraId="4DAEB2AD" w14:textId="77777777" w:rsidR="00CC4E3D" w:rsidRDefault="00CC4E3D" w:rsidP="00CC4E3D">
      <w:pPr>
        <w:rPr>
          <w:rFonts w:ascii="Calibri" w:eastAsiaTheme="majorEastAsia" w:hAnsi="Calibri" w:cstheme="majorBidi"/>
          <w:b/>
          <w:bCs/>
          <w:iCs/>
        </w:rPr>
      </w:pPr>
      <w:bookmarkStart w:id="34" w:name="_Toc514172348"/>
      <w:r>
        <w:br w:type="page"/>
      </w:r>
    </w:p>
    <w:p w14:paraId="42097E2D" w14:textId="32DDCF45" w:rsidR="00CC4E3D" w:rsidRPr="00FD4CA8" w:rsidRDefault="00CC4E3D" w:rsidP="00FD4CA8">
      <w:pPr>
        <w:pStyle w:val="Caption"/>
      </w:pPr>
      <w:bookmarkStart w:id="35" w:name="_Toc535511447"/>
      <w:bookmarkStart w:id="36" w:name="_Toc535511507"/>
      <w:bookmarkStart w:id="37" w:name="_Toc535512734"/>
      <w:bookmarkStart w:id="38" w:name="_Toc535513370"/>
      <w:bookmarkStart w:id="39" w:name="_Toc23841452"/>
      <w:r>
        <w:lastRenderedPageBreak/>
        <w:t xml:space="preserve">Figure </w:t>
      </w:r>
      <w:r>
        <w:rPr>
          <w:noProof/>
        </w:rPr>
        <w:fldChar w:fldCharType="begin"/>
      </w:r>
      <w:r>
        <w:rPr>
          <w:noProof/>
        </w:rPr>
        <w:instrText xml:space="preserve"> STYLEREF 1 \s </w:instrText>
      </w:r>
      <w:r>
        <w:rPr>
          <w:noProof/>
        </w:rPr>
        <w:fldChar w:fldCharType="separate"/>
      </w:r>
      <w:r w:rsidR="00D84A2A">
        <w:rPr>
          <w:noProof/>
        </w:rPr>
        <w:t>1</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1</w:t>
      </w:r>
      <w:r>
        <w:rPr>
          <w:noProof/>
        </w:rPr>
        <w:fldChar w:fldCharType="end"/>
      </w:r>
      <w:r>
        <w:tab/>
      </w:r>
      <w:r w:rsidRPr="00FD4CA8">
        <w:t>Pathway to employment showing five points at which policy interventions can either keep young people from disengaging or bring them back on track</w:t>
      </w:r>
      <w:bookmarkEnd w:id="34"/>
      <w:bookmarkEnd w:id="35"/>
      <w:bookmarkEnd w:id="36"/>
      <w:bookmarkEnd w:id="37"/>
      <w:bookmarkEnd w:id="38"/>
      <w:bookmarkEnd w:id="39"/>
    </w:p>
    <w:p w14:paraId="383ABC0F" w14:textId="2A4681FA" w:rsidR="00CC4E3D" w:rsidRPr="000A3E79" w:rsidRDefault="00CC4E3D" w:rsidP="000A3E79">
      <w:pPr>
        <w:keepNext/>
      </w:pPr>
      <w:r w:rsidRPr="00480FAE">
        <w:rPr>
          <w:noProof/>
          <w:color w:val="F2F2F2" w:themeColor="background2"/>
          <w:lang w:eastAsia="en-AU"/>
        </w:rPr>
        <w:drawing>
          <wp:inline distT="0" distB="0" distL="0" distR="0" wp14:anchorId="475E1E81" wp14:editId="48F0FA46">
            <wp:extent cx="5365115" cy="2597150"/>
            <wp:effectExtent l="0" t="0" r="6985" b="0"/>
            <wp:docPr id="458" name="Picture 458" descr="Simple flow chart describing measures to get and keep young people on the path to employment&#10;This figure describes five types of measures, in chronological order from 1 to 5: &#10;1. Intervene before risk factors occur — aiming to prevent early school leaving. &#10;2. Get young people back into education/training — aiming to reintegrate early school leavers. &#10;3. Facilitate the transition to employment — aiming to help with the transition from school to work. &#10;4. Enhance young people's employability. &#10;5. Help groups at specific disadvantage on the labour market — aiming to remove practical/logistical barriers and provide employer incen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65115" cy="2597150"/>
                    </a:xfrm>
                    <a:prstGeom prst="rect">
                      <a:avLst/>
                    </a:prstGeom>
                    <a:noFill/>
                  </pic:spPr>
                </pic:pic>
              </a:graphicData>
            </a:graphic>
          </wp:inline>
        </w:drawing>
      </w:r>
    </w:p>
    <w:p w14:paraId="404D5195" w14:textId="77777777" w:rsidR="00CC4E3D" w:rsidRPr="00A75A0C" w:rsidRDefault="00CC4E3D" w:rsidP="00CC4E3D">
      <w:pPr>
        <w:pStyle w:val="Source"/>
        <w:keepNext/>
        <w:rPr>
          <w:b/>
        </w:rPr>
      </w:pPr>
      <w:r w:rsidRPr="00A75A0C">
        <w:rPr>
          <w:b/>
        </w:rPr>
        <w:t>Source: Eurofound (2012) Effectiveness of Policy Measures to Increase the Employment Participation of Young People, p. 11.</w:t>
      </w:r>
    </w:p>
    <w:p w14:paraId="713F9B91" w14:textId="77777777" w:rsidR="00CC4E3D" w:rsidRDefault="00CC4E3D" w:rsidP="00CC4E3D">
      <w:r>
        <w:t xml:space="preserve">Education systems use three types of interventions to guide young people along the pathway to employment (categories 1 to 3, </w:t>
      </w:r>
      <w:r>
        <w:rPr>
          <w:b/>
        </w:rPr>
        <w:t>Figure </w:t>
      </w:r>
      <w:r w:rsidRPr="0091299A">
        <w:rPr>
          <w:b/>
        </w:rPr>
        <w:t>1.1</w:t>
      </w:r>
      <w:r>
        <w:t>): measures to prevent young people from dropping out of school; measures to reintegrate early school leavers; and efforts to facilitate the transition from school to work.</w:t>
      </w:r>
      <w:r>
        <w:rPr>
          <w:rStyle w:val="EndnoteReference"/>
        </w:rPr>
        <w:endnoteReference w:id="12"/>
      </w:r>
      <w:r>
        <w:t xml:space="preserve"> Vocational training, which combines classroom-based vocational education with workplace-based training and aims to increase employability among young people, fits into the fourth category of measures in </w:t>
      </w:r>
      <w:r>
        <w:rPr>
          <w:b/>
        </w:rPr>
        <w:t>Figure </w:t>
      </w:r>
      <w:r w:rsidRPr="0091299A">
        <w:rPr>
          <w:b/>
        </w:rPr>
        <w:t>1.1</w:t>
      </w:r>
      <w:r>
        <w:t>. Cross-country comparative studies have confirmed that young people in countries with a dual system</w:t>
      </w:r>
      <w:r>
        <w:rPr>
          <w:rStyle w:val="FootnoteReference"/>
        </w:rPr>
        <w:footnoteReference w:id="2"/>
      </w:r>
      <w:r>
        <w:t xml:space="preserve"> of vocational training face lower unemployment risks, smoother </w:t>
      </w:r>
      <w:r w:rsidRPr="0065530C">
        <w:t>school-to-work</w:t>
      </w:r>
      <w:r>
        <w:t xml:space="preserve"> transitions</w:t>
      </w:r>
      <w:r>
        <w:rPr>
          <w:rStyle w:val="EndnoteReference"/>
        </w:rPr>
        <w:endnoteReference w:id="13"/>
      </w:r>
      <w:r>
        <w:t xml:space="preserve"> and greater resilience to economic shocks. This may be a result of high levels of engagement of employers with the education and training system.</w:t>
      </w:r>
      <w:r>
        <w:rPr>
          <w:rStyle w:val="EndnoteReference"/>
        </w:rPr>
        <w:endnoteReference w:id="14"/>
      </w:r>
      <w:r>
        <w:t xml:space="preserve"> </w:t>
      </w:r>
    </w:p>
    <w:p w14:paraId="303FECBB" w14:textId="77777777" w:rsidR="00CC4E3D" w:rsidRDefault="00CC4E3D" w:rsidP="00CC4E3D">
      <w:r>
        <w:t xml:space="preserve">The fourth and fifth categories in </w:t>
      </w:r>
      <w:r>
        <w:rPr>
          <w:b/>
        </w:rPr>
        <w:t>Figure </w:t>
      </w:r>
      <w:r w:rsidRPr="0091299A">
        <w:rPr>
          <w:b/>
        </w:rPr>
        <w:t>1.</w:t>
      </w:r>
      <w:r>
        <w:rPr>
          <w:b/>
        </w:rPr>
        <w:t>1 </w:t>
      </w:r>
      <w:r>
        <w:t xml:space="preserve">include interventions to address gaps in job-specific skills and competencies and address specific barriers for young people from vulnerable backgrounds. Active labour market policies or programs (ALMPs) are examples of these. </w:t>
      </w:r>
    </w:p>
    <w:p w14:paraId="1F69A0DF" w14:textId="77777777" w:rsidR="00CC4E3D" w:rsidRPr="00FD4CA8" w:rsidRDefault="00CC4E3D" w:rsidP="00D9771E">
      <w:pPr>
        <w:pStyle w:val="Heading4"/>
      </w:pPr>
      <w:r w:rsidRPr="00FD4CA8">
        <w:t xml:space="preserve">Active labour market policies or programs </w:t>
      </w:r>
    </w:p>
    <w:p w14:paraId="324D43CF" w14:textId="77777777" w:rsidR="00CC4E3D" w:rsidRDefault="00CC4E3D" w:rsidP="00CC4E3D">
      <w:r>
        <w:t>ALMPs are directed at individuals who are unemployed. They aim to increase the likelihood of employment by building skills, undertaking work experience and improving job search capability.</w:t>
      </w:r>
      <w:r>
        <w:rPr>
          <w:rStyle w:val="EndnoteReference"/>
        </w:rPr>
        <w:endnoteReference w:id="15"/>
      </w:r>
      <w:r>
        <w:t xml:space="preserve"> ALMPs can include training and skills development; promoting entrepreneurship; employment services; and subsidised employment.</w:t>
      </w:r>
      <w:r>
        <w:rPr>
          <w:rStyle w:val="EndnoteReference"/>
        </w:rPr>
        <w:endnoteReference w:id="16"/>
      </w:r>
      <w:r>
        <w:t xml:space="preserve"> </w:t>
      </w:r>
    </w:p>
    <w:p w14:paraId="592F29E6" w14:textId="77777777" w:rsidR="00CC4E3D" w:rsidRDefault="00CC4E3D" w:rsidP="00CC4E3D">
      <w:r>
        <w:lastRenderedPageBreak/>
        <w:t>ALMPs operate on the assumption that jobs are available and that, with the appropriate support, people who are unemployed can take them up. Consequently, the state of the labour market and economy can influence which types of ALMPs are likely to be the most appropriate.</w:t>
      </w:r>
      <w:r>
        <w:rPr>
          <w:rStyle w:val="EndnoteReference"/>
        </w:rPr>
        <w:endnoteReference w:id="17"/>
      </w:r>
      <w:r>
        <w:t xml:space="preserve"> In periods of economic downturn when there are fewer jobs, ALMPs are still useful in helping job seekers to be ‘job ready’ so that when job opportunities arise they can fill those vacancies.</w:t>
      </w:r>
      <w:r>
        <w:rPr>
          <w:rStyle w:val="EndnoteReference"/>
        </w:rPr>
        <w:endnoteReference w:id="18"/>
      </w:r>
      <w:r>
        <w:t xml:space="preserve"> </w:t>
      </w:r>
    </w:p>
    <w:p w14:paraId="01674442" w14:textId="77777777" w:rsidR="00CC4E3D" w:rsidRDefault="00CC4E3D" w:rsidP="00CC4E3D">
      <w:r>
        <w:t>An important consideration in the design of appropriate ALMPs is that young people are not a homogeneous group.</w:t>
      </w:r>
      <w:r>
        <w:rPr>
          <w:rStyle w:val="EndnoteReference"/>
        </w:rPr>
        <w:endnoteReference w:id="19"/>
      </w:r>
      <w:r>
        <w:t xml:space="preserve"> Adaptable programs that focus on specific target groups or have innovative ways of assisting particular individuals have been successful for young people at various levels of labour market readiness.</w:t>
      </w:r>
      <w:r>
        <w:rPr>
          <w:rStyle w:val="EndnoteReference"/>
        </w:rPr>
        <w:endnoteReference w:id="20"/>
      </w:r>
      <w:r>
        <w:t xml:space="preserve"> </w:t>
      </w:r>
      <w:r>
        <w:rPr>
          <w:rStyle w:val="EndnoteReference"/>
        </w:rPr>
        <w:endnoteReference w:id="21"/>
      </w:r>
    </w:p>
    <w:p w14:paraId="71B25A6F" w14:textId="77777777" w:rsidR="00CC4E3D" w:rsidRPr="00FD4CA8" w:rsidRDefault="00CC4E3D" w:rsidP="001C25D9">
      <w:pPr>
        <w:pStyle w:val="Heading3"/>
        <w:numPr>
          <w:ilvl w:val="2"/>
          <w:numId w:val="4"/>
        </w:numPr>
        <w:spacing w:before="200"/>
        <w:rPr>
          <w:szCs w:val="24"/>
        </w:rPr>
      </w:pPr>
      <w:bookmarkStart w:id="40" w:name="_Toc535498850"/>
      <w:bookmarkStart w:id="41" w:name="_Toc23841330"/>
      <w:r w:rsidRPr="00FD4CA8">
        <w:rPr>
          <w:szCs w:val="24"/>
        </w:rPr>
        <w:t>Characteristics of successful youth employment programs</w:t>
      </w:r>
      <w:bookmarkEnd w:id="40"/>
      <w:bookmarkEnd w:id="41"/>
      <w:r w:rsidRPr="00FD4CA8">
        <w:rPr>
          <w:szCs w:val="24"/>
        </w:rPr>
        <w:t xml:space="preserve"> </w:t>
      </w:r>
    </w:p>
    <w:p w14:paraId="624458F2" w14:textId="77777777" w:rsidR="00CC4E3D" w:rsidRDefault="00CC4E3D" w:rsidP="00CC4E3D">
      <w:r>
        <w:t>There is evidence that particular program characteristics are likely to produce specific successful outcomes. Evaluations of other employment programs have highlighted the importance of integrating youth employment initiatives with education policies that include both measures to prevent early school leaving and measures to re-integrate those who do leave school early back into education or training.</w:t>
      </w:r>
      <w:r>
        <w:rPr>
          <w:rStyle w:val="EndnoteReference"/>
        </w:rPr>
        <w:endnoteReference w:id="22"/>
      </w:r>
      <w:r>
        <w:t xml:space="preserve"> </w:t>
      </w:r>
      <w:r>
        <w:rPr>
          <w:rStyle w:val="EndnoteReference"/>
        </w:rPr>
        <w:endnoteReference w:id="23"/>
      </w:r>
      <w:r>
        <w:t xml:space="preserve"> Others have identified appropriate targeting of subgroups as important.</w:t>
      </w:r>
      <w:r>
        <w:rPr>
          <w:rStyle w:val="EndnoteReference"/>
        </w:rPr>
        <w:endnoteReference w:id="24"/>
      </w:r>
      <w:r>
        <w:t> </w:t>
      </w:r>
      <w:r>
        <w:rPr>
          <w:rStyle w:val="EndnoteReference"/>
        </w:rPr>
        <w:endnoteReference w:id="25"/>
      </w:r>
      <w:r>
        <w:t xml:space="preserve"> </w:t>
      </w:r>
    </w:p>
    <w:p w14:paraId="7315349F" w14:textId="77777777" w:rsidR="00CC4E3D" w:rsidRDefault="00CC4E3D" w:rsidP="00CC4E3D">
      <w:r>
        <w:t>Many studies point to the need for holistic services for young people to address complex barriers to employment.</w:t>
      </w:r>
      <w:r>
        <w:rPr>
          <w:rStyle w:val="EndnoteReference"/>
        </w:rPr>
        <w:endnoteReference w:id="26"/>
      </w:r>
      <w:r>
        <w:t xml:space="preserve"> </w:t>
      </w:r>
      <w:r>
        <w:rPr>
          <w:rStyle w:val="EndnoteReference"/>
        </w:rPr>
        <w:endnoteReference w:id="27"/>
      </w:r>
      <w:r>
        <w:t xml:space="preserve"> </w:t>
      </w:r>
      <w:r>
        <w:rPr>
          <w:rStyle w:val="EndnoteReference"/>
        </w:rPr>
        <w:endnoteReference w:id="28"/>
      </w:r>
      <w:r>
        <w:t xml:space="preserve"> </w:t>
      </w:r>
      <w:r>
        <w:rPr>
          <w:rStyle w:val="EndnoteReference"/>
        </w:rPr>
        <w:endnoteReference w:id="29"/>
      </w:r>
      <w:r>
        <w:t xml:space="preserve"> Intensive interventions may also be more effective than diffuse programs.</w:t>
      </w:r>
      <w:r>
        <w:rPr>
          <w:rStyle w:val="EndnoteReference"/>
        </w:rPr>
        <w:endnoteReference w:id="30"/>
      </w:r>
      <w:r>
        <w:t> </w:t>
      </w:r>
      <w:r>
        <w:rPr>
          <w:rStyle w:val="EndnoteReference"/>
        </w:rPr>
        <w:endnoteReference w:id="31"/>
      </w:r>
      <w:r>
        <w:t xml:space="preserve"> Building a young person’s perceptions of their capabilities through mentoring has been found to be an effective strategy, just as broadening their horizons and perceptions of possible career pathways</w:t>
      </w:r>
      <w:r>
        <w:rPr>
          <w:rStyle w:val="EndnoteReference"/>
        </w:rPr>
        <w:endnoteReference w:id="32"/>
      </w:r>
      <w:r>
        <w:t xml:space="preserve"> can increase their ambition and motivation to pursue study or training.</w:t>
      </w:r>
      <w:r>
        <w:rPr>
          <w:rStyle w:val="EndnoteReference"/>
        </w:rPr>
        <w:endnoteReference w:id="33"/>
      </w:r>
      <w:r>
        <w:t xml:space="preserve"> </w:t>
      </w:r>
      <w:r>
        <w:rPr>
          <w:rStyle w:val="EndnoteReference"/>
        </w:rPr>
        <w:endnoteReference w:id="34"/>
      </w:r>
      <w:r>
        <w:t xml:space="preserve"> </w:t>
      </w:r>
      <w:r>
        <w:rPr>
          <w:rStyle w:val="EndnoteReference"/>
        </w:rPr>
        <w:endnoteReference w:id="35"/>
      </w:r>
      <w:r>
        <w:t xml:space="preserve"> Exposure to a work environment during apprenticeships and work experience can also build valuable skills for future employment.</w:t>
      </w:r>
      <w:r>
        <w:rPr>
          <w:rStyle w:val="EndnoteReference"/>
        </w:rPr>
        <w:endnoteReference w:id="36"/>
      </w:r>
      <w:r>
        <w:t xml:space="preserve"> </w:t>
      </w:r>
      <w:r>
        <w:rPr>
          <w:rStyle w:val="EndnoteReference"/>
        </w:rPr>
        <w:endnoteReference w:id="37"/>
      </w:r>
    </w:p>
    <w:p w14:paraId="0F90A982" w14:textId="77777777" w:rsidR="00CC4E3D" w:rsidRPr="001F4939" w:rsidRDefault="00CC4E3D" w:rsidP="001F4939">
      <w:pPr>
        <w:pStyle w:val="Heading2"/>
        <w:numPr>
          <w:ilvl w:val="1"/>
          <w:numId w:val="4"/>
        </w:numPr>
      </w:pPr>
      <w:bookmarkStart w:id="42" w:name="_Toc535498851"/>
      <w:bookmarkStart w:id="43" w:name="_Toc23841331"/>
      <w:r w:rsidRPr="001F4939">
        <w:t>Transition to Work service</w:t>
      </w:r>
      <w:bookmarkEnd w:id="42"/>
      <w:bookmarkEnd w:id="43"/>
      <w:r w:rsidRPr="001F4939">
        <w:t xml:space="preserve"> </w:t>
      </w:r>
    </w:p>
    <w:p w14:paraId="3BC38983" w14:textId="77777777" w:rsidR="00CC4E3D" w:rsidRDefault="00CC4E3D" w:rsidP="00CC4E3D">
      <w:r>
        <w:t xml:space="preserve">The TtW service incorporates a number of the features of the successful youth employment programs described </w:t>
      </w:r>
      <w:r w:rsidRPr="00F41EB6">
        <w:t xml:space="preserve">in </w:t>
      </w:r>
      <w:r>
        <w:rPr>
          <w:b/>
        </w:rPr>
        <w:t>Section </w:t>
      </w:r>
      <w:r w:rsidRPr="00FB6FB8">
        <w:rPr>
          <w:b/>
        </w:rPr>
        <w:t>1.1.2</w:t>
      </w:r>
      <w:r w:rsidRPr="00F41EB6">
        <w:t>.</w:t>
      </w:r>
      <w:r>
        <w:t xml:space="preserve"> It is a targeted 12-month intensive initiative that can include pre-employment activities hosted by the provider, education and training courses, activities to address non-vocational barriers and appointments. The service providers operate in one or more employment regions and are either for profit or not-for-profit organisations with links to educational organisations and local employment markets. The funding model allows providers to work with individual participants in ways that are most helpful to them, creating a service that is tailored to each participant’s needs. Unlike jobactive, TtW participants are not subject to a suspension of their income support payment for failure to attend contact appointments with their provider or activities.</w:t>
      </w:r>
    </w:p>
    <w:p w14:paraId="577F43A6" w14:textId="77777777" w:rsidR="00CC4E3D" w:rsidRDefault="00CC4E3D" w:rsidP="00CC4E3D">
      <w:r>
        <w:t xml:space="preserve">TtW operates separately of jobactive and targeted employment services such as Disability Employment Services and the Community Development Programme. </w:t>
      </w:r>
    </w:p>
    <w:p w14:paraId="48532812" w14:textId="77777777" w:rsidR="00CC4E3D" w:rsidRPr="00FD4CA8" w:rsidRDefault="00CC4E3D" w:rsidP="001C25D9">
      <w:pPr>
        <w:pStyle w:val="Heading3"/>
        <w:numPr>
          <w:ilvl w:val="2"/>
          <w:numId w:val="4"/>
        </w:numPr>
        <w:spacing w:before="200"/>
        <w:rPr>
          <w:szCs w:val="24"/>
        </w:rPr>
      </w:pPr>
      <w:bookmarkStart w:id="44" w:name="_Toc535498852"/>
      <w:bookmarkStart w:id="45" w:name="_Toc23841332"/>
      <w:r w:rsidRPr="00FD4CA8">
        <w:rPr>
          <w:szCs w:val="24"/>
        </w:rPr>
        <w:lastRenderedPageBreak/>
        <w:t>TtW was implemented progressively from February 2016 to May 2016</w:t>
      </w:r>
      <w:bookmarkEnd w:id="44"/>
      <w:bookmarkEnd w:id="45"/>
    </w:p>
    <w:p w14:paraId="3935228A" w14:textId="77777777" w:rsidR="00CC4E3D" w:rsidRDefault="00CC4E3D" w:rsidP="00CC4E3D">
      <w:r>
        <w:t xml:space="preserve">The TtW service was rolled out in four phases in 51 employment regions from February 2016 to May 2016. TtW provider contracts are in place until 26 June 2020, with an option to extend for a further two years to 24 June 2022. A map of employment regions is at </w:t>
      </w:r>
      <w:r w:rsidRPr="00A0325D">
        <w:rPr>
          <w:b/>
        </w:rPr>
        <w:t>Appendix A</w:t>
      </w:r>
      <w:r>
        <w:t>.</w:t>
      </w:r>
    </w:p>
    <w:p w14:paraId="467AE678" w14:textId="77777777" w:rsidR="00CC4E3D" w:rsidRPr="00FD4CA8" w:rsidRDefault="00CC4E3D" w:rsidP="001C25D9">
      <w:pPr>
        <w:pStyle w:val="Heading3"/>
        <w:numPr>
          <w:ilvl w:val="2"/>
          <w:numId w:val="4"/>
        </w:numPr>
        <w:spacing w:before="200"/>
        <w:rPr>
          <w:szCs w:val="24"/>
        </w:rPr>
      </w:pPr>
      <w:bookmarkStart w:id="46" w:name="_Toc535498853"/>
      <w:bookmarkStart w:id="47" w:name="_Toc23841333"/>
      <w:r w:rsidRPr="00FD4CA8">
        <w:rPr>
          <w:szCs w:val="24"/>
        </w:rPr>
        <w:t>TtW targets three main groups of young people</w:t>
      </w:r>
      <w:bookmarkEnd w:id="46"/>
      <w:bookmarkEnd w:id="47"/>
      <w:r w:rsidRPr="00FD4CA8">
        <w:rPr>
          <w:szCs w:val="24"/>
        </w:rPr>
        <w:t xml:space="preserve"> </w:t>
      </w:r>
    </w:p>
    <w:p w14:paraId="73E8575E" w14:textId="77777777" w:rsidR="00CC4E3D" w:rsidRDefault="00CC4E3D" w:rsidP="00CC4E3D">
      <w:r>
        <w:t>The TtW service targets three groups of young people aged 15 to 21 years considered most at risk of disengagement or disadvantage in moving to work. The eligibility requirements for each of the three groups vary. The overarching eligibility requirements are for a young person to:</w:t>
      </w:r>
    </w:p>
    <w:p w14:paraId="336C9FD2" w14:textId="77777777" w:rsidR="00CC4E3D" w:rsidRDefault="00CC4E3D" w:rsidP="00415050">
      <w:pPr>
        <w:pStyle w:val="ListBullet"/>
      </w:pPr>
      <w:r>
        <w:t xml:space="preserve">be aged 15-21 years on </w:t>
      </w:r>
      <w:r w:rsidRPr="00E803E7">
        <w:t>commencement</w:t>
      </w:r>
      <w:r>
        <w:t xml:space="preserve"> in the service</w:t>
      </w:r>
    </w:p>
    <w:p w14:paraId="693BF9B4" w14:textId="77777777" w:rsidR="00CC4E3D" w:rsidRDefault="00CC4E3D" w:rsidP="00415050">
      <w:pPr>
        <w:pStyle w:val="ListBullet"/>
      </w:pPr>
      <w:r w:rsidRPr="00E803E7">
        <w:t>be</w:t>
      </w:r>
      <w:r>
        <w:t xml:space="preserve"> an Australian citizen or the holder of a</w:t>
      </w:r>
    </w:p>
    <w:p w14:paraId="3CE753FE" w14:textId="77777777" w:rsidR="00CC4E3D" w:rsidRPr="005965A3" w:rsidRDefault="00CC4E3D" w:rsidP="00415050">
      <w:pPr>
        <w:pStyle w:val="ListBullet2"/>
        <w:spacing w:after="120"/>
      </w:pPr>
      <w:r w:rsidRPr="005965A3">
        <w:t>permanent visa or</w:t>
      </w:r>
    </w:p>
    <w:p w14:paraId="118E1CCE" w14:textId="77777777" w:rsidR="00CC4E3D" w:rsidRDefault="00CC4E3D" w:rsidP="00415050">
      <w:pPr>
        <w:pStyle w:val="ListBullet2"/>
        <w:spacing w:after="120"/>
      </w:pPr>
      <w:r>
        <w:t>New Zealand Special Category Visa (protected or non-protected) or</w:t>
      </w:r>
    </w:p>
    <w:p w14:paraId="13F3C309" w14:textId="77777777" w:rsidR="00CC4E3D" w:rsidRDefault="00CC4E3D" w:rsidP="00415050">
      <w:pPr>
        <w:pStyle w:val="ListBullet2"/>
        <w:spacing w:after="120"/>
      </w:pPr>
      <w:r>
        <w:t>nominated visa (including Temporary Protection Visa or Safe Haven Visa)</w:t>
      </w:r>
    </w:p>
    <w:p w14:paraId="098DEC97" w14:textId="77777777" w:rsidR="00CC4E3D" w:rsidRDefault="00CC4E3D" w:rsidP="00415050">
      <w:pPr>
        <w:pStyle w:val="ListBullet"/>
      </w:pPr>
      <w:r>
        <w:t xml:space="preserve">live in </w:t>
      </w:r>
      <w:r w:rsidRPr="00E803E7">
        <w:t>an</w:t>
      </w:r>
      <w:r>
        <w:t xml:space="preserve"> employment region where the TtW service is delivered.</w:t>
      </w:r>
    </w:p>
    <w:p w14:paraId="24BA18CD" w14:textId="77777777" w:rsidR="00CC4E3D" w:rsidRDefault="00CC4E3D" w:rsidP="00CC4E3D">
      <w:r>
        <w:t xml:space="preserve">In addition to the core TtW eligibility requirements, young people are referred to TtW through the different pathways identified in </w:t>
      </w:r>
      <w:r w:rsidRPr="00781D63">
        <w:rPr>
          <w:b/>
        </w:rPr>
        <w:t>Box</w:t>
      </w:r>
      <w:r>
        <w:rPr>
          <w:b/>
        </w:rPr>
        <w:t> </w:t>
      </w:r>
      <w:r w:rsidRPr="00411E9F">
        <w:rPr>
          <w:b/>
        </w:rPr>
        <w:t>1.1</w:t>
      </w:r>
      <w:r>
        <w:t>, reflecting the different eligibility circumstances of each of the three target groups.</w:t>
      </w:r>
    </w:p>
    <w:p w14:paraId="12562FF1" w14:textId="34A38388" w:rsidR="00CC4E3D" w:rsidRPr="005A1B8D" w:rsidRDefault="00CC4E3D" w:rsidP="005A1B8D">
      <w:pPr>
        <w:pStyle w:val="Heading5"/>
        <w:pBdr>
          <w:top w:val="single" w:sz="12" w:space="4" w:color="287BB3"/>
          <w:left w:val="single" w:sz="12" w:space="4" w:color="287BB3"/>
          <w:bottom w:val="single" w:sz="12" w:space="4" w:color="287BB3"/>
          <w:right w:val="single" w:sz="12" w:space="4" w:color="287BB3"/>
        </w:pBdr>
        <w:shd w:val="clear" w:color="auto" w:fill="F2F2F2" w:themeFill="background2"/>
        <w:ind w:left="720" w:hanging="720"/>
        <w:rPr>
          <w:color w:val="auto"/>
          <w:sz w:val="22"/>
          <w:szCs w:val="22"/>
        </w:rPr>
      </w:pPr>
      <w:r w:rsidRPr="005A1B8D">
        <w:rPr>
          <w:color w:val="auto"/>
          <w:sz w:val="22"/>
          <w:szCs w:val="22"/>
        </w:rPr>
        <w:t>Box 1.1</w:t>
      </w:r>
      <w:r w:rsidRPr="005A1B8D">
        <w:rPr>
          <w:color w:val="auto"/>
          <w:sz w:val="22"/>
          <w:szCs w:val="22"/>
        </w:rPr>
        <w:tab/>
        <w:t>Transition to Work target groups before 1 January 2018:</w:t>
      </w:r>
      <w:r w:rsidRPr="005A1B8D">
        <w:rPr>
          <w:color w:val="auto"/>
          <w:vertAlign w:val="superscript"/>
        </w:rPr>
        <w:footnoteReference w:id="3"/>
      </w:r>
      <w:r w:rsidRPr="005A1B8D">
        <w:rPr>
          <w:color w:val="auto"/>
          <w:sz w:val="22"/>
          <w:szCs w:val="22"/>
        </w:rPr>
        <w:t xml:space="preserve"> eligibility, referral process and caseload profile </w:t>
      </w:r>
    </w:p>
    <w:p w14:paraId="0F79DE43" w14:textId="77777777" w:rsidR="00CC4E3D" w:rsidRPr="005A1B8D" w:rsidRDefault="00CC4E3D" w:rsidP="005A1B8D">
      <w:pPr>
        <w:pStyle w:val="Heading5"/>
        <w:pBdr>
          <w:top w:val="single" w:sz="12" w:space="4" w:color="287BB3"/>
          <w:left w:val="single" w:sz="12" w:space="4" w:color="287BB3"/>
          <w:bottom w:val="single" w:sz="12" w:space="4" w:color="287BB3"/>
          <w:right w:val="single" w:sz="12" w:space="4" w:color="287BB3"/>
        </w:pBdr>
        <w:shd w:val="clear" w:color="auto" w:fill="F2F2F2" w:themeFill="background2"/>
        <w:rPr>
          <w:color w:val="595959" w:themeColor="text1" w:themeTint="A6"/>
          <w:sz w:val="22"/>
          <w:szCs w:val="22"/>
        </w:rPr>
      </w:pPr>
      <w:r w:rsidRPr="005A1B8D">
        <w:rPr>
          <w:color w:val="595959" w:themeColor="text1" w:themeTint="A6"/>
          <w:sz w:val="22"/>
          <w:szCs w:val="22"/>
        </w:rPr>
        <w:t xml:space="preserve">Group One — referrals from the Department of Human Services </w:t>
      </w:r>
    </w:p>
    <w:p w14:paraId="51505C2C" w14:textId="77777777" w:rsidR="00CC4E3D" w:rsidRDefault="00CC4E3D" w:rsidP="005A1B8D">
      <w:pPr>
        <w:pBdr>
          <w:top w:val="single" w:sz="12" w:space="4" w:color="287BB3"/>
          <w:left w:val="single" w:sz="12" w:space="4" w:color="287BB3"/>
          <w:bottom w:val="single" w:sz="12" w:space="4" w:color="287BB3"/>
          <w:right w:val="single" w:sz="12" w:space="4" w:color="287BB3"/>
        </w:pBdr>
        <w:shd w:val="clear" w:color="auto" w:fill="F2F2F2" w:themeFill="background2"/>
        <w:spacing w:after="0"/>
      </w:pPr>
      <w:r>
        <w:t>These are young people who:</w:t>
      </w:r>
    </w:p>
    <w:p w14:paraId="12ECE7CB" w14:textId="15841A09" w:rsidR="00CC4E3D" w:rsidRDefault="00CC4E3D" w:rsidP="005A1B8D">
      <w:pPr>
        <w:pStyle w:val="ListParagraph"/>
        <w:numPr>
          <w:ilvl w:val="0"/>
          <w:numId w:val="15"/>
        </w:numPr>
        <w:pBdr>
          <w:top w:val="single" w:sz="12" w:space="4" w:color="287BB3"/>
          <w:left w:val="single" w:sz="12" w:space="4" w:color="287BB3"/>
          <w:bottom w:val="single" w:sz="12" w:space="4" w:color="287BB3"/>
          <w:right w:val="single" w:sz="12" w:space="4" w:color="287BB3"/>
        </w:pBdr>
        <w:shd w:val="clear" w:color="auto" w:fill="F2F2F2" w:themeFill="background2"/>
        <w:ind w:left="357" w:hanging="357"/>
      </w:pPr>
      <w:r>
        <w:t>have not been awarded a Year 12 certificate or a Certificate III or higher</w:t>
      </w:r>
    </w:p>
    <w:p w14:paraId="25850820" w14:textId="07D8F0FC" w:rsidR="00CC4E3D" w:rsidRDefault="00CC4E3D" w:rsidP="005A1B8D">
      <w:pPr>
        <w:pStyle w:val="ListParagraph"/>
        <w:numPr>
          <w:ilvl w:val="0"/>
          <w:numId w:val="15"/>
        </w:numPr>
        <w:pBdr>
          <w:top w:val="single" w:sz="12" w:space="4" w:color="287BB3"/>
          <w:left w:val="single" w:sz="12" w:space="4" w:color="287BB3"/>
          <w:bottom w:val="single" w:sz="12" w:space="4" w:color="287BB3"/>
          <w:right w:val="single" w:sz="12" w:space="4" w:color="287BB3"/>
        </w:pBdr>
        <w:shd w:val="clear" w:color="auto" w:fill="F2F2F2" w:themeFill="background2"/>
        <w:ind w:left="357" w:hanging="357"/>
      </w:pPr>
      <w:r>
        <w:t xml:space="preserve">are receiving Youth Allowance (Other) or any other activity-tested income support payment  </w:t>
      </w:r>
    </w:p>
    <w:p w14:paraId="7B9581FF" w14:textId="2373610A" w:rsidR="00CC4E3D" w:rsidRDefault="00CC4E3D" w:rsidP="005A1B8D">
      <w:pPr>
        <w:pStyle w:val="ListParagraph"/>
        <w:numPr>
          <w:ilvl w:val="0"/>
          <w:numId w:val="15"/>
        </w:numPr>
        <w:pBdr>
          <w:top w:val="single" w:sz="12" w:space="4" w:color="287BB3"/>
          <w:left w:val="single" w:sz="12" w:space="4" w:color="287BB3"/>
          <w:bottom w:val="single" w:sz="12" w:space="4" w:color="287BB3"/>
          <w:right w:val="single" w:sz="12" w:space="4" w:color="287BB3"/>
        </w:pBdr>
        <w:shd w:val="clear" w:color="auto" w:fill="F2F2F2" w:themeFill="background2"/>
        <w:ind w:left="357" w:hanging="357"/>
      </w:pPr>
      <w:r>
        <w:t>are eligible for Stream B in jobactive but do not have a pending employment services assessment (ESAt).</w:t>
      </w:r>
    </w:p>
    <w:p w14:paraId="31A913B1" w14:textId="77777777" w:rsidR="00CC4E3D" w:rsidRPr="005A1B8D" w:rsidRDefault="00CC4E3D" w:rsidP="005A1B8D">
      <w:pPr>
        <w:pStyle w:val="Heading6"/>
        <w:pBdr>
          <w:top w:val="single" w:sz="12" w:space="4" w:color="287BB3"/>
          <w:left w:val="single" w:sz="12" w:space="4" w:color="287BB3"/>
          <w:bottom w:val="single" w:sz="12" w:space="4" w:color="287BB3"/>
          <w:right w:val="single" w:sz="12" w:space="4" w:color="287BB3"/>
        </w:pBdr>
        <w:shd w:val="clear" w:color="auto" w:fill="F2F2F2" w:themeFill="background2"/>
        <w:rPr>
          <w:b/>
          <w:color w:val="595959" w:themeColor="text1" w:themeTint="A6"/>
          <w:sz w:val="22"/>
        </w:rPr>
      </w:pPr>
      <w:r w:rsidRPr="005A1B8D">
        <w:rPr>
          <w:b/>
          <w:color w:val="595959" w:themeColor="text1" w:themeTint="A6"/>
          <w:sz w:val="22"/>
        </w:rPr>
        <w:t>Referral process</w:t>
      </w:r>
    </w:p>
    <w:p w14:paraId="3E65311C" w14:textId="1A13B74F" w:rsidR="00CC4E3D" w:rsidRDefault="00CC4E3D" w:rsidP="005A1B8D">
      <w:pPr>
        <w:pStyle w:val="ListParagraph"/>
        <w:numPr>
          <w:ilvl w:val="0"/>
          <w:numId w:val="15"/>
        </w:numPr>
        <w:pBdr>
          <w:top w:val="single" w:sz="12" w:space="4" w:color="287BB3"/>
          <w:left w:val="single" w:sz="12" w:space="4" w:color="287BB3"/>
          <w:bottom w:val="single" w:sz="12" w:space="4" w:color="287BB3"/>
          <w:right w:val="single" w:sz="12" w:space="4" w:color="287BB3"/>
        </w:pBdr>
        <w:shd w:val="clear" w:color="auto" w:fill="F2F2F2" w:themeFill="background2"/>
        <w:ind w:left="357" w:hanging="357"/>
      </w:pPr>
      <w:r>
        <w:t>DHS (Centrelink) refers eligible young people to their local TtW service when they first claim income support. They are expected to start with TtW within two business days from referral.</w:t>
      </w:r>
    </w:p>
    <w:p w14:paraId="4B19E7C5" w14:textId="30623EB3" w:rsidR="00CC4E3D" w:rsidRDefault="00CC4E3D" w:rsidP="005A1B8D">
      <w:pPr>
        <w:pStyle w:val="ListParagraph"/>
        <w:numPr>
          <w:ilvl w:val="0"/>
          <w:numId w:val="15"/>
        </w:numPr>
        <w:pBdr>
          <w:top w:val="single" w:sz="12" w:space="4" w:color="287BB3"/>
          <w:left w:val="single" w:sz="12" w:space="4" w:color="287BB3"/>
          <w:bottom w:val="single" w:sz="12" w:space="4" w:color="287BB3"/>
          <w:right w:val="single" w:sz="12" w:space="4" w:color="287BB3"/>
        </w:pBdr>
        <w:shd w:val="clear" w:color="auto" w:fill="F2F2F2" w:themeFill="background2"/>
        <w:ind w:left="357" w:hanging="357"/>
      </w:pPr>
      <w:r>
        <w:t xml:space="preserve">Participants in this group may opt out and elect to participate in jobactive instead. </w:t>
      </w:r>
    </w:p>
    <w:p w14:paraId="3BDD6049" w14:textId="25C4D793" w:rsidR="00CC4E3D" w:rsidRDefault="00CC4E3D" w:rsidP="005A1B8D">
      <w:pPr>
        <w:pStyle w:val="ListParagraph"/>
        <w:numPr>
          <w:ilvl w:val="0"/>
          <w:numId w:val="15"/>
        </w:numPr>
        <w:pBdr>
          <w:top w:val="single" w:sz="12" w:space="4" w:color="287BB3"/>
          <w:left w:val="single" w:sz="12" w:space="4" w:color="287BB3"/>
          <w:bottom w:val="single" w:sz="12" w:space="4" w:color="287BB3"/>
          <w:right w:val="single" w:sz="12" w:space="4" w:color="287BB3"/>
        </w:pBdr>
        <w:shd w:val="clear" w:color="auto" w:fill="F2F2F2" w:themeFill="background2"/>
        <w:ind w:left="357" w:hanging="357"/>
      </w:pPr>
      <w:r>
        <w:t>TtW providers are expected to attempt to engage young people in this group within four weeks from referral, before exiting them for referring them back to jobactive if they are uncontactable or unsuitable for TtW.</w:t>
      </w:r>
    </w:p>
    <w:p w14:paraId="36C3A3B1" w14:textId="77777777" w:rsidR="00CC4E3D" w:rsidRPr="005A1B8D" w:rsidRDefault="00CC4E3D" w:rsidP="005A1B8D">
      <w:pPr>
        <w:pStyle w:val="Heading6"/>
        <w:pBdr>
          <w:top w:val="single" w:sz="12" w:space="4" w:color="287BB3"/>
          <w:left w:val="single" w:sz="12" w:space="4" w:color="287BB3"/>
          <w:bottom w:val="single" w:sz="12" w:space="4" w:color="287BB3"/>
          <w:right w:val="single" w:sz="12" w:space="4" w:color="287BB3"/>
        </w:pBdr>
        <w:shd w:val="clear" w:color="auto" w:fill="F2F2F2" w:themeFill="background2"/>
        <w:rPr>
          <w:b/>
          <w:color w:val="595959" w:themeColor="text1" w:themeTint="A6"/>
          <w:sz w:val="22"/>
        </w:rPr>
      </w:pPr>
      <w:r w:rsidRPr="005A1B8D">
        <w:rPr>
          <w:b/>
          <w:color w:val="595959" w:themeColor="text1" w:themeTint="A6"/>
          <w:sz w:val="22"/>
        </w:rPr>
        <w:lastRenderedPageBreak/>
        <w:t>Caseload</w:t>
      </w:r>
    </w:p>
    <w:p w14:paraId="0A6B889B" w14:textId="3AFCEA78" w:rsidR="00CC4E3D" w:rsidRDefault="00CC4E3D" w:rsidP="005A1B8D">
      <w:pPr>
        <w:pStyle w:val="ListParagraph"/>
        <w:numPr>
          <w:ilvl w:val="0"/>
          <w:numId w:val="15"/>
        </w:numPr>
        <w:pBdr>
          <w:top w:val="single" w:sz="12" w:space="4" w:color="287BB3"/>
          <w:left w:val="single" w:sz="12" w:space="4" w:color="287BB3"/>
          <w:bottom w:val="single" w:sz="12" w:space="4" w:color="287BB3"/>
          <w:right w:val="single" w:sz="12" w:space="4" w:color="287BB3"/>
        </w:pBdr>
        <w:shd w:val="clear" w:color="auto" w:fill="F2F2F2" w:themeFill="background2"/>
        <w:ind w:left="357" w:hanging="357"/>
      </w:pPr>
      <w:r>
        <w:t>Participants in this group have priority access to TtW and were projected to make up approximately 70 per cent of Annual Funded Places.</w:t>
      </w:r>
    </w:p>
    <w:p w14:paraId="5A646AD7" w14:textId="77777777" w:rsidR="00CC4E3D" w:rsidRPr="005A1B8D" w:rsidRDefault="00CC4E3D" w:rsidP="005A1B8D">
      <w:pPr>
        <w:pStyle w:val="Heading5"/>
        <w:pBdr>
          <w:top w:val="single" w:sz="12" w:space="4" w:color="287BB3"/>
          <w:left w:val="single" w:sz="12" w:space="4" w:color="287BB3"/>
          <w:bottom w:val="single" w:sz="12" w:space="4" w:color="287BB3"/>
          <w:right w:val="single" w:sz="12" w:space="4" w:color="287BB3"/>
        </w:pBdr>
        <w:shd w:val="clear" w:color="auto" w:fill="F2F2F2" w:themeFill="background2"/>
        <w:rPr>
          <w:sz w:val="22"/>
          <w:szCs w:val="22"/>
        </w:rPr>
      </w:pPr>
      <w:r w:rsidRPr="005A1B8D">
        <w:rPr>
          <w:sz w:val="22"/>
          <w:szCs w:val="22"/>
        </w:rPr>
        <w:t>Group Two — disengaged young people</w:t>
      </w:r>
    </w:p>
    <w:p w14:paraId="59638D59" w14:textId="77777777" w:rsidR="00CC4E3D" w:rsidRDefault="00CC4E3D" w:rsidP="005A1B8D">
      <w:pPr>
        <w:keepNext/>
        <w:pBdr>
          <w:top w:val="single" w:sz="12" w:space="4" w:color="287BB3"/>
          <w:left w:val="single" w:sz="12" w:space="4" w:color="287BB3"/>
          <w:bottom w:val="single" w:sz="12" w:space="4" w:color="287BB3"/>
          <w:right w:val="single" w:sz="12" w:space="4" w:color="287BB3"/>
        </w:pBdr>
        <w:shd w:val="clear" w:color="auto" w:fill="F2F2F2" w:themeFill="background2"/>
        <w:spacing w:after="0"/>
      </w:pPr>
      <w:r>
        <w:t>These are young people who:</w:t>
      </w:r>
    </w:p>
    <w:p w14:paraId="5B3287F7" w14:textId="4B989500" w:rsidR="00CC4E3D" w:rsidRDefault="00CC4E3D" w:rsidP="005A1B8D">
      <w:pPr>
        <w:pStyle w:val="ListParagraph"/>
        <w:numPr>
          <w:ilvl w:val="0"/>
          <w:numId w:val="15"/>
        </w:numPr>
        <w:pBdr>
          <w:top w:val="single" w:sz="12" w:space="4" w:color="287BB3"/>
          <w:left w:val="single" w:sz="12" w:space="4" w:color="287BB3"/>
          <w:bottom w:val="single" w:sz="12" w:space="4" w:color="287BB3"/>
          <w:right w:val="single" w:sz="12" w:space="4" w:color="287BB3"/>
        </w:pBdr>
        <w:shd w:val="clear" w:color="auto" w:fill="F2F2F2" w:themeFill="background2"/>
        <w:ind w:left="357" w:hanging="357"/>
      </w:pPr>
      <w:r>
        <w:t>have not been awarded a Year 12 certificate or a Certificate III or higher</w:t>
      </w:r>
    </w:p>
    <w:p w14:paraId="3C96F981" w14:textId="41EFF5FB" w:rsidR="00CC4E3D" w:rsidRDefault="00CC4E3D" w:rsidP="005A1B8D">
      <w:pPr>
        <w:pStyle w:val="ListParagraph"/>
        <w:numPr>
          <w:ilvl w:val="0"/>
          <w:numId w:val="15"/>
        </w:numPr>
        <w:pBdr>
          <w:top w:val="single" w:sz="12" w:space="4" w:color="287BB3"/>
          <w:left w:val="single" w:sz="12" w:space="4" w:color="287BB3"/>
          <w:bottom w:val="single" w:sz="12" w:space="4" w:color="287BB3"/>
          <w:right w:val="single" w:sz="12" w:space="4" w:color="287BB3"/>
        </w:pBdr>
        <w:shd w:val="clear" w:color="auto" w:fill="F2F2F2" w:themeFill="background2"/>
        <w:ind w:left="357" w:hanging="357"/>
      </w:pPr>
      <w:r>
        <w:t>are not already participating in employment services</w:t>
      </w:r>
    </w:p>
    <w:p w14:paraId="06EE9D7D" w14:textId="51FC955C" w:rsidR="00CC4E3D" w:rsidRDefault="00CC4E3D" w:rsidP="005A1B8D">
      <w:pPr>
        <w:pStyle w:val="ListParagraph"/>
        <w:numPr>
          <w:ilvl w:val="0"/>
          <w:numId w:val="15"/>
        </w:numPr>
        <w:pBdr>
          <w:top w:val="single" w:sz="12" w:space="4" w:color="287BB3"/>
          <w:left w:val="single" w:sz="12" w:space="4" w:color="287BB3"/>
          <w:bottom w:val="single" w:sz="12" w:space="4" w:color="287BB3"/>
          <w:right w:val="single" w:sz="12" w:space="4" w:color="287BB3"/>
        </w:pBdr>
        <w:shd w:val="clear" w:color="auto" w:fill="F2F2F2" w:themeFill="background2"/>
        <w:ind w:left="357" w:hanging="357"/>
      </w:pPr>
      <w:r>
        <w:t xml:space="preserve">for the last 13 weeks have not been working an average of eight hours or more per week </w:t>
      </w:r>
    </w:p>
    <w:p w14:paraId="0B1C6CCD" w14:textId="0032AEF3" w:rsidR="00CC4E3D" w:rsidRDefault="00CC4E3D" w:rsidP="005A1B8D">
      <w:pPr>
        <w:pStyle w:val="ListParagraph"/>
        <w:numPr>
          <w:ilvl w:val="0"/>
          <w:numId w:val="15"/>
        </w:numPr>
        <w:pBdr>
          <w:top w:val="single" w:sz="12" w:space="4" w:color="287BB3"/>
          <w:left w:val="single" w:sz="12" w:space="4" w:color="287BB3"/>
          <w:bottom w:val="single" w:sz="12" w:space="4" w:color="287BB3"/>
          <w:right w:val="single" w:sz="12" w:space="4" w:color="287BB3"/>
        </w:pBdr>
        <w:shd w:val="clear" w:color="auto" w:fill="F2F2F2" w:themeFill="background2"/>
        <w:ind w:left="357" w:hanging="357"/>
      </w:pPr>
      <w:r>
        <w:t>have not attended secondary education for 13 weeks, are not enrolled in secondary education and do not have an approved exemption from legal requirements to attend school</w:t>
      </w:r>
    </w:p>
    <w:p w14:paraId="5C86A447" w14:textId="4CF26713" w:rsidR="00CC4E3D" w:rsidRDefault="00CC4E3D" w:rsidP="005A1B8D">
      <w:pPr>
        <w:pStyle w:val="ListParagraph"/>
        <w:numPr>
          <w:ilvl w:val="0"/>
          <w:numId w:val="15"/>
        </w:numPr>
        <w:pBdr>
          <w:top w:val="single" w:sz="12" w:space="4" w:color="287BB3"/>
          <w:left w:val="single" w:sz="12" w:space="4" w:color="287BB3"/>
          <w:bottom w:val="single" w:sz="12" w:space="4" w:color="287BB3"/>
          <w:right w:val="single" w:sz="12" w:space="4" w:color="287BB3"/>
        </w:pBdr>
        <w:shd w:val="clear" w:color="auto" w:fill="F2F2F2" w:themeFill="background2"/>
        <w:ind w:left="357" w:hanging="357"/>
      </w:pPr>
      <w:r>
        <w:t xml:space="preserve">are not receiving income support or are receiving non-activity-tested income support such as Parenting Payment. </w:t>
      </w:r>
    </w:p>
    <w:p w14:paraId="34590D4A" w14:textId="77777777" w:rsidR="00CC4E3D" w:rsidRPr="005A1B8D" w:rsidRDefault="00CC4E3D" w:rsidP="005A1B8D">
      <w:pPr>
        <w:pStyle w:val="Heading6"/>
        <w:pBdr>
          <w:top w:val="single" w:sz="12" w:space="4" w:color="287BB3"/>
          <w:left w:val="single" w:sz="12" w:space="4" w:color="287BB3"/>
          <w:bottom w:val="single" w:sz="12" w:space="4" w:color="287BB3"/>
          <w:right w:val="single" w:sz="12" w:space="4" w:color="287BB3"/>
        </w:pBdr>
        <w:shd w:val="clear" w:color="auto" w:fill="F2F2F2" w:themeFill="background2"/>
        <w:rPr>
          <w:b/>
          <w:color w:val="595959" w:themeColor="text1" w:themeTint="A6"/>
          <w:sz w:val="22"/>
        </w:rPr>
      </w:pPr>
      <w:r w:rsidRPr="005A1B8D">
        <w:rPr>
          <w:b/>
          <w:color w:val="595959" w:themeColor="text1" w:themeTint="A6"/>
          <w:sz w:val="22"/>
        </w:rPr>
        <w:t>Referral process</w:t>
      </w:r>
    </w:p>
    <w:p w14:paraId="575F8D06" w14:textId="28B88873" w:rsidR="00CC4E3D" w:rsidRDefault="00CC4E3D" w:rsidP="005A1B8D">
      <w:pPr>
        <w:pStyle w:val="ListParagraph"/>
        <w:numPr>
          <w:ilvl w:val="0"/>
          <w:numId w:val="15"/>
        </w:numPr>
        <w:pBdr>
          <w:top w:val="single" w:sz="12" w:space="4" w:color="287BB3"/>
          <w:left w:val="single" w:sz="12" w:space="4" w:color="287BB3"/>
          <w:bottom w:val="single" w:sz="12" w:space="4" w:color="287BB3"/>
          <w:right w:val="single" w:sz="12" w:space="4" w:color="287BB3"/>
        </w:pBdr>
        <w:shd w:val="clear" w:color="auto" w:fill="F2F2F2" w:themeFill="background2"/>
        <w:ind w:left="357" w:hanging="357"/>
      </w:pPr>
      <w:r>
        <w:t>Eligible young people can directly register with a provider.</w:t>
      </w:r>
    </w:p>
    <w:p w14:paraId="07B2016A" w14:textId="63634936" w:rsidR="00CC4E3D" w:rsidRDefault="00CC4E3D" w:rsidP="005A1B8D">
      <w:pPr>
        <w:pStyle w:val="ListParagraph"/>
        <w:numPr>
          <w:ilvl w:val="0"/>
          <w:numId w:val="15"/>
        </w:numPr>
        <w:pBdr>
          <w:top w:val="single" w:sz="12" w:space="4" w:color="287BB3"/>
          <w:left w:val="single" w:sz="12" w:space="4" w:color="287BB3"/>
          <w:bottom w:val="single" w:sz="12" w:space="4" w:color="287BB3"/>
          <w:right w:val="single" w:sz="12" w:space="4" w:color="287BB3"/>
        </w:pBdr>
        <w:shd w:val="clear" w:color="auto" w:fill="F2F2F2" w:themeFill="background2"/>
        <w:ind w:left="357" w:hanging="357"/>
      </w:pPr>
      <w:r>
        <w:t>Providers are expected to undertake activities to attract disengaged young people to the service and encourage them to participate in it fully.</w:t>
      </w:r>
    </w:p>
    <w:p w14:paraId="52ECF801" w14:textId="77777777" w:rsidR="00CC4E3D" w:rsidRPr="005A1B8D" w:rsidRDefault="00CC4E3D" w:rsidP="005A1B8D">
      <w:pPr>
        <w:pStyle w:val="Heading6"/>
        <w:pBdr>
          <w:top w:val="single" w:sz="12" w:space="4" w:color="287BB3"/>
          <w:left w:val="single" w:sz="12" w:space="4" w:color="287BB3"/>
          <w:bottom w:val="single" w:sz="12" w:space="4" w:color="287BB3"/>
          <w:right w:val="single" w:sz="12" w:space="4" w:color="287BB3"/>
        </w:pBdr>
        <w:shd w:val="clear" w:color="auto" w:fill="F2F2F2" w:themeFill="background2"/>
        <w:rPr>
          <w:b/>
          <w:color w:val="595959" w:themeColor="text1" w:themeTint="A6"/>
          <w:sz w:val="22"/>
        </w:rPr>
      </w:pPr>
      <w:r w:rsidRPr="005A1B8D">
        <w:rPr>
          <w:b/>
          <w:color w:val="595959" w:themeColor="text1" w:themeTint="A6"/>
          <w:sz w:val="22"/>
        </w:rPr>
        <w:t>Caseload</w:t>
      </w:r>
    </w:p>
    <w:p w14:paraId="67F3168D" w14:textId="55C2EEDC" w:rsidR="00CC4E3D" w:rsidRDefault="00CC4E3D" w:rsidP="005A1B8D">
      <w:pPr>
        <w:pStyle w:val="ListParagraph"/>
        <w:numPr>
          <w:ilvl w:val="0"/>
          <w:numId w:val="15"/>
        </w:numPr>
        <w:pBdr>
          <w:top w:val="single" w:sz="12" w:space="4" w:color="287BB3"/>
          <w:left w:val="single" w:sz="12" w:space="4" w:color="287BB3"/>
          <w:bottom w:val="single" w:sz="12" w:space="4" w:color="287BB3"/>
          <w:right w:val="single" w:sz="12" w:space="4" w:color="287BB3"/>
        </w:pBdr>
        <w:shd w:val="clear" w:color="auto" w:fill="F2F2F2" w:themeFill="background2"/>
        <w:ind w:left="357" w:hanging="357"/>
      </w:pPr>
      <w:r>
        <w:t>Participants in this group were projected to make up around 20 per cent of Annual Funded Places.</w:t>
      </w:r>
    </w:p>
    <w:p w14:paraId="73B51768" w14:textId="77777777" w:rsidR="00CC4E3D" w:rsidRPr="005A1B8D" w:rsidRDefault="00CC4E3D" w:rsidP="005A1B8D">
      <w:pPr>
        <w:pStyle w:val="Heading5"/>
        <w:pBdr>
          <w:top w:val="single" w:sz="12" w:space="4" w:color="287BB3"/>
          <w:left w:val="single" w:sz="12" w:space="4" w:color="287BB3"/>
          <w:bottom w:val="single" w:sz="12" w:space="4" w:color="287BB3"/>
          <w:right w:val="single" w:sz="12" w:space="4" w:color="287BB3"/>
        </w:pBdr>
        <w:shd w:val="clear" w:color="auto" w:fill="F2F2F2" w:themeFill="background2"/>
        <w:rPr>
          <w:color w:val="595959" w:themeColor="text1" w:themeTint="A6"/>
          <w:sz w:val="22"/>
          <w:szCs w:val="22"/>
        </w:rPr>
      </w:pPr>
      <w:r w:rsidRPr="005A1B8D">
        <w:rPr>
          <w:color w:val="595959" w:themeColor="text1" w:themeTint="A6"/>
          <w:sz w:val="22"/>
          <w:szCs w:val="22"/>
        </w:rPr>
        <w:t>Group Three — referrals from a jobactive provider</w:t>
      </w:r>
    </w:p>
    <w:p w14:paraId="054FD81C" w14:textId="77777777" w:rsidR="00CC4E3D" w:rsidRDefault="00CC4E3D" w:rsidP="005A1B8D">
      <w:pPr>
        <w:pBdr>
          <w:top w:val="single" w:sz="12" w:space="4" w:color="287BB3"/>
          <w:left w:val="single" w:sz="12" w:space="4" w:color="287BB3"/>
          <w:bottom w:val="single" w:sz="12" w:space="4" w:color="287BB3"/>
          <w:right w:val="single" w:sz="12" w:space="4" w:color="287BB3"/>
        </w:pBdr>
        <w:shd w:val="clear" w:color="auto" w:fill="F2F2F2" w:themeFill="background2"/>
        <w:spacing w:after="0"/>
      </w:pPr>
      <w:r>
        <w:t xml:space="preserve">These </w:t>
      </w:r>
      <w:r w:rsidRPr="00CA521E">
        <w:t>are</w:t>
      </w:r>
      <w:r>
        <w:t xml:space="preserve"> young people who:</w:t>
      </w:r>
    </w:p>
    <w:p w14:paraId="6322703A" w14:textId="6086AA0D" w:rsidR="00CC4E3D" w:rsidRDefault="00CC4E3D" w:rsidP="005A1B8D">
      <w:pPr>
        <w:pStyle w:val="ListParagraph"/>
        <w:numPr>
          <w:ilvl w:val="0"/>
          <w:numId w:val="15"/>
        </w:numPr>
        <w:pBdr>
          <w:top w:val="single" w:sz="12" w:space="4" w:color="287BB3"/>
          <w:left w:val="single" w:sz="12" w:space="4" w:color="287BB3"/>
          <w:bottom w:val="single" w:sz="12" w:space="4" w:color="287BB3"/>
          <w:right w:val="single" w:sz="12" w:space="4" w:color="287BB3"/>
        </w:pBdr>
        <w:shd w:val="clear" w:color="auto" w:fill="F2F2F2" w:themeFill="background2"/>
        <w:ind w:left="357" w:hanging="357"/>
      </w:pPr>
      <w:r>
        <w:t xml:space="preserve">are in Stream C in jobactive </w:t>
      </w:r>
    </w:p>
    <w:p w14:paraId="3B385AE8" w14:textId="6ADA4999" w:rsidR="00CC4E3D" w:rsidRDefault="00CC4E3D" w:rsidP="005A1B8D">
      <w:pPr>
        <w:pStyle w:val="ListParagraph"/>
        <w:numPr>
          <w:ilvl w:val="0"/>
          <w:numId w:val="15"/>
        </w:numPr>
        <w:pBdr>
          <w:top w:val="single" w:sz="12" w:space="4" w:color="287BB3"/>
          <w:left w:val="single" w:sz="12" w:space="4" w:color="287BB3"/>
          <w:bottom w:val="single" w:sz="12" w:space="4" w:color="287BB3"/>
          <w:right w:val="single" w:sz="12" w:space="4" w:color="287BB3"/>
        </w:pBdr>
        <w:shd w:val="clear" w:color="auto" w:fill="F2F2F2" w:themeFill="background2"/>
        <w:ind w:left="357" w:hanging="357"/>
      </w:pPr>
      <w:r>
        <w:t>are identified by their jobactive provider as having capacity to benefit from TtW (e.g. young people with one or more particular types of disadvantage, such as unstable housing).</w:t>
      </w:r>
    </w:p>
    <w:p w14:paraId="7C043717" w14:textId="77777777" w:rsidR="00CC4E3D" w:rsidRPr="005A1B8D" w:rsidRDefault="00CC4E3D" w:rsidP="005A1B8D">
      <w:pPr>
        <w:pStyle w:val="Heading6"/>
        <w:pBdr>
          <w:top w:val="single" w:sz="12" w:space="4" w:color="287BB3"/>
          <w:left w:val="single" w:sz="12" w:space="4" w:color="287BB3"/>
          <w:bottom w:val="single" w:sz="12" w:space="4" w:color="287BB3"/>
          <w:right w:val="single" w:sz="12" w:space="4" w:color="287BB3"/>
        </w:pBdr>
        <w:shd w:val="clear" w:color="auto" w:fill="F2F2F2" w:themeFill="background2"/>
        <w:rPr>
          <w:b/>
          <w:color w:val="595959" w:themeColor="text1" w:themeTint="A6"/>
          <w:sz w:val="22"/>
        </w:rPr>
      </w:pPr>
      <w:r w:rsidRPr="005A1B8D">
        <w:rPr>
          <w:b/>
          <w:color w:val="595959" w:themeColor="text1" w:themeTint="A6"/>
          <w:sz w:val="22"/>
        </w:rPr>
        <w:t>Referral process</w:t>
      </w:r>
    </w:p>
    <w:p w14:paraId="48C27221" w14:textId="08AA461B" w:rsidR="00CC4E3D" w:rsidRDefault="00CC4E3D" w:rsidP="005A1B8D">
      <w:pPr>
        <w:pStyle w:val="ListParagraph"/>
        <w:numPr>
          <w:ilvl w:val="0"/>
          <w:numId w:val="15"/>
        </w:numPr>
        <w:pBdr>
          <w:top w:val="single" w:sz="12" w:space="4" w:color="287BB3"/>
          <w:left w:val="single" w:sz="12" w:space="4" w:color="287BB3"/>
          <w:bottom w:val="single" w:sz="12" w:space="4" w:color="287BB3"/>
          <w:right w:val="single" w:sz="12" w:space="4" w:color="287BB3"/>
        </w:pBdr>
        <w:shd w:val="clear" w:color="auto" w:fill="F2F2F2" w:themeFill="background2"/>
        <w:ind w:left="357" w:hanging="357"/>
      </w:pPr>
      <w:r>
        <w:t>jobactive providers can directly refer young people in this category to TtW providers.</w:t>
      </w:r>
    </w:p>
    <w:p w14:paraId="66A130BB" w14:textId="77777777" w:rsidR="00CC4E3D" w:rsidRPr="005A1B8D" w:rsidRDefault="00CC4E3D" w:rsidP="005A1B8D">
      <w:pPr>
        <w:pStyle w:val="Heading6"/>
        <w:pBdr>
          <w:top w:val="single" w:sz="12" w:space="4" w:color="287BB3"/>
          <w:left w:val="single" w:sz="12" w:space="4" w:color="287BB3"/>
          <w:bottom w:val="single" w:sz="12" w:space="4" w:color="287BB3"/>
          <w:right w:val="single" w:sz="12" w:space="4" w:color="287BB3"/>
        </w:pBdr>
        <w:shd w:val="clear" w:color="auto" w:fill="F2F2F2" w:themeFill="background2"/>
        <w:rPr>
          <w:b/>
          <w:color w:val="595959" w:themeColor="text1" w:themeTint="A6"/>
          <w:sz w:val="22"/>
        </w:rPr>
      </w:pPr>
      <w:r w:rsidRPr="005A1B8D">
        <w:rPr>
          <w:b/>
          <w:color w:val="595959" w:themeColor="text1" w:themeTint="A6"/>
          <w:sz w:val="22"/>
        </w:rPr>
        <w:t>Caseload</w:t>
      </w:r>
    </w:p>
    <w:p w14:paraId="50D7607B" w14:textId="77777777" w:rsidR="00CC4E3D" w:rsidRPr="00CA521E" w:rsidRDefault="00CC4E3D" w:rsidP="005A1B8D">
      <w:pPr>
        <w:pBdr>
          <w:top w:val="single" w:sz="12" w:space="4" w:color="287BB3"/>
          <w:left w:val="single" w:sz="12" w:space="4" w:color="287BB3"/>
          <w:bottom w:val="single" w:sz="12" w:space="4" w:color="287BB3"/>
          <w:right w:val="single" w:sz="12" w:space="4" w:color="287BB3"/>
        </w:pBdr>
        <w:shd w:val="clear" w:color="auto" w:fill="F2F2F2" w:themeFill="background2"/>
        <w:rPr>
          <w:rFonts w:eastAsia="Univers"/>
        </w:rPr>
      </w:pPr>
      <w:r w:rsidRPr="00CA521E">
        <w:rPr>
          <w:rFonts w:eastAsia="Univers"/>
        </w:rPr>
        <w:t>Participation in this group is subject to a cap on places, which is set at 10 per cent of the total Annual Funded Places allocated (except during the initial commencement stage).</w:t>
      </w:r>
    </w:p>
    <w:p w14:paraId="719D33C2" w14:textId="77777777" w:rsidR="00CC4E3D" w:rsidRDefault="00CC4E3D" w:rsidP="00CC4E3D">
      <w:r w:rsidRPr="000F2495">
        <w:t>Providers determine the appropriate mix of individual, group and self-directed activities for a participant to meet a 25 hours per week participation requirement. This can include employment, activities hosted by the provider, education and training courses, activities to address non-vocational barriers, and appointments.</w:t>
      </w:r>
    </w:p>
    <w:p w14:paraId="36D79AF4" w14:textId="77777777" w:rsidR="00CC4E3D" w:rsidRPr="00FD4CA8" w:rsidRDefault="00CC4E3D" w:rsidP="001C25D9">
      <w:pPr>
        <w:pStyle w:val="Heading3"/>
        <w:numPr>
          <w:ilvl w:val="2"/>
          <w:numId w:val="4"/>
        </w:numPr>
        <w:spacing w:before="200"/>
        <w:rPr>
          <w:szCs w:val="24"/>
        </w:rPr>
      </w:pPr>
      <w:bookmarkStart w:id="48" w:name="_Toc535498854"/>
      <w:bookmarkStart w:id="49" w:name="_Toc23841334"/>
      <w:r w:rsidRPr="00FD4CA8">
        <w:rPr>
          <w:szCs w:val="24"/>
        </w:rPr>
        <w:t>The TtW service process</w:t>
      </w:r>
      <w:bookmarkEnd w:id="48"/>
      <w:bookmarkEnd w:id="49"/>
    </w:p>
    <w:p w14:paraId="086057B0" w14:textId="0EA33AA4" w:rsidR="00CC4E3D" w:rsidRDefault="00CC4E3D" w:rsidP="00CC4E3D">
      <w:r>
        <w:t xml:space="preserve">For a young person needing support to make the transition from education to work, the employment services process can seem complex. TtW providers are expected to provide more intensive support than is available through existing employment services to help young people </w:t>
      </w:r>
      <w:r>
        <w:lastRenderedPageBreak/>
        <w:t xml:space="preserve">develop the attitudes and behaviours sought by employers. The TtW service pathway for Group One is outlined in </w:t>
      </w:r>
      <w:r w:rsidRPr="003F2380">
        <w:rPr>
          <w:b/>
        </w:rPr>
        <w:t>Figure 1.2</w:t>
      </w:r>
      <w:r>
        <w:t xml:space="preserve">. </w:t>
      </w:r>
    </w:p>
    <w:p w14:paraId="7310B4A1" w14:textId="06414CE4" w:rsidR="00CC4E3D" w:rsidRPr="00B1761D" w:rsidRDefault="0090059B" w:rsidP="00FD4CA8">
      <w:pPr>
        <w:pStyle w:val="Caption"/>
        <w:rPr>
          <w:color w:val="F2F2F2" w:themeColor="background2"/>
        </w:rPr>
      </w:pPr>
      <w:bookmarkStart w:id="50" w:name="_Toc535511448"/>
      <w:bookmarkStart w:id="51" w:name="_Toc535511508"/>
      <w:bookmarkStart w:id="52" w:name="_Toc535512735"/>
      <w:bookmarkStart w:id="53" w:name="_Toc535513371"/>
      <w:bookmarkStart w:id="54" w:name="_Toc23841453"/>
      <w:r>
        <w:rPr>
          <w:noProof/>
          <w:color w:val="F2F2F2" w:themeColor="background2"/>
          <w:sz w:val="16"/>
          <w:szCs w:val="16"/>
          <w:lang w:eastAsia="en-AU"/>
        </w:rPr>
        <w:drawing>
          <wp:anchor distT="0" distB="0" distL="114300" distR="114300" simplePos="0" relativeHeight="251663360" behindDoc="0" locked="0" layoutInCell="1" allowOverlap="1" wp14:anchorId="342E249E" wp14:editId="7D4101FE">
            <wp:simplePos x="0" y="0"/>
            <wp:positionH relativeFrom="margin">
              <wp:posOffset>-100965</wp:posOffset>
            </wp:positionH>
            <wp:positionV relativeFrom="paragraph">
              <wp:posOffset>204470</wp:posOffset>
            </wp:positionV>
            <wp:extent cx="5731200" cy="3531600"/>
            <wp:effectExtent l="0" t="0" r="3175" b="0"/>
            <wp:wrapNone/>
            <wp:docPr id="31" name="Picture 31" descr="Diagrammatic representation of transition to Work pathway for Group One. [Details in text behi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200" cy="3531600"/>
                    </a:xfrm>
                    <a:prstGeom prst="rect">
                      <a:avLst/>
                    </a:prstGeom>
                    <a:noFill/>
                  </pic:spPr>
                </pic:pic>
              </a:graphicData>
            </a:graphic>
            <wp14:sizeRelH relativeFrom="margin">
              <wp14:pctWidth>0</wp14:pctWidth>
            </wp14:sizeRelH>
            <wp14:sizeRelV relativeFrom="margin">
              <wp14:pctHeight>0</wp14:pctHeight>
            </wp14:sizeRelV>
          </wp:anchor>
        </w:drawing>
      </w:r>
      <w:r w:rsidR="00CC4E3D">
        <w:t xml:space="preserve">Figure </w:t>
      </w:r>
      <w:r w:rsidR="00CC4E3D">
        <w:rPr>
          <w:noProof/>
        </w:rPr>
        <w:fldChar w:fldCharType="begin"/>
      </w:r>
      <w:r w:rsidR="00CC4E3D">
        <w:rPr>
          <w:noProof/>
        </w:rPr>
        <w:instrText xml:space="preserve"> STYLEREF 1 \s </w:instrText>
      </w:r>
      <w:r w:rsidR="00CC4E3D">
        <w:rPr>
          <w:noProof/>
        </w:rPr>
        <w:fldChar w:fldCharType="separate"/>
      </w:r>
      <w:r w:rsidR="00D84A2A">
        <w:rPr>
          <w:noProof/>
        </w:rPr>
        <w:t>1</w:t>
      </w:r>
      <w:r w:rsidR="00CC4E3D">
        <w:rPr>
          <w:noProof/>
        </w:rPr>
        <w:fldChar w:fldCharType="end"/>
      </w:r>
      <w:r w:rsidR="00CC4E3D">
        <w:t>.</w:t>
      </w:r>
      <w:r w:rsidR="00CC4E3D">
        <w:rPr>
          <w:noProof/>
        </w:rPr>
        <w:fldChar w:fldCharType="begin"/>
      </w:r>
      <w:r w:rsidR="00CC4E3D">
        <w:rPr>
          <w:noProof/>
        </w:rPr>
        <w:instrText xml:space="preserve"> SEQ Figure \* ARABIC \s 1 </w:instrText>
      </w:r>
      <w:r w:rsidR="00CC4E3D">
        <w:rPr>
          <w:noProof/>
        </w:rPr>
        <w:fldChar w:fldCharType="separate"/>
      </w:r>
      <w:r w:rsidR="00D84A2A">
        <w:rPr>
          <w:noProof/>
        </w:rPr>
        <w:t>2</w:t>
      </w:r>
      <w:r w:rsidR="00CC4E3D">
        <w:rPr>
          <w:noProof/>
        </w:rPr>
        <w:fldChar w:fldCharType="end"/>
      </w:r>
      <w:r w:rsidR="00CC4E3D">
        <w:tab/>
      </w:r>
      <w:r w:rsidR="00CC4E3D" w:rsidRPr="0090059B">
        <w:t>Transition to Work pathway for Group One</w:t>
      </w:r>
      <w:bookmarkEnd w:id="50"/>
      <w:bookmarkEnd w:id="51"/>
      <w:bookmarkEnd w:id="52"/>
      <w:bookmarkEnd w:id="53"/>
      <w:bookmarkEnd w:id="54"/>
    </w:p>
    <w:p w14:paraId="13332066" w14:textId="42014032" w:rsidR="001030D7" w:rsidRPr="0090059B" w:rsidRDefault="001030D7" w:rsidP="0090059B">
      <w:pPr>
        <w:spacing w:after="0" w:line="240" w:lineRule="auto"/>
        <w:rPr>
          <w:color w:val="FFFFFF" w:themeColor="background1"/>
          <w:sz w:val="16"/>
          <w:szCs w:val="16"/>
        </w:rPr>
      </w:pPr>
      <w:r w:rsidRPr="0090059B">
        <w:rPr>
          <w:color w:val="FFFFFF" w:themeColor="background1"/>
          <w:sz w:val="16"/>
          <w:szCs w:val="16"/>
        </w:rPr>
        <w:t>Simple flow chart describing the stages of the TtW service for Group One participants (DHS referrals)</w:t>
      </w:r>
    </w:p>
    <w:p w14:paraId="2B6E9770" w14:textId="16B8B90D" w:rsidR="001030D7" w:rsidRPr="0090059B" w:rsidRDefault="001030D7" w:rsidP="0090059B">
      <w:pPr>
        <w:spacing w:after="0" w:line="240" w:lineRule="auto"/>
        <w:rPr>
          <w:color w:val="FFFFFF" w:themeColor="background1"/>
          <w:sz w:val="16"/>
          <w:szCs w:val="16"/>
        </w:rPr>
      </w:pPr>
      <w:r w:rsidRPr="0090059B">
        <w:rPr>
          <w:color w:val="FFFFFF" w:themeColor="background1"/>
          <w:sz w:val="16"/>
          <w:szCs w:val="16"/>
        </w:rPr>
        <w:t>This figure describes six stages of participation, in chronological order from 1 to 6.</w:t>
      </w:r>
    </w:p>
    <w:p w14:paraId="4CB467DF" w14:textId="27B52DAD" w:rsidR="001030D7" w:rsidRPr="0090059B" w:rsidRDefault="001030D7" w:rsidP="0090059B">
      <w:pPr>
        <w:spacing w:after="0" w:line="240" w:lineRule="auto"/>
        <w:rPr>
          <w:color w:val="FFFFFF" w:themeColor="background1"/>
          <w:sz w:val="16"/>
          <w:szCs w:val="16"/>
        </w:rPr>
      </w:pPr>
      <w:r w:rsidRPr="0090059B">
        <w:rPr>
          <w:color w:val="FFFFFF" w:themeColor="background1"/>
          <w:sz w:val="16"/>
          <w:szCs w:val="16"/>
        </w:rPr>
        <w:t>1. Registers for Youth Allowance (Other) with DHS — meets eligibility criteria for TtW and is assessed in Job Seeker Classification Instrument as Stream B (no ESAt pending)</w:t>
      </w:r>
    </w:p>
    <w:p w14:paraId="4001BB17" w14:textId="4FA4042A" w:rsidR="001030D7" w:rsidRPr="0090059B" w:rsidRDefault="001030D7" w:rsidP="0090059B">
      <w:pPr>
        <w:spacing w:after="0" w:line="240" w:lineRule="auto"/>
        <w:rPr>
          <w:color w:val="FFFFFF" w:themeColor="background1"/>
          <w:sz w:val="16"/>
          <w:szCs w:val="16"/>
        </w:rPr>
      </w:pPr>
      <w:r w:rsidRPr="0090059B">
        <w:rPr>
          <w:color w:val="FFFFFF" w:themeColor="background1"/>
          <w:sz w:val="16"/>
          <w:szCs w:val="16"/>
        </w:rPr>
        <w:t>2. Referred by DHS to employment services provider (referral) — referred to TtW if eligible but may choose referral to jobactive</w:t>
      </w:r>
    </w:p>
    <w:p w14:paraId="1D733C79" w14:textId="5AC6FA3F" w:rsidR="001030D7" w:rsidRPr="0090059B" w:rsidRDefault="001030D7" w:rsidP="0090059B">
      <w:pPr>
        <w:spacing w:after="0" w:line="240" w:lineRule="auto"/>
        <w:rPr>
          <w:color w:val="FFFFFF" w:themeColor="background1"/>
          <w:sz w:val="16"/>
          <w:szCs w:val="16"/>
        </w:rPr>
      </w:pPr>
      <w:r w:rsidRPr="0090059B">
        <w:rPr>
          <w:color w:val="FFFFFF" w:themeColor="background1"/>
          <w:sz w:val="16"/>
          <w:szCs w:val="16"/>
        </w:rPr>
        <w:t>3. Placed with TtW provider (placement) — TtW employment services provider has a contract with the Department and at the initial appointment assesses the young person, explains Mutual Obligation Requirements and develops a Job Plan</w:t>
      </w:r>
    </w:p>
    <w:p w14:paraId="68E39CA3" w14:textId="5A9A6E0E" w:rsidR="001030D7" w:rsidRPr="0090059B" w:rsidRDefault="001030D7" w:rsidP="0090059B">
      <w:pPr>
        <w:spacing w:after="0" w:line="240" w:lineRule="auto"/>
        <w:rPr>
          <w:color w:val="FFFFFF" w:themeColor="background1"/>
          <w:sz w:val="16"/>
          <w:szCs w:val="16"/>
        </w:rPr>
      </w:pPr>
      <w:r w:rsidRPr="0090059B">
        <w:rPr>
          <w:color w:val="FFFFFF" w:themeColor="background1"/>
          <w:sz w:val="16"/>
          <w:szCs w:val="16"/>
        </w:rPr>
        <w:t>4. Intensive pre-employment support to help with work-readiness or education — those who choose jobactive instead must meet early school leaver participation requirements (compulsory job search of study for Year 12 equivalency)</w:t>
      </w:r>
    </w:p>
    <w:p w14:paraId="7EFCF945" w14:textId="1F1F59DF" w:rsidR="001030D7" w:rsidRPr="0090059B" w:rsidRDefault="001030D7" w:rsidP="0090059B">
      <w:pPr>
        <w:spacing w:after="0" w:line="240" w:lineRule="auto"/>
        <w:rPr>
          <w:color w:val="FFFFFF" w:themeColor="background1"/>
          <w:sz w:val="16"/>
          <w:szCs w:val="16"/>
        </w:rPr>
      </w:pPr>
      <w:r w:rsidRPr="0090059B">
        <w:rPr>
          <w:color w:val="FFFFFF" w:themeColor="background1"/>
          <w:sz w:val="16"/>
          <w:szCs w:val="16"/>
        </w:rPr>
        <w:t>5. Can change service provider site but stay with the same provider (new placement) or change provider (new referral) — young person may move to more assessable site or change address</w:t>
      </w:r>
    </w:p>
    <w:p w14:paraId="62EE7F72" w14:textId="64AE1AA6" w:rsidR="00CC4E3D" w:rsidRDefault="001030D7" w:rsidP="00F44ADC">
      <w:pPr>
        <w:spacing w:after="2880" w:line="240" w:lineRule="auto"/>
      </w:pPr>
      <w:r w:rsidRPr="0090059B">
        <w:rPr>
          <w:color w:val="FFFFFF" w:themeColor="background1"/>
          <w:sz w:val="16"/>
          <w:szCs w:val="16"/>
        </w:rPr>
        <w:t>6. Can stay in TtW for 12 months; exit TtW before 12 months; be referred back to jobactive after 12 months unless tracking to a TtW outcome — reasons for exit include finding a job, moving to a non-activity-tested income support payment, entering full-time study or choosing to exit</w:t>
      </w:r>
    </w:p>
    <w:p w14:paraId="68E2545E" w14:textId="0D31AB5C" w:rsidR="00CC4E3D" w:rsidRDefault="00CC4E3D" w:rsidP="00F44ADC">
      <w:pPr>
        <w:spacing w:before="120" w:after="120"/>
      </w:pPr>
      <w:r>
        <w:t>The commencement processes for</w:t>
      </w:r>
      <w:r w:rsidR="001C25D9">
        <w:t xml:space="preserve"> TtW and jobactive are similar.</w:t>
      </w:r>
    </w:p>
    <w:p w14:paraId="4DCB96C1" w14:textId="1865986E" w:rsidR="00CC4E3D" w:rsidRDefault="00CC4E3D" w:rsidP="00CC4E3D">
      <w:r w:rsidRPr="00A900AF">
        <w:t>For TtW, a participant has commenced once they have attended their initial appointment. In the first</w:t>
      </w:r>
      <w:r>
        <w:t xml:space="preserve"> four weeks of a participant starting with TtW, the provider describes their services; explains that participating in TtW fully meets any applicable Mutual Obligation Requirements (i.e. for Group One and Group Three participants) and explains the consequences of not participating appropriately. Providers work with TtW participants</w:t>
      </w:r>
      <w:r>
        <w:rPr>
          <w:rStyle w:val="FootnoteReference"/>
        </w:rPr>
        <w:footnoteReference w:id="4"/>
      </w:r>
      <w:r>
        <w:t xml:space="preserve"> to develop an individual Job Plan detailing the activities they will participate in for 25 hour</w:t>
      </w:r>
      <w:r w:rsidR="001C25D9">
        <w:t>s per week for up to 12 months.</w:t>
      </w:r>
    </w:p>
    <w:p w14:paraId="16634694" w14:textId="77777777" w:rsidR="00CC4E3D" w:rsidRDefault="00CC4E3D" w:rsidP="00CC4E3D">
      <w:r>
        <w:t xml:space="preserve">Similarly, a job seeker also commences in jobactive after attending an initial appointment. The provider explains the services, identifies the job seeker’s strengths and any issues they have in finding employment, assesses the job seeker’s circumstances and explains their Mutual Obligation Requirements. </w:t>
      </w:r>
    </w:p>
    <w:p w14:paraId="799754C8" w14:textId="77777777" w:rsidR="00CC4E3D" w:rsidRDefault="00CC4E3D" w:rsidP="00415050">
      <w:pPr>
        <w:keepNext/>
      </w:pPr>
      <w:r>
        <w:t>For early school leavers Mutual Obligation Requirements include:</w:t>
      </w:r>
    </w:p>
    <w:p w14:paraId="3D9C85A0" w14:textId="77777777" w:rsidR="00CC4E3D" w:rsidRDefault="00CC4E3D" w:rsidP="00415050">
      <w:pPr>
        <w:pStyle w:val="ListBullet"/>
        <w:keepNext/>
        <w:ind w:left="357" w:hanging="357"/>
      </w:pPr>
      <w:r>
        <w:t>entering into a job plan which sets out the activities and appointments the job seeker will be undertaking</w:t>
      </w:r>
    </w:p>
    <w:p w14:paraId="38BF2677" w14:textId="77777777" w:rsidR="00CC4E3D" w:rsidRDefault="00CC4E3D" w:rsidP="00415050">
      <w:pPr>
        <w:pStyle w:val="ListBullet"/>
      </w:pPr>
      <w:r>
        <w:t>attending all DHS and provider appointments</w:t>
      </w:r>
    </w:p>
    <w:p w14:paraId="183366D2" w14:textId="77777777" w:rsidR="00CC4E3D" w:rsidRDefault="00CC4E3D" w:rsidP="00415050">
      <w:pPr>
        <w:pStyle w:val="ListBullet"/>
      </w:pPr>
      <w:r>
        <w:lastRenderedPageBreak/>
        <w:t>acting on referrals to jobs from their provider and attending job interviews offered by employers</w:t>
      </w:r>
    </w:p>
    <w:p w14:paraId="06FC33A0" w14:textId="77777777" w:rsidR="00CC4E3D" w:rsidRDefault="00CC4E3D" w:rsidP="00415050">
      <w:pPr>
        <w:pStyle w:val="ListBullet"/>
      </w:pPr>
      <w:r>
        <w:t>undertaking job search (generally 20 job searches per month)</w:t>
      </w:r>
    </w:p>
    <w:p w14:paraId="1455307C" w14:textId="77777777" w:rsidR="00CC4E3D" w:rsidRDefault="00CC4E3D" w:rsidP="00415050">
      <w:pPr>
        <w:pStyle w:val="ListBullet"/>
      </w:pPr>
      <w:r>
        <w:t>meeting their annual activity requirement by participating in activities including full-time or part-time education and training for up to 25 hours per week</w:t>
      </w:r>
    </w:p>
    <w:p w14:paraId="2331B0BB" w14:textId="77777777" w:rsidR="00CC4E3D" w:rsidRDefault="00CC4E3D" w:rsidP="00415050">
      <w:pPr>
        <w:pStyle w:val="ListBullet"/>
      </w:pPr>
      <w:r>
        <w:t>participating in any activity at any time that is relevant to their personal circumstances and will help the job seeker to improve their employment prospects.</w:t>
      </w:r>
    </w:p>
    <w:p w14:paraId="4455CBCD" w14:textId="77777777" w:rsidR="00CC4E3D" w:rsidRDefault="00CC4E3D" w:rsidP="00CC4E3D">
      <w:r>
        <w:t xml:space="preserve">If the job seeker does not comply with these requirements their income support payment may be suspended, reduced and/or cancelled. </w:t>
      </w:r>
    </w:p>
    <w:p w14:paraId="2A785775" w14:textId="20A740EA" w:rsidR="00CC4E3D" w:rsidRDefault="00CC4E3D" w:rsidP="00CC4E3D">
      <w:r>
        <w:t xml:space="preserve">In the early implementation of the TtW service the </w:t>
      </w:r>
      <w:r w:rsidR="00082F50">
        <w:t>d</w:t>
      </w:r>
      <w:r>
        <w:t xml:space="preserve">epartment through its IT systems referred a number of participants from jobactive to a TtW provider. This was the initial start-up caseload used to enable providers to start their service rapidly. </w:t>
      </w:r>
    </w:p>
    <w:p w14:paraId="65BFF121" w14:textId="77777777" w:rsidR="00CC4E3D" w:rsidRPr="00FD4CA8" w:rsidRDefault="00CC4E3D" w:rsidP="001C25D9">
      <w:pPr>
        <w:pStyle w:val="Heading3"/>
        <w:numPr>
          <w:ilvl w:val="2"/>
          <w:numId w:val="4"/>
        </w:numPr>
        <w:spacing w:before="200"/>
        <w:rPr>
          <w:szCs w:val="24"/>
        </w:rPr>
      </w:pPr>
      <w:bookmarkStart w:id="55" w:name="_Toc535498855"/>
      <w:bookmarkStart w:id="56" w:name="_Toc23841335"/>
      <w:r w:rsidRPr="00FD4CA8">
        <w:rPr>
          <w:szCs w:val="24"/>
        </w:rPr>
        <w:t>The TtW funding model</w:t>
      </w:r>
      <w:bookmarkEnd w:id="55"/>
      <w:bookmarkEnd w:id="56"/>
    </w:p>
    <w:p w14:paraId="0F925FB9" w14:textId="77777777" w:rsidR="00CC4E3D" w:rsidRDefault="00CC4E3D" w:rsidP="00CC4E3D">
      <w:pPr>
        <w:keepNext/>
      </w:pPr>
      <w:r>
        <w:t>The funding model for TtW providers includes an up-front payment, a quarterly Outcome Performance Target and additional outcome payments to drive high performance. The three main elements are:</w:t>
      </w:r>
    </w:p>
    <w:p w14:paraId="7D6F02C9" w14:textId="77777777" w:rsidR="00CC4E3D" w:rsidRDefault="00CC4E3D" w:rsidP="00415050">
      <w:pPr>
        <w:pStyle w:val="ListBullet"/>
      </w:pPr>
      <w:r>
        <w:t>an up-front payment of $5300 per annum for each funded place, paid in quarterly instalments of $1325</w:t>
      </w:r>
    </w:p>
    <w:p w14:paraId="26CADD45" w14:textId="77777777" w:rsidR="00CC4E3D" w:rsidRDefault="00CC4E3D" w:rsidP="00415050">
      <w:pPr>
        <w:pStyle w:val="ListBullet"/>
      </w:pPr>
      <w:r>
        <w:t>a bonus outcome payment of $3500 for every outcome above a quarterly Outcome Performance Target, paid as outcomes are achieved</w:t>
      </w:r>
    </w:p>
    <w:p w14:paraId="4F976A78" w14:textId="77777777" w:rsidR="00CC4E3D" w:rsidRDefault="00CC4E3D" w:rsidP="00415050">
      <w:pPr>
        <w:pStyle w:val="ListBullet"/>
      </w:pPr>
      <w:r>
        <w:t xml:space="preserve">a sustainability outcome payment of $3500 for every 26-week employment and hybrid outcome, paid as outcomes are achieved, regardless of whether the quarterly Outcome Performance Target was met. </w:t>
      </w:r>
    </w:p>
    <w:p w14:paraId="7EDC6597" w14:textId="5D82FE15" w:rsidR="00CC4E3D" w:rsidRDefault="00CC4E3D" w:rsidP="00CC4E3D">
      <w:pPr>
        <w:keepNext/>
      </w:pPr>
      <w:r>
        <w:t>The relatively generous up-front payment is designed to allow providers to fund services or activities that will help a participant gain employment, participate in education and increase work-readiness. Wage subsidies (up to $10,000</w:t>
      </w:r>
      <w:r>
        <w:rPr>
          <w:rStyle w:val="FootnoteReference"/>
        </w:rPr>
        <w:footnoteReference w:id="5"/>
      </w:r>
      <w:r>
        <w:t xml:space="preserve">) are also available to employers who have hired a TtW participant in a sustainable ongoing position with an average of 20 hours per week over at least six months, to help cover the costs of hiring and training a young person who is eligible for a wage subsidy. These provide a financial incentive to employers to hire eligible recipients in ongoing jobs by contributing to the initial costs of hiring a new employee. TtW providers can seek reimbursement from the </w:t>
      </w:r>
      <w:r w:rsidR="00082F50">
        <w:t>d</w:t>
      </w:r>
      <w:r w:rsidR="00F849AD">
        <w:t xml:space="preserve">epartment </w:t>
      </w:r>
      <w:r>
        <w:t>for the following wage subsidies:</w:t>
      </w:r>
    </w:p>
    <w:p w14:paraId="6832568D" w14:textId="77777777" w:rsidR="00CC4E3D" w:rsidRDefault="00CC4E3D" w:rsidP="00415050">
      <w:pPr>
        <w:pStyle w:val="ListBullet"/>
      </w:pPr>
      <w:r>
        <w:t>Youth Bonus Wage Subsidy</w:t>
      </w:r>
    </w:p>
    <w:p w14:paraId="6E2F536F" w14:textId="77777777" w:rsidR="00CC4E3D" w:rsidRDefault="00CC4E3D" w:rsidP="00415050">
      <w:pPr>
        <w:pStyle w:val="ListBullet"/>
      </w:pPr>
      <w:r>
        <w:t>Parents Wage Subsidy</w:t>
      </w:r>
    </w:p>
    <w:p w14:paraId="28A0BEF7" w14:textId="77777777" w:rsidR="00CC4E3D" w:rsidRDefault="00CC4E3D" w:rsidP="00415050">
      <w:pPr>
        <w:pStyle w:val="ListBullet"/>
      </w:pPr>
      <w:r w:rsidRPr="0065530C">
        <w:lastRenderedPageBreak/>
        <w:t xml:space="preserve">Long Term Unemployed </w:t>
      </w:r>
      <w:r>
        <w:t>Wage Subsidy</w:t>
      </w:r>
    </w:p>
    <w:p w14:paraId="39CAC41A" w14:textId="77777777" w:rsidR="00CC4E3D" w:rsidRDefault="00CC4E3D" w:rsidP="00415050">
      <w:pPr>
        <w:pStyle w:val="ListBullet"/>
      </w:pPr>
      <w:r>
        <w:t>Indigenous Wage Subsidy.</w:t>
      </w:r>
    </w:p>
    <w:p w14:paraId="32D1E007" w14:textId="77777777" w:rsidR="00CC4E3D" w:rsidRDefault="00CC4E3D" w:rsidP="00CC4E3D">
      <w:r>
        <w:t>The TtW funding model differs from other employment services funding models, such as jobactive. j</w:t>
      </w:r>
      <w:r w:rsidRPr="00FB6FB8">
        <w:t xml:space="preserve">obactive provides a six-monthly administration fee and outcome payments as the primary source of funding. </w:t>
      </w:r>
      <w:r>
        <w:t>j</w:t>
      </w:r>
      <w:r w:rsidRPr="00FB6FB8">
        <w:t xml:space="preserve">obactive providers also have access to an </w:t>
      </w:r>
      <w:r>
        <w:t>E</w:t>
      </w:r>
      <w:r w:rsidRPr="00FB6FB8">
        <w:t xml:space="preserve">mployment </w:t>
      </w:r>
      <w:r>
        <w:t>F</w:t>
      </w:r>
      <w:r w:rsidRPr="00FB6FB8">
        <w:t>und</w:t>
      </w:r>
      <w:r>
        <w:t xml:space="preserve"> allocation</w:t>
      </w:r>
      <w:r w:rsidRPr="00FB6FB8">
        <w:t>, not available</w:t>
      </w:r>
      <w:r>
        <w:t xml:space="preserve"> to TtW, for goods and services that genuinely support and assist young people to gain the tools, skills and experience they need to get and keep a job. TtW providers are expected to purchase these items out of the much higher up-front payments provided in TtW as well as bonus outcome and sustainability payments achieved.</w:t>
      </w:r>
    </w:p>
    <w:p w14:paraId="388C4A6E" w14:textId="77777777" w:rsidR="00CC4E3D" w:rsidRPr="00FD4CA8" w:rsidRDefault="00CC4E3D" w:rsidP="001C25D9">
      <w:pPr>
        <w:pStyle w:val="Heading3"/>
        <w:numPr>
          <w:ilvl w:val="2"/>
          <w:numId w:val="4"/>
        </w:numPr>
        <w:spacing w:before="200"/>
        <w:rPr>
          <w:szCs w:val="24"/>
        </w:rPr>
      </w:pPr>
      <w:bookmarkStart w:id="57" w:name="_Toc535498856"/>
      <w:bookmarkStart w:id="58" w:name="_Toc23841336"/>
      <w:r w:rsidRPr="00FD4CA8">
        <w:rPr>
          <w:szCs w:val="24"/>
        </w:rPr>
        <w:t>The TtW funding model includes up-front payments and 12-week Outcome Performance Target payments</w:t>
      </w:r>
      <w:bookmarkEnd w:id="57"/>
      <w:bookmarkEnd w:id="58"/>
    </w:p>
    <w:p w14:paraId="79102849" w14:textId="77777777" w:rsidR="00CC4E3D" w:rsidRDefault="00CC4E3D" w:rsidP="00CC4E3D">
      <w:r>
        <w:t>As a condition of the up-front payment for each funded place (</w:t>
      </w:r>
      <w:r>
        <w:rPr>
          <w:b/>
        </w:rPr>
        <w:t>Section </w:t>
      </w:r>
      <w:r w:rsidRPr="005D1E91">
        <w:rPr>
          <w:b/>
        </w:rPr>
        <w:t>1.2.4</w:t>
      </w:r>
      <w:r>
        <w:t>), providers must achieve an agreed number of outcomes. The Outcome Performance Target has been set at 25 per cent above the average employment and education outcome rates achieved for jobactive in each employment region. For example, in an employment region where jobactive providers are achieving 100 outcomes on average, a TtW provider with a caseload that is similar in number and characteristics is expected to achieve 125 outcomes.</w:t>
      </w:r>
    </w:p>
    <w:p w14:paraId="7BE67FE9" w14:textId="77777777" w:rsidR="00CC4E3D" w:rsidRDefault="00CC4E3D" w:rsidP="00CC4E3D">
      <w:r>
        <w:t>To take into account variations in labour market conditions, the annual Outcome Performance Targets were calculated separately for each of the 51 employment regions</w:t>
      </w:r>
      <w:r>
        <w:rPr>
          <w:rStyle w:val="FootnoteReference"/>
        </w:rPr>
        <w:footnoteReference w:id="6"/>
      </w:r>
      <w:r>
        <w:t xml:space="preserve">the TtW service operates in. In the first year of the service, these targets were set using three-year average outcome rates from Job Services Australia and, where available, comparable jobactive data. The first-year performance targets are lower than those for subsequent years because the allocated annual Outcome Performance Targets were discounted quarterly over the first year of operation. This was to make allowance for the expectation that providers would have commenced 75, 85, 90 and 100 per cent of their funded places by the end of each quarter as their caseload increased. </w:t>
      </w:r>
    </w:p>
    <w:p w14:paraId="54C6168A" w14:textId="77777777" w:rsidR="00CC4E3D" w:rsidRPr="00FD4CA8" w:rsidRDefault="00CC4E3D" w:rsidP="001C25D9">
      <w:pPr>
        <w:pStyle w:val="Heading3"/>
        <w:numPr>
          <w:ilvl w:val="2"/>
          <w:numId w:val="4"/>
        </w:numPr>
        <w:spacing w:before="200"/>
        <w:rPr>
          <w:szCs w:val="24"/>
        </w:rPr>
      </w:pPr>
      <w:bookmarkStart w:id="59" w:name="_Toc535498857"/>
      <w:bookmarkStart w:id="60" w:name="_Toc23841337"/>
      <w:r w:rsidRPr="00FD4CA8">
        <w:rPr>
          <w:szCs w:val="24"/>
        </w:rPr>
        <w:t>The TtW service focuses on both employment and education outcomes</w:t>
      </w:r>
      <w:bookmarkEnd w:id="59"/>
      <w:bookmarkEnd w:id="60"/>
    </w:p>
    <w:p w14:paraId="4E5B8094" w14:textId="77777777" w:rsidR="00CC4E3D" w:rsidRDefault="00CC4E3D" w:rsidP="00CC4E3D">
      <w:r>
        <w:t xml:space="preserve">Providers can claim outcomes for young people who participate in work, education or a combination of the two, depending on the participant’s income support status and Mutual Obligation Requirements as presented in the table in </w:t>
      </w:r>
      <w:r>
        <w:rPr>
          <w:b/>
        </w:rPr>
        <w:t>Appendix B</w:t>
      </w:r>
      <w:r>
        <w:t>.</w:t>
      </w:r>
    </w:p>
    <w:p w14:paraId="27607C71" w14:textId="77777777" w:rsidR="00CC4E3D" w:rsidRPr="00FD4CA8" w:rsidRDefault="00CC4E3D">
      <w:pPr>
        <w:pStyle w:val="Heading4"/>
      </w:pPr>
      <w:r w:rsidRPr="00FD4CA8">
        <w:t xml:space="preserve">Employment outcomes </w:t>
      </w:r>
    </w:p>
    <w:p w14:paraId="3B92CA40" w14:textId="77777777" w:rsidR="00CC4E3D" w:rsidRDefault="00CC4E3D" w:rsidP="00CC4E3D">
      <w:pPr>
        <w:keepNext/>
      </w:pPr>
      <w:r>
        <w:t>A 12-week employment outcome is achieved for participation in 12 </w:t>
      </w:r>
      <w:r w:rsidRPr="00FB6FB8">
        <w:rPr>
          <w:b/>
        </w:rPr>
        <w:t>cumulative</w:t>
      </w:r>
      <w:r>
        <w:t xml:space="preserve"> weeks of:</w:t>
      </w:r>
    </w:p>
    <w:p w14:paraId="0965D2DE" w14:textId="77777777" w:rsidR="00CC4E3D" w:rsidRDefault="00CC4E3D" w:rsidP="00415050">
      <w:pPr>
        <w:pStyle w:val="ListBullet"/>
      </w:pPr>
      <w:r>
        <w:t>employment confirmed and tracked during a participant’s period of service (this can comprise multiple job placements and employers)</w:t>
      </w:r>
      <w:r w:rsidRPr="00FB6FB8">
        <w:rPr>
          <w:b/>
        </w:rPr>
        <w:t xml:space="preserve"> or</w:t>
      </w:r>
    </w:p>
    <w:p w14:paraId="22574B6B" w14:textId="77777777" w:rsidR="00CC4E3D" w:rsidRDefault="00CC4E3D" w:rsidP="00415050">
      <w:pPr>
        <w:pStyle w:val="ListBullet"/>
      </w:pPr>
      <w:r>
        <w:t xml:space="preserve">unsubsidised (not on income support) self-employment </w:t>
      </w:r>
      <w:r w:rsidRPr="00FB6FB8">
        <w:rPr>
          <w:b/>
        </w:rPr>
        <w:t>or</w:t>
      </w:r>
    </w:p>
    <w:p w14:paraId="09F50744" w14:textId="77777777" w:rsidR="00CC4E3D" w:rsidRDefault="00CC4E3D" w:rsidP="00415050">
      <w:pPr>
        <w:pStyle w:val="ListBullet"/>
      </w:pPr>
      <w:r>
        <w:t>an apprenticeship or traineeship (if not claimed as a hybrid outcome).</w:t>
      </w:r>
    </w:p>
    <w:p w14:paraId="18246272" w14:textId="77777777" w:rsidR="00CC4E3D" w:rsidRDefault="00CC4E3D" w:rsidP="00CC4E3D">
      <w:r>
        <w:lastRenderedPageBreak/>
        <w:t>A 26-week Employment Outcome is achieved by meeting the requirements for a 12-week employment or 12-week hybrid outcome, then continued employment for 14 </w:t>
      </w:r>
      <w:r w:rsidRPr="00FB6FB8">
        <w:rPr>
          <w:b/>
        </w:rPr>
        <w:t>consecutive</w:t>
      </w:r>
      <w:r>
        <w:t xml:space="preserve"> weeks after the 12-week outcome.</w:t>
      </w:r>
    </w:p>
    <w:p w14:paraId="46E15F5E" w14:textId="77777777" w:rsidR="00CC4E3D" w:rsidRPr="00FD4CA8" w:rsidRDefault="00CC4E3D">
      <w:pPr>
        <w:pStyle w:val="Heading4"/>
      </w:pPr>
      <w:r w:rsidRPr="00FD4CA8">
        <w:t>Education outcomes</w:t>
      </w:r>
    </w:p>
    <w:p w14:paraId="4F147C94" w14:textId="77777777" w:rsidR="00CC4E3D" w:rsidRDefault="00CC4E3D" w:rsidP="00CC4E3D">
      <w:pPr>
        <w:keepNext/>
      </w:pPr>
      <w:r>
        <w:t>An education outcome is achieved for attainment of, or 26 consecutive weeks of full-time participation in:</w:t>
      </w:r>
    </w:p>
    <w:p w14:paraId="5FFC1507" w14:textId="77777777" w:rsidR="00CC4E3D" w:rsidRDefault="00CC4E3D" w:rsidP="00415050">
      <w:pPr>
        <w:pStyle w:val="ListBullet"/>
      </w:pPr>
      <w:r>
        <w:t xml:space="preserve">a Certificate III or higher course (this includes a diploma, advanced diploma, associate degree or bachelor degree; it does not include university bridging or preparation courses) </w:t>
      </w:r>
      <w:r w:rsidRPr="00FB6FB8">
        <w:rPr>
          <w:b/>
        </w:rPr>
        <w:t>or</w:t>
      </w:r>
    </w:p>
    <w:p w14:paraId="64BF9085" w14:textId="77777777" w:rsidR="00CC4E3D" w:rsidRDefault="00CC4E3D" w:rsidP="00415050">
      <w:pPr>
        <w:pStyle w:val="ListBullet"/>
      </w:pPr>
      <w:r>
        <w:t xml:space="preserve">secondary education leading to Year 12 (attainment may only be claimed for completing Year 12) </w:t>
      </w:r>
      <w:r w:rsidRPr="00FB6FB8">
        <w:rPr>
          <w:b/>
        </w:rPr>
        <w:t>or</w:t>
      </w:r>
    </w:p>
    <w:p w14:paraId="24183C7F" w14:textId="77777777" w:rsidR="00CC4E3D" w:rsidRDefault="00CC4E3D" w:rsidP="00415050">
      <w:pPr>
        <w:pStyle w:val="ListBullet"/>
      </w:pPr>
      <w:r>
        <w:t>26 </w:t>
      </w:r>
      <w:r w:rsidRPr="00FB6FB8">
        <w:rPr>
          <w:b/>
        </w:rPr>
        <w:t>consecutive</w:t>
      </w:r>
      <w:r>
        <w:t xml:space="preserve"> weeks of full-time participation in the Skills for Education and </w:t>
      </w:r>
      <w:r w:rsidRPr="0065530C">
        <w:t>Employment (SEE) program or Adult Migrant Education Program (AMEP). SEE and AMEP can only track towards a</w:t>
      </w:r>
      <w:r>
        <w:t xml:space="preserve"> participation outcome, not an attainment outcome.</w:t>
      </w:r>
    </w:p>
    <w:p w14:paraId="50D5A97B" w14:textId="77777777" w:rsidR="00CC4E3D" w:rsidRPr="00FD4CA8" w:rsidRDefault="00CC4E3D">
      <w:pPr>
        <w:pStyle w:val="Heading4"/>
      </w:pPr>
      <w:r w:rsidRPr="00FD4CA8">
        <w:t>Hybrid outcomes</w:t>
      </w:r>
    </w:p>
    <w:p w14:paraId="2FD3A941" w14:textId="77777777" w:rsidR="00CC4E3D" w:rsidRDefault="00CC4E3D" w:rsidP="00CC4E3D">
      <w:r>
        <w:t>A 12-week hybrid outcome is achieved for 12 </w:t>
      </w:r>
      <w:r w:rsidRPr="00FB6FB8">
        <w:rPr>
          <w:b/>
        </w:rPr>
        <w:t>consecutive</w:t>
      </w:r>
      <w:r>
        <w:t xml:space="preserve"> weeks of participation in any combination of education and employment for no fewer than 25 hours (on average) per week, as long as placements run concurrently.</w:t>
      </w:r>
    </w:p>
    <w:p w14:paraId="6610E6B9" w14:textId="77777777" w:rsidR="00CC4E3D" w:rsidRDefault="00CC4E3D" w:rsidP="00CC4E3D">
      <w:r>
        <w:t>A 26-week hybrid outcome is achieved where a participant meets the 12-week hybrid or 12-week employment outcome requirements, then the hybrid outcome requirements for 14 </w:t>
      </w:r>
      <w:r w:rsidRPr="00FB6FB8">
        <w:rPr>
          <w:b/>
        </w:rPr>
        <w:t>consecutive</w:t>
      </w:r>
      <w:r>
        <w:t xml:space="preserve"> weeks after the 12-week outcome.</w:t>
      </w:r>
    </w:p>
    <w:p w14:paraId="31702551" w14:textId="77777777" w:rsidR="00CC4E3D" w:rsidRPr="00FD4CA8" w:rsidRDefault="00CC4E3D" w:rsidP="001C25D9">
      <w:pPr>
        <w:pStyle w:val="Heading3"/>
        <w:numPr>
          <w:ilvl w:val="2"/>
          <w:numId w:val="4"/>
        </w:numPr>
        <w:spacing w:before="200"/>
        <w:rPr>
          <w:szCs w:val="24"/>
        </w:rPr>
      </w:pPr>
      <w:bookmarkStart w:id="61" w:name="_Toc535498858"/>
      <w:bookmarkStart w:id="62" w:name="_Toc23841338"/>
      <w:r w:rsidRPr="00FD4CA8">
        <w:rPr>
          <w:szCs w:val="24"/>
        </w:rPr>
        <w:t>Service guarantee, Service Delivery Plans and key performance indicators</w:t>
      </w:r>
      <w:bookmarkEnd w:id="61"/>
      <w:bookmarkEnd w:id="62"/>
      <w:r w:rsidRPr="00FD4CA8">
        <w:rPr>
          <w:szCs w:val="24"/>
        </w:rPr>
        <w:t xml:space="preserve"> </w:t>
      </w:r>
    </w:p>
    <w:p w14:paraId="365473A9" w14:textId="77777777" w:rsidR="00CC4E3D" w:rsidRDefault="00CC4E3D" w:rsidP="00CC4E3D">
      <w:r>
        <w:t xml:space="preserve">The </w:t>
      </w:r>
      <w:r w:rsidRPr="007879F4">
        <w:rPr>
          <w:i/>
        </w:rPr>
        <w:t>Service Guarantee for Transition to Work</w:t>
      </w:r>
      <w:r>
        <w:t xml:space="preserve"> sets out the standard of service delivery participants and employers can expect from a provider. This is complemented by Service Delivery Plans (</w:t>
      </w:r>
      <w:r w:rsidRPr="0065530C">
        <w:t>SDPs</w:t>
      </w:r>
      <w:r>
        <w:t>) outlining the agreed suite of services to be delivered by the TtW provider, including highly flexible strategies that are tailored to the needs of individual participants, employers and other stakeholders. The SDPs will be reviewed in the second phase of the TtW evaluation.</w:t>
      </w:r>
    </w:p>
    <w:p w14:paraId="60E5EF10" w14:textId="643BDB54" w:rsidR="00CC4E3D" w:rsidRDefault="00CC4E3D" w:rsidP="00CC4E3D">
      <w:pPr>
        <w:keepNext/>
      </w:pPr>
      <w:r>
        <w:t xml:space="preserve">Outcome Performance Targets are set out in providers’ contracts. Some providers have a single contract, while others have multiple contracts, and these targets are contract-specific. Providers receive ‘bonus’ outcomes for every 12-week employment, 12-week hybrid or education outcome they claim above their quarterly allocated target. The </w:t>
      </w:r>
      <w:r w:rsidR="00082F50">
        <w:t>d</w:t>
      </w:r>
      <w:r>
        <w:t>epartment uses the three key performance indicators (KPIs) set out in the TtW</w:t>
      </w:r>
      <w:r w:rsidRPr="0065530C">
        <w:t xml:space="preserve"> Deed </w:t>
      </w:r>
      <w:r>
        <w:t>to assess the effectiveness, efficiency and quality of a provider’s service delivery. The KPIs are:</w:t>
      </w:r>
    </w:p>
    <w:p w14:paraId="70111C64" w14:textId="77777777" w:rsidR="00CC4E3D" w:rsidRDefault="00CC4E3D" w:rsidP="00415050">
      <w:pPr>
        <w:pStyle w:val="ListBullet"/>
      </w:pPr>
      <w:r w:rsidRPr="00612C62">
        <w:rPr>
          <w:b/>
        </w:rPr>
        <w:t xml:space="preserve">KPI </w:t>
      </w:r>
      <w:r>
        <w:rPr>
          <w:b/>
        </w:rPr>
        <w:t>1 </w:t>
      </w:r>
      <w:r w:rsidRPr="00612C62">
        <w:rPr>
          <w:b/>
        </w:rPr>
        <w:t>(Effectiveness)</w:t>
      </w:r>
      <w:r>
        <w:t xml:space="preserve"> — the </w:t>
      </w:r>
      <w:r w:rsidRPr="00612C62">
        <w:t>extent</w:t>
      </w:r>
      <w:r>
        <w:t xml:space="preserve"> to which the provider meets the objectives of TtW. Measurement is based on:</w:t>
      </w:r>
    </w:p>
    <w:p w14:paraId="5B7B1187" w14:textId="77777777" w:rsidR="00CC4E3D" w:rsidRPr="00E803E7" w:rsidRDefault="00CC4E3D" w:rsidP="00CC4E3D">
      <w:pPr>
        <w:pStyle w:val="ListBullet2"/>
        <w:spacing w:after="120"/>
      </w:pPr>
      <w:r w:rsidRPr="00E803E7">
        <w:t>the number of outcomes (excluding sustainability outcomes) achieved for participants, relative to the Outcome Performance Target</w:t>
      </w:r>
    </w:p>
    <w:p w14:paraId="1B5C42C9" w14:textId="77777777" w:rsidR="00CC4E3D" w:rsidRPr="00E803E7" w:rsidRDefault="00CC4E3D" w:rsidP="00CC4E3D">
      <w:pPr>
        <w:pStyle w:val="ListBullet2"/>
        <w:spacing w:after="120"/>
      </w:pPr>
      <w:r w:rsidRPr="00E803E7">
        <w:lastRenderedPageBreak/>
        <w:t>from 1 July 2017, the degree of improvement in each participant’s work-readiness from their start date to their exit date</w:t>
      </w:r>
    </w:p>
    <w:p w14:paraId="3D7ACB39" w14:textId="77777777" w:rsidR="00CC4E3D" w:rsidRPr="00E803E7" w:rsidRDefault="00CC4E3D" w:rsidP="00CC4E3D">
      <w:pPr>
        <w:pStyle w:val="ListBullet2"/>
        <w:spacing w:after="120"/>
      </w:pPr>
      <w:r w:rsidRPr="00E803E7">
        <w:t xml:space="preserve">achieving outcomes that result in participants moving fully off income support payments. </w:t>
      </w:r>
    </w:p>
    <w:p w14:paraId="2AD31802" w14:textId="77777777" w:rsidR="00CC4E3D" w:rsidRPr="00BB4961" w:rsidRDefault="00CC4E3D" w:rsidP="00415050">
      <w:pPr>
        <w:pStyle w:val="ListBullet"/>
      </w:pPr>
      <w:r w:rsidRPr="00612C62">
        <w:rPr>
          <w:b/>
        </w:rPr>
        <w:t xml:space="preserve">KPI </w:t>
      </w:r>
      <w:r>
        <w:rPr>
          <w:b/>
        </w:rPr>
        <w:t>2 </w:t>
      </w:r>
      <w:r w:rsidRPr="00612C62">
        <w:rPr>
          <w:b/>
        </w:rPr>
        <w:t>(Efficiency)</w:t>
      </w:r>
      <w:r>
        <w:t xml:space="preserve"> — </w:t>
      </w:r>
      <w:r w:rsidRPr="00612C62">
        <w:t>Measurement</w:t>
      </w:r>
      <w:r w:rsidRPr="00BB4961">
        <w:t xml:space="preserve"> is based on the amount of time between referral and commencement of participants. </w:t>
      </w:r>
    </w:p>
    <w:p w14:paraId="7F4CD772" w14:textId="103D941C" w:rsidR="00CC4E3D" w:rsidRPr="00BB4961" w:rsidRDefault="00CC4E3D" w:rsidP="00415050">
      <w:pPr>
        <w:pStyle w:val="ListBullet"/>
      </w:pPr>
      <w:r w:rsidRPr="00612C62">
        <w:rPr>
          <w:b/>
        </w:rPr>
        <w:t xml:space="preserve">KPI </w:t>
      </w:r>
      <w:r>
        <w:rPr>
          <w:b/>
        </w:rPr>
        <w:t>3 </w:t>
      </w:r>
      <w:r w:rsidRPr="00612C62">
        <w:rPr>
          <w:b/>
        </w:rPr>
        <w:t>(Quality)</w:t>
      </w:r>
      <w:r>
        <w:t xml:space="preserve"> — </w:t>
      </w:r>
      <w:r w:rsidRPr="00612C62">
        <w:t xml:space="preserve">Measurement is based on the </w:t>
      </w:r>
      <w:r w:rsidR="00082F50">
        <w:t>d</w:t>
      </w:r>
      <w:r w:rsidRPr="00612C62">
        <w:t>epartment</w:t>
      </w:r>
      <w:r w:rsidRPr="00BB4961">
        <w:t xml:space="preserve">’s assessment of quality and assurance, including delivery against the </w:t>
      </w:r>
      <w:r w:rsidRPr="00455A0E">
        <w:rPr>
          <w:i/>
        </w:rPr>
        <w:t>Service Guarantee for Transition to Work</w:t>
      </w:r>
      <w:r w:rsidRPr="00BB4961">
        <w:t xml:space="preserve"> and the</w:t>
      </w:r>
      <w:r>
        <w:t xml:space="preserve"> SDP</w:t>
      </w:r>
      <w:r w:rsidRPr="00BB4961">
        <w:t>s.</w:t>
      </w:r>
    </w:p>
    <w:p w14:paraId="41F21EA2" w14:textId="010FE390" w:rsidR="00CC4E3D" w:rsidRDefault="00CC4E3D" w:rsidP="00CC4E3D">
      <w:r>
        <w:t xml:space="preserve">The </w:t>
      </w:r>
      <w:r w:rsidR="00082F50">
        <w:t>d</w:t>
      </w:r>
      <w:r>
        <w:t>epartment reviews service delivery on a continuous basis and undertakes service assurance activities, including through regular provider meetings. It conducts formal performance reviews annually from the start of each TtW deed. It also gathers information on each provider’s performance from a variety of sources, including post-program monitoring surveys.</w:t>
      </w:r>
    </w:p>
    <w:p w14:paraId="008E0E30" w14:textId="147902E7" w:rsidR="00CC4E3D" w:rsidRDefault="00CC4E3D" w:rsidP="00CC4E3D">
      <w:r>
        <w:t xml:space="preserve">Indigenous young people and other highly vulnerable groups are a priority for the TtW service. This is reflected in the change to the TtW eligibility criteria to include all Indigenous youth from January 2018. Providers must have experience working with disengaged and disadvantaged young people, as well as having strong links with employers, community services and schools in their local community. Although there are no specific targets for Indigenous and other highly vulnerable participants in TtW, the </w:t>
      </w:r>
      <w:r w:rsidR="00082F50">
        <w:t>d</w:t>
      </w:r>
      <w:r>
        <w:t>epartment monitors outcomes for these groups. An estimated one-fifth of TtW participants are Indigenous Australians, although this varies by employment region.</w:t>
      </w:r>
    </w:p>
    <w:p w14:paraId="64C2F90A" w14:textId="77777777" w:rsidR="00CC4E3D" w:rsidRPr="00FD4CA8" w:rsidRDefault="00CC4E3D" w:rsidP="001C25D9">
      <w:pPr>
        <w:pStyle w:val="Heading3"/>
        <w:numPr>
          <w:ilvl w:val="2"/>
          <w:numId w:val="4"/>
        </w:numPr>
        <w:spacing w:before="200"/>
        <w:rPr>
          <w:szCs w:val="24"/>
        </w:rPr>
      </w:pPr>
      <w:bookmarkStart w:id="63" w:name="_Toc535498859"/>
      <w:bookmarkStart w:id="64" w:name="_Toc23841339"/>
      <w:r w:rsidRPr="00FD4CA8">
        <w:rPr>
          <w:szCs w:val="24"/>
        </w:rPr>
        <w:t>Interactions of TtW with other employment programs</w:t>
      </w:r>
      <w:bookmarkEnd w:id="63"/>
      <w:bookmarkEnd w:id="64"/>
    </w:p>
    <w:p w14:paraId="67E004CC" w14:textId="14EC5CF1" w:rsidR="00CC4E3D" w:rsidRDefault="00CC4E3D" w:rsidP="00CF510D">
      <w:r>
        <w:t>Since TtW began, the Government has introduced the Youth Jobs PaTH program in April 2017. Youth Jobs PaTH covers</w:t>
      </w:r>
      <w:r w:rsidRPr="0095215B">
        <w:t xml:space="preserve"> three elements: Prepare, Trial</w:t>
      </w:r>
      <w:r>
        <w:t xml:space="preserve"> and Hire</w:t>
      </w:r>
      <w:r>
        <w:rPr>
          <w:rStyle w:val="FootnoteReference"/>
        </w:rPr>
        <w:footnoteReference w:id="7"/>
      </w:r>
      <w:r w:rsidRPr="0095215B">
        <w:t xml:space="preserve"> </w:t>
      </w:r>
      <w:r>
        <w:t>to encourage employers to hire young people by enhancing their employability through targeted training and real work experience supported by incentives for employers to employ them and support them as they transition to employment. TtW participants are eligible for the Trial and Hire elements of Youth Jobs PaTH. TtW participants who are 18 years or older can also undertake work experience job placements under the National Work Experience Programme (NWEP).</w:t>
      </w:r>
      <w:r>
        <w:rPr>
          <w:rStyle w:val="FootnoteReference"/>
        </w:rPr>
        <w:footnoteReference w:id="8"/>
      </w:r>
      <w:r w:rsidR="00CF510D">
        <w:t xml:space="preserve"> </w:t>
      </w:r>
    </w:p>
    <w:p w14:paraId="1824E951" w14:textId="77777777" w:rsidR="00CC4E3D" w:rsidRPr="0065530C" w:rsidRDefault="00CC4E3D" w:rsidP="001C25D9">
      <w:pPr>
        <w:pStyle w:val="Heading1"/>
        <w:keepNext w:val="0"/>
        <w:pageBreakBefore/>
        <w:numPr>
          <w:ilvl w:val="0"/>
          <w:numId w:val="4"/>
        </w:numPr>
        <w:spacing w:before="0" w:after="240"/>
        <w:contextualSpacing/>
      </w:pPr>
      <w:bookmarkStart w:id="65" w:name="_Toc535498860"/>
      <w:bookmarkStart w:id="66" w:name="_Toc23841340"/>
      <w:r w:rsidRPr="0065530C">
        <w:lastRenderedPageBreak/>
        <w:t>Evaluation of the Transition to Work service</w:t>
      </w:r>
      <w:bookmarkEnd w:id="65"/>
      <w:bookmarkEnd w:id="66"/>
    </w:p>
    <w:p w14:paraId="5B178EC8" w14:textId="77777777" w:rsidR="00CC4E3D" w:rsidRDefault="00CC4E3D" w:rsidP="00CC4E3D">
      <w:r>
        <w:t xml:space="preserve">Program evaluation contributes to the Australian Government’s transparency and accountability agenda, informing policy development and driving continuous improvement and innovation. In the enhanced Commonwealth performance framework implemented in 2015 through the </w:t>
      </w:r>
      <w:r w:rsidRPr="00C47378">
        <w:rPr>
          <w:i/>
        </w:rPr>
        <w:t>Public Governance, Performance and Accountability Act 201</w:t>
      </w:r>
      <w:r>
        <w:rPr>
          <w:i/>
        </w:rPr>
        <w:t>3</w:t>
      </w:r>
      <w:r>
        <w:t xml:space="preserve">, evidence from evaluations can also be used to support performance reporting in annual performance statements. To that end, the TtW evaluation focuses on supporting continuous improvement of the service and assessing how effectively and efficiently the service is meeting its objectives. </w:t>
      </w:r>
    </w:p>
    <w:p w14:paraId="31CD7E00" w14:textId="77777777" w:rsidR="00CC4E3D" w:rsidRPr="001F4939" w:rsidRDefault="00CC4E3D" w:rsidP="001F4939">
      <w:pPr>
        <w:pStyle w:val="Heading2"/>
        <w:numPr>
          <w:ilvl w:val="1"/>
          <w:numId w:val="4"/>
        </w:numPr>
      </w:pPr>
      <w:bookmarkStart w:id="67" w:name="_Toc535498861"/>
      <w:bookmarkStart w:id="68" w:name="_Toc23841341"/>
      <w:r w:rsidRPr="001F4939">
        <w:t>Evaluation outline</w:t>
      </w:r>
      <w:bookmarkEnd w:id="67"/>
      <w:bookmarkEnd w:id="68"/>
    </w:p>
    <w:p w14:paraId="33679CB1" w14:textId="77777777" w:rsidR="00CC4E3D" w:rsidRDefault="00CC4E3D" w:rsidP="00CC4E3D">
      <w:r w:rsidRPr="0065530C">
        <w:t xml:space="preserve">The </w:t>
      </w:r>
      <w:hyperlink r:id="rId24" w:history="1">
        <w:r w:rsidRPr="00DE4B04">
          <w:rPr>
            <w:rStyle w:val="Hyperlink"/>
          </w:rPr>
          <w:t>Transition to Work Evaluation Strategy</w:t>
        </w:r>
      </w:hyperlink>
      <w:r>
        <w:t xml:space="preserve"> outlines a two-stage approach to the TtW evaluation. </w:t>
      </w:r>
    </w:p>
    <w:p w14:paraId="28F31236" w14:textId="5777798E" w:rsidR="00CC4E3D" w:rsidRPr="005A1B8D" w:rsidRDefault="00CC4E3D" w:rsidP="009E37F6">
      <w:pPr>
        <w:pStyle w:val="Heading3"/>
        <w:numPr>
          <w:ilvl w:val="2"/>
          <w:numId w:val="4"/>
        </w:numPr>
      </w:pPr>
      <w:bookmarkStart w:id="69" w:name="_Toc535498862"/>
      <w:bookmarkStart w:id="70" w:name="_Toc23841342"/>
      <w:r w:rsidRPr="005A1B8D">
        <w:t>Stage one</w:t>
      </w:r>
      <w:bookmarkEnd w:id="69"/>
      <w:bookmarkEnd w:id="70"/>
    </w:p>
    <w:p w14:paraId="100E6847" w14:textId="77777777" w:rsidR="00CC4E3D" w:rsidRDefault="00CC4E3D" w:rsidP="00CC4E3D">
      <w:r>
        <w:t xml:space="preserve">This interim evaluation focuses on the formative evaluation phase of TtW, underpinned by initial participant and provider views on the service’s design, commencement, implementation and operational processes, and on the initial stage of participant engagement. It also includes a preliminary assessment of progress towards defined outcomes, using administrative data. </w:t>
      </w:r>
    </w:p>
    <w:p w14:paraId="13C32A49" w14:textId="77777777" w:rsidR="00CC4E3D" w:rsidRDefault="00CC4E3D" w:rsidP="00CC4E3D">
      <w:r>
        <w:t>It covers the inflow period for referrals to TtW from the start of the service in February </w:t>
      </w:r>
      <w:r w:rsidRPr="0065530C">
        <w:t>201</w:t>
      </w:r>
      <w:r>
        <w:t>6 </w:t>
      </w:r>
      <w:r w:rsidRPr="0065530C">
        <w:t>until 3</w:t>
      </w:r>
      <w:r>
        <w:t>1 </w:t>
      </w:r>
      <w:r w:rsidRPr="0065530C">
        <w:t>July 2016. It follows participants who commenced by 3</w:t>
      </w:r>
      <w:r>
        <w:t>1 </w:t>
      </w:r>
      <w:r w:rsidRPr="0065530C">
        <w:t>August 201</w:t>
      </w:r>
      <w:r>
        <w:t>6 </w:t>
      </w:r>
      <w:r w:rsidRPr="0065530C">
        <w:t xml:space="preserve">for up to six months and includes </w:t>
      </w:r>
      <w:r>
        <w:t>quarterly outcome performances</w:t>
      </w:r>
      <w:r w:rsidRPr="0065530C">
        <w:t xml:space="preserve"> reported up to the </w:t>
      </w:r>
      <w:r>
        <w:t xml:space="preserve">end of </w:t>
      </w:r>
      <w:r w:rsidRPr="0065530C">
        <w:t>March 2017.</w:t>
      </w:r>
    </w:p>
    <w:p w14:paraId="4139F8BA" w14:textId="5BE69B1C" w:rsidR="00CC4E3D" w:rsidRPr="005A1B8D" w:rsidRDefault="00CC4E3D" w:rsidP="009E37F6">
      <w:pPr>
        <w:pStyle w:val="Heading3"/>
        <w:numPr>
          <w:ilvl w:val="2"/>
          <w:numId w:val="4"/>
        </w:numPr>
      </w:pPr>
      <w:bookmarkStart w:id="71" w:name="_Toc535498863"/>
      <w:bookmarkStart w:id="72" w:name="_Toc23841343"/>
      <w:r w:rsidRPr="009E37F6">
        <w:t>Stage</w:t>
      </w:r>
      <w:r w:rsidRPr="005A1B8D">
        <w:t xml:space="preserve"> two</w:t>
      </w:r>
      <w:bookmarkEnd w:id="71"/>
      <w:bookmarkEnd w:id="72"/>
    </w:p>
    <w:p w14:paraId="6807D8FA" w14:textId="77777777" w:rsidR="00CC4E3D" w:rsidRDefault="00CC4E3D" w:rsidP="00CC4E3D">
      <w:r>
        <w:t xml:space="preserve">Stage two will be conducted once the TtW service has been operating for two years and more administrative data is available. It will focus on assessing the effectiveness, efficiency and quality of the service and identifying good practice. This will provide the basis for a final evaluation report. </w:t>
      </w:r>
    </w:p>
    <w:p w14:paraId="101BCDC2" w14:textId="77777777" w:rsidR="00CC4E3D" w:rsidRPr="001F4939" w:rsidRDefault="00CC4E3D" w:rsidP="001F4939">
      <w:pPr>
        <w:pStyle w:val="Heading2"/>
        <w:numPr>
          <w:ilvl w:val="1"/>
          <w:numId w:val="4"/>
        </w:numPr>
      </w:pPr>
      <w:bookmarkStart w:id="73" w:name="_Toc535498864"/>
      <w:bookmarkStart w:id="74" w:name="_Toc23841344"/>
      <w:r w:rsidRPr="001F4939">
        <w:t>Key evaluation questions</w:t>
      </w:r>
      <w:bookmarkEnd w:id="73"/>
      <w:bookmarkEnd w:id="74"/>
    </w:p>
    <w:p w14:paraId="15B14446" w14:textId="77777777" w:rsidR="00CC4E3D" w:rsidRDefault="00CC4E3D" w:rsidP="00CC4E3D">
      <w:r>
        <w:t xml:space="preserve">Consistent with the </w:t>
      </w:r>
      <w:hyperlink r:id="rId25" w:history="1">
        <w:r w:rsidRPr="00604DAE">
          <w:rPr>
            <w:rStyle w:val="Hyperlink"/>
          </w:rPr>
          <w:t>TtW Evaluation Strategy</w:t>
        </w:r>
      </w:hyperlink>
      <w:r>
        <w:t xml:space="preserve">, this interim report addresses the following evaluation questions. </w:t>
      </w:r>
    </w:p>
    <w:p w14:paraId="4C94FF21" w14:textId="77777777" w:rsidR="00CC4E3D" w:rsidRPr="005A1B8D" w:rsidRDefault="00CC4E3D" w:rsidP="00CC4E3D">
      <w:pPr>
        <w:pStyle w:val="Heading3"/>
        <w:rPr>
          <w:sz w:val="22"/>
          <w:szCs w:val="22"/>
        </w:rPr>
      </w:pPr>
      <w:bookmarkStart w:id="75" w:name="_Toc535498865"/>
      <w:bookmarkStart w:id="76" w:name="_Toc23841345"/>
      <w:r w:rsidRPr="005A1B8D">
        <w:rPr>
          <w:sz w:val="22"/>
          <w:szCs w:val="22"/>
        </w:rPr>
        <w:t>Question 1.1: To what extent do the service implementation and operational processes enable effective and efficient service delivery?</w:t>
      </w:r>
      <w:bookmarkEnd w:id="75"/>
      <w:bookmarkEnd w:id="76"/>
      <w:r w:rsidRPr="005A1B8D">
        <w:rPr>
          <w:sz w:val="22"/>
          <w:szCs w:val="22"/>
        </w:rPr>
        <w:t xml:space="preserve"> </w:t>
      </w:r>
    </w:p>
    <w:p w14:paraId="0B0C7CB1" w14:textId="77777777" w:rsidR="00CC4E3D" w:rsidRPr="0081676A" w:rsidRDefault="00CC4E3D" w:rsidP="00CC4E3D">
      <w:r w:rsidRPr="0081676A">
        <w:t>Areas for investigation include:</w:t>
      </w:r>
    </w:p>
    <w:p w14:paraId="791854C2" w14:textId="77777777" w:rsidR="00CC4E3D" w:rsidRDefault="00CC4E3D" w:rsidP="00415050">
      <w:pPr>
        <w:pStyle w:val="ListBullet"/>
      </w:pPr>
      <w:r>
        <w:t>implementation planning</w:t>
      </w:r>
    </w:p>
    <w:p w14:paraId="35789B1A" w14:textId="77777777" w:rsidR="00CC4E3D" w:rsidRDefault="00CC4E3D" w:rsidP="00415050">
      <w:pPr>
        <w:pStyle w:val="ListBullet"/>
      </w:pPr>
      <w:r>
        <w:t>phased rollout</w:t>
      </w:r>
    </w:p>
    <w:p w14:paraId="6EE2FB66" w14:textId="77777777" w:rsidR="00CC4E3D" w:rsidRDefault="00CC4E3D" w:rsidP="00415050">
      <w:pPr>
        <w:pStyle w:val="ListBullet"/>
      </w:pPr>
      <w:r>
        <w:t>operational processes</w:t>
      </w:r>
    </w:p>
    <w:p w14:paraId="14D378C9" w14:textId="77777777" w:rsidR="00CC4E3D" w:rsidRDefault="00CC4E3D" w:rsidP="00415050">
      <w:pPr>
        <w:pStyle w:val="ListBullet"/>
      </w:pPr>
      <w:r>
        <w:t>appropriateness of the service</w:t>
      </w:r>
    </w:p>
    <w:p w14:paraId="0FCD6CE5" w14:textId="77777777" w:rsidR="00CC4E3D" w:rsidRDefault="00CC4E3D" w:rsidP="00415050">
      <w:pPr>
        <w:pStyle w:val="ListBullet"/>
      </w:pPr>
      <w:r>
        <w:t>interactions of key parties.</w:t>
      </w:r>
    </w:p>
    <w:p w14:paraId="56D757AB" w14:textId="77777777" w:rsidR="00CC4E3D" w:rsidRDefault="00CC4E3D" w:rsidP="00CC4E3D">
      <w:r>
        <w:rPr>
          <w:b/>
        </w:rPr>
        <w:lastRenderedPageBreak/>
        <w:t>Chapter</w:t>
      </w:r>
      <w:r w:rsidRPr="007A210A">
        <w:rPr>
          <w:b/>
        </w:rPr>
        <w:t xml:space="preserve"> </w:t>
      </w:r>
      <w:r>
        <w:rPr>
          <w:b/>
        </w:rPr>
        <w:t>3 </w:t>
      </w:r>
      <w:r>
        <w:t>addresses this question.</w:t>
      </w:r>
    </w:p>
    <w:p w14:paraId="1E4B2A18" w14:textId="77777777" w:rsidR="00CC4E3D" w:rsidRPr="005A1B8D" w:rsidRDefault="00CC4E3D" w:rsidP="00CC4E3D">
      <w:pPr>
        <w:pStyle w:val="Heading3"/>
        <w:rPr>
          <w:sz w:val="22"/>
          <w:szCs w:val="22"/>
        </w:rPr>
      </w:pPr>
      <w:bookmarkStart w:id="77" w:name="_Toc535498866"/>
      <w:bookmarkStart w:id="78" w:name="_Toc23841346"/>
      <w:r w:rsidRPr="005A1B8D">
        <w:rPr>
          <w:sz w:val="22"/>
          <w:szCs w:val="22"/>
        </w:rPr>
        <w:t>Question 1.2: How efficiently and effectively does the service engage and retain participants?</w:t>
      </w:r>
      <w:bookmarkEnd w:id="77"/>
      <w:bookmarkEnd w:id="78"/>
      <w:r w:rsidRPr="005A1B8D">
        <w:rPr>
          <w:sz w:val="22"/>
          <w:szCs w:val="22"/>
        </w:rPr>
        <w:t xml:space="preserve"> </w:t>
      </w:r>
    </w:p>
    <w:p w14:paraId="449A8E92" w14:textId="77777777" w:rsidR="00CC4E3D" w:rsidRPr="0081676A" w:rsidRDefault="00CC4E3D" w:rsidP="00CC4E3D">
      <w:r w:rsidRPr="0081676A">
        <w:t>Key indicators and areas for investigation</w:t>
      </w:r>
      <w:r>
        <w:t xml:space="preserve"> are</w:t>
      </w:r>
      <w:r w:rsidRPr="0081676A">
        <w:t>:</w:t>
      </w:r>
    </w:p>
    <w:p w14:paraId="785C4530" w14:textId="77777777" w:rsidR="00CC4E3D" w:rsidRDefault="00CC4E3D" w:rsidP="00415050">
      <w:pPr>
        <w:pStyle w:val="ListBullet"/>
      </w:pPr>
      <w:r>
        <w:t xml:space="preserve">number of participant commencements relative to number of Annual Funded Places </w:t>
      </w:r>
    </w:p>
    <w:p w14:paraId="06D72D97" w14:textId="77777777" w:rsidR="00CC4E3D" w:rsidRDefault="00CC4E3D" w:rsidP="00415050">
      <w:pPr>
        <w:pStyle w:val="ListBullet"/>
      </w:pPr>
      <w:r>
        <w:t>characteristics of participants</w:t>
      </w:r>
    </w:p>
    <w:p w14:paraId="07FCA3BE" w14:textId="77777777" w:rsidR="00CC4E3D" w:rsidRDefault="00CC4E3D" w:rsidP="00415050">
      <w:pPr>
        <w:pStyle w:val="ListBullet"/>
      </w:pPr>
      <w:r>
        <w:t>time between referral and commencement</w:t>
      </w:r>
    </w:p>
    <w:p w14:paraId="0222781C" w14:textId="77777777" w:rsidR="00CC4E3D" w:rsidRDefault="00CC4E3D" w:rsidP="00415050">
      <w:pPr>
        <w:pStyle w:val="ListBullet"/>
      </w:pPr>
      <w:r>
        <w:t>appointment and activity attendance rates (if available)</w:t>
      </w:r>
    </w:p>
    <w:p w14:paraId="7F66739B" w14:textId="77777777" w:rsidR="00CC4E3D" w:rsidRDefault="00CC4E3D" w:rsidP="00415050">
      <w:pPr>
        <w:pStyle w:val="ListBullet"/>
      </w:pPr>
      <w:r>
        <w:t>drop-out rates (and reasons).</w:t>
      </w:r>
    </w:p>
    <w:p w14:paraId="186DEC50" w14:textId="77777777" w:rsidR="00CC4E3D" w:rsidRDefault="00CC4E3D" w:rsidP="00CC4E3D">
      <w:r w:rsidRPr="00BB4961">
        <w:rPr>
          <w:b/>
        </w:rPr>
        <w:t xml:space="preserve">Chapter </w:t>
      </w:r>
      <w:r>
        <w:rPr>
          <w:b/>
        </w:rPr>
        <w:t>4 </w:t>
      </w:r>
      <w:r w:rsidRPr="00612C62">
        <w:t>addresses this question.</w:t>
      </w:r>
    </w:p>
    <w:p w14:paraId="4C0F6BF0" w14:textId="77777777" w:rsidR="00CC4E3D" w:rsidRPr="005A1B8D" w:rsidRDefault="00CC4E3D" w:rsidP="00CC4E3D">
      <w:pPr>
        <w:pStyle w:val="Heading3"/>
        <w:rPr>
          <w:sz w:val="22"/>
          <w:szCs w:val="22"/>
        </w:rPr>
      </w:pPr>
      <w:bookmarkStart w:id="79" w:name="_Toc535498867"/>
      <w:bookmarkStart w:id="80" w:name="_Toc23841347"/>
      <w:r w:rsidRPr="005A1B8D">
        <w:rPr>
          <w:sz w:val="22"/>
          <w:szCs w:val="22"/>
        </w:rPr>
        <w:t>Question 1.3: Do early employment and education outcomes indicate participants are benefiting from TtW?</w:t>
      </w:r>
      <w:bookmarkEnd w:id="79"/>
      <w:bookmarkEnd w:id="80"/>
      <w:r w:rsidRPr="005A1B8D">
        <w:rPr>
          <w:sz w:val="22"/>
          <w:szCs w:val="22"/>
        </w:rPr>
        <w:t xml:space="preserve"> </w:t>
      </w:r>
    </w:p>
    <w:p w14:paraId="06ACBCD8" w14:textId="77777777" w:rsidR="00CC4E3D" w:rsidRPr="0081676A" w:rsidRDefault="00CC4E3D" w:rsidP="00CC4E3D">
      <w:r w:rsidRPr="0081676A">
        <w:t>Key indicators are:</w:t>
      </w:r>
    </w:p>
    <w:p w14:paraId="2BD5581A" w14:textId="77777777" w:rsidR="00CC4E3D" w:rsidRDefault="00CC4E3D" w:rsidP="00E803E7">
      <w:pPr>
        <w:pStyle w:val="ListBullet"/>
      </w:pPr>
      <w:r>
        <w:t>proportion of participants placed in employment or education</w:t>
      </w:r>
    </w:p>
    <w:p w14:paraId="32A1A8AD" w14:textId="77777777" w:rsidR="00CC4E3D" w:rsidRDefault="00CC4E3D" w:rsidP="00E803E7">
      <w:pPr>
        <w:pStyle w:val="ListBullet"/>
      </w:pPr>
      <w:r>
        <w:t>number of 12-week outcomes against the set Outcome Performance Targets</w:t>
      </w:r>
    </w:p>
    <w:p w14:paraId="7ED0B668" w14:textId="77777777" w:rsidR="00CC4E3D" w:rsidRDefault="00CC4E3D" w:rsidP="00E803E7">
      <w:pPr>
        <w:pStyle w:val="ListBullet"/>
      </w:pPr>
      <w:r>
        <w:t>proportion of participants leaving income support or reducing their reliance on income support compared with the proportions of similar cohorts in other employment services.</w:t>
      </w:r>
    </w:p>
    <w:p w14:paraId="27F2B183" w14:textId="77777777" w:rsidR="00CC4E3D" w:rsidRDefault="00CC4E3D" w:rsidP="00CC4E3D">
      <w:r w:rsidRPr="00BB4961">
        <w:rPr>
          <w:b/>
        </w:rPr>
        <w:t xml:space="preserve">Chapter </w:t>
      </w:r>
      <w:r>
        <w:rPr>
          <w:b/>
        </w:rPr>
        <w:t>5 </w:t>
      </w:r>
      <w:r w:rsidRPr="00612C62">
        <w:t>addresses this question.</w:t>
      </w:r>
    </w:p>
    <w:p w14:paraId="2490C0A3" w14:textId="77777777" w:rsidR="00CC4E3D" w:rsidRPr="001F4939" w:rsidRDefault="00CC4E3D" w:rsidP="001F4939">
      <w:pPr>
        <w:pStyle w:val="Heading2"/>
        <w:numPr>
          <w:ilvl w:val="1"/>
          <w:numId w:val="4"/>
        </w:numPr>
      </w:pPr>
      <w:bookmarkStart w:id="81" w:name="_Toc511811962"/>
      <w:bookmarkStart w:id="82" w:name="_Toc511841599"/>
      <w:bookmarkStart w:id="83" w:name="_Toc511841708"/>
      <w:bookmarkStart w:id="84" w:name="_Toc535498868"/>
      <w:bookmarkStart w:id="85" w:name="_Toc23841348"/>
      <w:bookmarkEnd w:id="81"/>
      <w:bookmarkEnd w:id="82"/>
      <w:bookmarkEnd w:id="83"/>
      <w:r w:rsidRPr="001F4939">
        <w:t>Methodology</w:t>
      </w:r>
      <w:bookmarkEnd w:id="84"/>
      <w:bookmarkEnd w:id="85"/>
    </w:p>
    <w:p w14:paraId="603B0315" w14:textId="77777777" w:rsidR="00CC4E3D" w:rsidRDefault="00CC4E3D" w:rsidP="00CC4E3D">
      <w:r>
        <w:t xml:space="preserve">The evaluation adopted a mixed methods approach involving the collection and analysis of quantitative and qualitative data. </w:t>
      </w:r>
    </w:p>
    <w:p w14:paraId="52F21C9C" w14:textId="77777777" w:rsidR="00CC4E3D" w:rsidRPr="00FD4CA8" w:rsidRDefault="00CC4E3D" w:rsidP="001C25D9">
      <w:pPr>
        <w:pStyle w:val="Heading3"/>
        <w:numPr>
          <w:ilvl w:val="2"/>
          <w:numId w:val="4"/>
        </w:numPr>
        <w:spacing w:before="200"/>
        <w:rPr>
          <w:szCs w:val="24"/>
        </w:rPr>
      </w:pPr>
      <w:bookmarkStart w:id="86" w:name="_Toc535498869"/>
      <w:bookmarkStart w:id="87" w:name="_Toc23841349"/>
      <w:r w:rsidRPr="00FD4CA8">
        <w:rPr>
          <w:szCs w:val="24"/>
        </w:rPr>
        <w:t>Data sources</w:t>
      </w:r>
      <w:bookmarkEnd w:id="86"/>
      <w:bookmarkEnd w:id="87"/>
      <w:r w:rsidRPr="00FD4CA8">
        <w:rPr>
          <w:szCs w:val="24"/>
        </w:rPr>
        <w:t xml:space="preserve"> </w:t>
      </w:r>
    </w:p>
    <w:p w14:paraId="2D4080AA" w14:textId="77777777" w:rsidR="00CC4E3D" w:rsidRPr="000A38F1" w:rsidRDefault="00CC4E3D" w:rsidP="00CC4E3D">
      <w:r>
        <w:t xml:space="preserve">The following primary data sources informed the evaluation. This report also draws on Australian Bureau of </w:t>
      </w:r>
      <w:r w:rsidRPr="000A38F1">
        <w:t>Statistics (ABS) and other relevant data.</w:t>
      </w:r>
    </w:p>
    <w:p w14:paraId="1E94B421" w14:textId="77777777" w:rsidR="00CC4E3D" w:rsidRPr="00FD4CA8" w:rsidRDefault="00CC4E3D">
      <w:pPr>
        <w:pStyle w:val="Heading4"/>
      </w:pPr>
      <w:r w:rsidRPr="00FD4CA8">
        <w:t>Quantitative administrative data</w:t>
      </w:r>
    </w:p>
    <w:p w14:paraId="49CF1C92" w14:textId="77777777" w:rsidR="00CC4E3D" w:rsidRPr="000A38F1" w:rsidRDefault="00CC4E3D" w:rsidP="00CC4E3D">
      <w:r w:rsidRPr="000A38F1">
        <w:rPr>
          <w:b/>
        </w:rPr>
        <w:t>Administrative data</w:t>
      </w:r>
      <w:r w:rsidRPr="000A38F1">
        <w:t xml:space="preserve"> came from two sources:</w:t>
      </w:r>
    </w:p>
    <w:p w14:paraId="2987EAED" w14:textId="77777777" w:rsidR="00CC4E3D" w:rsidRPr="000A38F1" w:rsidRDefault="00CC4E3D" w:rsidP="00E803E7">
      <w:pPr>
        <w:pStyle w:val="ListBullet"/>
      </w:pPr>
      <w:r w:rsidRPr="000A38F1">
        <w:t>the Employment Services System (ESS) databases, which capture participant, provider, employer and other program</w:t>
      </w:r>
      <w:r>
        <w:t>-</w:t>
      </w:r>
      <w:r w:rsidRPr="000A38F1">
        <w:t>related information</w:t>
      </w:r>
    </w:p>
    <w:p w14:paraId="5E4C506D" w14:textId="78ADCC63" w:rsidR="00CC4E3D" w:rsidRPr="000A38F1" w:rsidRDefault="00CC4E3D" w:rsidP="00E803E7">
      <w:pPr>
        <w:pStyle w:val="ListBullet"/>
      </w:pPr>
      <w:r w:rsidRPr="000A38F1">
        <w:t xml:space="preserve">income support information from DHS administrative data captured in the </w:t>
      </w:r>
      <w:r w:rsidR="00082F50">
        <w:t>d</w:t>
      </w:r>
      <w:r>
        <w:t xml:space="preserve">epartment’s </w:t>
      </w:r>
      <w:r w:rsidRPr="000A38F1">
        <w:t>RED.</w:t>
      </w:r>
    </w:p>
    <w:p w14:paraId="30B646A2" w14:textId="77777777" w:rsidR="00CC4E3D" w:rsidRDefault="00CC4E3D" w:rsidP="00CC4E3D">
      <w:r>
        <w:t xml:space="preserve">Descriptive statistics, including category counts and percentages, are reported at a whole-service level and disaggregated for different groups </w:t>
      </w:r>
      <w:r w:rsidRPr="00B34E09">
        <w:t>of interest</w:t>
      </w:r>
      <w:r>
        <w:t xml:space="preserve"> where feasible. The confidence level for statistical significance for this report was set at 95 per cent.</w:t>
      </w:r>
    </w:p>
    <w:p w14:paraId="5BC070F1" w14:textId="77777777" w:rsidR="00CC4E3D" w:rsidRDefault="00CC4E3D" w:rsidP="00CC4E3D">
      <w:r>
        <w:lastRenderedPageBreak/>
        <w:t xml:space="preserve">Logistic regression modelling was used where necessary to control for observable participant characteristics for a more robust estimate of the effects of TtW (details are in </w:t>
      </w:r>
      <w:r w:rsidRPr="007A210A">
        <w:rPr>
          <w:b/>
        </w:rPr>
        <w:t>Appendix</w:t>
      </w:r>
      <w:r>
        <w:rPr>
          <w:b/>
        </w:rPr>
        <w:t xml:space="preserve"> F</w:t>
      </w:r>
      <w:r>
        <w:t>).</w:t>
      </w:r>
    </w:p>
    <w:p w14:paraId="00B9C152" w14:textId="77777777" w:rsidR="00CC4E3D" w:rsidRPr="00FD4CA8" w:rsidRDefault="00CC4E3D">
      <w:pPr>
        <w:pStyle w:val="Heading4"/>
      </w:pPr>
      <w:r w:rsidRPr="00FD4CA8">
        <w:t xml:space="preserve">Quantitative survey data </w:t>
      </w:r>
    </w:p>
    <w:p w14:paraId="713A0C40" w14:textId="77777777" w:rsidR="00CC4E3D" w:rsidRDefault="00CC4E3D" w:rsidP="00CC4E3D">
      <w:r>
        <w:t xml:space="preserve">A survey was conducted as a census of all TtW service providers in October and November 2016. The purpose was to collect providers’ feedback on their experiences of, and perspectives on, the implementation and the initial operational phase of TtW. All active provider sites delivering TtW services were invited to participate. </w:t>
      </w:r>
    </w:p>
    <w:p w14:paraId="5AF4EC8F" w14:textId="77777777" w:rsidR="00CC4E3D" w:rsidRDefault="00CC4E3D" w:rsidP="00CC4E3D">
      <w:r>
        <w:t xml:space="preserve">Providers completed surveys for 242 sites from a total survey population of 264 sites. This represented a response rate of 91.7 per cent. Around 86 per cent of providers delivering TtW services at the time of the survey responded. </w:t>
      </w:r>
    </w:p>
    <w:p w14:paraId="01241254" w14:textId="77777777" w:rsidR="00CC4E3D" w:rsidRPr="00FD4CA8" w:rsidRDefault="00CC4E3D">
      <w:pPr>
        <w:pStyle w:val="Heading4"/>
      </w:pPr>
      <w:r w:rsidRPr="00FD4CA8">
        <w:t>Qualitative data</w:t>
      </w:r>
    </w:p>
    <w:p w14:paraId="5FDFD4F7" w14:textId="3676BBDA" w:rsidR="00CC4E3D" w:rsidRDefault="00CC4E3D" w:rsidP="00CC4E3D">
      <w:r>
        <w:t xml:space="preserve">The </w:t>
      </w:r>
      <w:r w:rsidR="00082F50">
        <w:t>d</w:t>
      </w:r>
      <w:r>
        <w:t xml:space="preserve">epartment commissioned qualitative research which was conducted in six (of 51) employment regions between October and December 2016. Within each region, two areas were selected for the qualitative discussions. The areas were chosen to provide a broad geographical coverage, diverse population characteristics and a mix of urban and regional locations (details are in </w:t>
      </w:r>
      <w:r w:rsidRPr="007A210A">
        <w:rPr>
          <w:b/>
        </w:rPr>
        <w:t>Appendix F</w:t>
      </w:r>
      <w:r>
        <w:t>).</w:t>
      </w:r>
    </w:p>
    <w:p w14:paraId="28F9E744" w14:textId="77777777" w:rsidR="00CC4E3D" w:rsidRDefault="00CC4E3D" w:rsidP="00CC4E3D">
      <w:r>
        <w:t xml:space="preserve">The qualitative research consisted of: </w:t>
      </w:r>
    </w:p>
    <w:p w14:paraId="1629F159" w14:textId="77777777" w:rsidR="00CC4E3D" w:rsidRDefault="00CC4E3D" w:rsidP="00E803E7">
      <w:pPr>
        <w:pStyle w:val="ListBullet"/>
      </w:pPr>
      <w:r>
        <w:t>in-depth interviews with</w:t>
      </w:r>
    </w:p>
    <w:p w14:paraId="621CAE69" w14:textId="77777777" w:rsidR="00CC4E3D" w:rsidRPr="001101A0" w:rsidRDefault="00CC4E3D" w:rsidP="00CC4E3D">
      <w:pPr>
        <w:pStyle w:val="ListBullet2"/>
        <w:spacing w:after="120"/>
      </w:pPr>
      <w:r w:rsidRPr="001101A0">
        <w:t>TtW providers</w:t>
      </w:r>
    </w:p>
    <w:p w14:paraId="015BCC23" w14:textId="77777777" w:rsidR="00CC4E3D" w:rsidRPr="001101A0" w:rsidRDefault="00CC4E3D" w:rsidP="00CC4E3D">
      <w:pPr>
        <w:pStyle w:val="ListBullet2"/>
        <w:spacing w:after="120"/>
      </w:pPr>
      <w:r w:rsidRPr="001101A0">
        <w:t>DHS staff</w:t>
      </w:r>
    </w:p>
    <w:p w14:paraId="39B313F6" w14:textId="77777777" w:rsidR="00CC4E3D" w:rsidRPr="001101A0" w:rsidRDefault="00CC4E3D" w:rsidP="00CC4E3D">
      <w:pPr>
        <w:pStyle w:val="ListBullet2"/>
        <w:spacing w:after="120"/>
      </w:pPr>
      <w:r w:rsidRPr="001101A0">
        <w:t>employers who had recently hired TtW participants</w:t>
      </w:r>
    </w:p>
    <w:p w14:paraId="26119585" w14:textId="77777777" w:rsidR="00CC4E3D" w:rsidRPr="001101A0" w:rsidRDefault="00CC4E3D" w:rsidP="00CC4E3D">
      <w:pPr>
        <w:pStyle w:val="ListBullet2"/>
        <w:spacing w:after="120"/>
      </w:pPr>
      <w:r w:rsidRPr="001101A0">
        <w:t>peak bodies (Jobs Australia and the National Employment Services Association (NESA))</w:t>
      </w:r>
    </w:p>
    <w:p w14:paraId="0BA1C365" w14:textId="77777777" w:rsidR="00CC4E3D" w:rsidRDefault="00CC4E3D" w:rsidP="00E803E7">
      <w:pPr>
        <w:pStyle w:val="ListBullet"/>
      </w:pPr>
      <w:r>
        <w:t>focus group discussions with TtW participants.</w:t>
      </w:r>
    </w:p>
    <w:p w14:paraId="57D1B662" w14:textId="77777777" w:rsidR="00CC4E3D" w:rsidRPr="00FD4CA8" w:rsidRDefault="00CC4E3D" w:rsidP="001C25D9">
      <w:pPr>
        <w:pStyle w:val="Heading3"/>
        <w:numPr>
          <w:ilvl w:val="2"/>
          <w:numId w:val="4"/>
        </w:numPr>
        <w:spacing w:before="200"/>
        <w:rPr>
          <w:szCs w:val="24"/>
        </w:rPr>
      </w:pPr>
      <w:bookmarkStart w:id="88" w:name="_Toc535498870"/>
      <w:bookmarkStart w:id="89" w:name="_Toc23841350"/>
      <w:r w:rsidRPr="00FD4CA8">
        <w:rPr>
          <w:szCs w:val="24"/>
        </w:rPr>
        <w:t>Study populations</w:t>
      </w:r>
      <w:bookmarkEnd w:id="88"/>
      <w:bookmarkEnd w:id="89"/>
    </w:p>
    <w:p w14:paraId="234EAC63" w14:textId="77777777" w:rsidR="00CC4E3D" w:rsidRDefault="00CC4E3D" w:rsidP="00CC4E3D">
      <w:r>
        <w:t xml:space="preserve">The main study population was the inflow population of young people referred to TtW (including the initial caseload transferred from jobactive) between 1 February 2016 and 31 July 2016. A comparison sample using </w:t>
      </w:r>
      <w:r w:rsidRPr="00B34E09">
        <w:t>case-control matching</w:t>
      </w:r>
      <w:r>
        <w:t xml:space="preserve"> was constructed from a similar jobactive population. </w:t>
      </w:r>
    </w:p>
    <w:p w14:paraId="1C382331" w14:textId="77777777" w:rsidR="00CC4E3D" w:rsidRDefault="00CC4E3D" w:rsidP="00CC4E3D">
      <w:r>
        <w:t>The matched inflow populations were constructed from young people referred to TtW</w:t>
      </w:r>
      <w:r>
        <w:rPr>
          <w:rStyle w:val="FootnoteReference"/>
        </w:rPr>
        <w:footnoteReference w:id="9"/>
      </w:r>
      <w:r>
        <w:t xml:space="preserve"> and </w:t>
      </w:r>
      <w:r w:rsidRPr="00612C62">
        <w:t xml:space="preserve">jobactive between </w:t>
      </w:r>
      <w:r>
        <w:t>1 </w:t>
      </w:r>
      <w:r w:rsidRPr="00612C62">
        <w:t>February 201</w:t>
      </w:r>
      <w:r>
        <w:t>6 </w:t>
      </w:r>
      <w:r w:rsidRPr="00612C62">
        <w:t>and 3</w:t>
      </w:r>
      <w:r>
        <w:t>1 </w:t>
      </w:r>
      <w:r w:rsidRPr="00BB4961">
        <w:t>July 2016. Participants in the matched inflows who had commenced</w:t>
      </w:r>
      <w:r>
        <w:t xml:space="preserve"> </w:t>
      </w:r>
      <w:r w:rsidRPr="00612C62">
        <w:t xml:space="preserve">in the </w:t>
      </w:r>
      <w:r w:rsidRPr="00BB4961">
        <w:t>services by 3</w:t>
      </w:r>
      <w:r>
        <w:t>1 </w:t>
      </w:r>
      <w:r w:rsidRPr="00BB4961">
        <w:t>August 201</w:t>
      </w:r>
      <w:r>
        <w:t>6 </w:t>
      </w:r>
      <w:r w:rsidRPr="00BB4961">
        <w:t>were followed for 18</w:t>
      </w:r>
      <w:r>
        <w:t>0 </w:t>
      </w:r>
      <w:r w:rsidRPr="00BB4961">
        <w:t>days from their commencement date. U</w:t>
      </w:r>
      <w:r w:rsidRPr="00612C62">
        <w:t>nless otherwise indicated, this was the study period. In addition</w:t>
      </w:r>
      <w:r w:rsidRPr="00BB4961">
        <w:t xml:space="preserve">, two </w:t>
      </w:r>
      <w:r w:rsidRPr="00BB4961">
        <w:lastRenderedPageBreak/>
        <w:t>snapshots taken at 3</w:t>
      </w:r>
      <w:r>
        <w:t>1 </w:t>
      </w:r>
      <w:r w:rsidRPr="00BB4961">
        <w:t>July 201</w:t>
      </w:r>
      <w:r>
        <w:t>6 </w:t>
      </w:r>
      <w:r w:rsidRPr="00BB4961">
        <w:t>and 3</w:t>
      </w:r>
      <w:r>
        <w:t>1 </w:t>
      </w:r>
      <w:r w:rsidRPr="00BB4961">
        <w:t>January 201</w:t>
      </w:r>
      <w:r>
        <w:t>7 </w:t>
      </w:r>
      <w:r w:rsidRPr="00BB4961">
        <w:t>were used to analyse the TtW caseload at these points in time.</w:t>
      </w:r>
      <w:r>
        <w:t xml:space="preserve"> Further information about the sample methodology is in </w:t>
      </w:r>
      <w:r w:rsidRPr="006E6369">
        <w:rPr>
          <w:b/>
        </w:rPr>
        <w:t xml:space="preserve">Appendix </w:t>
      </w:r>
      <w:r>
        <w:rPr>
          <w:b/>
        </w:rPr>
        <w:t>C</w:t>
      </w:r>
      <w:r>
        <w:t>.</w:t>
      </w:r>
    </w:p>
    <w:p w14:paraId="30AABE62" w14:textId="77777777" w:rsidR="00CC4E3D" w:rsidRPr="00FD4CA8" w:rsidRDefault="00CC4E3D" w:rsidP="001C25D9">
      <w:pPr>
        <w:pStyle w:val="Heading3"/>
        <w:numPr>
          <w:ilvl w:val="2"/>
          <w:numId w:val="4"/>
        </w:numPr>
        <w:spacing w:before="200"/>
        <w:rPr>
          <w:szCs w:val="24"/>
        </w:rPr>
      </w:pPr>
      <w:bookmarkStart w:id="90" w:name="_Toc535498871"/>
      <w:bookmarkStart w:id="91" w:name="_Toc23841351"/>
      <w:r w:rsidRPr="00FD4CA8">
        <w:rPr>
          <w:szCs w:val="24"/>
        </w:rPr>
        <w:t>Profile of the TtW inflow population</w:t>
      </w:r>
      <w:bookmarkEnd w:id="90"/>
      <w:bookmarkEnd w:id="91"/>
    </w:p>
    <w:p w14:paraId="21567631" w14:textId="77777777" w:rsidR="00CC4E3D" w:rsidRDefault="00CC4E3D" w:rsidP="00CC4E3D">
      <w:r>
        <w:t>In the inflow population, the majority of TtW participants were male (58.2 per cent). Nearly two-thirds were between 17 and 19 years of age (</w:t>
      </w:r>
      <w:r>
        <w:rPr>
          <w:b/>
        </w:rPr>
        <w:t>Figure </w:t>
      </w:r>
      <w:r w:rsidRPr="006E6369">
        <w:rPr>
          <w:b/>
        </w:rPr>
        <w:t>2.1</w:t>
      </w:r>
      <w:r>
        <w:t>). Fifteen people aged 22 who were referred into the service in error were permitted to remain. Almost 20 per cent of people referred to TtW were Indigenous. Just over 10 per cent of all referrals were ex-offenders.</w:t>
      </w:r>
    </w:p>
    <w:p w14:paraId="0D00FF4F" w14:textId="2FF386F1" w:rsidR="00CC4E3D" w:rsidRDefault="00CC4E3D" w:rsidP="00FD4CA8">
      <w:pPr>
        <w:pStyle w:val="Caption"/>
      </w:pPr>
      <w:bookmarkStart w:id="92" w:name="_Toc514172350"/>
      <w:bookmarkStart w:id="93" w:name="_Toc535511449"/>
      <w:bookmarkStart w:id="94" w:name="_Toc535511509"/>
      <w:bookmarkStart w:id="95" w:name="_Toc535512736"/>
      <w:bookmarkStart w:id="96" w:name="_Toc535513372"/>
      <w:bookmarkStart w:id="97" w:name="_Toc23841454"/>
      <w:r>
        <w:t xml:space="preserve">Figure </w:t>
      </w:r>
      <w:r>
        <w:rPr>
          <w:noProof/>
        </w:rPr>
        <w:fldChar w:fldCharType="begin"/>
      </w:r>
      <w:r>
        <w:rPr>
          <w:noProof/>
        </w:rPr>
        <w:instrText xml:space="preserve"> STYLEREF 1 \s </w:instrText>
      </w:r>
      <w:r>
        <w:rPr>
          <w:noProof/>
        </w:rPr>
        <w:fldChar w:fldCharType="separate"/>
      </w:r>
      <w:r w:rsidR="00D84A2A">
        <w:rPr>
          <w:noProof/>
        </w:rPr>
        <w:t>2</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1</w:t>
      </w:r>
      <w:r>
        <w:rPr>
          <w:noProof/>
        </w:rPr>
        <w:fldChar w:fldCharType="end"/>
      </w:r>
      <w:r>
        <w:tab/>
        <w:t>Age at referral to TtW</w:t>
      </w:r>
      <w:bookmarkEnd w:id="92"/>
      <w:bookmarkEnd w:id="93"/>
      <w:bookmarkEnd w:id="94"/>
      <w:bookmarkEnd w:id="95"/>
      <w:bookmarkEnd w:id="96"/>
      <w:bookmarkEnd w:id="97"/>
    </w:p>
    <w:p w14:paraId="7A4F3471" w14:textId="77777777" w:rsidR="00CC4E3D" w:rsidRPr="00AC7E7E" w:rsidRDefault="00CC4E3D" w:rsidP="00CC4E3D">
      <w:r w:rsidRPr="00AC7E7E">
        <w:rPr>
          <w:noProof/>
          <w:lang w:eastAsia="en-AU"/>
        </w:rPr>
        <w:drawing>
          <wp:inline distT="0" distB="0" distL="0" distR="0" wp14:anchorId="1ABD81AF" wp14:editId="7324C69A">
            <wp:extent cx="5403600" cy="3045600"/>
            <wp:effectExtent l="0" t="0" r="6985" b="2540"/>
            <wp:docPr id="467" name="Picture 467" descr="Column chart showing how old participants were on referral &#10;This chart shows the ages when participants were referred to TtW. For each year of age, from 15 to 22, a bar shows the percentage who were that age when they were referred to the servi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3600" cy="3045600"/>
                    </a:xfrm>
                    <a:prstGeom prst="rect">
                      <a:avLst/>
                    </a:prstGeom>
                    <a:noFill/>
                    <a:ln>
                      <a:noFill/>
                    </a:ln>
                  </pic:spPr>
                </pic:pic>
              </a:graphicData>
            </a:graphic>
          </wp:inline>
        </w:drawing>
      </w:r>
    </w:p>
    <w:p w14:paraId="4B9BBC79" w14:textId="429FD365" w:rsidR="00CC4E3D" w:rsidRPr="005A1B8D" w:rsidRDefault="00CC4E3D" w:rsidP="00CC4E3D">
      <w:pPr>
        <w:pStyle w:val="Source"/>
        <w:rPr>
          <w:b/>
        </w:rPr>
      </w:pPr>
      <w:r w:rsidRPr="005A1B8D">
        <w:rPr>
          <w:b/>
        </w:rPr>
        <w:t xml:space="preserve">Source: Department of </w:t>
      </w:r>
      <w:r w:rsidR="001D72B7" w:rsidRPr="005A1B8D">
        <w:rPr>
          <w:b/>
        </w:rPr>
        <w:t>Employment, Skills, Small and Family</w:t>
      </w:r>
      <w:r w:rsidRPr="005A1B8D">
        <w:rPr>
          <w:b/>
        </w:rPr>
        <w:t xml:space="preserve"> Business administrative data — TtW inflow population.</w:t>
      </w:r>
    </w:p>
    <w:p w14:paraId="309A5DAD" w14:textId="77777777" w:rsidR="00CC4E3D" w:rsidRDefault="00CC4E3D" w:rsidP="00CC4E3D">
      <w:r>
        <w:t xml:space="preserve">The TtW inflow sample of 20,684 participants was compared with a matched group in jobactive. The participants were matched on age at referral, Stream B and educational attainment. They were compared on age, education, gender, Indigenous status, level of English proficiency, transport access, offender status and remoteness. </w:t>
      </w:r>
    </w:p>
    <w:p w14:paraId="2D088905" w14:textId="77777777" w:rsidR="00CC4E3D" w:rsidRDefault="00CC4E3D" w:rsidP="00CC4E3D">
      <w:r>
        <w:t xml:space="preserve">The demographics for participants in the matched sample were similar to the full TtW inflow population. Details of the TtW inflow population (i.e. everyone referred to the service) and the matched samples of TtW and jobactive referrals are in </w:t>
      </w:r>
      <w:r w:rsidRPr="006E6369">
        <w:rPr>
          <w:b/>
        </w:rPr>
        <w:t xml:space="preserve">Appendix </w:t>
      </w:r>
      <w:r>
        <w:rPr>
          <w:b/>
        </w:rPr>
        <w:t>C</w:t>
      </w:r>
      <w:r>
        <w:t>.</w:t>
      </w:r>
    </w:p>
    <w:p w14:paraId="3B7D501F" w14:textId="77777777" w:rsidR="00CC4E3D" w:rsidRDefault="00CC4E3D" w:rsidP="00CC4E3D">
      <w:r>
        <w:t>Slightly more jobactive participants than TtW participants were on income support at referral (</w:t>
      </w:r>
      <w:r w:rsidRPr="006E6369">
        <w:rPr>
          <w:b/>
        </w:rPr>
        <w:t>Table</w:t>
      </w:r>
      <w:r>
        <w:rPr>
          <w:b/>
        </w:rPr>
        <w:t> </w:t>
      </w:r>
      <w:r w:rsidRPr="006E6369">
        <w:rPr>
          <w:b/>
        </w:rPr>
        <w:t>2.1</w:t>
      </w:r>
      <w:r>
        <w:t>).</w:t>
      </w:r>
    </w:p>
    <w:p w14:paraId="51777DCB" w14:textId="2781B9AA" w:rsidR="00CC4E3D" w:rsidRDefault="00CC4E3D" w:rsidP="00FD4CA8">
      <w:pPr>
        <w:pStyle w:val="Caption"/>
      </w:pPr>
      <w:bookmarkStart w:id="98" w:name="_Toc535511450"/>
      <w:bookmarkStart w:id="99" w:name="_Toc535511510"/>
      <w:bookmarkStart w:id="100" w:name="_Toc535512737"/>
      <w:bookmarkStart w:id="101" w:name="_Toc535513373"/>
      <w:bookmarkStart w:id="102" w:name="_Toc23841436"/>
      <w:r>
        <w:lastRenderedPageBreak/>
        <w:t xml:space="preserve">Table </w:t>
      </w:r>
      <w:r>
        <w:rPr>
          <w:noProof/>
        </w:rPr>
        <w:fldChar w:fldCharType="begin"/>
      </w:r>
      <w:r>
        <w:rPr>
          <w:noProof/>
        </w:rPr>
        <w:instrText xml:space="preserve"> STYLEREF 1 \s </w:instrText>
      </w:r>
      <w:r>
        <w:rPr>
          <w:noProof/>
        </w:rPr>
        <w:fldChar w:fldCharType="separate"/>
      </w:r>
      <w:r w:rsidR="00D84A2A">
        <w:rPr>
          <w:noProof/>
        </w:rPr>
        <w:t>2</w:t>
      </w:r>
      <w:r>
        <w:rPr>
          <w:noProof/>
        </w:rPr>
        <w:fldChar w:fldCharType="end"/>
      </w:r>
      <w:r>
        <w:t>.</w:t>
      </w:r>
      <w:r>
        <w:rPr>
          <w:noProof/>
        </w:rPr>
        <w:fldChar w:fldCharType="begin"/>
      </w:r>
      <w:r>
        <w:rPr>
          <w:noProof/>
        </w:rPr>
        <w:instrText xml:space="preserve"> SEQ Table \* ARABIC \s 1 </w:instrText>
      </w:r>
      <w:r>
        <w:rPr>
          <w:noProof/>
        </w:rPr>
        <w:fldChar w:fldCharType="separate"/>
      </w:r>
      <w:r w:rsidR="00D84A2A">
        <w:rPr>
          <w:noProof/>
        </w:rPr>
        <w:t>1</w:t>
      </w:r>
      <w:r>
        <w:rPr>
          <w:noProof/>
        </w:rPr>
        <w:fldChar w:fldCharType="end"/>
      </w:r>
      <w:r>
        <w:tab/>
        <w:t>TtW and jobactive participants on income support at referral and 30 days after referral</w:t>
      </w:r>
      <w:bookmarkEnd w:id="98"/>
      <w:bookmarkEnd w:id="99"/>
      <w:bookmarkEnd w:id="100"/>
      <w:bookmarkEnd w:id="101"/>
      <w:bookmarkEnd w:id="102"/>
    </w:p>
    <w:tbl>
      <w:tblPr>
        <w:tblStyle w:val="JobsTable"/>
        <w:tblW w:w="8897" w:type="dxa"/>
        <w:tblBorders>
          <w:bottom w:val="none" w:sz="0" w:space="0" w:color="auto"/>
        </w:tblBorders>
        <w:tblLook w:val="0420" w:firstRow="1" w:lastRow="0" w:firstColumn="0" w:lastColumn="0" w:noHBand="0" w:noVBand="1"/>
        <w:tblDescription w:val="83% of TtW participants were on income support at referral, compared to 84.5% 30 days after referral.&#10;85.7% of jobactive participants were on income support at referral, compared to 86.6% 30 days after referral.&#10;"/>
      </w:tblPr>
      <w:tblGrid>
        <w:gridCol w:w="2463"/>
        <w:gridCol w:w="3446"/>
        <w:gridCol w:w="2988"/>
      </w:tblGrid>
      <w:tr w:rsidR="00CC4E3D" w:rsidRPr="001C25D9" w14:paraId="22A7026E" w14:textId="77777777" w:rsidTr="005A1B8D">
        <w:trPr>
          <w:cnfStyle w:val="100000000000" w:firstRow="1" w:lastRow="0" w:firstColumn="0" w:lastColumn="0" w:oddVBand="0" w:evenVBand="0" w:oddHBand="0" w:evenHBand="0" w:firstRowFirstColumn="0" w:firstRowLastColumn="0" w:lastRowFirstColumn="0" w:lastRowLastColumn="0"/>
          <w:tblHeader/>
        </w:trPr>
        <w:tc>
          <w:tcPr>
            <w:tcW w:w="2463" w:type="dxa"/>
            <w:vAlign w:val="center"/>
          </w:tcPr>
          <w:p w14:paraId="7021A7FD" w14:textId="77777777" w:rsidR="00CC4E3D" w:rsidRPr="001C25D9" w:rsidRDefault="00CC4E3D" w:rsidP="005A1B8D">
            <w:pPr>
              <w:keepNext/>
              <w:spacing w:before="40" w:after="40"/>
              <w:rPr>
                <w:b/>
                <w:bCs/>
              </w:rPr>
            </w:pPr>
            <w:r w:rsidRPr="001C25D9">
              <w:rPr>
                <w:b/>
                <w:bCs/>
              </w:rPr>
              <w:t>Service</w:t>
            </w:r>
          </w:p>
        </w:tc>
        <w:tc>
          <w:tcPr>
            <w:tcW w:w="3446" w:type="dxa"/>
            <w:vAlign w:val="center"/>
          </w:tcPr>
          <w:p w14:paraId="56368D8B" w14:textId="77777777" w:rsidR="00CC4E3D" w:rsidRPr="001C25D9" w:rsidRDefault="00CC4E3D" w:rsidP="005A1B8D">
            <w:pPr>
              <w:keepNext/>
              <w:spacing w:before="40" w:after="40"/>
              <w:jc w:val="center"/>
              <w:rPr>
                <w:b/>
                <w:bCs/>
              </w:rPr>
            </w:pPr>
            <w:r w:rsidRPr="001C25D9">
              <w:rPr>
                <w:b/>
                <w:bCs/>
              </w:rPr>
              <w:t>% on income support at referral</w:t>
            </w:r>
          </w:p>
        </w:tc>
        <w:tc>
          <w:tcPr>
            <w:tcW w:w="2988" w:type="dxa"/>
            <w:vAlign w:val="center"/>
          </w:tcPr>
          <w:p w14:paraId="05E0F86C" w14:textId="00EFEB34" w:rsidR="00CC4E3D" w:rsidRPr="001C25D9" w:rsidRDefault="00CC4E3D" w:rsidP="005A1B8D">
            <w:pPr>
              <w:keepNext/>
              <w:spacing w:before="40" w:after="40"/>
              <w:jc w:val="center"/>
              <w:rPr>
                <w:b/>
                <w:bCs/>
              </w:rPr>
            </w:pPr>
            <w:r w:rsidRPr="001C25D9">
              <w:rPr>
                <w:b/>
                <w:bCs/>
              </w:rPr>
              <w:t>% on income support at 30 days after referral</w:t>
            </w:r>
          </w:p>
        </w:tc>
      </w:tr>
      <w:tr w:rsidR="00CC4E3D" w:rsidRPr="001C25D9" w14:paraId="05FCDE4B" w14:textId="77777777" w:rsidTr="005A1B8D">
        <w:tc>
          <w:tcPr>
            <w:tcW w:w="2463" w:type="dxa"/>
          </w:tcPr>
          <w:p w14:paraId="7C14FC77" w14:textId="77777777" w:rsidR="00CC4E3D" w:rsidRPr="001C25D9" w:rsidRDefault="00CC4E3D" w:rsidP="005A1B8D">
            <w:pPr>
              <w:keepNext/>
              <w:spacing w:before="40" w:after="40"/>
            </w:pPr>
            <w:r w:rsidRPr="001C25D9">
              <w:t>TtW</w:t>
            </w:r>
          </w:p>
        </w:tc>
        <w:tc>
          <w:tcPr>
            <w:tcW w:w="3446" w:type="dxa"/>
            <w:vAlign w:val="center"/>
          </w:tcPr>
          <w:p w14:paraId="4C265E83" w14:textId="77777777" w:rsidR="00CC4E3D" w:rsidRPr="001C25D9" w:rsidRDefault="00CC4E3D" w:rsidP="005A1B8D">
            <w:pPr>
              <w:keepNext/>
              <w:spacing w:before="40" w:after="40"/>
              <w:jc w:val="center"/>
            </w:pPr>
            <w:r w:rsidRPr="001C25D9">
              <w:t>83.0</w:t>
            </w:r>
          </w:p>
        </w:tc>
        <w:tc>
          <w:tcPr>
            <w:tcW w:w="2988" w:type="dxa"/>
            <w:vAlign w:val="center"/>
          </w:tcPr>
          <w:p w14:paraId="77049609" w14:textId="77777777" w:rsidR="00CC4E3D" w:rsidRPr="001C25D9" w:rsidRDefault="00CC4E3D" w:rsidP="005A1B8D">
            <w:pPr>
              <w:keepNext/>
              <w:spacing w:before="40" w:after="40"/>
              <w:jc w:val="center"/>
            </w:pPr>
            <w:r w:rsidRPr="001C25D9">
              <w:t>84.5</w:t>
            </w:r>
          </w:p>
        </w:tc>
      </w:tr>
      <w:tr w:rsidR="00CC4E3D" w:rsidRPr="001C25D9" w14:paraId="23D71678" w14:textId="77777777" w:rsidTr="005A1B8D">
        <w:tc>
          <w:tcPr>
            <w:tcW w:w="2463" w:type="dxa"/>
            <w:tcBorders>
              <w:bottom w:val="single" w:sz="4" w:space="0" w:color="auto"/>
            </w:tcBorders>
            <w:shd w:val="clear" w:color="auto" w:fill="F2F2F2" w:themeFill="background2"/>
          </w:tcPr>
          <w:p w14:paraId="50E8A302" w14:textId="77777777" w:rsidR="00CC4E3D" w:rsidRPr="001C25D9" w:rsidRDefault="00CC4E3D" w:rsidP="005A1B8D">
            <w:pPr>
              <w:keepNext/>
              <w:spacing w:before="40" w:after="40"/>
            </w:pPr>
            <w:r w:rsidRPr="001C25D9">
              <w:t>jobactive</w:t>
            </w:r>
          </w:p>
        </w:tc>
        <w:tc>
          <w:tcPr>
            <w:tcW w:w="3446" w:type="dxa"/>
            <w:tcBorders>
              <w:bottom w:val="single" w:sz="4" w:space="0" w:color="auto"/>
            </w:tcBorders>
            <w:shd w:val="clear" w:color="auto" w:fill="F2F2F2" w:themeFill="background2"/>
            <w:vAlign w:val="center"/>
          </w:tcPr>
          <w:p w14:paraId="07C273AC" w14:textId="77777777" w:rsidR="00CC4E3D" w:rsidRPr="001C25D9" w:rsidRDefault="00CC4E3D" w:rsidP="005A1B8D">
            <w:pPr>
              <w:keepNext/>
              <w:spacing w:before="40" w:after="40"/>
              <w:jc w:val="center"/>
            </w:pPr>
            <w:r w:rsidRPr="001C25D9">
              <w:t>85.7</w:t>
            </w:r>
          </w:p>
        </w:tc>
        <w:tc>
          <w:tcPr>
            <w:tcW w:w="2988" w:type="dxa"/>
            <w:tcBorders>
              <w:bottom w:val="single" w:sz="4" w:space="0" w:color="auto"/>
            </w:tcBorders>
            <w:shd w:val="clear" w:color="auto" w:fill="F2F2F2" w:themeFill="background2"/>
            <w:vAlign w:val="center"/>
          </w:tcPr>
          <w:p w14:paraId="49DC4F32" w14:textId="77777777" w:rsidR="00CC4E3D" w:rsidRPr="001C25D9" w:rsidRDefault="00CC4E3D" w:rsidP="005A1B8D">
            <w:pPr>
              <w:keepNext/>
              <w:spacing w:before="40" w:after="40"/>
              <w:jc w:val="center"/>
            </w:pPr>
            <w:r w:rsidRPr="001C25D9">
              <w:t>86.6</w:t>
            </w:r>
          </w:p>
        </w:tc>
      </w:tr>
    </w:tbl>
    <w:p w14:paraId="0D85C340" w14:textId="00CE23F0" w:rsidR="00CC4E3D" w:rsidRPr="005A1B8D" w:rsidRDefault="00CC4E3D" w:rsidP="00CC4E3D">
      <w:pPr>
        <w:pStyle w:val="Source"/>
        <w:rPr>
          <w:b/>
        </w:rPr>
      </w:pPr>
      <w:r w:rsidRPr="005A1B8D">
        <w:rPr>
          <w:b/>
        </w:rPr>
        <w:t xml:space="preserve">Source: Department of </w:t>
      </w:r>
      <w:r w:rsidR="001D72B7" w:rsidRPr="005A1B8D">
        <w:rPr>
          <w:b/>
        </w:rPr>
        <w:t>Employment, Skills, Small and Family</w:t>
      </w:r>
      <w:r w:rsidRPr="005A1B8D">
        <w:rPr>
          <w:b/>
        </w:rPr>
        <w:t xml:space="preserve"> Business administrative data — matched inflow populations.</w:t>
      </w:r>
    </w:p>
    <w:p w14:paraId="5FA036EE" w14:textId="77777777" w:rsidR="00CC4E3D" w:rsidRDefault="00CC4E3D" w:rsidP="00CC4E3D">
      <w:r>
        <w:t>The first point of assessment of income support status after referral for the matched inflow populations was set at 30 days after referral. This allows for the RapidConnect</w:t>
      </w:r>
      <w:r>
        <w:rPr>
          <w:rStyle w:val="FootnoteReference"/>
        </w:rPr>
        <w:footnoteReference w:id="10"/>
      </w:r>
      <w:r>
        <w:t xml:space="preserve"> provision, which requires most young people to attend an appointment within two working days of their initial contact with DHS, and for the timing associated with finalising a claim for income support. Young people who do not attend an appointment with their employment services provider within 28 working days of initial contact should have their income support claim rejected.</w:t>
      </w:r>
    </w:p>
    <w:p w14:paraId="206829A5" w14:textId="77777777" w:rsidR="00CC4E3D" w:rsidRDefault="00CC4E3D" w:rsidP="00CC4E3D">
      <w:r>
        <w:t>Some young people eligible for TtW Group Two placements do not qualify for income support when they start with the service — that is, those aged under 18 years who have not completed Year 12, are not exempt from study and are living at home with their parents. Over time some of them, having received the appropriate support from TtW to complete Year 12, become a full-time Australian apprentice or enter into a Job Plan and undertake education, training or other approved activities may qualify for income support. Other young people may also qualify for income support if their circumstances change and they satisfy the independence criteria for Youth Allowance.</w:t>
      </w:r>
      <w:r>
        <w:rPr>
          <w:rStyle w:val="FootnoteReference"/>
        </w:rPr>
        <w:footnoteReference w:id="11"/>
      </w:r>
      <w:r>
        <w:t xml:space="preserve"> </w:t>
      </w:r>
    </w:p>
    <w:p w14:paraId="571268F8" w14:textId="77777777" w:rsidR="00CC4E3D" w:rsidRDefault="00CC4E3D" w:rsidP="00CC4E3D">
      <w:r>
        <w:t>The equivalent support in jobactive for young people not receiving an activity-tested payment (volunteers) is basic Stream A (volunteer) services for a period of six months in total, except for vulnerable youth who are eligible for Stream C services.</w:t>
      </w:r>
    </w:p>
    <w:p w14:paraId="7851DD9D" w14:textId="77777777" w:rsidR="00CC4E3D" w:rsidRDefault="00CC4E3D" w:rsidP="001C25D9">
      <w:pPr>
        <w:pStyle w:val="Heading1"/>
        <w:keepNext w:val="0"/>
        <w:pageBreakBefore/>
        <w:numPr>
          <w:ilvl w:val="0"/>
          <w:numId w:val="4"/>
        </w:numPr>
        <w:spacing w:before="0" w:after="240"/>
        <w:contextualSpacing/>
      </w:pPr>
      <w:bookmarkStart w:id="103" w:name="_Toc535498872"/>
      <w:bookmarkStart w:id="104" w:name="_Toc23841352"/>
      <w:r w:rsidRPr="00AD100F">
        <w:lastRenderedPageBreak/>
        <w:t>The extent to which service implementation and operational processes enabled effective and efficient service delivery</w:t>
      </w:r>
      <w:bookmarkEnd w:id="103"/>
      <w:bookmarkEnd w:id="104"/>
      <w:r w:rsidRPr="00AD100F">
        <w:t xml:space="preserve"> </w:t>
      </w:r>
    </w:p>
    <w:p w14:paraId="77AFC2F9" w14:textId="77777777" w:rsidR="00CC4E3D" w:rsidRPr="001F4939" w:rsidRDefault="00CC4E3D" w:rsidP="001F4939">
      <w:pPr>
        <w:pStyle w:val="Heading2"/>
      </w:pPr>
      <w:bookmarkStart w:id="105" w:name="_Toc535498873"/>
      <w:bookmarkStart w:id="106" w:name="_Toc23841353"/>
      <w:r w:rsidRPr="001F4939">
        <w:t>Key findings</w:t>
      </w:r>
      <w:bookmarkEnd w:id="105"/>
      <w:bookmarkEnd w:id="106"/>
    </w:p>
    <w:p w14:paraId="2CD7BCE0" w14:textId="77777777" w:rsidR="00CC4E3D" w:rsidRDefault="00CC4E3D" w:rsidP="00E803E7">
      <w:pPr>
        <w:pStyle w:val="ListBullet"/>
      </w:pPr>
      <w:r>
        <w:t>Providers and peak bodies identified a number of issues with the rapid implementation and rollout of the service. These included securing sites, training staff, the suitability of and incomplete or inaccurate contact details of people referred from jobactive (the start-up caseload) and the general lack of awareness and knowledge of TtW (particularly among transitioned participants and DHS staff).</w:t>
      </w:r>
    </w:p>
    <w:p w14:paraId="6B759EEF" w14:textId="77777777" w:rsidR="00CC4E3D" w:rsidRDefault="00CC4E3D" w:rsidP="00E803E7">
      <w:pPr>
        <w:pStyle w:val="ListBullet"/>
      </w:pPr>
      <w:r>
        <w:t>These issues settled as delivery matured. Providers were generally satisfied with the level of departmental support they received during the implementation period.</w:t>
      </w:r>
    </w:p>
    <w:p w14:paraId="1A5F348E" w14:textId="77777777" w:rsidR="00CC4E3D" w:rsidRDefault="00CC4E3D" w:rsidP="00E803E7">
      <w:pPr>
        <w:pStyle w:val="ListBullet"/>
      </w:pPr>
      <w:r>
        <w:t>Employers of TtW participants reported low awareness of the TtW service.</w:t>
      </w:r>
    </w:p>
    <w:p w14:paraId="516FFDA2" w14:textId="77777777" w:rsidR="00CC4E3D" w:rsidRDefault="00CC4E3D" w:rsidP="00E803E7">
      <w:pPr>
        <w:pStyle w:val="ListBullet"/>
      </w:pPr>
      <w:r>
        <w:t xml:space="preserve">All stakeholders expressed positive views on aspects of the design of TtW, including the funding model, individualised servicing, increased </w:t>
      </w:r>
      <w:r w:rsidRPr="0098371E">
        <w:t>work-readiness</w:t>
      </w:r>
      <w:r>
        <w:t>, KPIs and Outcome Performance Targets.</w:t>
      </w:r>
    </w:p>
    <w:p w14:paraId="506205B8" w14:textId="77777777" w:rsidR="00CC4E3D" w:rsidRDefault="00CC4E3D" w:rsidP="00E803E7">
      <w:pPr>
        <w:pStyle w:val="ListBullet"/>
      </w:pPr>
      <w:r>
        <w:t>Providers found disengaged youth (Group Two) difficult to attract, and expressed frustration at the lack of participants referred from jobactive (Group Three).</w:t>
      </w:r>
    </w:p>
    <w:p w14:paraId="5B8243D3" w14:textId="77777777" w:rsidR="00CC4E3D" w:rsidRPr="001F4939" w:rsidRDefault="00CC4E3D" w:rsidP="001F4939">
      <w:pPr>
        <w:pStyle w:val="Heading2"/>
        <w:numPr>
          <w:ilvl w:val="1"/>
          <w:numId w:val="4"/>
        </w:numPr>
      </w:pPr>
      <w:bookmarkStart w:id="107" w:name="_Toc535498874"/>
      <w:bookmarkStart w:id="108" w:name="_Toc23841354"/>
      <w:r w:rsidRPr="001F4939">
        <w:t>Indicators used to address the evaluation question</w:t>
      </w:r>
      <w:bookmarkEnd w:id="107"/>
      <w:bookmarkEnd w:id="108"/>
    </w:p>
    <w:p w14:paraId="2F70E9A5" w14:textId="77777777" w:rsidR="00CC4E3D" w:rsidRDefault="00CC4E3D" w:rsidP="00CC4E3D">
      <w:r>
        <w:t>This chapter addresses TtW Evaluation Strategy Question 1.1:</w:t>
      </w:r>
    </w:p>
    <w:p w14:paraId="19C01950" w14:textId="77777777" w:rsidR="00CC4E3D" w:rsidRPr="00D9771E" w:rsidRDefault="00CC4E3D" w:rsidP="00415050">
      <w:pPr>
        <w:pStyle w:val="Quotation"/>
      </w:pPr>
      <w:r w:rsidRPr="00D9771E">
        <w:t xml:space="preserve">To what extent do the service implementation and operational processes enable effective and efficient service delivery? </w:t>
      </w:r>
    </w:p>
    <w:p w14:paraId="7997D8A4" w14:textId="77777777" w:rsidR="00CC4E3D" w:rsidRDefault="00CC4E3D" w:rsidP="00CC4E3D">
      <w:r>
        <w:t>Indicators relevant to this question were:</w:t>
      </w:r>
    </w:p>
    <w:p w14:paraId="515F0FD3" w14:textId="77777777" w:rsidR="00CC4E3D" w:rsidRPr="000F3187" w:rsidRDefault="00CC4E3D" w:rsidP="00E803E7">
      <w:pPr>
        <w:pStyle w:val="ListBullet"/>
      </w:pPr>
      <w:r w:rsidRPr="000F3187">
        <w:t>the ease and timeliness of TtW</w:t>
      </w:r>
      <w:r w:rsidRPr="006E6369">
        <w:t>’</w:t>
      </w:r>
      <w:r w:rsidRPr="000F3187">
        <w:t>s implementation processes and any subsequent impact on the quality of providers</w:t>
      </w:r>
      <w:r w:rsidRPr="006E6369">
        <w:t>’</w:t>
      </w:r>
      <w:r w:rsidRPr="000F3187">
        <w:t xml:space="preserve"> services at start-up, including the effectiveness of a phased rollout </w:t>
      </w:r>
    </w:p>
    <w:p w14:paraId="46EF026B" w14:textId="77777777" w:rsidR="00CC4E3D" w:rsidRPr="000F3187" w:rsidRDefault="00CC4E3D" w:rsidP="00E803E7">
      <w:pPr>
        <w:pStyle w:val="ListBullet"/>
      </w:pPr>
      <w:r w:rsidRPr="000F3187">
        <w:t>providers</w:t>
      </w:r>
      <w:r w:rsidRPr="006E6369">
        <w:t>’</w:t>
      </w:r>
      <w:r w:rsidRPr="000F3187">
        <w:t xml:space="preserve"> views on the operational aspects of TtW </w:t>
      </w:r>
      <w:r>
        <w:t>after</w:t>
      </w:r>
      <w:r w:rsidRPr="000F3187">
        <w:t xml:space="preserve"> implementation, including the funding model, program issues and design</w:t>
      </w:r>
    </w:p>
    <w:p w14:paraId="5A3CAADF" w14:textId="77777777" w:rsidR="00CC4E3D" w:rsidRPr="000F3187" w:rsidRDefault="00CC4E3D" w:rsidP="00E803E7">
      <w:pPr>
        <w:pStyle w:val="ListBullet"/>
      </w:pPr>
      <w:r w:rsidRPr="000F3187">
        <w:t>providers</w:t>
      </w:r>
      <w:r w:rsidRPr="006E6369">
        <w:t>’</w:t>
      </w:r>
      <w:r w:rsidRPr="000F3187">
        <w:t xml:space="preserve"> strategies to address implementation and early operational issues</w:t>
      </w:r>
    </w:p>
    <w:p w14:paraId="64740B58" w14:textId="77777777" w:rsidR="00CC4E3D" w:rsidRPr="000F3187" w:rsidRDefault="00CC4E3D" w:rsidP="00E803E7">
      <w:pPr>
        <w:pStyle w:val="ListBullet"/>
      </w:pPr>
      <w:r w:rsidRPr="000F3187">
        <w:t xml:space="preserve">the contribution of stakeholder interactions and engagement to successful service implementation </w:t>
      </w:r>
    </w:p>
    <w:p w14:paraId="52E4231B" w14:textId="77777777" w:rsidR="00CC4E3D" w:rsidRDefault="00CC4E3D" w:rsidP="00E803E7">
      <w:pPr>
        <w:pStyle w:val="ListBullet"/>
      </w:pPr>
      <w:r w:rsidRPr="000F3187">
        <w:t xml:space="preserve">the appropriateness of the TtW model in helping young people to become job ready. </w:t>
      </w:r>
    </w:p>
    <w:p w14:paraId="1523B17B" w14:textId="77777777" w:rsidR="00CC4E3D" w:rsidRPr="000F3187" w:rsidRDefault="00CC4E3D" w:rsidP="00CC4E3D">
      <w:r w:rsidRPr="007E1DBA">
        <w:t xml:space="preserve">The main data source used </w:t>
      </w:r>
      <w:r>
        <w:t>in this chapter wa</w:t>
      </w:r>
      <w:r w:rsidRPr="007E1DBA">
        <w:t xml:space="preserve">s </w:t>
      </w:r>
      <w:r>
        <w:t xml:space="preserve">a census of </w:t>
      </w:r>
      <w:r>
        <w:rPr>
          <w:rFonts w:ascii="Calibri" w:eastAsia="Times New Roman" w:hAnsi="Calibri" w:cs="Times New Roman"/>
        </w:rPr>
        <w:t>TtW providers at site level</w:t>
      </w:r>
      <w:r w:rsidRPr="007E1DBA">
        <w:rPr>
          <w:rFonts w:ascii="Calibri" w:eastAsia="Times New Roman" w:hAnsi="Calibri" w:cs="Times New Roman"/>
        </w:rPr>
        <w:t xml:space="preserve"> and qualitative research </w:t>
      </w:r>
      <w:r>
        <w:rPr>
          <w:rFonts w:ascii="Calibri" w:eastAsia="Times New Roman" w:hAnsi="Calibri" w:cs="Times New Roman"/>
        </w:rPr>
        <w:t>(undertaken from October to December 2016)</w:t>
      </w:r>
      <w:r>
        <w:t>,</w:t>
      </w:r>
      <w:r w:rsidRPr="007E1DBA">
        <w:t xml:space="preserve"> augmented by </w:t>
      </w:r>
      <w:r>
        <w:t xml:space="preserve">administrative data. The findings reported in this chapter are based on responses by providers at site level. It is important to </w:t>
      </w:r>
      <w:r>
        <w:lastRenderedPageBreak/>
        <w:t>note when interpreting these findings that contracted TtW providers can provide services in one or more Employment Regions and at one or more sites in each region.</w:t>
      </w:r>
    </w:p>
    <w:p w14:paraId="155C7A07" w14:textId="77777777" w:rsidR="00CC4E3D" w:rsidRPr="001F4939" w:rsidRDefault="00CC4E3D" w:rsidP="001F4939">
      <w:pPr>
        <w:pStyle w:val="Heading2"/>
        <w:numPr>
          <w:ilvl w:val="1"/>
          <w:numId w:val="4"/>
        </w:numPr>
      </w:pPr>
      <w:bookmarkStart w:id="109" w:name="_Toc535498875"/>
      <w:bookmarkStart w:id="110" w:name="_Toc23841355"/>
      <w:r w:rsidRPr="001F4939">
        <w:t>Early provider experiences of implementation</w:t>
      </w:r>
      <w:bookmarkEnd w:id="109"/>
      <w:bookmarkEnd w:id="110"/>
    </w:p>
    <w:p w14:paraId="17C216D1" w14:textId="77777777" w:rsidR="00CC4E3D" w:rsidRDefault="00CC4E3D" w:rsidP="00CC4E3D">
      <w:r>
        <w:t>This section focuses on the experiences and views of TtW providers and stakeholders from the close of the Request for Proposal (on 1 December 2015) to when providers were notified of their success (from January 2016) and then to full commencement of the service started (by May 2016).</w:t>
      </w:r>
    </w:p>
    <w:p w14:paraId="0BF21337" w14:textId="77777777" w:rsidR="00CC4E3D" w:rsidRDefault="00CC4E3D" w:rsidP="00CC4E3D">
      <w:r>
        <w:t xml:space="preserve">TtW was implemented over four phases, outlined in </w:t>
      </w:r>
      <w:r>
        <w:rPr>
          <w:b/>
        </w:rPr>
        <w:t>Table </w:t>
      </w:r>
      <w:r w:rsidRPr="00A872BC">
        <w:rPr>
          <w:b/>
        </w:rPr>
        <w:t>3. 1</w:t>
      </w:r>
      <w:r>
        <w:t xml:space="preserve">. </w:t>
      </w:r>
    </w:p>
    <w:p w14:paraId="60D7DCCD" w14:textId="79AE7D27" w:rsidR="00CC4E3D" w:rsidRDefault="00CC4E3D" w:rsidP="00FD4CA8">
      <w:pPr>
        <w:pStyle w:val="Caption"/>
      </w:pPr>
      <w:bookmarkStart w:id="111" w:name="_Toc535511451"/>
      <w:bookmarkStart w:id="112" w:name="_Toc535511511"/>
      <w:bookmarkStart w:id="113" w:name="_Toc535512738"/>
      <w:bookmarkStart w:id="114" w:name="_Toc535513374"/>
      <w:bookmarkStart w:id="115" w:name="_Toc23841437"/>
      <w:r>
        <w:t xml:space="preserve">Table </w:t>
      </w:r>
      <w:r>
        <w:rPr>
          <w:noProof/>
        </w:rPr>
        <w:fldChar w:fldCharType="begin"/>
      </w:r>
      <w:r>
        <w:rPr>
          <w:noProof/>
        </w:rPr>
        <w:instrText xml:space="preserve"> STYLEREF 1 \s </w:instrText>
      </w:r>
      <w:r>
        <w:rPr>
          <w:noProof/>
        </w:rPr>
        <w:fldChar w:fldCharType="separate"/>
      </w:r>
      <w:r w:rsidR="00D84A2A">
        <w:rPr>
          <w:noProof/>
        </w:rPr>
        <w:t>3</w:t>
      </w:r>
      <w:r>
        <w:rPr>
          <w:noProof/>
        </w:rPr>
        <w:fldChar w:fldCharType="end"/>
      </w:r>
      <w:r>
        <w:t>.</w:t>
      </w:r>
      <w:r>
        <w:rPr>
          <w:noProof/>
        </w:rPr>
        <w:fldChar w:fldCharType="begin"/>
      </w:r>
      <w:r>
        <w:rPr>
          <w:noProof/>
        </w:rPr>
        <w:instrText xml:space="preserve"> SEQ Table \* ARABIC \s 1 </w:instrText>
      </w:r>
      <w:r>
        <w:rPr>
          <w:noProof/>
        </w:rPr>
        <w:fldChar w:fldCharType="separate"/>
      </w:r>
      <w:r w:rsidR="00D84A2A">
        <w:rPr>
          <w:noProof/>
        </w:rPr>
        <w:t>1</w:t>
      </w:r>
      <w:r>
        <w:rPr>
          <w:noProof/>
        </w:rPr>
        <w:fldChar w:fldCharType="end"/>
      </w:r>
      <w:r>
        <w:tab/>
        <w:t>Phases of TtW rollout</w:t>
      </w:r>
      <w:bookmarkEnd w:id="111"/>
      <w:bookmarkEnd w:id="112"/>
      <w:bookmarkEnd w:id="113"/>
      <w:bookmarkEnd w:id="114"/>
      <w:bookmarkEnd w:id="115"/>
      <w:r>
        <w:t xml:space="preserve"> </w:t>
      </w:r>
    </w:p>
    <w:tbl>
      <w:tblPr>
        <w:tblStyle w:val="JobsTable"/>
        <w:tblW w:w="5000" w:type="pct"/>
        <w:tblLook w:val="04E0" w:firstRow="1" w:lastRow="1" w:firstColumn="1" w:lastColumn="0" w:noHBand="0" w:noVBand="1"/>
        <w:tblDescription w:val="Shows commencement date, number of contracts and number of employment regions involved in the 4 phases of the rollout.&#10;Commencements dates: Phase 1.1, 15 February 2016; Phase 1.2, 29 February 2016; Phase 2, 14 March 2016; Phase 3, 4 April 2016; Phase 4, 2 May 2016.&#10;Number of contracts: Phase 1, 11; Phase 2, 28; Phase 3, 42; Phase 4, 1. All phases, 82.&#10;Number of employment regions: Phase 1.1, 5; Phase 1.2, 4; total Phase 1, 7, Phase 2, 21; Phase 3, 27; Phase 4, 1. All phases, 51.&#10;"/>
      </w:tblPr>
      <w:tblGrid>
        <w:gridCol w:w="2256"/>
        <w:gridCol w:w="2256"/>
        <w:gridCol w:w="2257"/>
        <w:gridCol w:w="2257"/>
      </w:tblGrid>
      <w:tr w:rsidR="00CC4E3D" w:rsidRPr="00B129FE" w14:paraId="43DC2DB6" w14:textId="77777777" w:rsidTr="00CF510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50" w:type="pct"/>
            <w:vAlign w:val="center"/>
            <w:hideMark/>
          </w:tcPr>
          <w:p w14:paraId="543E8AAD" w14:textId="77777777" w:rsidR="00CC4E3D" w:rsidRPr="001C25D9" w:rsidRDefault="00CC4E3D" w:rsidP="001C25D9">
            <w:pPr>
              <w:rPr>
                <w:b/>
                <w:bCs/>
              </w:rPr>
            </w:pPr>
            <w:r w:rsidRPr="001C25D9">
              <w:rPr>
                <w:b/>
                <w:bCs/>
              </w:rPr>
              <w:t>Rollout phase</w:t>
            </w:r>
          </w:p>
        </w:tc>
        <w:tc>
          <w:tcPr>
            <w:tcW w:w="1250" w:type="pct"/>
            <w:vAlign w:val="center"/>
            <w:hideMark/>
          </w:tcPr>
          <w:p w14:paraId="7E5ADF64" w14:textId="77777777" w:rsidR="00CC4E3D" w:rsidRPr="001C25D9" w:rsidRDefault="00CC4E3D" w:rsidP="001C25D9">
            <w:pPr>
              <w:cnfStyle w:val="100000000000" w:firstRow="1" w:lastRow="0" w:firstColumn="0" w:lastColumn="0" w:oddVBand="0" w:evenVBand="0" w:oddHBand="0" w:evenHBand="0" w:firstRowFirstColumn="0" w:firstRowLastColumn="0" w:lastRowFirstColumn="0" w:lastRowLastColumn="0"/>
              <w:rPr>
                <w:b/>
                <w:bCs/>
              </w:rPr>
            </w:pPr>
            <w:r w:rsidRPr="001C25D9">
              <w:rPr>
                <w:b/>
                <w:bCs/>
              </w:rPr>
              <w:t>Commencement date</w:t>
            </w:r>
          </w:p>
        </w:tc>
        <w:tc>
          <w:tcPr>
            <w:tcW w:w="1250" w:type="pct"/>
            <w:vAlign w:val="center"/>
            <w:hideMark/>
          </w:tcPr>
          <w:p w14:paraId="7F3909A4" w14:textId="77777777" w:rsidR="00CC4E3D" w:rsidRPr="001C25D9" w:rsidRDefault="00CC4E3D" w:rsidP="001C25D9">
            <w:pPr>
              <w:cnfStyle w:val="100000000000" w:firstRow="1" w:lastRow="0" w:firstColumn="0" w:lastColumn="0" w:oddVBand="0" w:evenVBand="0" w:oddHBand="0" w:evenHBand="0" w:firstRowFirstColumn="0" w:firstRowLastColumn="0" w:lastRowFirstColumn="0" w:lastRowLastColumn="0"/>
              <w:rPr>
                <w:b/>
                <w:bCs/>
              </w:rPr>
            </w:pPr>
            <w:r w:rsidRPr="001C25D9">
              <w:rPr>
                <w:b/>
                <w:bCs/>
              </w:rPr>
              <w:t>Number of contracts</w:t>
            </w:r>
          </w:p>
        </w:tc>
        <w:tc>
          <w:tcPr>
            <w:tcW w:w="1250" w:type="pct"/>
            <w:vAlign w:val="center"/>
            <w:hideMark/>
          </w:tcPr>
          <w:p w14:paraId="4A33E4C5" w14:textId="77777777" w:rsidR="00CC4E3D" w:rsidRPr="001C25D9" w:rsidRDefault="00CC4E3D" w:rsidP="001C25D9">
            <w:pPr>
              <w:cnfStyle w:val="100000000000" w:firstRow="1" w:lastRow="0" w:firstColumn="0" w:lastColumn="0" w:oddVBand="0" w:evenVBand="0" w:oddHBand="0" w:evenHBand="0" w:firstRowFirstColumn="0" w:firstRowLastColumn="0" w:lastRowFirstColumn="0" w:lastRowLastColumn="0"/>
              <w:rPr>
                <w:b/>
                <w:bCs/>
              </w:rPr>
            </w:pPr>
            <w:r w:rsidRPr="001C25D9">
              <w:rPr>
                <w:b/>
                <w:bCs/>
              </w:rPr>
              <w:t>Number of employment regions*</w:t>
            </w:r>
          </w:p>
        </w:tc>
      </w:tr>
      <w:tr w:rsidR="00CC4E3D" w:rsidRPr="00B129FE" w14:paraId="2E92794A" w14:textId="77777777" w:rsidTr="005A1B8D">
        <w:tc>
          <w:tcPr>
            <w:cnfStyle w:val="001000000000" w:firstRow="0" w:lastRow="0" w:firstColumn="1" w:lastColumn="0" w:oddVBand="0" w:evenVBand="0" w:oddHBand="0" w:evenHBand="0" w:firstRowFirstColumn="0" w:firstRowLastColumn="0" w:lastRowFirstColumn="0" w:lastRowLastColumn="0"/>
            <w:tcW w:w="1250" w:type="pct"/>
            <w:shd w:val="clear" w:color="auto" w:fill="F2F2F2" w:themeFill="background2"/>
            <w:hideMark/>
          </w:tcPr>
          <w:p w14:paraId="70D27847" w14:textId="77777777" w:rsidR="00CC4E3D" w:rsidRPr="001C25D9" w:rsidRDefault="00CC4E3D" w:rsidP="001C25D9">
            <w:r w:rsidRPr="001C25D9">
              <w:t>Phase One</w:t>
            </w:r>
          </w:p>
        </w:tc>
        <w:tc>
          <w:tcPr>
            <w:tcW w:w="1250" w:type="pct"/>
            <w:shd w:val="clear" w:color="auto" w:fill="F2F2F2" w:themeFill="background2"/>
            <w:vAlign w:val="center"/>
            <w:hideMark/>
          </w:tcPr>
          <w:p w14:paraId="555D41D7" w14:textId="6ED8281F" w:rsidR="00CC4E3D" w:rsidRPr="001C25D9" w:rsidRDefault="00CC4E3D" w:rsidP="001C25D9">
            <w:pPr>
              <w:cnfStyle w:val="000000000000" w:firstRow="0" w:lastRow="0" w:firstColumn="0" w:lastColumn="0" w:oddVBand="0" w:evenVBand="0" w:oddHBand="0" w:evenHBand="0" w:firstRowFirstColumn="0" w:firstRowLastColumn="0" w:lastRowFirstColumn="0" w:lastRowLastColumn="0"/>
            </w:pPr>
          </w:p>
        </w:tc>
        <w:tc>
          <w:tcPr>
            <w:tcW w:w="1250" w:type="pct"/>
            <w:shd w:val="clear" w:color="auto" w:fill="F2F2F2" w:themeFill="background2"/>
            <w:vAlign w:val="center"/>
            <w:hideMark/>
          </w:tcPr>
          <w:p w14:paraId="75B3AD4B" w14:textId="77777777" w:rsidR="00CC4E3D" w:rsidRPr="001C25D9" w:rsidRDefault="00CC4E3D" w:rsidP="001C25D9">
            <w:pPr>
              <w:jc w:val="center"/>
              <w:cnfStyle w:val="000000000000" w:firstRow="0" w:lastRow="0" w:firstColumn="0" w:lastColumn="0" w:oddVBand="0" w:evenVBand="0" w:oddHBand="0" w:evenHBand="0" w:firstRowFirstColumn="0" w:firstRowLastColumn="0" w:lastRowFirstColumn="0" w:lastRowLastColumn="0"/>
            </w:pPr>
            <w:r w:rsidRPr="001C25D9">
              <w:t>11</w:t>
            </w:r>
          </w:p>
        </w:tc>
        <w:tc>
          <w:tcPr>
            <w:tcW w:w="1250" w:type="pct"/>
            <w:shd w:val="clear" w:color="auto" w:fill="F2F2F2" w:themeFill="background2"/>
            <w:vAlign w:val="center"/>
            <w:hideMark/>
          </w:tcPr>
          <w:p w14:paraId="090C0E6F" w14:textId="77777777" w:rsidR="00CC4E3D" w:rsidRPr="001C25D9" w:rsidRDefault="00CC4E3D" w:rsidP="001C25D9">
            <w:pPr>
              <w:jc w:val="center"/>
              <w:cnfStyle w:val="000000000000" w:firstRow="0" w:lastRow="0" w:firstColumn="0" w:lastColumn="0" w:oddVBand="0" w:evenVBand="0" w:oddHBand="0" w:evenHBand="0" w:firstRowFirstColumn="0" w:firstRowLastColumn="0" w:lastRowFirstColumn="0" w:lastRowLastColumn="0"/>
            </w:pPr>
            <w:r w:rsidRPr="001C25D9">
              <w:t>7</w:t>
            </w:r>
          </w:p>
        </w:tc>
      </w:tr>
      <w:tr w:rsidR="00CC4E3D" w:rsidRPr="00B129FE" w14:paraId="3C515906" w14:textId="77777777" w:rsidTr="005A1B8D">
        <w:tc>
          <w:tcPr>
            <w:cnfStyle w:val="001000000000" w:firstRow="0" w:lastRow="0" w:firstColumn="1" w:lastColumn="0" w:oddVBand="0" w:evenVBand="0" w:oddHBand="0" w:evenHBand="0" w:firstRowFirstColumn="0" w:firstRowLastColumn="0" w:lastRowFirstColumn="0" w:lastRowLastColumn="0"/>
            <w:tcW w:w="1250" w:type="pct"/>
            <w:shd w:val="clear" w:color="auto" w:fill="F2F2F2" w:themeFill="background2"/>
            <w:hideMark/>
          </w:tcPr>
          <w:p w14:paraId="4443D1DE" w14:textId="77777777" w:rsidR="00CC4E3D" w:rsidRPr="001C25D9" w:rsidRDefault="00CC4E3D" w:rsidP="00CF510D">
            <w:pPr>
              <w:ind w:left="37"/>
              <w:jc w:val="right"/>
            </w:pPr>
            <w:r w:rsidRPr="001C25D9">
              <w:t>Phase One — Part 1</w:t>
            </w:r>
          </w:p>
        </w:tc>
        <w:tc>
          <w:tcPr>
            <w:tcW w:w="1250" w:type="pct"/>
            <w:shd w:val="clear" w:color="auto" w:fill="F2F2F2" w:themeFill="background2"/>
            <w:vAlign w:val="center"/>
            <w:hideMark/>
          </w:tcPr>
          <w:p w14:paraId="78D6FE26" w14:textId="64118A94" w:rsidR="00CC4E3D" w:rsidRPr="001C25D9" w:rsidRDefault="00CC4E3D" w:rsidP="001C25D9">
            <w:pPr>
              <w:cnfStyle w:val="000000000000" w:firstRow="0" w:lastRow="0" w:firstColumn="0" w:lastColumn="0" w:oddVBand="0" w:evenVBand="0" w:oddHBand="0" w:evenHBand="0" w:firstRowFirstColumn="0" w:firstRowLastColumn="0" w:lastRowFirstColumn="0" w:lastRowLastColumn="0"/>
            </w:pPr>
            <w:r w:rsidRPr="001C25D9">
              <w:t>15 February 2016 (7)</w:t>
            </w:r>
          </w:p>
        </w:tc>
        <w:tc>
          <w:tcPr>
            <w:tcW w:w="1250" w:type="pct"/>
            <w:shd w:val="clear" w:color="auto" w:fill="F2F2F2" w:themeFill="background2"/>
            <w:vAlign w:val="center"/>
          </w:tcPr>
          <w:p w14:paraId="6AE0E31A" w14:textId="6026C0D5" w:rsidR="00CC4E3D" w:rsidRPr="00DF15E5" w:rsidRDefault="007B46C9" w:rsidP="001C25D9">
            <w:pPr>
              <w:jc w:val="center"/>
              <w:cnfStyle w:val="000000000000" w:firstRow="0" w:lastRow="0" w:firstColumn="0" w:lastColumn="0" w:oddVBand="0" w:evenVBand="0" w:oddHBand="0" w:evenHBand="0" w:firstRowFirstColumn="0" w:firstRowLastColumn="0" w:lastRowFirstColumn="0" w:lastRowLastColumn="0"/>
              <w:rPr>
                <w:color w:val="F2F2F2" w:themeColor="background2"/>
              </w:rPr>
            </w:pPr>
            <w:r>
              <w:rPr>
                <w:color w:val="F2F2F2" w:themeColor="background2"/>
              </w:rPr>
              <w:t>—</w:t>
            </w:r>
          </w:p>
        </w:tc>
        <w:tc>
          <w:tcPr>
            <w:tcW w:w="1250" w:type="pct"/>
            <w:shd w:val="clear" w:color="auto" w:fill="F2F2F2" w:themeFill="background2"/>
            <w:vAlign w:val="center"/>
            <w:hideMark/>
          </w:tcPr>
          <w:p w14:paraId="50753A7B" w14:textId="77777777" w:rsidR="00CC4E3D" w:rsidRPr="001C25D9" w:rsidRDefault="00CC4E3D" w:rsidP="001C25D9">
            <w:pPr>
              <w:jc w:val="center"/>
              <w:cnfStyle w:val="000000000000" w:firstRow="0" w:lastRow="0" w:firstColumn="0" w:lastColumn="0" w:oddVBand="0" w:evenVBand="0" w:oddHBand="0" w:evenHBand="0" w:firstRowFirstColumn="0" w:firstRowLastColumn="0" w:lastRowFirstColumn="0" w:lastRowLastColumn="0"/>
            </w:pPr>
            <w:r w:rsidRPr="001C25D9">
              <w:t>5</w:t>
            </w:r>
          </w:p>
        </w:tc>
      </w:tr>
      <w:tr w:rsidR="00CC4E3D" w:rsidRPr="00B129FE" w14:paraId="583DF0EE" w14:textId="77777777" w:rsidTr="005A1B8D">
        <w:tc>
          <w:tcPr>
            <w:cnfStyle w:val="001000000000" w:firstRow="0" w:lastRow="0" w:firstColumn="1" w:lastColumn="0" w:oddVBand="0" w:evenVBand="0" w:oddHBand="0" w:evenHBand="0" w:firstRowFirstColumn="0" w:firstRowLastColumn="0" w:lastRowFirstColumn="0" w:lastRowLastColumn="0"/>
            <w:tcW w:w="1250" w:type="pct"/>
            <w:shd w:val="clear" w:color="auto" w:fill="F2F2F2" w:themeFill="background2"/>
            <w:hideMark/>
          </w:tcPr>
          <w:p w14:paraId="17D11AF1" w14:textId="77777777" w:rsidR="00CC4E3D" w:rsidRPr="001C25D9" w:rsidRDefault="00CC4E3D" w:rsidP="00CF510D">
            <w:pPr>
              <w:ind w:left="37"/>
              <w:jc w:val="right"/>
            </w:pPr>
            <w:r w:rsidRPr="001C25D9">
              <w:t>Phase One — Part 2</w:t>
            </w:r>
          </w:p>
        </w:tc>
        <w:tc>
          <w:tcPr>
            <w:tcW w:w="1250" w:type="pct"/>
            <w:shd w:val="clear" w:color="auto" w:fill="F2F2F2" w:themeFill="background2"/>
            <w:vAlign w:val="center"/>
            <w:hideMark/>
          </w:tcPr>
          <w:p w14:paraId="4C034845" w14:textId="77777777" w:rsidR="00CC4E3D" w:rsidRPr="001C25D9" w:rsidRDefault="00CC4E3D" w:rsidP="001C25D9">
            <w:pPr>
              <w:cnfStyle w:val="000000000000" w:firstRow="0" w:lastRow="0" w:firstColumn="0" w:lastColumn="0" w:oddVBand="0" w:evenVBand="0" w:oddHBand="0" w:evenHBand="0" w:firstRowFirstColumn="0" w:firstRowLastColumn="0" w:lastRowFirstColumn="0" w:lastRowLastColumn="0"/>
            </w:pPr>
            <w:r w:rsidRPr="001C25D9">
              <w:t>29 February 2016 (4)</w:t>
            </w:r>
          </w:p>
        </w:tc>
        <w:tc>
          <w:tcPr>
            <w:tcW w:w="1250" w:type="pct"/>
            <w:shd w:val="clear" w:color="auto" w:fill="F2F2F2" w:themeFill="background2"/>
            <w:vAlign w:val="center"/>
          </w:tcPr>
          <w:p w14:paraId="34F86C2A" w14:textId="7AC35B81" w:rsidR="00CC4E3D" w:rsidRPr="00DF15E5" w:rsidRDefault="007B46C9" w:rsidP="001C25D9">
            <w:pPr>
              <w:jc w:val="center"/>
              <w:cnfStyle w:val="000000000000" w:firstRow="0" w:lastRow="0" w:firstColumn="0" w:lastColumn="0" w:oddVBand="0" w:evenVBand="0" w:oddHBand="0" w:evenHBand="0" w:firstRowFirstColumn="0" w:firstRowLastColumn="0" w:lastRowFirstColumn="0" w:lastRowLastColumn="0"/>
              <w:rPr>
                <w:color w:val="F2F2F2" w:themeColor="background2"/>
              </w:rPr>
            </w:pPr>
            <w:r>
              <w:rPr>
                <w:color w:val="F2F2F2" w:themeColor="background2"/>
              </w:rPr>
              <w:t>—</w:t>
            </w:r>
          </w:p>
        </w:tc>
        <w:tc>
          <w:tcPr>
            <w:tcW w:w="1250" w:type="pct"/>
            <w:shd w:val="clear" w:color="auto" w:fill="F2F2F2" w:themeFill="background2"/>
            <w:vAlign w:val="center"/>
            <w:hideMark/>
          </w:tcPr>
          <w:p w14:paraId="395A4CB8" w14:textId="77777777" w:rsidR="00CC4E3D" w:rsidRPr="001C25D9" w:rsidRDefault="00CC4E3D" w:rsidP="001C25D9">
            <w:pPr>
              <w:jc w:val="center"/>
              <w:cnfStyle w:val="000000000000" w:firstRow="0" w:lastRow="0" w:firstColumn="0" w:lastColumn="0" w:oddVBand="0" w:evenVBand="0" w:oddHBand="0" w:evenHBand="0" w:firstRowFirstColumn="0" w:firstRowLastColumn="0" w:lastRowFirstColumn="0" w:lastRowLastColumn="0"/>
            </w:pPr>
            <w:r w:rsidRPr="001C25D9">
              <w:t>4</w:t>
            </w:r>
          </w:p>
        </w:tc>
      </w:tr>
      <w:tr w:rsidR="00CC4E3D" w:rsidRPr="00B129FE" w14:paraId="4C7BA9AD" w14:textId="77777777" w:rsidTr="00CF510D">
        <w:tc>
          <w:tcPr>
            <w:cnfStyle w:val="001000000000" w:firstRow="0" w:lastRow="0" w:firstColumn="1" w:lastColumn="0" w:oddVBand="0" w:evenVBand="0" w:oddHBand="0" w:evenHBand="0" w:firstRowFirstColumn="0" w:firstRowLastColumn="0" w:lastRowFirstColumn="0" w:lastRowLastColumn="0"/>
            <w:tcW w:w="1250" w:type="pct"/>
            <w:hideMark/>
          </w:tcPr>
          <w:p w14:paraId="5B50BC3E" w14:textId="77777777" w:rsidR="00CC4E3D" w:rsidRPr="001C25D9" w:rsidRDefault="00CC4E3D" w:rsidP="001C25D9">
            <w:r w:rsidRPr="001C25D9">
              <w:t>Phase Two</w:t>
            </w:r>
          </w:p>
        </w:tc>
        <w:tc>
          <w:tcPr>
            <w:tcW w:w="1250" w:type="pct"/>
            <w:vAlign w:val="center"/>
            <w:hideMark/>
          </w:tcPr>
          <w:p w14:paraId="435271F0" w14:textId="77777777" w:rsidR="00CC4E3D" w:rsidRPr="001C25D9" w:rsidRDefault="00CC4E3D" w:rsidP="001C25D9">
            <w:pPr>
              <w:cnfStyle w:val="000000000000" w:firstRow="0" w:lastRow="0" w:firstColumn="0" w:lastColumn="0" w:oddVBand="0" w:evenVBand="0" w:oddHBand="0" w:evenHBand="0" w:firstRowFirstColumn="0" w:firstRowLastColumn="0" w:lastRowFirstColumn="0" w:lastRowLastColumn="0"/>
            </w:pPr>
            <w:r w:rsidRPr="001C25D9">
              <w:t>14 March 2016</w:t>
            </w:r>
          </w:p>
        </w:tc>
        <w:tc>
          <w:tcPr>
            <w:tcW w:w="1250" w:type="pct"/>
            <w:vAlign w:val="center"/>
            <w:hideMark/>
          </w:tcPr>
          <w:p w14:paraId="4CE9CEBE" w14:textId="77777777" w:rsidR="00CC4E3D" w:rsidRPr="001C25D9" w:rsidRDefault="00CC4E3D" w:rsidP="001C25D9">
            <w:pPr>
              <w:jc w:val="center"/>
              <w:cnfStyle w:val="000000000000" w:firstRow="0" w:lastRow="0" w:firstColumn="0" w:lastColumn="0" w:oddVBand="0" w:evenVBand="0" w:oddHBand="0" w:evenHBand="0" w:firstRowFirstColumn="0" w:firstRowLastColumn="0" w:lastRowFirstColumn="0" w:lastRowLastColumn="0"/>
            </w:pPr>
            <w:r w:rsidRPr="001C25D9">
              <w:t>28</w:t>
            </w:r>
          </w:p>
        </w:tc>
        <w:tc>
          <w:tcPr>
            <w:tcW w:w="1250" w:type="pct"/>
            <w:vAlign w:val="center"/>
            <w:hideMark/>
          </w:tcPr>
          <w:p w14:paraId="40AD1E99" w14:textId="77777777" w:rsidR="00CC4E3D" w:rsidRPr="001C25D9" w:rsidRDefault="00CC4E3D" w:rsidP="001C25D9">
            <w:pPr>
              <w:jc w:val="center"/>
              <w:cnfStyle w:val="000000000000" w:firstRow="0" w:lastRow="0" w:firstColumn="0" w:lastColumn="0" w:oddVBand="0" w:evenVBand="0" w:oddHBand="0" w:evenHBand="0" w:firstRowFirstColumn="0" w:firstRowLastColumn="0" w:lastRowFirstColumn="0" w:lastRowLastColumn="0"/>
            </w:pPr>
            <w:r w:rsidRPr="001C25D9">
              <w:t>21</w:t>
            </w:r>
          </w:p>
        </w:tc>
      </w:tr>
      <w:tr w:rsidR="00CC4E3D" w:rsidRPr="00B129FE" w14:paraId="26A5C0AB" w14:textId="77777777" w:rsidTr="005A1B8D">
        <w:tc>
          <w:tcPr>
            <w:cnfStyle w:val="001000000000" w:firstRow="0" w:lastRow="0" w:firstColumn="1" w:lastColumn="0" w:oddVBand="0" w:evenVBand="0" w:oddHBand="0" w:evenHBand="0" w:firstRowFirstColumn="0" w:firstRowLastColumn="0" w:lastRowFirstColumn="0" w:lastRowLastColumn="0"/>
            <w:tcW w:w="1250" w:type="pct"/>
            <w:shd w:val="clear" w:color="auto" w:fill="F2F2F2" w:themeFill="background2"/>
            <w:hideMark/>
          </w:tcPr>
          <w:p w14:paraId="3F29205F" w14:textId="77777777" w:rsidR="00CC4E3D" w:rsidRPr="001C25D9" w:rsidRDefault="00CC4E3D" w:rsidP="001C25D9">
            <w:r w:rsidRPr="001C25D9">
              <w:t>Phase Three</w:t>
            </w:r>
          </w:p>
        </w:tc>
        <w:tc>
          <w:tcPr>
            <w:tcW w:w="1250" w:type="pct"/>
            <w:shd w:val="clear" w:color="auto" w:fill="F2F2F2" w:themeFill="background2"/>
            <w:vAlign w:val="center"/>
            <w:hideMark/>
          </w:tcPr>
          <w:p w14:paraId="27CBC424" w14:textId="77777777" w:rsidR="00CC4E3D" w:rsidRPr="001C25D9" w:rsidRDefault="00CC4E3D" w:rsidP="001C25D9">
            <w:pPr>
              <w:cnfStyle w:val="000000000000" w:firstRow="0" w:lastRow="0" w:firstColumn="0" w:lastColumn="0" w:oddVBand="0" w:evenVBand="0" w:oddHBand="0" w:evenHBand="0" w:firstRowFirstColumn="0" w:firstRowLastColumn="0" w:lastRowFirstColumn="0" w:lastRowLastColumn="0"/>
            </w:pPr>
            <w:r w:rsidRPr="001C25D9">
              <w:t>4 April 2016</w:t>
            </w:r>
          </w:p>
        </w:tc>
        <w:tc>
          <w:tcPr>
            <w:tcW w:w="1250" w:type="pct"/>
            <w:shd w:val="clear" w:color="auto" w:fill="F2F2F2" w:themeFill="background2"/>
            <w:vAlign w:val="center"/>
            <w:hideMark/>
          </w:tcPr>
          <w:p w14:paraId="4F305492" w14:textId="77777777" w:rsidR="00CC4E3D" w:rsidRPr="001C25D9" w:rsidRDefault="00CC4E3D" w:rsidP="001C25D9">
            <w:pPr>
              <w:jc w:val="center"/>
              <w:cnfStyle w:val="000000000000" w:firstRow="0" w:lastRow="0" w:firstColumn="0" w:lastColumn="0" w:oddVBand="0" w:evenVBand="0" w:oddHBand="0" w:evenHBand="0" w:firstRowFirstColumn="0" w:firstRowLastColumn="0" w:lastRowFirstColumn="0" w:lastRowLastColumn="0"/>
            </w:pPr>
            <w:r w:rsidRPr="001C25D9">
              <w:t>42</w:t>
            </w:r>
          </w:p>
        </w:tc>
        <w:tc>
          <w:tcPr>
            <w:tcW w:w="1250" w:type="pct"/>
            <w:shd w:val="clear" w:color="auto" w:fill="F2F2F2" w:themeFill="background2"/>
            <w:vAlign w:val="center"/>
            <w:hideMark/>
          </w:tcPr>
          <w:p w14:paraId="0C29476C" w14:textId="77777777" w:rsidR="00CC4E3D" w:rsidRPr="001C25D9" w:rsidRDefault="00CC4E3D" w:rsidP="001C25D9">
            <w:pPr>
              <w:jc w:val="center"/>
              <w:cnfStyle w:val="000000000000" w:firstRow="0" w:lastRow="0" w:firstColumn="0" w:lastColumn="0" w:oddVBand="0" w:evenVBand="0" w:oddHBand="0" w:evenHBand="0" w:firstRowFirstColumn="0" w:firstRowLastColumn="0" w:lastRowFirstColumn="0" w:lastRowLastColumn="0"/>
            </w:pPr>
            <w:r w:rsidRPr="001C25D9">
              <w:t>27</w:t>
            </w:r>
          </w:p>
        </w:tc>
      </w:tr>
      <w:tr w:rsidR="00CC4E3D" w:rsidRPr="00B129FE" w14:paraId="25138DD4" w14:textId="77777777" w:rsidTr="00CF510D">
        <w:tc>
          <w:tcPr>
            <w:cnfStyle w:val="001000000000" w:firstRow="0" w:lastRow="0" w:firstColumn="1" w:lastColumn="0" w:oddVBand="0" w:evenVBand="0" w:oddHBand="0" w:evenHBand="0" w:firstRowFirstColumn="0" w:firstRowLastColumn="0" w:lastRowFirstColumn="0" w:lastRowLastColumn="0"/>
            <w:tcW w:w="1250" w:type="pct"/>
            <w:hideMark/>
          </w:tcPr>
          <w:p w14:paraId="3FDD3012" w14:textId="77777777" w:rsidR="00CC4E3D" w:rsidRPr="001C25D9" w:rsidRDefault="00CC4E3D" w:rsidP="001C25D9">
            <w:r w:rsidRPr="001C25D9">
              <w:t>Phase Four</w:t>
            </w:r>
          </w:p>
        </w:tc>
        <w:tc>
          <w:tcPr>
            <w:tcW w:w="1250" w:type="pct"/>
            <w:vAlign w:val="center"/>
            <w:hideMark/>
          </w:tcPr>
          <w:p w14:paraId="2389F51D" w14:textId="77777777" w:rsidR="00CC4E3D" w:rsidRPr="001C25D9" w:rsidRDefault="00CC4E3D" w:rsidP="001C25D9">
            <w:pPr>
              <w:cnfStyle w:val="000000000000" w:firstRow="0" w:lastRow="0" w:firstColumn="0" w:lastColumn="0" w:oddVBand="0" w:evenVBand="0" w:oddHBand="0" w:evenHBand="0" w:firstRowFirstColumn="0" w:firstRowLastColumn="0" w:lastRowFirstColumn="0" w:lastRowLastColumn="0"/>
            </w:pPr>
            <w:r w:rsidRPr="001C25D9">
              <w:t>2 May 2016</w:t>
            </w:r>
          </w:p>
        </w:tc>
        <w:tc>
          <w:tcPr>
            <w:tcW w:w="1250" w:type="pct"/>
            <w:vAlign w:val="center"/>
            <w:hideMark/>
          </w:tcPr>
          <w:p w14:paraId="7E8D1374" w14:textId="77777777" w:rsidR="00CC4E3D" w:rsidRPr="001C25D9" w:rsidRDefault="00CC4E3D" w:rsidP="001C25D9">
            <w:pPr>
              <w:jc w:val="center"/>
              <w:cnfStyle w:val="000000000000" w:firstRow="0" w:lastRow="0" w:firstColumn="0" w:lastColumn="0" w:oddVBand="0" w:evenVBand="0" w:oddHBand="0" w:evenHBand="0" w:firstRowFirstColumn="0" w:firstRowLastColumn="0" w:lastRowFirstColumn="0" w:lastRowLastColumn="0"/>
            </w:pPr>
            <w:r w:rsidRPr="001C25D9">
              <w:t>1</w:t>
            </w:r>
          </w:p>
        </w:tc>
        <w:tc>
          <w:tcPr>
            <w:tcW w:w="1250" w:type="pct"/>
            <w:vAlign w:val="center"/>
            <w:hideMark/>
          </w:tcPr>
          <w:p w14:paraId="053032A5" w14:textId="77777777" w:rsidR="00CC4E3D" w:rsidRPr="001C25D9" w:rsidRDefault="00CC4E3D" w:rsidP="001C25D9">
            <w:pPr>
              <w:jc w:val="center"/>
              <w:cnfStyle w:val="000000000000" w:firstRow="0" w:lastRow="0" w:firstColumn="0" w:lastColumn="0" w:oddVBand="0" w:evenVBand="0" w:oddHBand="0" w:evenHBand="0" w:firstRowFirstColumn="0" w:firstRowLastColumn="0" w:lastRowFirstColumn="0" w:lastRowLastColumn="0"/>
            </w:pPr>
            <w:r w:rsidRPr="001C25D9">
              <w:t>1</w:t>
            </w:r>
          </w:p>
        </w:tc>
      </w:tr>
      <w:tr w:rsidR="00CC4E3D" w:rsidRPr="00B159FC" w14:paraId="6490ACED" w14:textId="77777777" w:rsidTr="005A1B8D">
        <w:trPr>
          <w:trHeight w:val="80"/>
        </w:trPr>
        <w:tc>
          <w:tcPr>
            <w:cnfStyle w:val="001000000000" w:firstRow="0" w:lastRow="0" w:firstColumn="1" w:lastColumn="0" w:oddVBand="0" w:evenVBand="0" w:oddHBand="0" w:evenHBand="0" w:firstRowFirstColumn="0" w:firstRowLastColumn="0" w:lastRowFirstColumn="0" w:lastRowLastColumn="0"/>
            <w:tcW w:w="1250" w:type="pct"/>
            <w:shd w:val="clear" w:color="auto" w:fill="D9D9D9" w:themeFill="background1" w:themeFillShade="D9"/>
            <w:hideMark/>
          </w:tcPr>
          <w:p w14:paraId="7A34C618" w14:textId="77777777" w:rsidR="00CC4E3D" w:rsidRPr="001C25D9" w:rsidRDefault="00CC4E3D" w:rsidP="001C25D9">
            <w:r w:rsidRPr="001C25D9">
              <w:t>All phases</w:t>
            </w:r>
          </w:p>
        </w:tc>
        <w:tc>
          <w:tcPr>
            <w:tcW w:w="1250" w:type="pct"/>
            <w:shd w:val="clear" w:color="auto" w:fill="D9D9D9" w:themeFill="background1" w:themeFillShade="D9"/>
            <w:vAlign w:val="center"/>
            <w:hideMark/>
          </w:tcPr>
          <w:p w14:paraId="55A07CE1" w14:textId="62C958E4" w:rsidR="00CC4E3D" w:rsidRPr="001C25D9" w:rsidRDefault="00AE5F3B" w:rsidP="001C25D9">
            <w:pPr>
              <w:cnfStyle w:val="000000000000" w:firstRow="0" w:lastRow="0" w:firstColumn="0" w:lastColumn="0" w:oddVBand="0" w:evenVBand="0" w:oddHBand="0" w:evenHBand="0" w:firstRowFirstColumn="0" w:firstRowLastColumn="0" w:lastRowFirstColumn="0" w:lastRowLastColumn="0"/>
            </w:pPr>
            <w:r w:rsidRPr="00DF15E5">
              <w:rPr>
                <w:color w:val="D4DCE7" w:themeColor="accent1" w:themeTint="33"/>
              </w:rPr>
              <w:t>—</w:t>
            </w:r>
          </w:p>
        </w:tc>
        <w:tc>
          <w:tcPr>
            <w:tcW w:w="1250" w:type="pct"/>
            <w:shd w:val="clear" w:color="auto" w:fill="D9D9D9" w:themeFill="background1" w:themeFillShade="D9"/>
            <w:vAlign w:val="center"/>
            <w:hideMark/>
          </w:tcPr>
          <w:p w14:paraId="08E3AED1" w14:textId="77777777" w:rsidR="00CC4E3D" w:rsidRPr="001C25D9" w:rsidRDefault="00CC4E3D" w:rsidP="001C25D9">
            <w:pPr>
              <w:jc w:val="center"/>
              <w:cnfStyle w:val="000000000000" w:firstRow="0" w:lastRow="0" w:firstColumn="0" w:lastColumn="0" w:oddVBand="0" w:evenVBand="0" w:oddHBand="0" w:evenHBand="0" w:firstRowFirstColumn="0" w:firstRowLastColumn="0" w:lastRowFirstColumn="0" w:lastRowLastColumn="0"/>
            </w:pPr>
            <w:r w:rsidRPr="001C25D9">
              <w:t>82</w:t>
            </w:r>
          </w:p>
        </w:tc>
        <w:tc>
          <w:tcPr>
            <w:tcW w:w="1250" w:type="pct"/>
            <w:shd w:val="clear" w:color="auto" w:fill="D9D9D9" w:themeFill="background1" w:themeFillShade="D9"/>
            <w:vAlign w:val="center"/>
            <w:hideMark/>
          </w:tcPr>
          <w:p w14:paraId="21B62AB2" w14:textId="77777777" w:rsidR="00CC4E3D" w:rsidRPr="001C25D9" w:rsidRDefault="00CC4E3D" w:rsidP="001C25D9">
            <w:pPr>
              <w:jc w:val="center"/>
              <w:cnfStyle w:val="000000000000" w:firstRow="0" w:lastRow="0" w:firstColumn="0" w:lastColumn="0" w:oddVBand="0" w:evenVBand="0" w:oddHBand="0" w:evenHBand="0" w:firstRowFirstColumn="0" w:firstRowLastColumn="0" w:lastRowFirstColumn="0" w:lastRowLastColumn="0"/>
            </w:pPr>
            <w:r w:rsidRPr="001C25D9">
              <w:t>51</w:t>
            </w:r>
          </w:p>
        </w:tc>
      </w:tr>
    </w:tbl>
    <w:p w14:paraId="1D46FE21" w14:textId="197AEB2B" w:rsidR="00CC4E3D" w:rsidRDefault="00CC4E3D" w:rsidP="00415050">
      <w:pPr>
        <w:pStyle w:val="Note"/>
        <w:ind w:left="142" w:hanging="142"/>
      </w:pPr>
      <w:r>
        <w:t>*</w:t>
      </w:r>
      <w:r w:rsidR="00F6751C">
        <w:t xml:space="preserve"> </w:t>
      </w:r>
      <w:r>
        <w:t>Contracts could be rolled out in an employment region over multiple phases, so the number across phases will not equal the number of regions.</w:t>
      </w:r>
    </w:p>
    <w:p w14:paraId="478FFF65" w14:textId="77777777" w:rsidR="00CC4E3D" w:rsidRPr="00FD4CA8" w:rsidRDefault="00CC4E3D" w:rsidP="001C25D9">
      <w:pPr>
        <w:pStyle w:val="Heading3"/>
        <w:numPr>
          <w:ilvl w:val="2"/>
          <w:numId w:val="4"/>
        </w:numPr>
        <w:spacing w:before="200"/>
        <w:rPr>
          <w:szCs w:val="24"/>
        </w:rPr>
      </w:pPr>
      <w:bookmarkStart w:id="116" w:name="_Toc535498876"/>
      <w:bookmarkStart w:id="117" w:name="_Toc23841356"/>
      <w:r w:rsidRPr="00FD4CA8">
        <w:rPr>
          <w:szCs w:val="24"/>
        </w:rPr>
        <w:t>Most providers found the short implementation timeframe challenging</w:t>
      </w:r>
      <w:bookmarkEnd w:id="116"/>
      <w:bookmarkEnd w:id="117"/>
    </w:p>
    <w:p w14:paraId="7A45A380" w14:textId="77777777" w:rsidR="00CC4E3D" w:rsidRDefault="00CC4E3D" w:rsidP="00CC4E3D">
      <w:r>
        <w:t>Despite being satisfied with departmental support during the implementation phase (</w:t>
      </w:r>
      <w:r>
        <w:rPr>
          <w:b/>
        </w:rPr>
        <w:t>Section </w:t>
      </w:r>
      <w:r w:rsidRPr="00A872BC">
        <w:rPr>
          <w:b/>
        </w:rPr>
        <w:t>3.</w:t>
      </w:r>
      <w:r>
        <w:rPr>
          <w:b/>
        </w:rPr>
        <w:t>2.4</w:t>
      </w:r>
      <w:r>
        <w:t xml:space="preserve">), most providers, particularly those new to employment services, indicated that the relatively short commencement deadline was challenging. </w:t>
      </w:r>
    </w:p>
    <w:p w14:paraId="5C9E4F39" w14:textId="77777777" w:rsidR="00CC4E3D" w:rsidRPr="00E12936" w:rsidRDefault="00CC4E3D" w:rsidP="00CC4E3D">
      <w:pPr>
        <w:pStyle w:val="Quotation"/>
      </w:pPr>
      <w:r w:rsidRPr="00E12936">
        <w:t xml:space="preserve">So, while managing the entire region, the turnarounds were very, very quick, so from when we got the contract we had four weeks to open the services in all sites, which was a very short window, and it would be great to have a longer window in the future. </w:t>
      </w:r>
    </w:p>
    <w:p w14:paraId="405222EF" w14:textId="77777777" w:rsidR="00CC4E3D" w:rsidRPr="00A872BC" w:rsidRDefault="00CC4E3D" w:rsidP="00CC4E3D">
      <w:pPr>
        <w:pStyle w:val="Quotation"/>
        <w:rPr>
          <w:i/>
        </w:rPr>
      </w:pPr>
      <w:r w:rsidRPr="00E12936">
        <w:t>(Provider Focus Group 2)</w:t>
      </w:r>
    </w:p>
    <w:p w14:paraId="2A1313E0" w14:textId="77777777" w:rsidR="00CC4E3D" w:rsidRDefault="00CC4E3D" w:rsidP="00CC4E3D">
      <w:r>
        <w:t>The short timeframe made it difficult for some providers to secure premises and staff and to train staff sufficiently on the TtW guidelines and systems before the service started.</w:t>
      </w:r>
    </w:p>
    <w:p w14:paraId="38EE452D" w14:textId="77777777" w:rsidR="00CC4E3D" w:rsidRPr="00E12936" w:rsidRDefault="00CC4E3D" w:rsidP="00CC4E3D">
      <w:pPr>
        <w:pStyle w:val="Quotation"/>
      </w:pPr>
      <w:r w:rsidRPr="00E12936">
        <w:t>We only had 18 days to set it up from nothing … So I spent 18 days finding premises to start when we did, plus furnishing, recruiting, training, developing the resources that we needed. That was really a fraught time, 18 days, fraught time.</w:t>
      </w:r>
    </w:p>
    <w:p w14:paraId="27E0B028" w14:textId="77777777" w:rsidR="00CC4E3D" w:rsidRPr="00E12936" w:rsidRDefault="00CC4E3D" w:rsidP="00CC4E3D">
      <w:pPr>
        <w:pStyle w:val="Quotation"/>
      </w:pPr>
      <w:r w:rsidRPr="00E12936">
        <w:t>(Provider Interview 3)</w:t>
      </w:r>
    </w:p>
    <w:p w14:paraId="71D2BC14" w14:textId="77777777" w:rsidR="00CC4E3D" w:rsidRPr="00157371" w:rsidRDefault="00CC4E3D" w:rsidP="00CC4E3D">
      <w:pPr>
        <w:pStyle w:val="Quotation"/>
        <w:keepNext/>
        <w:ind w:right="998"/>
      </w:pPr>
      <w:r w:rsidRPr="00157371">
        <w:lastRenderedPageBreak/>
        <w:t>You’ve got staff who are really keen and want to work with young people and are frustrated because they’ve got the knowledge on how to engage with them but they got no time to learn the program.</w:t>
      </w:r>
    </w:p>
    <w:p w14:paraId="3C864B65" w14:textId="77777777" w:rsidR="00CC4E3D" w:rsidRPr="00E12936" w:rsidRDefault="00CC4E3D" w:rsidP="00CC4E3D">
      <w:pPr>
        <w:pStyle w:val="Quotation"/>
        <w:keepNext/>
        <w:ind w:right="998"/>
      </w:pPr>
      <w:r w:rsidRPr="00E12936">
        <w:t>(Provider Interview 7)</w:t>
      </w:r>
    </w:p>
    <w:p w14:paraId="07072C8C" w14:textId="5E1A6DFD" w:rsidR="00CC4E3D" w:rsidRDefault="00CC4E3D" w:rsidP="00CC4E3D">
      <w:r>
        <w:t xml:space="preserve">Providers who were new to employment services and unfamiliar with working with the </w:t>
      </w:r>
      <w:r w:rsidR="00082F50">
        <w:t>d</w:t>
      </w:r>
      <w:r>
        <w:t xml:space="preserve">epartment found these time constraints particularly frustrating as they attempted to develop a good understanding of the TtW guidelines and the </w:t>
      </w:r>
      <w:r w:rsidRPr="0065530C">
        <w:t>ESS.</w:t>
      </w:r>
      <w:r>
        <w:t xml:space="preserve"> These providers indicated a need for more structured training from the </w:t>
      </w:r>
      <w:r w:rsidR="00082F50">
        <w:t>d</w:t>
      </w:r>
      <w:r>
        <w:t>epartment.</w:t>
      </w:r>
    </w:p>
    <w:p w14:paraId="3944BBF2" w14:textId="4B3DC3EF" w:rsidR="00CC4E3D" w:rsidRPr="00E12936" w:rsidRDefault="00CC4E3D" w:rsidP="00CC4E3D">
      <w:pPr>
        <w:pStyle w:val="Quotation"/>
      </w:pPr>
      <w:r w:rsidRPr="00E12936">
        <w:t xml:space="preserve">… the </w:t>
      </w:r>
      <w:r w:rsidR="00082F50">
        <w:t>d</w:t>
      </w:r>
      <w:r w:rsidRPr="00E12936">
        <w:t>epartment put up three one-minute tutorials on using ESS, and some pre-recorded webinar, which didn’t get to the meat of things. Granted, it did provide some in-person training at various points, but for people who have never used the system before, it’s a complex system, and I think some forethought about how you’re wanting to put that out; it’s very important that there’s a very structured and regimented way to get people across using that system.</w:t>
      </w:r>
    </w:p>
    <w:p w14:paraId="1CEAF886" w14:textId="77777777" w:rsidR="00CC4E3D" w:rsidRPr="00E12936" w:rsidRDefault="00CC4E3D" w:rsidP="00CC4E3D">
      <w:pPr>
        <w:pStyle w:val="Quotation"/>
      </w:pPr>
      <w:r w:rsidRPr="00E12936">
        <w:t>(Provider Focus Group 2)</w:t>
      </w:r>
    </w:p>
    <w:p w14:paraId="7D4CFCB3" w14:textId="77777777" w:rsidR="00CC4E3D" w:rsidRDefault="00CC4E3D" w:rsidP="00CC4E3D">
      <w:r>
        <w:t xml:space="preserve">Providers with some familiarity with employment services found implementation easier, especially as they knew what to expect. </w:t>
      </w:r>
    </w:p>
    <w:p w14:paraId="0D875EEF" w14:textId="77777777" w:rsidR="00CC4E3D" w:rsidRPr="00E12936" w:rsidRDefault="00CC4E3D" w:rsidP="00CC4E3D">
      <w:pPr>
        <w:pStyle w:val="Quotation"/>
      </w:pPr>
      <w:r w:rsidRPr="00E12936">
        <w:t>Yeah, it was pretty smooth. I mean when you’re learning a new contract there’s always a few little hiccups but I think that’s normal, that’s a normal part of the process.</w:t>
      </w:r>
    </w:p>
    <w:p w14:paraId="1D51ACB3" w14:textId="77777777" w:rsidR="00CC4E3D" w:rsidRPr="00E12936" w:rsidRDefault="00CC4E3D" w:rsidP="00CC4E3D">
      <w:pPr>
        <w:pStyle w:val="Quotation"/>
      </w:pPr>
      <w:r w:rsidRPr="00E12936">
        <w:t>(Provider Interview 4)</w:t>
      </w:r>
    </w:p>
    <w:p w14:paraId="615B1981" w14:textId="77777777" w:rsidR="00CC4E3D" w:rsidRPr="00FD4CA8" w:rsidRDefault="00CC4E3D" w:rsidP="001C25D9">
      <w:pPr>
        <w:pStyle w:val="Heading3"/>
        <w:numPr>
          <w:ilvl w:val="2"/>
          <w:numId w:val="4"/>
        </w:numPr>
        <w:spacing w:before="200"/>
        <w:rPr>
          <w:szCs w:val="24"/>
        </w:rPr>
      </w:pPr>
      <w:bookmarkStart w:id="118" w:name="_Toc535498877"/>
      <w:bookmarkStart w:id="119" w:name="_Toc23841357"/>
      <w:r w:rsidRPr="00FD4CA8">
        <w:rPr>
          <w:szCs w:val="24"/>
        </w:rPr>
        <w:t>Providers found the start-up referrals challenging, as referrals lacked sufficient contact information or contact details were incorrect</w:t>
      </w:r>
      <w:bookmarkEnd w:id="118"/>
      <w:bookmarkEnd w:id="119"/>
    </w:p>
    <w:p w14:paraId="7EEE58D4" w14:textId="77777777" w:rsidR="00CC4E3D" w:rsidRPr="004801AB" w:rsidRDefault="00CC4E3D" w:rsidP="00CC4E3D">
      <w:pPr>
        <w:rPr>
          <w:rFonts w:ascii="Calibri" w:eastAsia="Times New Roman" w:hAnsi="Calibri" w:cs="Times New Roman"/>
        </w:rPr>
      </w:pPr>
      <w:r>
        <w:t>Although providers said they found the tight implementation timeframe challenging, they identified the biggest challenge as the start-up caseload referrals from jobactive.</w:t>
      </w:r>
      <w:r>
        <w:rPr>
          <w:rStyle w:val="FootnoteReference"/>
        </w:rPr>
        <w:footnoteReference w:id="12"/>
      </w:r>
      <w:r>
        <w:t xml:space="preserve"> </w:t>
      </w:r>
      <w:r w:rsidRPr="00C662EE">
        <w:rPr>
          <w:rFonts w:ascii="Calibri" w:eastAsia="Times New Roman" w:hAnsi="Calibri" w:cs="Times New Roman"/>
        </w:rPr>
        <w:t>The reasons</w:t>
      </w:r>
      <w:r>
        <w:rPr>
          <w:rFonts w:ascii="Calibri" w:eastAsia="Times New Roman" w:hAnsi="Calibri" w:cs="Times New Roman"/>
        </w:rPr>
        <w:t xml:space="preserve"> they gave</w:t>
      </w:r>
      <w:r w:rsidRPr="00C662EE">
        <w:rPr>
          <w:rFonts w:ascii="Calibri" w:eastAsia="Times New Roman" w:hAnsi="Calibri" w:cs="Times New Roman"/>
        </w:rPr>
        <w:t xml:space="preserve"> </w:t>
      </w:r>
      <w:r>
        <w:rPr>
          <w:rFonts w:ascii="Calibri" w:eastAsia="Times New Roman" w:hAnsi="Calibri" w:cs="Times New Roman"/>
        </w:rPr>
        <w:t>why</w:t>
      </w:r>
      <w:r w:rsidRPr="00C662EE">
        <w:rPr>
          <w:rFonts w:ascii="Calibri" w:eastAsia="Times New Roman" w:hAnsi="Calibri" w:cs="Times New Roman"/>
        </w:rPr>
        <w:t xml:space="preserve"> early</w:t>
      </w:r>
      <w:r>
        <w:rPr>
          <w:rFonts w:ascii="Calibri" w:eastAsia="Times New Roman" w:hAnsi="Calibri" w:cs="Times New Roman"/>
        </w:rPr>
        <w:t xml:space="preserve"> referrals were</w:t>
      </w:r>
      <w:r w:rsidRPr="00C662EE">
        <w:rPr>
          <w:rFonts w:ascii="Calibri" w:eastAsia="Times New Roman" w:hAnsi="Calibri" w:cs="Times New Roman"/>
        </w:rPr>
        <w:t xml:space="preserve"> </w:t>
      </w:r>
      <w:r w:rsidRPr="0008267C">
        <w:rPr>
          <w:rFonts w:ascii="Calibri" w:eastAsia="Times New Roman" w:hAnsi="Calibri" w:cs="Times New Roman"/>
        </w:rPr>
        <w:t xml:space="preserve">inappropriate included </w:t>
      </w:r>
      <w:r>
        <w:rPr>
          <w:rFonts w:ascii="Calibri" w:eastAsia="Times New Roman" w:hAnsi="Calibri" w:cs="Times New Roman"/>
        </w:rPr>
        <w:t>young people being</w:t>
      </w:r>
      <w:r w:rsidRPr="0008267C">
        <w:rPr>
          <w:rFonts w:ascii="Calibri" w:eastAsia="Times New Roman" w:hAnsi="Calibri" w:cs="Times New Roman"/>
        </w:rPr>
        <w:t xml:space="preserve"> uncontactable, </w:t>
      </w:r>
      <w:r>
        <w:rPr>
          <w:rFonts w:ascii="Calibri" w:eastAsia="Times New Roman" w:hAnsi="Calibri" w:cs="Times New Roman"/>
        </w:rPr>
        <w:t xml:space="preserve">living outside </w:t>
      </w:r>
      <w:r w:rsidRPr="0008267C">
        <w:rPr>
          <w:rFonts w:ascii="Calibri" w:eastAsia="Times New Roman" w:hAnsi="Calibri" w:cs="Times New Roman"/>
        </w:rPr>
        <w:t>the service area, ha</w:t>
      </w:r>
      <w:r>
        <w:rPr>
          <w:rFonts w:ascii="Calibri" w:eastAsia="Times New Roman" w:hAnsi="Calibri" w:cs="Times New Roman"/>
        </w:rPr>
        <w:t>ving a</w:t>
      </w:r>
      <w:r w:rsidRPr="0008267C">
        <w:rPr>
          <w:rFonts w:ascii="Calibri" w:eastAsia="Times New Roman" w:hAnsi="Calibri" w:cs="Times New Roman"/>
        </w:rPr>
        <w:t xml:space="preserve"> serious mental illness or not</w:t>
      </w:r>
      <w:r>
        <w:rPr>
          <w:rFonts w:ascii="Calibri" w:eastAsia="Times New Roman" w:hAnsi="Calibri" w:cs="Times New Roman"/>
        </w:rPr>
        <w:t xml:space="preserve"> being</w:t>
      </w:r>
      <w:r w:rsidRPr="0008267C">
        <w:rPr>
          <w:rFonts w:ascii="Calibri" w:eastAsia="Times New Roman" w:hAnsi="Calibri" w:cs="Times New Roman"/>
        </w:rPr>
        <w:t xml:space="preserve"> interested in the </w:t>
      </w:r>
      <w:r>
        <w:rPr>
          <w:rFonts w:ascii="Calibri" w:eastAsia="Times New Roman" w:hAnsi="Calibri" w:cs="Times New Roman"/>
        </w:rPr>
        <w:t xml:space="preserve">TtW </w:t>
      </w:r>
      <w:r w:rsidRPr="0008267C">
        <w:rPr>
          <w:rFonts w:ascii="Calibri" w:eastAsia="Times New Roman" w:hAnsi="Calibri" w:cs="Times New Roman"/>
        </w:rPr>
        <w:t>service.</w:t>
      </w:r>
      <w:r>
        <w:rPr>
          <w:rFonts w:ascii="Calibri" w:eastAsia="Times New Roman" w:hAnsi="Calibri" w:cs="Times New Roman"/>
        </w:rPr>
        <w:t xml:space="preserve"> </w:t>
      </w:r>
      <w:r>
        <w:t>Around 39 per cent of providers agreed that contact details were accurate compared with 41 per cent who disagreed.</w:t>
      </w:r>
      <w:r>
        <w:rPr>
          <w:rFonts w:ascii="Calibri" w:eastAsia="Times New Roman" w:hAnsi="Calibri" w:cs="Times New Roman"/>
        </w:rPr>
        <w:t xml:space="preserve"> </w:t>
      </w:r>
      <w:r>
        <w:t>Just under half (49 per cent) agreed that the start-up caseload transfer from jobactive went smoothly (</w:t>
      </w:r>
      <w:r>
        <w:rPr>
          <w:b/>
        </w:rPr>
        <w:t>Figure </w:t>
      </w:r>
      <w:r w:rsidRPr="00822711">
        <w:rPr>
          <w:b/>
        </w:rPr>
        <w:t>3.1</w:t>
      </w:r>
      <w:r>
        <w:t xml:space="preserve">). </w:t>
      </w:r>
    </w:p>
    <w:p w14:paraId="18D2BD98" w14:textId="6ED73ADF" w:rsidR="00CC4E3D" w:rsidRPr="00157371" w:rsidRDefault="00CC4E3D" w:rsidP="00FD4CA8">
      <w:pPr>
        <w:pStyle w:val="Caption"/>
      </w:pPr>
      <w:bookmarkStart w:id="120" w:name="_Toc514172351"/>
      <w:bookmarkStart w:id="121" w:name="_Toc535511452"/>
      <w:bookmarkStart w:id="122" w:name="_Toc535511512"/>
      <w:bookmarkStart w:id="123" w:name="_Toc535512739"/>
      <w:bookmarkStart w:id="124" w:name="_Toc535513375"/>
      <w:bookmarkStart w:id="125" w:name="_Toc23841455"/>
      <w:r>
        <w:lastRenderedPageBreak/>
        <w:t xml:space="preserve">Figure </w:t>
      </w:r>
      <w:r>
        <w:rPr>
          <w:noProof/>
        </w:rPr>
        <w:fldChar w:fldCharType="begin"/>
      </w:r>
      <w:r>
        <w:rPr>
          <w:noProof/>
        </w:rPr>
        <w:instrText xml:space="preserve"> STYLEREF 1 \s </w:instrText>
      </w:r>
      <w:r>
        <w:rPr>
          <w:noProof/>
        </w:rPr>
        <w:fldChar w:fldCharType="separate"/>
      </w:r>
      <w:r w:rsidR="00D84A2A">
        <w:rPr>
          <w:noProof/>
        </w:rPr>
        <w:t>3</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1</w:t>
      </w:r>
      <w:r>
        <w:rPr>
          <w:noProof/>
        </w:rPr>
        <w:fldChar w:fldCharType="end"/>
      </w:r>
      <w:r>
        <w:tab/>
      </w:r>
      <w:r w:rsidRPr="00157371">
        <w:t>Provider views on start-up caseload referrals</w:t>
      </w:r>
      <w:bookmarkEnd w:id="120"/>
      <w:bookmarkEnd w:id="121"/>
      <w:bookmarkEnd w:id="122"/>
      <w:bookmarkEnd w:id="123"/>
      <w:bookmarkEnd w:id="124"/>
      <w:bookmarkEnd w:id="125"/>
      <w:r w:rsidRPr="00157371">
        <w:t xml:space="preserve"> </w:t>
      </w:r>
    </w:p>
    <w:p w14:paraId="67C03E5E" w14:textId="77777777" w:rsidR="00CC4E3D" w:rsidRDefault="00CC4E3D" w:rsidP="00CC4E3D">
      <w:r>
        <w:rPr>
          <w:noProof/>
          <w:lang w:eastAsia="en-AU"/>
        </w:rPr>
        <w:drawing>
          <wp:inline distT="0" distB="0" distL="0" distR="0" wp14:anchorId="64E3EC57" wp14:editId="16EEC31D">
            <wp:extent cx="5403600" cy="3045600"/>
            <wp:effectExtent l="0" t="0" r="6985" b="2540"/>
            <wp:docPr id="15" name="Picture 15" descr="Stacked bar chart showing survey responses to questions about the start-up caseload referrals&#10;This chart shows the extent to which providers agreed or disagreed with two statements.&#10;1. 'Commencing transitioned start-up participants from jobactive went smoothly' (9% strongly agree; 40% agree; 21% neither agree nor disagree; 21% disagree; 5% strongly disagree)&#10;2. 'Contact details of participants were accurate' (5% strongly agree; 34% agree; 17% neither agree nor disagree; 34% disagree; 7% strongly disagre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3600" cy="3045600"/>
                    </a:xfrm>
                    <a:prstGeom prst="rect">
                      <a:avLst/>
                    </a:prstGeom>
                    <a:noFill/>
                  </pic:spPr>
                </pic:pic>
              </a:graphicData>
            </a:graphic>
          </wp:inline>
        </w:drawing>
      </w:r>
    </w:p>
    <w:p w14:paraId="5525874C" w14:textId="77777777" w:rsidR="00CC4E3D" w:rsidRDefault="00CC4E3D" w:rsidP="00CC4E3D">
      <w:pPr>
        <w:pStyle w:val="Note"/>
        <w:keepNext/>
      </w:pPr>
      <w:r>
        <w:t xml:space="preserve">Note: Does not include providers who responded ‘Don’t know/Undecided’, so bars will not add up to 100 per cent. </w:t>
      </w:r>
    </w:p>
    <w:p w14:paraId="1BC43EB6" w14:textId="77777777" w:rsidR="00CC4E3D" w:rsidRPr="005A1B8D" w:rsidRDefault="00CC4E3D" w:rsidP="00CC4E3D">
      <w:pPr>
        <w:pStyle w:val="Source"/>
        <w:keepLines/>
        <w:rPr>
          <w:b/>
        </w:rPr>
      </w:pPr>
      <w:r w:rsidRPr="005A1B8D">
        <w:rPr>
          <w:b/>
        </w:rPr>
        <w:t>Source: TtW Provider Survey (2016).</w:t>
      </w:r>
    </w:p>
    <w:p w14:paraId="52A68643" w14:textId="77777777" w:rsidR="00CC4E3D" w:rsidRDefault="00CC4E3D" w:rsidP="00CC4E3D">
      <w:r>
        <w:t xml:space="preserve">Providers reported that they found the start-up transitioned caseload challenging primarily because of insufficient participant contact details and a general lack of awareness or knowledge of TtW among transitioned participants and DHS staff. They reported that many transitioned young people had been unaware of what TtW was or why they were being transferred from jobactive to TtW. This made contacting and engaging with them challenging, particularly where mobile numbers were incorrect or disconnected. </w:t>
      </w:r>
    </w:p>
    <w:p w14:paraId="59799061" w14:textId="77777777" w:rsidR="00CC4E3D" w:rsidRPr="00E12936" w:rsidRDefault="00CC4E3D" w:rsidP="00CC4E3D">
      <w:pPr>
        <w:pStyle w:val="Quotation"/>
      </w:pPr>
      <w:r w:rsidRPr="00E12936">
        <w:t xml:space="preserve">Again, a lot of confusion, I still find a lot of the participants who are sent from either the jobactive agency or Centrelink, they don’t actually know they’ve been referred to us, so they get a letter or a text and they’re like, I don’t know who this is so I’m not going, and especially in the start — no-one’s heard of TtW. </w:t>
      </w:r>
    </w:p>
    <w:p w14:paraId="27A4C37D" w14:textId="77777777" w:rsidR="00CC4E3D" w:rsidRPr="00E12936" w:rsidRDefault="00CC4E3D" w:rsidP="00CC4E3D">
      <w:pPr>
        <w:pStyle w:val="Quotation"/>
      </w:pPr>
      <w:r w:rsidRPr="00E12936">
        <w:t>(Provider Interview 12)</w:t>
      </w:r>
    </w:p>
    <w:p w14:paraId="76EC5B9D" w14:textId="77777777" w:rsidR="00CC4E3D" w:rsidRPr="00E12936" w:rsidRDefault="00CC4E3D" w:rsidP="00CC4E3D">
      <w:pPr>
        <w:pStyle w:val="Quotation"/>
      </w:pPr>
      <w:r w:rsidRPr="00E12936">
        <w:t>New referrals from Centrelink had no contact details … So when they didn’t come to their initial appointment we had no way of getting in touch with them at all to say, ‘You’ve missed an appointment.’ So at the beginning I think that’s why it was so slow. I think the rollout wasn’t particularly smooth, from a communication point of view.</w:t>
      </w:r>
    </w:p>
    <w:p w14:paraId="648381A1" w14:textId="77777777" w:rsidR="00CC4E3D" w:rsidRPr="00E12936" w:rsidRDefault="00CC4E3D" w:rsidP="00CC4E3D">
      <w:pPr>
        <w:pStyle w:val="Quotation"/>
      </w:pPr>
      <w:r w:rsidRPr="00E12936">
        <w:t>(Provider Interview 3)</w:t>
      </w:r>
    </w:p>
    <w:p w14:paraId="2410F766" w14:textId="77777777" w:rsidR="00CC4E3D" w:rsidRDefault="00CC4E3D" w:rsidP="00CC4E3D">
      <w:r>
        <w:t>In some instances, where contact details were complete, providers were frustrated to discover later that these people were ineligible for the TtW service.</w:t>
      </w:r>
    </w:p>
    <w:p w14:paraId="39EFCBD6" w14:textId="77777777" w:rsidR="00CC4E3D" w:rsidRPr="00E12936" w:rsidRDefault="00CC4E3D" w:rsidP="00CC4E3D">
      <w:pPr>
        <w:pStyle w:val="Quotation"/>
      </w:pPr>
      <w:r w:rsidRPr="00E12936">
        <w:lastRenderedPageBreak/>
        <w:t xml:space="preserve">But half of those, I would say probably half, were ineligible for TtW once you start talking to them. That is they were: studying full time; they were heavily pregnant; already working, and hang on, why have you been given to us? Then all these clients were mucked around because they should have just stayed on jobactive’s books. </w:t>
      </w:r>
    </w:p>
    <w:p w14:paraId="3F6BAB08" w14:textId="77777777" w:rsidR="00CC4E3D" w:rsidRPr="00E12936" w:rsidRDefault="00CC4E3D" w:rsidP="00CC4E3D">
      <w:pPr>
        <w:pStyle w:val="Quotation"/>
      </w:pPr>
      <w:r w:rsidRPr="00E12936">
        <w:t>(Provider Interview 6)</w:t>
      </w:r>
    </w:p>
    <w:p w14:paraId="208D2707" w14:textId="77777777" w:rsidR="00CC4E3D" w:rsidRDefault="00CC4E3D" w:rsidP="00CC4E3D">
      <w:r>
        <w:t>Asked about the standard of TtW referrals in February 2016 (the first month of TtW) and November 2016 (the time of the survey), 57.2 per cent of providers said that all or almost all of the referrals in February had been suitable, and 85.3 per cent said that all or almost all of those in November had been suitable. About 37 per cent said that half or fewer than half of the referrals in February had been suitable, compared with about 14 per cent for November — a decrease of 23 percentage points (</w:t>
      </w:r>
      <w:r>
        <w:rPr>
          <w:b/>
        </w:rPr>
        <w:t>Figure </w:t>
      </w:r>
      <w:r w:rsidRPr="00822711">
        <w:rPr>
          <w:b/>
        </w:rPr>
        <w:t>3.2</w:t>
      </w:r>
      <w:r>
        <w:t xml:space="preserve">). </w:t>
      </w:r>
    </w:p>
    <w:p w14:paraId="621EF834" w14:textId="309EDFA2" w:rsidR="00CC4E3D" w:rsidRDefault="00CC4E3D" w:rsidP="00FD4CA8">
      <w:pPr>
        <w:pStyle w:val="Caption"/>
      </w:pPr>
      <w:bookmarkStart w:id="126" w:name="_Toc514172352"/>
      <w:bookmarkStart w:id="127" w:name="_Toc535511453"/>
      <w:bookmarkStart w:id="128" w:name="_Toc535511513"/>
      <w:bookmarkStart w:id="129" w:name="_Toc535512740"/>
      <w:bookmarkStart w:id="130" w:name="_Toc535513376"/>
      <w:bookmarkStart w:id="131" w:name="_Toc23841456"/>
      <w:r>
        <w:t xml:space="preserve">Figure </w:t>
      </w:r>
      <w:r>
        <w:rPr>
          <w:noProof/>
        </w:rPr>
        <w:fldChar w:fldCharType="begin"/>
      </w:r>
      <w:r>
        <w:rPr>
          <w:noProof/>
        </w:rPr>
        <w:instrText xml:space="preserve"> STYLEREF 1 \s </w:instrText>
      </w:r>
      <w:r>
        <w:rPr>
          <w:noProof/>
        </w:rPr>
        <w:fldChar w:fldCharType="separate"/>
      </w:r>
      <w:r w:rsidR="00D84A2A">
        <w:rPr>
          <w:noProof/>
        </w:rPr>
        <w:t>3</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2</w:t>
      </w:r>
      <w:r>
        <w:rPr>
          <w:noProof/>
        </w:rPr>
        <w:fldChar w:fldCharType="end"/>
      </w:r>
      <w:r>
        <w:tab/>
        <w:t>Provider views on suitability of referrals at contract start date and November 2016 (current at time of survey)</w:t>
      </w:r>
      <w:bookmarkEnd w:id="126"/>
      <w:bookmarkEnd w:id="127"/>
      <w:bookmarkEnd w:id="128"/>
      <w:bookmarkEnd w:id="129"/>
      <w:bookmarkEnd w:id="130"/>
      <w:bookmarkEnd w:id="131"/>
      <w:r>
        <w:t xml:space="preserve"> </w:t>
      </w:r>
    </w:p>
    <w:p w14:paraId="5924D9BA" w14:textId="77777777" w:rsidR="00CC4E3D" w:rsidRDefault="00CC4E3D" w:rsidP="00CC4E3D">
      <w:r>
        <w:rPr>
          <w:noProof/>
          <w:lang w:eastAsia="en-AU"/>
        </w:rPr>
        <w:drawing>
          <wp:inline distT="0" distB="0" distL="0" distR="0" wp14:anchorId="60BFEC86" wp14:editId="3DE1CB56">
            <wp:extent cx="5403600" cy="3070800"/>
            <wp:effectExtent l="0" t="0" r="6985" b="0"/>
            <wp:docPr id="18" name="Picture 18" descr="Column chart showing survey responses on suitability of referrals&#10;This chart compares provider opinions on how suitable the young people referred to TtW were at two points in time: the first month of the contract and November 2016. The responses were:&#10;All: 3.3% (first month) rising to 5.4% (November 2016)&#10;Almost all: 53.9% rising to 80.1%&#10;About half: 29.9% falling to 13.3%&#10;Less than half: 7.1% falling to 0.8%&#10;Don't know: 5.8% falling to 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3600" cy="3070800"/>
                    </a:xfrm>
                    <a:prstGeom prst="rect">
                      <a:avLst/>
                    </a:prstGeom>
                    <a:noFill/>
                  </pic:spPr>
                </pic:pic>
              </a:graphicData>
            </a:graphic>
          </wp:inline>
        </w:drawing>
      </w:r>
    </w:p>
    <w:p w14:paraId="75C1918E" w14:textId="77777777" w:rsidR="00CC4E3D" w:rsidRPr="005A1B8D" w:rsidRDefault="00CC4E3D" w:rsidP="00CC4E3D">
      <w:pPr>
        <w:pStyle w:val="Source"/>
        <w:rPr>
          <w:b/>
        </w:rPr>
      </w:pPr>
      <w:r w:rsidRPr="005A1B8D">
        <w:rPr>
          <w:b/>
        </w:rPr>
        <w:t>Source: TtW Provider Survey (2016).</w:t>
      </w:r>
    </w:p>
    <w:p w14:paraId="1DF9DE63" w14:textId="77777777" w:rsidR="00CC4E3D" w:rsidRDefault="00CC4E3D" w:rsidP="00CC4E3D">
      <w:r>
        <w:t>This indicates that, while providers were frustrated with the start-up caseloads, there was a significant increase in the suitability of TtW referrals by November 2016.</w:t>
      </w:r>
    </w:p>
    <w:p w14:paraId="15D541BA" w14:textId="77777777" w:rsidR="00CC4E3D" w:rsidRDefault="00CC4E3D" w:rsidP="00CC4E3D">
      <w:r>
        <w:t xml:space="preserve">As at November 2016, around 58 per cent of providers said that the caseload at their site was the right size, while 39 per cent indicated that it was too small. TtW providers who were familiar with jobactive overwhelmingly indicated that TtW had smaller caseloads (on average 50 participants) and that consultants worked fewer hours than under jobactive. </w:t>
      </w:r>
    </w:p>
    <w:p w14:paraId="3147342B" w14:textId="77777777" w:rsidR="00CC4E3D" w:rsidRPr="00E12936" w:rsidRDefault="00CC4E3D" w:rsidP="005A1B8D">
      <w:pPr>
        <w:pStyle w:val="Quotation"/>
        <w:keepLines/>
        <w:ind w:right="998"/>
      </w:pPr>
      <w:r w:rsidRPr="00E12936">
        <w:lastRenderedPageBreak/>
        <w:t xml:space="preserve">In terms of jobactive, they (providers) carry a much heavier caseload of 120/130 they have a work for the dole job search requirement. They’ve got to enter that as well. So there’s a list of things they have to keep on top of, as well as administration side of things. Here the caseloads are smaller, so they’re more manageable. So you’re working more one on one, and it’s not like — the goal focus is getting the best for the participant, as in jobactive basically you need to get out and get a job. </w:t>
      </w:r>
    </w:p>
    <w:p w14:paraId="13A926EC" w14:textId="77777777" w:rsidR="00CC4E3D" w:rsidRPr="00E12936" w:rsidRDefault="00CC4E3D" w:rsidP="005A1B8D">
      <w:pPr>
        <w:pStyle w:val="Quotation"/>
        <w:keepLines/>
        <w:ind w:right="998"/>
      </w:pPr>
      <w:r w:rsidRPr="00E12936">
        <w:t>(Provider Focus Group 3)</w:t>
      </w:r>
    </w:p>
    <w:p w14:paraId="5B46E248" w14:textId="77777777" w:rsidR="00CC4E3D" w:rsidRPr="00FD4CA8" w:rsidRDefault="00CC4E3D" w:rsidP="001C25D9">
      <w:pPr>
        <w:pStyle w:val="Heading3"/>
        <w:numPr>
          <w:ilvl w:val="2"/>
          <w:numId w:val="4"/>
        </w:numPr>
        <w:spacing w:before="200"/>
        <w:rPr>
          <w:szCs w:val="24"/>
        </w:rPr>
      </w:pPr>
      <w:bookmarkStart w:id="132" w:name="_Toc535498878"/>
      <w:bookmarkStart w:id="133" w:name="_Toc23841358"/>
      <w:r w:rsidRPr="00FD4CA8">
        <w:rPr>
          <w:szCs w:val="24"/>
        </w:rPr>
        <w:t>Providers’ experiences of the implementation process were influenced by the phase in which they started</w:t>
      </w:r>
      <w:bookmarkEnd w:id="132"/>
      <w:bookmarkEnd w:id="133"/>
      <w:r w:rsidRPr="00FD4CA8">
        <w:rPr>
          <w:szCs w:val="24"/>
        </w:rPr>
        <w:t xml:space="preserve"> </w:t>
      </w:r>
    </w:p>
    <w:p w14:paraId="4963C6FD" w14:textId="3F0BF4A0" w:rsidR="00CC4E3D" w:rsidRDefault="00CC4E3D" w:rsidP="00CC4E3D">
      <w:r>
        <w:t xml:space="preserve">To understand provider satisfaction with the </w:t>
      </w:r>
      <w:r w:rsidR="00082F50">
        <w:t>d</w:t>
      </w:r>
      <w:r>
        <w:t xml:space="preserve">epartment, an analysis of provider survey responses on TtW referrals, commencement and implementation was conducted by rollout phase. The findings confirm that providers had different experiences at different phases. While the survey results indicated no significant differences between phases on most questions, respondents who had started with TtW in </w:t>
      </w:r>
      <w:r w:rsidRPr="00B34E09">
        <w:t>Phase Three</w:t>
      </w:r>
      <w:r>
        <w:t xml:space="preserve"> and Phase Four were significantly more likely to be dissatisfied or strongly dissatisfied with departmental support in their first three months than respondents who had started in Phase One or Phase Two (</w:t>
      </w:r>
      <w:r>
        <w:rPr>
          <w:b/>
        </w:rPr>
        <w:t>Figure </w:t>
      </w:r>
      <w:r w:rsidRPr="00822711">
        <w:rPr>
          <w:b/>
        </w:rPr>
        <w:t>3.3</w:t>
      </w:r>
      <w:r>
        <w:t>).</w:t>
      </w:r>
    </w:p>
    <w:p w14:paraId="13D5A1CB" w14:textId="40258669" w:rsidR="00CC4E3D" w:rsidRDefault="00CC4E3D" w:rsidP="00FD4CA8">
      <w:pPr>
        <w:pStyle w:val="Caption"/>
      </w:pPr>
      <w:bookmarkStart w:id="134" w:name="_Toc514172353"/>
      <w:bookmarkStart w:id="135" w:name="_Toc535511454"/>
      <w:bookmarkStart w:id="136" w:name="_Toc535511514"/>
      <w:bookmarkStart w:id="137" w:name="_Toc535512741"/>
      <w:bookmarkStart w:id="138" w:name="_Toc535513377"/>
      <w:bookmarkStart w:id="139" w:name="_Toc23841457"/>
      <w:r>
        <w:t xml:space="preserve">Figure </w:t>
      </w:r>
      <w:r>
        <w:rPr>
          <w:noProof/>
        </w:rPr>
        <w:fldChar w:fldCharType="begin"/>
      </w:r>
      <w:r>
        <w:rPr>
          <w:noProof/>
        </w:rPr>
        <w:instrText xml:space="preserve"> STYLEREF 1 \s </w:instrText>
      </w:r>
      <w:r>
        <w:rPr>
          <w:noProof/>
        </w:rPr>
        <w:fldChar w:fldCharType="separate"/>
      </w:r>
      <w:r w:rsidR="00D84A2A">
        <w:rPr>
          <w:noProof/>
        </w:rPr>
        <w:t>3</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3</w:t>
      </w:r>
      <w:r>
        <w:rPr>
          <w:noProof/>
        </w:rPr>
        <w:fldChar w:fldCharType="end"/>
      </w:r>
      <w:r>
        <w:tab/>
        <w:t>Provider satisfaction with departmental support in their first three months, by provider start phase</w:t>
      </w:r>
      <w:bookmarkEnd w:id="134"/>
      <w:bookmarkEnd w:id="135"/>
      <w:bookmarkEnd w:id="136"/>
      <w:bookmarkEnd w:id="137"/>
      <w:bookmarkEnd w:id="138"/>
      <w:bookmarkEnd w:id="139"/>
    </w:p>
    <w:p w14:paraId="05AC9FF9" w14:textId="77777777" w:rsidR="00CC4E3D" w:rsidRDefault="00CC4E3D" w:rsidP="00CC4E3D">
      <w:r>
        <w:rPr>
          <w:noProof/>
          <w:lang w:eastAsia="en-AU"/>
        </w:rPr>
        <w:drawing>
          <wp:inline distT="0" distB="0" distL="0" distR="0" wp14:anchorId="1A428959" wp14:editId="059BCC6A">
            <wp:extent cx="5403600" cy="3052800"/>
            <wp:effectExtent l="0" t="0" r="6985" b="0"/>
            <wp:docPr id="19" name="Picture 19" descr="Column chart showing survey responses on satisfaction with departmental support&#10;This chart shows percentages for three possible responses from providers ('satisfied', 'neither dissatisfied nor satisfied', 'dissatisfied') on whether they were satisfied with the first three months of support from the Department. It compares providers who started in different phases.&#10;1. Phase One: 70% were satisfied, 22% were neither dissatisfied nor satisfied&#10;2. Phase Two: 75% were satisfied, 19% were neither dissatisfied nor satisfied; 3% were dissatisfied&#10;3. Phase Three/Four: 64% were satisfied, 16% were neither dissatisfied nor satisfied; 18% were dissatisfi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3600" cy="3052800"/>
                    </a:xfrm>
                    <a:prstGeom prst="rect">
                      <a:avLst/>
                    </a:prstGeom>
                    <a:noFill/>
                  </pic:spPr>
                </pic:pic>
              </a:graphicData>
            </a:graphic>
          </wp:inline>
        </w:drawing>
      </w:r>
    </w:p>
    <w:p w14:paraId="4A81C1EA" w14:textId="77777777" w:rsidR="00CC4E3D" w:rsidRDefault="00CC4E3D" w:rsidP="00CC4E3D">
      <w:pPr>
        <w:pStyle w:val="Note"/>
        <w:keepNext/>
      </w:pPr>
      <w:r>
        <w:t xml:space="preserve">Note: Does not include providers who responded ‘Don’t know/Undecided’, so columns will not add up to 100 per cent. </w:t>
      </w:r>
    </w:p>
    <w:p w14:paraId="6EF8F929" w14:textId="77777777" w:rsidR="00CC4E3D" w:rsidRPr="005A1B8D" w:rsidRDefault="00CC4E3D" w:rsidP="00CC4E3D">
      <w:pPr>
        <w:pStyle w:val="Source"/>
        <w:keepLines/>
        <w:rPr>
          <w:b/>
        </w:rPr>
      </w:pPr>
      <w:r w:rsidRPr="005A1B8D">
        <w:rPr>
          <w:b/>
        </w:rPr>
        <w:t xml:space="preserve">Source: TtW Provider Survey (2016) and administrative data. </w:t>
      </w:r>
    </w:p>
    <w:p w14:paraId="607B7ADA" w14:textId="30B093E5" w:rsidR="00CC4E3D" w:rsidRDefault="00CC4E3D" w:rsidP="00CC4E3D">
      <w:r>
        <w:t xml:space="preserve">It is unlikely that the higher satisfaction expressed by providers who started in Phase One was the result of a more efficient process at that stage. It is more likely that the capacity of the </w:t>
      </w:r>
      <w:r w:rsidR="00082F50">
        <w:t>d</w:t>
      </w:r>
      <w:r>
        <w:t xml:space="preserve">epartment </w:t>
      </w:r>
      <w:r>
        <w:lastRenderedPageBreak/>
        <w:t xml:space="preserve">to support providers was stretched by the larger numbers starting in Phase Three / Phase Four and, to a lesser extent, Phase Two. At the same time, the </w:t>
      </w:r>
      <w:r w:rsidR="00082F50">
        <w:t>d</w:t>
      </w:r>
      <w:r>
        <w:t xml:space="preserve">epartment was also rolling out other initiatives under the Youth Employment Package. </w:t>
      </w:r>
    </w:p>
    <w:p w14:paraId="7C24D8D4" w14:textId="77777777" w:rsidR="00CC4E3D" w:rsidRDefault="00CC4E3D" w:rsidP="00CC4E3D">
      <w:r>
        <w:t>Conversely, providers at sites that started in Phase One were more likely to disagree with the statement that departmental staff communicated clearly than those in the subsequent phases (</w:t>
      </w:r>
      <w:r>
        <w:rPr>
          <w:b/>
        </w:rPr>
        <w:t>Figure </w:t>
      </w:r>
      <w:r w:rsidRPr="001533C7">
        <w:rPr>
          <w:b/>
        </w:rPr>
        <w:t>3.4</w:t>
      </w:r>
      <w:r>
        <w:t xml:space="preserve">), indicating some confusion in the early stages of the implementation. </w:t>
      </w:r>
    </w:p>
    <w:p w14:paraId="2C9F42D7" w14:textId="33298FA7" w:rsidR="00CC4E3D" w:rsidRDefault="00CC4E3D" w:rsidP="00CC4E3D">
      <w:r>
        <w:t xml:space="preserve">Moreover, the short time between Phase Two and Phase Three could have exacerbated the pressure on Phase Three / Phase Four. It is likely that staged rollouts with a more even distribution of sites and more time between phases in future would help the </w:t>
      </w:r>
      <w:r w:rsidR="00082F50">
        <w:t>d</w:t>
      </w:r>
      <w:r>
        <w:t xml:space="preserve">epartment provide high-quality support to all providers. However, generally most providers (82 per cent) reported that their experiences in their first three months were largely the same as or better than their expectations. </w:t>
      </w:r>
    </w:p>
    <w:p w14:paraId="74D3F577" w14:textId="0DA19AF2" w:rsidR="00CC4E3D" w:rsidRDefault="00CC4E3D" w:rsidP="00FD4CA8">
      <w:pPr>
        <w:pStyle w:val="Caption"/>
      </w:pPr>
      <w:bookmarkStart w:id="140" w:name="_Toc514172354"/>
      <w:bookmarkStart w:id="141" w:name="_Toc535511455"/>
      <w:bookmarkStart w:id="142" w:name="_Toc535511515"/>
      <w:bookmarkStart w:id="143" w:name="_Toc535512742"/>
      <w:bookmarkStart w:id="144" w:name="_Toc535513378"/>
      <w:bookmarkStart w:id="145" w:name="_Toc23841458"/>
      <w:r>
        <w:t xml:space="preserve">Figure </w:t>
      </w:r>
      <w:r>
        <w:rPr>
          <w:noProof/>
        </w:rPr>
        <w:fldChar w:fldCharType="begin"/>
      </w:r>
      <w:r>
        <w:rPr>
          <w:noProof/>
        </w:rPr>
        <w:instrText xml:space="preserve"> STYLEREF 1 \s </w:instrText>
      </w:r>
      <w:r>
        <w:rPr>
          <w:noProof/>
        </w:rPr>
        <w:fldChar w:fldCharType="separate"/>
      </w:r>
      <w:r w:rsidR="00D84A2A">
        <w:rPr>
          <w:noProof/>
        </w:rPr>
        <w:t>3</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4</w:t>
      </w:r>
      <w:r>
        <w:rPr>
          <w:noProof/>
        </w:rPr>
        <w:fldChar w:fldCharType="end"/>
      </w:r>
      <w:r>
        <w:tab/>
        <w:t>Provider views on whether departmental staff communicated clearly, by provider start phase</w:t>
      </w:r>
      <w:bookmarkEnd w:id="140"/>
      <w:bookmarkEnd w:id="141"/>
      <w:bookmarkEnd w:id="142"/>
      <w:bookmarkEnd w:id="143"/>
      <w:bookmarkEnd w:id="144"/>
      <w:bookmarkEnd w:id="145"/>
    </w:p>
    <w:p w14:paraId="027CBB63" w14:textId="77777777" w:rsidR="00CC4E3D" w:rsidRDefault="00CC4E3D" w:rsidP="00CC4E3D">
      <w:r w:rsidRPr="008D0B1B">
        <w:rPr>
          <w:noProof/>
          <w:lang w:eastAsia="en-AU"/>
        </w:rPr>
        <w:drawing>
          <wp:inline distT="0" distB="0" distL="0" distR="0" wp14:anchorId="44FDB102" wp14:editId="537C83E6">
            <wp:extent cx="5403600" cy="3045600"/>
            <wp:effectExtent l="0" t="0" r="6985" b="2540"/>
            <wp:docPr id="479" name="Picture 479" descr="Column chart showing survey responses on the clarity of departmental communication&#10;This chart shows percentages for three possible responses from providers ('agree', 'neither disagree nor agree', 'disagree') on whether departmental staff communicated clearly. It compares providers who started in different phases.&#10;1. Phase One: 56% agreed, 15% neither agreed nor disagreed, 26% disagreed&#10;2. Phase Two: 84% agreed, 1% neither agreed nor disagreed, 6% disagreed&#10;3. Phase Three/Four: 81% agreed, 11% neither agreed nor disagreed, 2% disagree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03600" cy="3045600"/>
                    </a:xfrm>
                    <a:prstGeom prst="rect">
                      <a:avLst/>
                    </a:prstGeom>
                    <a:noFill/>
                    <a:ln>
                      <a:noFill/>
                    </a:ln>
                  </pic:spPr>
                </pic:pic>
              </a:graphicData>
            </a:graphic>
          </wp:inline>
        </w:drawing>
      </w:r>
    </w:p>
    <w:p w14:paraId="062D80D6" w14:textId="77777777" w:rsidR="00CC4E3D" w:rsidRDefault="00CC4E3D" w:rsidP="00CC4E3D">
      <w:pPr>
        <w:pStyle w:val="Note"/>
        <w:keepNext/>
      </w:pPr>
      <w:r>
        <w:t xml:space="preserve">Note: Does not include providers who responded ‘Don’t know/Undecided’, so columns will not add up to 100 per cent. </w:t>
      </w:r>
    </w:p>
    <w:p w14:paraId="1AB44A3E" w14:textId="77777777" w:rsidR="00CC4E3D" w:rsidRPr="005A1B8D" w:rsidRDefault="00CC4E3D" w:rsidP="00CC4E3D">
      <w:pPr>
        <w:pStyle w:val="Source"/>
        <w:rPr>
          <w:b/>
        </w:rPr>
      </w:pPr>
      <w:r w:rsidRPr="005A1B8D">
        <w:rPr>
          <w:b/>
        </w:rPr>
        <w:t>Source: TtW Provider Survey (2016) and administrative data.</w:t>
      </w:r>
    </w:p>
    <w:p w14:paraId="1190F559" w14:textId="2E5E22D8" w:rsidR="00CC4E3D" w:rsidRPr="00FD4CA8" w:rsidRDefault="00CC4E3D" w:rsidP="001C25D9">
      <w:pPr>
        <w:pStyle w:val="Heading3"/>
        <w:numPr>
          <w:ilvl w:val="2"/>
          <w:numId w:val="4"/>
        </w:numPr>
        <w:spacing w:before="200"/>
        <w:ind w:left="720"/>
        <w:rPr>
          <w:szCs w:val="24"/>
        </w:rPr>
      </w:pPr>
      <w:bookmarkStart w:id="146" w:name="_Toc535498879"/>
      <w:bookmarkStart w:id="147" w:name="_Toc23841359"/>
      <w:r w:rsidRPr="00FD4CA8">
        <w:rPr>
          <w:szCs w:val="24"/>
        </w:rPr>
        <w:t xml:space="preserve">Providers were generally positive about the level of support and information from the </w:t>
      </w:r>
      <w:r w:rsidR="00082F50">
        <w:rPr>
          <w:szCs w:val="24"/>
        </w:rPr>
        <w:t>d</w:t>
      </w:r>
      <w:r w:rsidRPr="00FD4CA8">
        <w:rPr>
          <w:szCs w:val="24"/>
        </w:rPr>
        <w:t>epartment</w:t>
      </w:r>
      <w:bookmarkEnd w:id="146"/>
      <w:bookmarkEnd w:id="147"/>
    </w:p>
    <w:p w14:paraId="012110D8" w14:textId="6384BB67" w:rsidR="00CC4E3D" w:rsidRDefault="00CC4E3D" w:rsidP="00CC4E3D">
      <w:r>
        <w:t xml:space="preserve">Providers generally had a positive view of the level of support they had received from the </w:t>
      </w:r>
      <w:r w:rsidR="00082F50">
        <w:t>d</w:t>
      </w:r>
      <w:r>
        <w:t xml:space="preserve">epartment. Nearly 70 per cent of providers responded that they were satisfied or very satisfied with the level of support from the </w:t>
      </w:r>
      <w:r w:rsidR="00082F50">
        <w:t>d</w:t>
      </w:r>
      <w:r>
        <w:t xml:space="preserve">epartment in the first three months. About 10 per cent reported that they were dissatisfied or very dissatisfied. A majority agreed or strongly agreed that the </w:t>
      </w:r>
      <w:r w:rsidR="00082F50">
        <w:t>d</w:t>
      </w:r>
      <w:r>
        <w:t>epartment was easy to contact, kept them informed, managed the implementation well and gave them adequate support (</w:t>
      </w:r>
      <w:r>
        <w:rPr>
          <w:b/>
        </w:rPr>
        <w:t>Figure </w:t>
      </w:r>
      <w:r w:rsidRPr="00477276">
        <w:rPr>
          <w:b/>
        </w:rPr>
        <w:t>3.</w:t>
      </w:r>
      <w:r>
        <w:rPr>
          <w:b/>
        </w:rPr>
        <w:t>5</w:t>
      </w:r>
      <w:r>
        <w:t>).</w:t>
      </w:r>
    </w:p>
    <w:p w14:paraId="6C8FDE75" w14:textId="048559DF" w:rsidR="00CC4E3D" w:rsidRDefault="00CC4E3D" w:rsidP="00FD4CA8">
      <w:pPr>
        <w:pStyle w:val="Caption"/>
      </w:pPr>
      <w:bookmarkStart w:id="148" w:name="_Toc535511456"/>
      <w:bookmarkStart w:id="149" w:name="_Toc535511516"/>
      <w:bookmarkStart w:id="150" w:name="_Toc535512743"/>
      <w:bookmarkStart w:id="151" w:name="_Toc535513379"/>
      <w:bookmarkStart w:id="152" w:name="_Toc23841459"/>
      <w:r>
        <w:lastRenderedPageBreak/>
        <w:t xml:space="preserve">Figure </w:t>
      </w:r>
      <w:r>
        <w:rPr>
          <w:noProof/>
        </w:rPr>
        <w:fldChar w:fldCharType="begin"/>
      </w:r>
      <w:r>
        <w:rPr>
          <w:noProof/>
        </w:rPr>
        <w:instrText xml:space="preserve"> STYLEREF 1 \s </w:instrText>
      </w:r>
      <w:r>
        <w:rPr>
          <w:noProof/>
        </w:rPr>
        <w:fldChar w:fldCharType="separate"/>
      </w:r>
      <w:r w:rsidR="00D84A2A">
        <w:rPr>
          <w:noProof/>
        </w:rPr>
        <w:t>3</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5</w:t>
      </w:r>
      <w:r>
        <w:rPr>
          <w:noProof/>
        </w:rPr>
        <w:fldChar w:fldCharType="end"/>
      </w:r>
      <w:r>
        <w:tab/>
        <w:t>Provider views on departmental support during the implementation phase</w:t>
      </w:r>
      <w:bookmarkEnd w:id="148"/>
      <w:bookmarkEnd w:id="149"/>
      <w:bookmarkEnd w:id="150"/>
      <w:bookmarkEnd w:id="151"/>
      <w:bookmarkEnd w:id="152"/>
      <w:r>
        <w:t xml:space="preserve"> </w:t>
      </w:r>
    </w:p>
    <w:p w14:paraId="66562899" w14:textId="77777777" w:rsidR="00CC4E3D" w:rsidRDefault="00CC4E3D" w:rsidP="00CC4E3D">
      <w:r w:rsidRPr="00382F03">
        <w:rPr>
          <w:noProof/>
          <w:lang w:eastAsia="en-AU"/>
        </w:rPr>
        <w:drawing>
          <wp:inline distT="0" distB="0" distL="0" distR="0" wp14:anchorId="6ADCF727" wp14:editId="3A0282E3">
            <wp:extent cx="5403600" cy="3045600"/>
            <wp:effectExtent l="0" t="0" r="6985" b="2540"/>
            <wp:docPr id="13" name="Picture 13" descr="Stacked bar chart showing survey responses about departmental staff.&#10;This chart shows the breakdown of provider responses, from ‘strongly agree’ to ‘strongly disagree’, to four statements:&#10;1. ‘The Department was easy to contact when we had questions’ — 76% agreed or strongly agreed&#10;2. ‘The Department kept our site informed’ — 75% agreed or strongly agreed&#10;3. ‘The implementation was well managed by the Department’ — 66% agreed or strongly agreed&#10;4. ‘The Department provided our site with adequate support’ — 71% agreed or strongly agre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3600" cy="3045600"/>
                    </a:xfrm>
                    <a:prstGeom prst="rect">
                      <a:avLst/>
                    </a:prstGeom>
                    <a:noFill/>
                    <a:ln>
                      <a:noFill/>
                    </a:ln>
                  </pic:spPr>
                </pic:pic>
              </a:graphicData>
            </a:graphic>
          </wp:inline>
        </w:drawing>
      </w:r>
    </w:p>
    <w:p w14:paraId="12606D8C" w14:textId="77777777" w:rsidR="00CC4E3D" w:rsidRPr="00157371" w:rsidRDefault="00CC4E3D" w:rsidP="00CC4E3D">
      <w:pPr>
        <w:pStyle w:val="Note"/>
      </w:pPr>
      <w:r w:rsidRPr="00157371">
        <w:t xml:space="preserve">Note: Does not include providers who responded ‘Don’t know/Undecided’, so bars may not add up to 100 per cent. </w:t>
      </w:r>
    </w:p>
    <w:p w14:paraId="18573FEC" w14:textId="77777777" w:rsidR="00CC4E3D" w:rsidRPr="005A1B8D" w:rsidRDefault="00CC4E3D" w:rsidP="00CC4E3D">
      <w:pPr>
        <w:pStyle w:val="Source"/>
        <w:rPr>
          <w:b/>
        </w:rPr>
      </w:pPr>
      <w:r w:rsidRPr="005A1B8D">
        <w:rPr>
          <w:b/>
        </w:rPr>
        <w:t>Source: TtW Provider Survey (2016).</w:t>
      </w:r>
    </w:p>
    <w:p w14:paraId="663BECB7" w14:textId="52A31922" w:rsidR="00CC4E3D" w:rsidRDefault="00CC4E3D" w:rsidP="00CC4E3D">
      <w:r>
        <w:t xml:space="preserve">Providers indicated that information and support from the </w:t>
      </w:r>
      <w:r w:rsidR="00082F50">
        <w:t>d</w:t>
      </w:r>
      <w:r>
        <w:t>epartment were readily available, easy to access and, more often than not, of a high standard.</w:t>
      </w:r>
    </w:p>
    <w:p w14:paraId="23F51A39" w14:textId="77E56FE8" w:rsidR="00CC4E3D" w:rsidRPr="00E12936" w:rsidRDefault="00CC4E3D" w:rsidP="00CC4E3D">
      <w:pPr>
        <w:pStyle w:val="Quotation"/>
      </w:pPr>
      <w:r w:rsidRPr="00E12936">
        <w:t xml:space="preserve">I think the support from the </w:t>
      </w:r>
      <w:r w:rsidR="00082F50">
        <w:t>d</w:t>
      </w:r>
      <w:r w:rsidRPr="00E12936">
        <w:t xml:space="preserve">epartment has probably been exceptional in lots of ways and that has been really good — I’ve attended all of the Transition to Work conferences, [Name]’s been to one of the youth forums. There’s really strong support from the </w:t>
      </w:r>
      <w:r w:rsidR="00082F50">
        <w:t>d</w:t>
      </w:r>
      <w:r w:rsidRPr="00E12936">
        <w:t>epartment around Transition to Work, they’re really happy with how it’s going, etc.</w:t>
      </w:r>
    </w:p>
    <w:p w14:paraId="0CFBCC36" w14:textId="77777777" w:rsidR="00CC4E3D" w:rsidRPr="00E12936" w:rsidRDefault="00CC4E3D" w:rsidP="00CC4E3D">
      <w:pPr>
        <w:pStyle w:val="Quotation"/>
      </w:pPr>
      <w:r w:rsidRPr="00E12936">
        <w:t>(Provider Interview 13)</w:t>
      </w:r>
    </w:p>
    <w:p w14:paraId="32D5DC61" w14:textId="77777777" w:rsidR="00CC4E3D" w:rsidRDefault="00CC4E3D" w:rsidP="00CC4E3D">
      <w:r>
        <w:t xml:space="preserve">Most providers noted that the Provider Portal was a helpful resource for addressing their questions and concerns. Many said that this was usually the first point of call for provider staff. </w:t>
      </w:r>
    </w:p>
    <w:p w14:paraId="517447E2" w14:textId="77777777" w:rsidR="00CC4E3D" w:rsidRPr="00E12936" w:rsidRDefault="00CC4E3D" w:rsidP="00CC4E3D">
      <w:pPr>
        <w:pStyle w:val="Quotation"/>
      </w:pPr>
      <w:r w:rsidRPr="00E12936">
        <w:t xml:space="preserve">I have [the portal] open every day … It’s just a routine that I have, because I flick to the guidelines in the Deed a lot, and I just always have got it there just in case there is an update, and it’s just something I have open, it’s like a lifeline. </w:t>
      </w:r>
    </w:p>
    <w:p w14:paraId="74F6905A" w14:textId="77777777" w:rsidR="00CC4E3D" w:rsidRPr="00E12936" w:rsidRDefault="00CC4E3D" w:rsidP="00CC4E3D">
      <w:pPr>
        <w:pStyle w:val="Quotation"/>
      </w:pPr>
      <w:r w:rsidRPr="00E12936">
        <w:t>(Provider Focus Group 5)</w:t>
      </w:r>
    </w:p>
    <w:p w14:paraId="320CB213" w14:textId="77777777" w:rsidR="00CC4E3D" w:rsidRDefault="00CC4E3D" w:rsidP="00CC4E3D">
      <w:r>
        <w:t xml:space="preserve">Most providers had infrequent contact with their contract or account manager, but those who had needed assistance spoke highly of the support they received. </w:t>
      </w:r>
    </w:p>
    <w:p w14:paraId="2C18539A" w14:textId="77777777" w:rsidR="00CC4E3D" w:rsidRPr="00E12936" w:rsidRDefault="00CC4E3D" w:rsidP="005A1B8D">
      <w:pPr>
        <w:pStyle w:val="Quotation"/>
        <w:keepLines/>
        <w:ind w:right="998"/>
      </w:pPr>
      <w:r w:rsidRPr="00E12936">
        <w:lastRenderedPageBreak/>
        <w:t xml:space="preserve">I’ve had a good involvement with our contract manager through the jobactive process as well and she’s remained with us as part of TtW so that’s been a bonus; so I already had an existing relationship with the contract manager. We’re in contact very frequently. I try and inform her if I identify any issues or any queries that I have and as I said we get responses and results through the contract manager which is great. </w:t>
      </w:r>
    </w:p>
    <w:p w14:paraId="3C4C0679" w14:textId="77777777" w:rsidR="00CC4E3D" w:rsidRPr="00E12936" w:rsidRDefault="00CC4E3D" w:rsidP="005A1B8D">
      <w:pPr>
        <w:pStyle w:val="Quotation"/>
        <w:keepLines/>
        <w:ind w:right="998"/>
      </w:pPr>
      <w:r w:rsidRPr="00E12936">
        <w:t>(Provider Interview 5)</w:t>
      </w:r>
    </w:p>
    <w:p w14:paraId="4BA12D64" w14:textId="77777777" w:rsidR="00CC4E3D" w:rsidRDefault="00CC4E3D" w:rsidP="00CC4E3D">
      <w:r>
        <w:t>Providers generally agreed that departmental staff were knowledgeable in answering queries and that the right person was available to resolve their issues (</w:t>
      </w:r>
      <w:r>
        <w:rPr>
          <w:b/>
        </w:rPr>
        <w:t>Figure 3.6</w:t>
      </w:r>
      <w:r>
        <w:t xml:space="preserve">). </w:t>
      </w:r>
    </w:p>
    <w:p w14:paraId="01574294" w14:textId="5B4EF5CF" w:rsidR="00CC4E3D" w:rsidRDefault="00CC4E3D" w:rsidP="00FD4CA8">
      <w:pPr>
        <w:pStyle w:val="Caption"/>
      </w:pPr>
      <w:bookmarkStart w:id="153" w:name="_Toc535511457"/>
      <w:bookmarkStart w:id="154" w:name="_Toc535511517"/>
      <w:bookmarkStart w:id="155" w:name="_Toc535512744"/>
      <w:bookmarkStart w:id="156" w:name="_Toc535513380"/>
      <w:bookmarkStart w:id="157" w:name="_Toc23841460"/>
      <w:r>
        <w:t xml:space="preserve">Figure </w:t>
      </w:r>
      <w:r>
        <w:rPr>
          <w:noProof/>
        </w:rPr>
        <w:fldChar w:fldCharType="begin"/>
      </w:r>
      <w:r>
        <w:rPr>
          <w:noProof/>
        </w:rPr>
        <w:instrText xml:space="preserve"> STYLEREF 1 \s </w:instrText>
      </w:r>
      <w:r>
        <w:rPr>
          <w:noProof/>
        </w:rPr>
        <w:fldChar w:fldCharType="separate"/>
      </w:r>
      <w:r w:rsidR="00D84A2A">
        <w:rPr>
          <w:noProof/>
        </w:rPr>
        <w:t>3</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6</w:t>
      </w:r>
      <w:r>
        <w:rPr>
          <w:noProof/>
        </w:rPr>
        <w:fldChar w:fldCharType="end"/>
      </w:r>
      <w:r>
        <w:tab/>
        <w:t>Provider views on</w:t>
      </w:r>
      <w:r w:rsidRPr="00380BDF">
        <w:t xml:space="preserve"> </w:t>
      </w:r>
      <w:r>
        <w:t>departmental responses to queries</w:t>
      </w:r>
      <w:bookmarkEnd w:id="153"/>
      <w:bookmarkEnd w:id="154"/>
      <w:bookmarkEnd w:id="155"/>
      <w:bookmarkEnd w:id="156"/>
      <w:bookmarkEnd w:id="157"/>
      <w:r>
        <w:t xml:space="preserve"> </w:t>
      </w:r>
    </w:p>
    <w:p w14:paraId="0BA1D4CD" w14:textId="77777777" w:rsidR="00CC4E3D" w:rsidRDefault="00CC4E3D" w:rsidP="00CC4E3D">
      <w:r w:rsidRPr="00382F03">
        <w:rPr>
          <w:noProof/>
          <w:lang w:eastAsia="en-AU"/>
        </w:rPr>
        <w:drawing>
          <wp:inline distT="0" distB="0" distL="0" distR="0" wp14:anchorId="0D6411B7" wp14:editId="53084563">
            <wp:extent cx="5403600" cy="3045600"/>
            <wp:effectExtent l="0" t="0" r="6985" b="2540"/>
            <wp:docPr id="16" name="Picture 16" descr="Stacked bar chart showing survey responses about departmental staff.&#10;This chart shows the breakdown of provider responses, from ‘strongly agree’ to ‘strongly disagree’, to two statements:&#10;1. that departmental staff who answered queries were ‘knowledgeable about Transition to Work’ — 73% agreed or strongly agreed&#10;2. that ‘the right person is available to resolve issues’ — 71% agreed or strongly agre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03600" cy="3045600"/>
                    </a:xfrm>
                    <a:prstGeom prst="rect">
                      <a:avLst/>
                    </a:prstGeom>
                    <a:noFill/>
                    <a:ln>
                      <a:noFill/>
                    </a:ln>
                  </pic:spPr>
                </pic:pic>
              </a:graphicData>
            </a:graphic>
          </wp:inline>
        </w:drawing>
      </w:r>
    </w:p>
    <w:p w14:paraId="5A6D7651" w14:textId="77777777" w:rsidR="00CC4E3D" w:rsidRDefault="00CC4E3D" w:rsidP="00CC4E3D">
      <w:pPr>
        <w:pStyle w:val="Note"/>
      </w:pPr>
      <w:r>
        <w:t xml:space="preserve">Note: Does not include providers who responded ‘Don’t know/Undecided’, so bars may not add up to 100 per cent. </w:t>
      </w:r>
    </w:p>
    <w:p w14:paraId="3460EF76" w14:textId="77777777" w:rsidR="00CC4E3D" w:rsidRPr="005A1B8D" w:rsidRDefault="00CC4E3D" w:rsidP="00CC4E3D">
      <w:pPr>
        <w:pStyle w:val="Source"/>
        <w:rPr>
          <w:b/>
        </w:rPr>
      </w:pPr>
      <w:r w:rsidRPr="005A1B8D">
        <w:rPr>
          <w:b/>
        </w:rPr>
        <w:t>Source: TtW Provider Survey (2016).</w:t>
      </w:r>
    </w:p>
    <w:p w14:paraId="05CF3E90" w14:textId="77777777" w:rsidR="00CC4E3D" w:rsidRDefault="00CC4E3D" w:rsidP="00CC4E3D">
      <w:r>
        <w:t>Most providers agreed that departmental staff responded promptly to queries and provided reasonable notice about changes (</w:t>
      </w:r>
      <w:r>
        <w:rPr>
          <w:b/>
        </w:rPr>
        <w:t>Figure 3.7</w:t>
      </w:r>
      <w:r>
        <w:t>).</w:t>
      </w:r>
    </w:p>
    <w:p w14:paraId="7A9FD2BB" w14:textId="4CBCA6DD" w:rsidR="00CC4E3D" w:rsidRDefault="00CC4E3D" w:rsidP="00FD4CA8">
      <w:pPr>
        <w:pStyle w:val="Caption"/>
      </w:pPr>
      <w:bookmarkStart w:id="158" w:name="_Toc535511458"/>
      <w:bookmarkStart w:id="159" w:name="_Toc535511518"/>
      <w:bookmarkStart w:id="160" w:name="_Toc535512745"/>
      <w:bookmarkStart w:id="161" w:name="_Toc535513381"/>
      <w:bookmarkStart w:id="162" w:name="_Toc23841461"/>
      <w:r>
        <w:lastRenderedPageBreak/>
        <w:t xml:space="preserve">Figure </w:t>
      </w:r>
      <w:r>
        <w:rPr>
          <w:noProof/>
        </w:rPr>
        <w:fldChar w:fldCharType="begin"/>
      </w:r>
      <w:r>
        <w:rPr>
          <w:noProof/>
        </w:rPr>
        <w:instrText xml:space="preserve"> STYLEREF 1 \s </w:instrText>
      </w:r>
      <w:r>
        <w:rPr>
          <w:noProof/>
        </w:rPr>
        <w:fldChar w:fldCharType="separate"/>
      </w:r>
      <w:r w:rsidR="00D84A2A">
        <w:rPr>
          <w:noProof/>
        </w:rPr>
        <w:t>3</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7</w:t>
      </w:r>
      <w:r>
        <w:rPr>
          <w:noProof/>
        </w:rPr>
        <w:fldChar w:fldCharType="end"/>
      </w:r>
      <w:r>
        <w:tab/>
        <w:t xml:space="preserve">Provider views on the </w:t>
      </w:r>
      <w:r w:rsidR="00082F50">
        <w:t>d</w:t>
      </w:r>
      <w:r>
        <w:t>epartment’s notice about changes and responsiveness to queries</w:t>
      </w:r>
      <w:bookmarkEnd w:id="158"/>
      <w:bookmarkEnd w:id="159"/>
      <w:bookmarkEnd w:id="160"/>
      <w:bookmarkEnd w:id="161"/>
      <w:bookmarkEnd w:id="162"/>
    </w:p>
    <w:p w14:paraId="60644784" w14:textId="77777777" w:rsidR="00CC4E3D" w:rsidRDefault="00CC4E3D" w:rsidP="00CC4E3D">
      <w:r>
        <w:rPr>
          <w:rFonts w:ascii="Calibri" w:eastAsiaTheme="majorEastAsia" w:hAnsi="Calibri" w:cstheme="majorBidi"/>
          <w:noProof/>
          <w:lang w:eastAsia="en-AU"/>
        </w:rPr>
        <w:drawing>
          <wp:inline distT="0" distB="0" distL="0" distR="0" wp14:anchorId="7F5AD1BC" wp14:editId="5A2D1347">
            <wp:extent cx="5402579" cy="2971800"/>
            <wp:effectExtent l="0" t="0" r="8255" b="0"/>
            <wp:docPr id="448" name="Picture 448" descr="Stacked bar chart showing survey responses about departmental staff.&#10;This chart shows the breakdown of provider responses, from ‘strongly agree’ to ‘strongly disagree’, to two statements:&#10;1. Departmental staff ‘provided reasonable notice about changes’ — 76% agreed or strongly agreed&#10;2. Departmental staff ‘responded promptly to queries’ — 71% agreed or strongly agre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11532" cy="2976725"/>
                    </a:xfrm>
                    <a:prstGeom prst="rect">
                      <a:avLst/>
                    </a:prstGeom>
                    <a:noFill/>
                  </pic:spPr>
                </pic:pic>
              </a:graphicData>
            </a:graphic>
          </wp:inline>
        </w:drawing>
      </w:r>
    </w:p>
    <w:p w14:paraId="02188F43" w14:textId="77777777" w:rsidR="00CC4E3D" w:rsidRDefault="00CC4E3D" w:rsidP="00CC4E3D">
      <w:pPr>
        <w:pStyle w:val="Note"/>
      </w:pPr>
      <w:r>
        <w:t xml:space="preserve">Note: Does not include providers who responded ‘Don’t know/Undecided’, so bars </w:t>
      </w:r>
      <w:r w:rsidRPr="00E12936">
        <w:t>may</w:t>
      </w:r>
      <w:r>
        <w:t xml:space="preserve"> not add up to 100 per cent. </w:t>
      </w:r>
    </w:p>
    <w:p w14:paraId="033CBDEF" w14:textId="77777777" w:rsidR="00CC4E3D" w:rsidRPr="005A1B8D" w:rsidRDefault="00CC4E3D" w:rsidP="00CC4E3D">
      <w:pPr>
        <w:pStyle w:val="Source"/>
        <w:rPr>
          <w:b/>
        </w:rPr>
      </w:pPr>
      <w:r w:rsidRPr="005A1B8D">
        <w:rPr>
          <w:b/>
        </w:rPr>
        <w:t>Source: TtW Provider Survey (2016).</w:t>
      </w:r>
    </w:p>
    <w:p w14:paraId="4C4F1CF8" w14:textId="420066FF" w:rsidR="00CC4E3D" w:rsidRDefault="00CC4E3D" w:rsidP="00FD4CA8">
      <w:pPr>
        <w:pStyle w:val="Caption"/>
      </w:pPr>
      <w:bookmarkStart w:id="163" w:name="_Toc535511459"/>
      <w:bookmarkStart w:id="164" w:name="_Toc535511519"/>
      <w:bookmarkStart w:id="165" w:name="_Toc535512746"/>
      <w:bookmarkStart w:id="166" w:name="_Toc535513382"/>
      <w:bookmarkStart w:id="167" w:name="_Toc23841462"/>
      <w:r>
        <w:t xml:space="preserve">Figure </w:t>
      </w:r>
      <w:r>
        <w:rPr>
          <w:noProof/>
        </w:rPr>
        <w:fldChar w:fldCharType="begin"/>
      </w:r>
      <w:r>
        <w:rPr>
          <w:noProof/>
        </w:rPr>
        <w:instrText xml:space="preserve"> STYLEREF 1 \s </w:instrText>
      </w:r>
      <w:r>
        <w:rPr>
          <w:noProof/>
        </w:rPr>
        <w:fldChar w:fldCharType="separate"/>
      </w:r>
      <w:r w:rsidR="00D84A2A">
        <w:rPr>
          <w:noProof/>
        </w:rPr>
        <w:t>3</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8</w:t>
      </w:r>
      <w:r>
        <w:rPr>
          <w:noProof/>
        </w:rPr>
        <w:fldChar w:fldCharType="end"/>
      </w:r>
      <w:r>
        <w:tab/>
        <w:t>Provider views on courtesy and respectfulness of departmental staff</w:t>
      </w:r>
      <w:bookmarkEnd w:id="163"/>
      <w:bookmarkEnd w:id="164"/>
      <w:bookmarkEnd w:id="165"/>
      <w:bookmarkEnd w:id="166"/>
      <w:bookmarkEnd w:id="167"/>
    </w:p>
    <w:p w14:paraId="121727D7" w14:textId="77777777" w:rsidR="00CC4E3D" w:rsidRDefault="00CC4E3D" w:rsidP="00CC4E3D">
      <w:r w:rsidRPr="00134192">
        <w:rPr>
          <w:noProof/>
          <w:lang w:eastAsia="en-AU"/>
        </w:rPr>
        <w:drawing>
          <wp:inline distT="0" distB="0" distL="0" distR="0" wp14:anchorId="0E497FE9" wp14:editId="34BCBD73">
            <wp:extent cx="5403600" cy="3045600"/>
            <wp:effectExtent l="0" t="0" r="6985" b="2540"/>
            <wp:docPr id="20" name="Picture 20" descr="Stacked bar chart showing survey responses about departmental staff.&#10;This chart shows the breakdown of provider responses, from ‘strongly agree’ to ‘strongly disagree’, to the statements that departmental staff:&#10;1. ‘are courteous and polite’ — 87% agreed or strongly agreed; 6% disagreed or strongly disagreed&#10;2. ‘treat your staff with dignity and respect’ — 86% agreed or strongly agreed; 7% disagreed or strongly disagreed.&#10;(Chart does not include Don’t know/Undecided responses, so bars may not add to 1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3600" cy="3045600"/>
                    </a:xfrm>
                    <a:prstGeom prst="rect">
                      <a:avLst/>
                    </a:prstGeom>
                    <a:noFill/>
                    <a:ln>
                      <a:noFill/>
                    </a:ln>
                  </pic:spPr>
                </pic:pic>
              </a:graphicData>
            </a:graphic>
          </wp:inline>
        </w:drawing>
      </w:r>
    </w:p>
    <w:p w14:paraId="1D601576" w14:textId="77777777" w:rsidR="00CC4E3D" w:rsidRDefault="00CC4E3D" w:rsidP="00CC4E3D">
      <w:pPr>
        <w:pStyle w:val="Note"/>
      </w:pPr>
      <w:r>
        <w:t xml:space="preserve">Note: Does not include providers who responded ‘Don’t know/Undecided’, so bars may not add up to 100 per cent. </w:t>
      </w:r>
    </w:p>
    <w:p w14:paraId="0A2405BF" w14:textId="77777777" w:rsidR="00CC4E3D" w:rsidRPr="005A1B8D" w:rsidRDefault="00CC4E3D" w:rsidP="00CC4E3D">
      <w:pPr>
        <w:pStyle w:val="Source"/>
        <w:rPr>
          <w:b/>
        </w:rPr>
      </w:pPr>
      <w:r w:rsidRPr="005A1B8D">
        <w:rPr>
          <w:b/>
        </w:rPr>
        <w:t>Source: TtW Provider Survey (2016).</w:t>
      </w:r>
    </w:p>
    <w:p w14:paraId="22FD1481" w14:textId="77777777" w:rsidR="00CC4E3D" w:rsidRDefault="00CC4E3D" w:rsidP="00CC4E3D">
      <w:r>
        <w:lastRenderedPageBreak/>
        <w:t>Most providers said that departmental staff were courteous and respectful (</w:t>
      </w:r>
      <w:r>
        <w:rPr>
          <w:b/>
        </w:rPr>
        <w:t>Figure 3.8</w:t>
      </w:r>
      <w:r>
        <w:t>) and that they demonstrated good communication skills (</w:t>
      </w:r>
      <w:r>
        <w:rPr>
          <w:b/>
        </w:rPr>
        <w:t>Figure 3.9</w:t>
      </w:r>
      <w:r>
        <w:t xml:space="preserve">). </w:t>
      </w:r>
    </w:p>
    <w:p w14:paraId="62086178" w14:textId="64A103BE" w:rsidR="00CC4E3D" w:rsidRDefault="00CC4E3D" w:rsidP="00FD4CA8">
      <w:pPr>
        <w:pStyle w:val="Caption"/>
      </w:pPr>
      <w:bookmarkStart w:id="168" w:name="_Toc535511460"/>
      <w:bookmarkStart w:id="169" w:name="_Toc535511520"/>
      <w:bookmarkStart w:id="170" w:name="_Toc535512747"/>
      <w:bookmarkStart w:id="171" w:name="_Toc535513383"/>
      <w:bookmarkStart w:id="172" w:name="_Toc23841463"/>
      <w:r>
        <w:t xml:space="preserve">Figure </w:t>
      </w:r>
      <w:r>
        <w:rPr>
          <w:noProof/>
        </w:rPr>
        <w:fldChar w:fldCharType="begin"/>
      </w:r>
      <w:r>
        <w:rPr>
          <w:noProof/>
        </w:rPr>
        <w:instrText xml:space="preserve"> STYLEREF 1 \s </w:instrText>
      </w:r>
      <w:r>
        <w:rPr>
          <w:noProof/>
        </w:rPr>
        <w:fldChar w:fldCharType="separate"/>
      </w:r>
      <w:r w:rsidR="00D84A2A">
        <w:rPr>
          <w:noProof/>
        </w:rPr>
        <w:t>3</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9</w:t>
      </w:r>
      <w:r>
        <w:rPr>
          <w:noProof/>
        </w:rPr>
        <w:fldChar w:fldCharType="end"/>
      </w:r>
      <w:r>
        <w:tab/>
        <w:t>Provider views on communication skills of departmental staff</w:t>
      </w:r>
      <w:bookmarkEnd w:id="168"/>
      <w:bookmarkEnd w:id="169"/>
      <w:bookmarkEnd w:id="170"/>
      <w:bookmarkEnd w:id="171"/>
      <w:bookmarkEnd w:id="172"/>
    </w:p>
    <w:p w14:paraId="769012CE" w14:textId="77777777" w:rsidR="00CC4E3D" w:rsidRDefault="00CC4E3D" w:rsidP="00CC4E3D">
      <w:pPr>
        <w:pStyle w:val="Notes"/>
        <w:keepNext/>
      </w:pPr>
      <w:r w:rsidRPr="00245FEC">
        <w:rPr>
          <w:noProof/>
          <w:lang w:val="en-AU" w:eastAsia="en-AU"/>
        </w:rPr>
        <w:drawing>
          <wp:inline distT="0" distB="0" distL="0" distR="0" wp14:anchorId="47BCBA45" wp14:editId="2E42CC93">
            <wp:extent cx="5403600" cy="3045600"/>
            <wp:effectExtent l="0" t="0" r="6985" b="2540"/>
            <wp:docPr id="22" name="Picture 22" descr="Stacked bar chart showing survey responses about departmental staff.&#10;This chart shows the breakdown of provider responses, from ‘strongly agree’ to ‘strongly disagree’, to the statements that departmental staff:&#10;1. ‘listen to your staff’s point of view’ — 75% agreed or strongly agreed&#10;2. ‘communicate changes effectively’ — 78% agreed or strongly agreed&#10;3. ‘communicate with you clearly’ — 80% agreed or strongly agreed&#10;4. ‘provide a clear response to queries’ — 72% agreed or strongly agre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3600" cy="3045600"/>
                    </a:xfrm>
                    <a:prstGeom prst="rect">
                      <a:avLst/>
                    </a:prstGeom>
                    <a:noFill/>
                    <a:ln>
                      <a:noFill/>
                    </a:ln>
                  </pic:spPr>
                </pic:pic>
              </a:graphicData>
            </a:graphic>
          </wp:inline>
        </w:drawing>
      </w:r>
    </w:p>
    <w:p w14:paraId="102E5D5A" w14:textId="77777777" w:rsidR="00CC4E3D" w:rsidRDefault="00CC4E3D" w:rsidP="00CC4E3D">
      <w:pPr>
        <w:pStyle w:val="Notes"/>
        <w:keepNext/>
      </w:pPr>
      <w:r>
        <w:t>Note: Does not include providers who responded ‘Don’t know/Undecided’, so bars may not add up to 100 per cent.</w:t>
      </w:r>
    </w:p>
    <w:p w14:paraId="5DC00A8E" w14:textId="77777777" w:rsidR="00CC4E3D" w:rsidRPr="005A1B8D" w:rsidRDefault="00CC4E3D" w:rsidP="00CC4E3D">
      <w:pPr>
        <w:pStyle w:val="Source"/>
        <w:rPr>
          <w:b/>
        </w:rPr>
      </w:pPr>
      <w:r w:rsidRPr="005A1B8D">
        <w:rPr>
          <w:b/>
        </w:rPr>
        <w:t>Source: TtW Provider Survey (2016).</w:t>
      </w:r>
    </w:p>
    <w:p w14:paraId="2B61C0A7" w14:textId="77777777" w:rsidR="00CC4E3D" w:rsidRPr="00FD4CA8" w:rsidRDefault="00CC4E3D" w:rsidP="001C25D9">
      <w:pPr>
        <w:pStyle w:val="Heading3"/>
        <w:numPr>
          <w:ilvl w:val="2"/>
          <w:numId w:val="4"/>
        </w:numPr>
        <w:spacing w:before="200"/>
        <w:rPr>
          <w:szCs w:val="24"/>
        </w:rPr>
      </w:pPr>
      <w:bookmarkStart w:id="173" w:name="_Toc535498880"/>
      <w:bookmarkStart w:id="174" w:name="_Toc23841360"/>
      <w:r w:rsidRPr="00FD4CA8">
        <w:rPr>
          <w:szCs w:val="24"/>
        </w:rPr>
        <w:t>The contribution of stakeholder interactions and engagement to successful service implementation</w:t>
      </w:r>
      <w:bookmarkEnd w:id="173"/>
      <w:bookmarkEnd w:id="174"/>
    </w:p>
    <w:p w14:paraId="6028A30E" w14:textId="77777777" w:rsidR="00CC4E3D" w:rsidRDefault="00CC4E3D" w:rsidP="00CC4E3D">
      <w:r>
        <w:t xml:space="preserve">This section discusses the relationship between departmental staff, DHS, TtW providers and employers during the initial service implementation phase. TtW providers reported they worked closely with stakeholders in their communities, including DHS staff, jobactive providers, employers, and education and community organisations to facilitate placements and recruit Group Two referrals. </w:t>
      </w:r>
    </w:p>
    <w:p w14:paraId="12042881" w14:textId="77777777" w:rsidR="00CC4E3D" w:rsidRPr="00FD4CA8" w:rsidRDefault="00CC4E3D">
      <w:pPr>
        <w:pStyle w:val="Heading4"/>
      </w:pPr>
      <w:r w:rsidRPr="00FD4CA8">
        <w:t>All stakeholders agreed that TtW was a positive experience</w:t>
      </w:r>
    </w:p>
    <w:p w14:paraId="44929D3A" w14:textId="77777777" w:rsidR="00CC4E3D" w:rsidRDefault="00CC4E3D" w:rsidP="00CC4E3D">
      <w:r>
        <w:t xml:space="preserve">Overall, all parties surveyed agreed that working with TtW was a positive experience. Almost all providers (99 per cent) indicated that they thought TtW was a good service, with potential for further improvement. Overall, stakeholders said it was an appropriate service model for the target population, with enough flexibility to enable productive interactions between stakeholders, especially between providers and participants. </w:t>
      </w:r>
    </w:p>
    <w:p w14:paraId="47A69508" w14:textId="77777777" w:rsidR="00CC4E3D" w:rsidRDefault="00CC4E3D" w:rsidP="00CC4E3D">
      <w:r>
        <w:t>TtW’s flexibility and high level of personal support were regarded highly. Participants reported feeling more confident in their job-seeking and interviewing skills.</w:t>
      </w:r>
    </w:p>
    <w:p w14:paraId="5CB04160" w14:textId="77777777" w:rsidR="00CC4E3D" w:rsidRPr="00E12936" w:rsidRDefault="00CC4E3D" w:rsidP="00415050">
      <w:pPr>
        <w:pStyle w:val="Quotation"/>
        <w:keepNext/>
        <w:ind w:right="998"/>
      </w:pPr>
      <w:r w:rsidRPr="00E12936">
        <w:lastRenderedPageBreak/>
        <w:t>I just feel like it’s really hands on and they really help with giving you the skills that you need and giving you different options for things that you might not even know exist.</w:t>
      </w:r>
    </w:p>
    <w:p w14:paraId="70C8E82C" w14:textId="77777777" w:rsidR="00CC4E3D" w:rsidRPr="00E12936" w:rsidRDefault="00CC4E3D" w:rsidP="00CC4E3D">
      <w:pPr>
        <w:pStyle w:val="Quotation"/>
      </w:pPr>
      <w:r w:rsidRPr="00E12936">
        <w:t>(Participant Focus Group 12)</w:t>
      </w:r>
    </w:p>
    <w:p w14:paraId="667FDA31" w14:textId="77777777" w:rsidR="00CC4E3D" w:rsidRPr="00E12936" w:rsidRDefault="00CC4E3D" w:rsidP="00CC4E3D">
      <w:pPr>
        <w:pStyle w:val="Quotation"/>
      </w:pPr>
      <w:r w:rsidRPr="00E12936">
        <w:t>They [providers] genuinely care about what they’re doing. They get to know people on a personal level so, it’s not like black and white there’s a lot of different things and things that go into it and everything. So yeah, it’s just really great thing, I love it ….</w:t>
      </w:r>
    </w:p>
    <w:p w14:paraId="51E26D88" w14:textId="77777777" w:rsidR="00CC4E3D" w:rsidRPr="00E12936" w:rsidRDefault="00CC4E3D" w:rsidP="00CC4E3D">
      <w:pPr>
        <w:pStyle w:val="Quotation"/>
      </w:pPr>
      <w:r w:rsidRPr="00E12936">
        <w:t>(Participant Focus Group 12)</w:t>
      </w:r>
    </w:p>
    <w:p w14:paraId="7690CB2D" w14:textId="77777777" w:rsidR="00CC4E3D" w:rsidRPr="00FD4CA8" w:rsidRDefault="00CC4E3D">
      <w:pPr>
        <w:pStyle w:val="Heading4"/>
      </w:pPr>
      <w:r w:rsidRPr="00FD4CA8">
        <w:t>Stakeholders agreed that early implementation issues had been resolved</w:t>
      </w:r>
    </w:p>
    <w:p w14:paraId="2BCF7635" w14:textId="77777777" w:rsidR="00CC4E3D" w:rsidRDefault="00CC4E3D" w:rsidP="00CC4E3D">
      <w:r>
        <w:t>Many stakeholders highlighted some early implementation issues. However, they agreed that most of these issues had been resolved as the TtW service matured. Most stakeholders noted their proactive strategies put in place to quickly address many of these issues.</w:t>
      </w:r>
    </w:p>
    <w:p w14:paraId="50F6A8A5" w14:textId="77777777" w:rsidR="00CC4E3D" w:rsidRDefault="00CC4E3D" w:rsidP="00CC4E3D">
      <w:r>
        <w:t>Participants noted that DHS provided them with little information when referring them to a TtW service.</w:t>
      </w:r>
    </w:p>
    <w:p w14:paraId="21B0902B" w14:textId="77777777" w:rsidR="00CC4E3D" w:rsidRPr="00D9771E" w:rsidRDefault="00CC4E3D" w:rsidP="00415050">
      <w:pPr>
        <w:pStyle w:val="Quotation"/>
      </w:pPr>
      <w:r w:rsidRPr="007142CB">
        <w:t>No explanation. Just said, ‘You have to go to this, this is the location and that’s your meeting time.’</w:t>
      </w:r>
      <w:r w:rsidRPr="00D9771E">
        <w:t xml:space="preserve"> </w:t>
      </w:r>
    </w:p>
    <w:p w14:paraId="0D978D61" w14:textId="77777777" w:rsidR="00CC4E3D" w:rsidRPr="007142CB" w:rsidRDefault="00CC4E3D" w:rsidP="00415050">
      <w:pPr>
        <w:pStyle w:val="Quotation"/>
      </w:pPr>
      <w:r w:rsidRPr="007142CB">
        <w:t>(Respondent 2, Participant Focus Group 4)</w:t>
      </w:r>
    </w:p>
    <w:p w14:paraId="0A1767DB" w14:textId="77777777" w:rsidR="00CC4E3D" w:rsidRDefault="00CC4E3D" w:rsidP="00CC4E3D">
      <w:r>
        <w:t xml:space="preserve">Most DHS staff interviewed acknowledged that their knowledge of the TtW service during the implementation rollout was limited to information that could be found in the go-to directory of services for DHS staff.  </w:t>
      </w:r>
    </w:p>
    <w:p w14:paraId="3EF7F714" w14:textId="77777777" w:rsidR="00CC4E3D" w:rsidRPr="007142CB" w:rsidRDefault="00CC4E3D" w:rsidP="00415050">
      <w:pPr>
        <w:pStyle w:val="Quotation"/>
      </w:pPr>
      <w:r w:rsidRPr="007142CB">
        <w:t>I started researching it through our options that we've got to obviously look at things. So we looked at the operational blueprint and it's like, okay, so what's the criteria, eligibility, how does referral process work a bit better.</w:t>
      </w:r>
    </w:p>
    <w:p w14:paraId="49CE8EC9" w14:textId="77777777" w:rsidR="00CC4E3D" w:rsidRPr="00D9771E" w:rsidRDefault="00CC4E3D" w:rsidP="00415050">
      <w:pPr>
        <w:pStyle w:val="Quotation"/>
      </w:pPr>
      <w:r w:rsidRPr="007142CB">
        <w:t>(DHS</w:t>
      </w:r>
      <w:r>
        <w:t xml:space="preserve"> Interview 4</w:t>
      </w:r>
      <w:r w:rsidRPr="007142CB">
        <w:t>)</w:t>
      </w:r>
    </w:p>
    <w:p w14:paraId="14488AAA" w14:textId="77777777" w:rsidR="00CC4E3D" w:rsidRPr="001F4939" w:rsidRDefault="00CC4E3D" w:rsidP="001F4939">
      <w:pPr>
        <w:pStyle w:val="Heading2"/>
        <w:numPr>
          <w:ilvl w:val="1"/>
          <w:numId w:val="4"/>
        </w:numPr>
      </w:pPr>
      <w:bookmarkStart w:id="175" w:name="_Toc511811978"/>
      <w:bookmarkStart w:id="176" w:name="_Toc511841615"/>
      <w:bookmarkStart w:id="177" w:name="_Toc511841724"/>
      <w:bookmarkStart w:id="178" w:name="_Toc535498881"/>
      <w:bookmarkStart w:id="179" w:name="_Toc23841361"/>
      <w:bookmarkEnd w:id="175"/>
      <w:bookmarkEnd w:id="176"/>
      <w:bookmarkEnd w:id="177"/>
      <w:r w:rsidRPr="001F4939">
        <w:t>Provider views as the TtW service matured</w:t>
      </w:r>
      <w:bookmarkEnd w:id="178"/>
      <w:bookmarkEnd w:id="179"/>
    </w:p>
    <w:p w14:paraId="3DFC66D6" w14:textId="77777777" w:rsidR="00CC4E3D" w:rsidRDefault="00CC4E3D" w:rsidP="00CC4E3D">
      <w:r>
        <w:t xml:space="preserve">The provider survey asked about post-implementation operational aspects of TtW, to enable the evaluation to identify areas for improvement that could make the service more effective. The questions that guided the discussion in this section are in </w:t>
      </w:r>
      <w:r w:rsidRPr="001533C7">
        <w:rPr>
          <w:b/>
        </w:rPr>
        <w:t xml:space="preserve">Appendix </w:t>
      </w:r>
      <w:r>
        <w:rPr>
          <w:b/>
        </w:rPr>
        <w:t>G</w:t>
      </w:r>
      <w:r>
        <w:t xml:space="preserve">. </w:t>
      </w:r>
    </w:p>
    <w:p w14:paraId="1701F9BC" w14:textId="77777777" w:rsidR="00CC4E3D" w:rsidRDefault="00CC4E3D" w:rsidP="00CC4E3D">
      <w:r>
        <w:t xml:space="preserve">As described </w:t>
      </w:r>
      <w:r w:rsidRPr="002D636C">
        <w:t xml:space="preserve">in </w:t>
      </w:r>
      <w:r w:rsidRPr="002D636C">
        <w:rPr>
          <w:b/>
        </w:rPr>
        <w:t>Chapter 1</w:t>
      </w:r>
      <w:r w:rsidRPr="002D636C">
        <w:t>,</w:t>
      </w:r>
      <w:r>
        <w:t xml:space="preserve"> TtW targets three groups of young people aged 15 to 21 years. Each of these groups had a different pathway into the service (</w:t>
      </w:r>
      <w:r>
        <w:rPr>
          <w:b/>
        </w:rPr>
        <w:t>Table </w:t>
      </w:r>
      <w:r w:rsidRPr="001533C7">
        <w:rPr>
          <w:b/>
        </w:rPr>
        <w:t>3.2</w:t>
      </w:r>
      <w:r>
        <w:t>).</w:t>
      </w:r>
    </w:p>
    <w:p w14:paraId="41D65A8B" w14:textId="77777777" w:rsidR="00CC4E3D" w:rsidRDefault="00CC4E3D" w:rsidP="00CC4E3D">
      <w:r>
        <w:br w:type="page"/>
      </w:r>
    </w:p>
    <w:p w14:paraId="0C9B23EB" w14:textId="64032CB4" w:rsidR="00CC4E3D" w:rsidRDefault="00CC4E3D" w:rsidP="00FD4CA8">
      <w:pPr>
        <w:pStyle w:val="Caption"/>
      </w:pPr>
      <w:bookmarkStart w:id="180" w:name="_Toc535511461"/>
      <w:bookmarkStart w:id="181" w:name="_Toc535511521"/>
      <w:bookmarkStart w:id="182" w:name="_Toc535512748"/>
      <w:bookmarkStart w:id="183" w:name="_Toc535513384"/>
      <w:bookmarkStart w:id="184" w:name="_Toc23841438"/>
      <w:r>
        <w:lastRenderedPageBreak/>
        <w:t xml:space="preserve">Table </w:t>
      </w:r>
      <w:r>
        <w:rPr>
          <w:noProof/>
        </w:rPr>
        <w:fldChar w:fldCharType="begin"/>
      </w:r>
      <w:r>
        <w:rPr>
          <w:noProof/>
        </w:rPr>
        <w:instrText xml:space="preserve"> STYLEREF 1 \s </w:instrText>
      </w:r>
      <w:r>
        <w:rPr>
          <w:noProof/>
        </w:rPr>
        <w:fldChar w:fldCharType="separate"/>
      </w:r>
      <w:r w:rsidR="00D84A2A">
        <w:rPr>
          <w:noProof/>
        </w:rPr>
        <w:t>3</w:t>
      </w:r>
      <w:r>
        <w:rPr>
          <w:noProof/>
        </w:rPr>
        <w:fldChar w:fldCharType="end"/>
      </w:r>
      <w:r>
        <w:t>.</w:t>
      </w:r>
      <w:r>
        <w:rPr>
          <w:noProof/>
        </w:rPr>
        <w:fldChar w:fldCharType="begin"/>
      </w:r>
      <w:r>
        <w:rPr>
          <w:noProof/>
        </w:rPr>
        <w:instrText xml:space="preserve"> SEQ Table \* ARABIC \s 1 </w:instrText>
      </w:r>
      <w:r>
        <w:rPr>
          <w:noProof/>
        </w:rPr>
        <w:fldChar w:fldCharType="separate"/>
      </w:r>
      <w:r w:rsidR="00D84A2A">
        <w:rPr>
          <w:noProof/>
        </w:rPr>
        <w:t>2</w:t>
      </w:r>
      <w:r>
        <w:rPr>
          <w:noProof/>
        </w:rPr>
        <w:fldChar w:fldCharType="end"/>
      </w:r>
      <w:r>
        <w:tab/>
        <w:t>Referral paths of the three target groups</w:t>
      </w:r>
      <w:bookmarkEnd w:id="180"/>
      <w:bookmarkEnd w:id="181"/>
      <w:bookmarkEnd w:id="182"/>
      <w:bookmarkEnd w:id="183"/>
      <w:bookmarkEnd w:id="184"/>
    </w:p>
    <w:tbl>
      <w:tblPr>
        <w:tblStyle w:val="JobsTable"/>
        <w:tblW w:w="8613" w:type="dxa"/>
        <w:tblBorders>
          <w:bottom w:val="single" w:sz="4" w:space="0" w:color="auto"/>
        </w:tblBorders>
        <w:tblLook w:val="04A0" w:firstRow="1" w:lastRow="0" w:firstColumn="1" w:lastColumn="0" w:noHBand="0" w:noVBand="1"/>
        <w:tblDescription w:val="Group 1 were DHS referrals. The pathway was: DHS refers these participants to TtW when they first claim income support — including the initial caseload referred from jobactive.&#10;Group 2 were disengaged youth. The pathway was: TtW providers recruit these participants directly.&#10;Group 1 were jobactive referrals. The pathway was: jobactive providers refer these participants to TtW.&#10;"/>
      </w:tblPr>
      <w:tblGrid>
        <w:gridCol w:w="1859"/>
        <w:gridCol w:w="6754"/>
      </w:tblGrid>
      <w:tr w:rsidR="00CC4E3D" w:rsidRPr="001C25D9" w14:paraId="625FF81A" w14:textId="77777777" w:rsidTr="005A1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59" w:type="dxa"/>
            <w:tcBorders>
              <w:bottom w:val="single" w:sz="4" w:space="0" w:color="auto"/>
            </w:tcBorders>
            <w:vAlign w:val="center"/>
          </w:tcPr>
          <w:p w14:paraId="36BDB315" w14:textId="77777777" w:rsidR="00CC4E3D" w:rsidRPr="001C25D9" w:rsidRDefault="00CC4E3D" w:rsidP="001C25D9">
            <w:pPr>
              <w:spacing w:before="60" w:after="60"/>
              <w:rPr>
                <w:b/>
                <w:bCs/>
              </w:rPr>
            </w:pPr>
            <w:r w:rsidRPr="001C25D9">
              <w:rPr>
                <w:b/>
                <w:bCs/>
              </w:rPr>
              <w:t>Group</w:t>
            </w:r>
          </w:p>
        </w:tc>
        <w:tc>
          <w:tcPr>
            <w:tcW w:w="6754" w:type="dxa"/>
            <w:tcBorders>
              <w:bottom w:val="single" w:sz="4" w:space="0" w:color="auto"/>
            </w:tcBorders>
            <w:vAlign w:val="center"/>
          </w:tcPr>
          <w:p w14:paraId="268BF5C3" w14:textId="77777777" w:rsidR="00CC4E3D" w:rsidRPr="001C25D9" w:rsidRDefault="00CC4E3D" w:rsidP="001C25D9">
            <w:pPr>
              <w:spacing w:before="60" w:after="60"/>
              <w:cnfStyle w:val="100000000000" w:firstRow="1" w:lastRow="0" w:firstColumn="0" w:lastColumn="0" w:oddVBand="0" w:evenVBand="0" w:oddHBand="0" w:evenHBand="0" w:firstRowFirstColumn="0" w:firstRowLastColumn="0" w:lastRowFirstColumn="0" w:lastRowLastColumn="0"/>
              <w:rPr>
                <w:b/>
                <w:bCs/>
              </w:rPr>
            </w:pPr>
            <w:r w:rsidRPr="001C25D9">
              <w:rPr>
                <w:b/>
                <w:bCs/>
              </w:rPr>
              <w:t>Description</w:t>
            </w:r>
          </w:p>
        </w:tc>
      </w:tr>
      <w:tr w:rsidR="00CC4E3D" w:rsidRPr="001C25D9" w14:paraId="2E39C9F7" w14:textId="77777777" w:rsidTr="005A1B8D">
        <w:trPr>
          <w:trHeight w:val="942"/>
        </w:trPr>
        <w:tc>
          <w:tcPr>
            <w:cnfStyle w:val="001000000000" w:firstRow="0" w:lastRow="0" w:firstColumn="1" w:lastColumn="0" w:oddVBand="0" w:evenVBand="0" w:oddHBand="0" w:evenHBand="0" w:firstRowFirstColumn="0" w:firstRowLastColumn="0" w:lastRowFirstColumn="0" w:lastRowLastColumn="0"/>
            <w:tcW w:w="1859" w:type="dxa"/>
            <w:tcBorders>
              <w:top w:val="single" w:sz="4" w:space="0" w:color="auto"/>
              <w:bottom w:val="single" w:sz="4" w:space="0" w:color="auto"/>
            </w:tcBorders>
            <w:shd w:val="clear" w:color="auto" w:fill="287BB3"/>
            <w:vAlign w:val="center"/>
          </w:tcPr>
          <w:p w14:paraId="16BDFB7A" w14:textId="77777777" w:rsidR="00CC4E3D" w:rsidRPr="001C25D9" w:rsidRDefault="00CC4E3D" w:rsidP="001C25D9">
            <w:pPr>
              <w:spacing w:before="60" w:after="60"/>
              <w:rPr>
                <w:color w:val="FFFFFF" w:themeColor="background1"/>
              </w:rPr>
            </w:pPr>
            <w:r w:rsidRPr="001C25D9">
              <w:rPr>
                <w:color w:val="FFFFFF" w:themeColor="background1"/>
              </w:rPr>
              <w:t>Group One</w:t>
            </w:r>
          </w:p>
        </w:tc>
        <w:tc>
          <w:tcPr>
            <w:tcW w:w="6754" w:type="dxa"/>
            <w:tcBorders>
              <w:top w:val="single" w:sz="4" w:space="0" w:color="auto"/>
              <w:bottom w:val="single" w:sz="4" w:space="0" w:color="auto"/>
            </w:tcBorders>
            <w:vAlign w:val="center"/>
          </w:tcPr>
          <w:p w14:paraId="11653EBB" w14:textId="77777777" w:rsidR="00CC4E3D" w:rsidRPr="005A1B8D" w:rsidRDefault="00CC4E3D" w:rsidP="001C25D9">
            <w:pPr>
              <w:spacing w:before="60" w:after="60"/>
              <w:cnfStyle w:val="000000000000" w:firstRow="0" w:lastRow="0" w:firstColumn="0" w:lastColumn="0" w:oddVBand="0" w:evenVBand="0" w:oddHBand="0" w:evenHBand="0" w:firstRowFirstColumn="0" w:firstRowLastColumn="0" w:lastRowFirstColumn="0" w:lastRowLastColumn="0"/>
              <w:rPr>
                <w:b/>
              </w:rPr>
            </w:pPr>
            <w:r w:rsidRPr="005A1B8D">
              <w:rPr>
                <w:b/>
              </w:rPr>
              <w:t>DHS referrals</w:t>
            </w:r>
          </w:p>
          <w:p w14:paraId="74244361" w14:textId="77777777" w:rsidR="00CC4E3D" w:rsidRPr="001C25D9" w:rsidRDefault="00CC4E3D" w:rsidP="001C25D9">
            <w:pPr>
              <w:spacing w:before="60" w:after="60"/>
              <w:cnfStyle w:val="000000000000" w:firstRow="0" w:lastRow="0" w:firstColumn="0" w:lastColumn="0" w:oddVBand="0" w:evenVBand="0" w:oddHBand="0" w:evenHBand="0" w:firstRowFirstColumn="0" w:firstRowLastColumn="0" w:lastRowFirstColumn="0" w:lastRowLastColumn="0"/>
            </w:pPr>
            <w:r w:rsidRPr="001C25D9">
              <w:t xml:space="preserve">DHS refers these participants to TtW when they first claim income support — including the initial caseload referred from jobactive </w:t>
            </w:r>
          </w:p>
        </w:tc>
      </w:tr>
      <w:tr w:rsidR="00CC4E3D" w:rsidRPr="001C25D9" w14:paraId="4457AF32" w14:textId="77777777" w:rsidTr="005A1B8D">
        <w:trPr>
          <w:trHeight w:val="710"/>
        </w:trPr>
        <w:tc>
          <w:tcPr>
            <w:cnfStyle w:val="001000000000" w:firstRow="0" w:lastRow="0" w:firstColumn="1" w:lastColumn="0" w:oddVBand="0" w:evenVBand="0" w:oddHBand="0" w:evenHBand="0" w:firstRowFirstColumn="0" w:firstRowLastColumn="0" w:lastRowFirstColumn="0" w:lastRowLastColumn="0"/>
            <w:tcW w:w="1859" w:type="dxa"/>
            <w:tcBorders>
              <w:top w:val="single" w:sz="4" w:space="0" w:color="auto"/>
              <w:bottom w:val="single" w:sz="4" w:space="0" w:color="auto"/>
            </w:tcBorders>
            <w:shd w:val="clear" w:color="auto" w:fill="287BB3"/>
            <w:vAlign w:val="center"/>
          </w:tcPr>
          <w:p w14:paraId="7A05C798" w14:textId="77777777" w:rsidR="00CC4E3D" w:rsidRPr="001C25D9" w:rsidRDefault="00CC4E3D" w:rsidP="001C25D9">
            <w:pPr>
              <w:spacing w:before="60" w:after="60"/>
              <w:rPr>
                <w:color w:val="FFFFFF" w:themeColor="background1"/>
              </w:rPr>
            </w:pPr>
            <w:r w:rsidRPr="001C25D9">
              <w:rPr>
                <w:color w:val="FFFFFF" w:themeColor="background1"/>
              </w:rPr>
              <w:t>Group Two</w:t>
            </w:r>
          </w:p>
        </w:tc>
        <w:tc>
          <w:tcPr>
            <w:tcW w:w="6754" w:type="dxa"/>
            <w:tcBorders>
              <w:top w:val="single" w:sz="4" w:space="0" w:color="auto"/>
              <w:bottom w:val="single" w:sz="4" w:space="0" w:color="auto"/>
            </w:tcBorders>
            <w:vAlign w:val="center"/>
          </w:tcPr>
          <w:p w14:paraId="4AC6FB45" w14:textId="77777777" w:rsidR="00CC4E3D" w:rsidRPr="005A1B8D" w:rsidRDefault="00CC4E3D" w:rsidP="001C25D9">
            <w:pPr>
              <w:spacing w:before="60" w:after="60"/>
              <w:cnfStyle w:val="000000000000" w:firstRow="0" w:lastRow="0" w:firstColumn="0" w:lastColumn="0" w:oddVBand="0" w:evenVBand="0" w:oddHBand="0" w:evenHBand="0" w:firstRowFirstColumn="0" w:firstRowLastColumn="0" w:lastRowFirstColumn="0" w:lastRowLastColumn="0"/>
              <w:rPr>
                <w:b/>
              </w:rPr>
            </w:pPr>
            <w:r w:rsidRPr="005A1B8D">
              <w:rPr>
                <w:b/>
              </w:rPr>
              <w:t>Disengaged youth</w:t>
            </w:r>
          </w:p>
          <w:p w14:paraId="4EA25304" w14:textId="77777777" w:rsidR="00CC4E3D" w:rsidRPr="001C25D9" w:rsidRDefault="00CC4E3D" w:rsidP="001C25D9">
            <w:pPr>
              <w:spacing w:before="60" w:after="60"/>
              <w:cnfStyle w:val="000000000000" w:firstRow="0" w:lastRow="0" w:firstColumn="0" w:lastColumn="0" w:oddVBand="0" w:evenVBand="0" w:oddHBand="0" w:evenHBand="0" w:firstRowFirstColumn="0" w:firstRowLastColumn="0" w:lastRowFirstColumn="0" w:lastRowLastColumn="0"/>
            </w:pPr>
            <w:r w:rsidRPr="001C25D9">
              <w:t xml:space="preserve">TtW providers recruit these participants directly </w:t>
            </w:r>
          </w:p>
        </w:tc>
      </w:tr>
      <w:tr w:rsidR="00CC4E3D" w:rsidRPr="001C25D9" w14:paraId="5B182AF4" w14:textId="77777777" w:rsidTr="005A1B8D">
        <w:trPr>
          <w:trHeight w:val="697"/>
        </w:trPr>
        <w:tc>
          <w:tcPr>
            <w:cnfStyle w:val="001000000000" w:firstRow="0" w:lastRow="0" w:firstColumn="1" w:lastColumn="0" w:oddVBand="0" w:evenVBand="0" w:oddHBand="0" w:evenHBand="0" w:firstRowFirstColumn="0" w:firstRowLastColumn="0" w:lastRowFirstColumn="0" w:lastRowLastColumn="0"/>
            <w:tcW w:w="1859" w:type="dxa"/>
            <w:tcBorders>
              <w:top w:val="single" w:sz="4" w:space="0" w:color="auto"/>
            </w:tcBorders>
            <w:shd w:val="clear" w:color="auto" w:fill="287BB3"/>
            <w:vAlign w:val="center"/>
          </w:tcPr>
          <w:p w14:paraId="72E8FCD5" w14:textId="77777777" w:rsidR="00CC4E3D" w:rsidRPr="001C25D9" w:rsidRDefault="00CC4E3D" w:rsidP="001C25D9">
            <w:pPr>
              <w:spacing w:before="60" w:after="60"/>
              <w:rPr>
                <w:color w:val="FFFFFF" w:themeColor="background1"/>
              </w:rPr>
            </w:pPr>
            <w:r w:rsidRPr="001C25D9">
              <w:rPr>
                <w:color w:val="FFFFFF" w:themeColor="background1"/>
              </w:rPr>
              <w:t>Group Three</w:t>
            </w:r>
          </w:p>
        </w:tc>
        <w:tc>
          <w:tcPr>
            <w:tcW w:w="6754" w:type="dxa"/>
            <w:tcBorders>
              <w:top w:val="single" w:sz="4" w:space="0" w:color="auto"/>
            </w:tcBorders>
            <w:vAlign w:val="center"/>
          </w:tcPr>
          <w:p w14:paraId="6F387841" w14:textId="77777777" w:rsidR="00CC4E3D" w:rsidRPr="005A1B8D" w:rsidRDefault="00CC4E3D" w:rsidP="001C25D9">
            <w:pPr>
              <w:spacing w:before="60" w:after="60"/>
              <w:cnfStyle w:val="000000000000" w:firstRow="0" w:lastRow="0" w:firstColumn="0" w:lastColumn="0" w:oddVBand="0" w:evenVBand="0" w:oddHBand="0" w:evenHBand="0" w:firstRowFirstColumn="0" w:firstRowLastColumn="0" w:lastRowFirstColumn="0" w:lastRowLastColumn="0"/>
              <w:rPr>
                <w:b/>
              </w:rPr>
            </w:pPr>
            <w:r w:rsidRPr="005A1B8D">
              <w:rPr>
                <w:b/>
              </w:rPr>
              <w:t>jobactive referrals</w:t>
            </w:r>
          </w:p>
          <w:p w14:paraId="646A3FA3" w14:textId="77777777" w:rsidR="00CC4E3D" w:rsidRPr="001C25D9" w:rsidRDefault="00CC4E3D" w:rsidP="001C25D9">
            <w:pPr>
              <w:spacing w:before="60" w:after="60"/>
              <w:cnfStyle w:val="000000000000" w:firstRow="0" w:lastRow="0" w:firstColumn="0" w:lastColumn="0" w:oddVBand="0" w:evenVBand="0" w:oddHBand="0" w:evenHBand="0" w:firstRowFirstColumn="0" w:firstRowLastColumn="0" w:lastRowFirstColumn="0" w:lastRowLastColumn="0"/>
            </w:pPr>
            <w:r w:rsidRPr="001C25D9">
              <w:t>jobactive providers refer these participants to TtW</w:t>
            </w:r>
          </w:p>
        </w:tc>
      </w:tr>
    </w:tbl>
    <w:p w14:paraId="4934AB35" w14:textId="77777777" w:rsidR="00CC4E3D" w:rsidRPr="00FD4CA8" w:rsidRDefault="00CC4E3D" w:rsidP="001C25D9">
      <w:pPr>
        <w:pStyle w:val="Heading3"/>
        <w:numPr>
          <w:ilvl w:val="2"/>
          <w:numId w:val="4"/>
        </w:numPr>
        <w:spacing w:before="200"/>
        <w:rPr>
          <w:szCs w:val="24"/>
        </w:rPr>
      </w:pPr>
      <w:bookmarkStart w:id="185" w:name="_Toc535498882"/>
      <w:bookmarkStart w:id="186" w:name="_Toc23841362"/>
      <w:r w:rsidRPr="00FD4CA8">
        <w:rPr>
          <w:szCs w:val="24"/>
        </w:rPr>
        <w:t>The lack of awareness among stakeholders and a system glitch compounded the initial challenge of referrals from DHS</w:t>
      </w:r>
      <w:bookmarkEnd w:id="185"/>
      <w:bookmarkEnd w:id="186"/>
    </w:p>
    <w:p w14:paraId="0498DE8F" w14:textId="77777777" w:rsidR="00CC4E3D" w:rsidRDefault="00CC4E3D" w:rsidP="00CC4E3D">
      <w:r>
        <w:t xml:space="preserve">The lack of up-to-date and complete contact details for start-up participants is discussed in detail in </w:t>
      </w:r>
      <w:r>
        <w:rPr>
          <w:b/>
        </w:rPr>
        <w:t>Section </w:t>
      </w:r>
      <w:r w:rsidRPr="00BC5C11">
        <w:rPr>
          <w:b/>
        </w:rPr>
        <w:t>3.</w:t>
      </w:r>
      <w:r>
        <w:rPr>
          <w:b/>
        </w:rPr>
        <w:t>2</w:t>
      </w:r>
      <w:r w:rsidRPr="00BC5C11">
        <w:rPr>
          <w:b/>
        </w:rPr>
        <w:t>.2</w:t>
      </w:r>
      <w:r>
        <w:t xml:space="preserve">. However, TtW providers continued to encounter difficulties in relation to ongoing Group One referrals beyond implementation. </w:t>
      </w:r>
    </w:p>
    <w:p w14:paraId="779EC04E" w14:textId="77777777" w:rsidR="00CC4E3D" w:rsidRPr="00E12936" w:rsidRDefault="00CC4E3D" w:rsidP="00CC4E3D">
      <w:pPr>
        <w:pStyle w:val="Quotation"/>
      </w:pPr>
      <w:r w:rsidRPr="00E12936">
        <w:t>It definitely wasn’t the high number that we thought would come through, and given that the demographics of this area, a lot of young people are in this area, we really thought that the DHS referrals would be high from day one and be that way the whole time, because any young person that’s eligible for TtW.</w:t>
      </w:r>
    </w:p>
    <w:p w14:paraId="20445E8F" w14:textId="77777777" w:rsidR="00CC4E3D" w:rsidRPr="00E12936" w:rsidRDefault="00CC4E3D" w:rsidP="00CC4E3D">
      <w:pPr>
        <w:pStyle w:val="Quotation"/>
      </w:pPr>
      <w:r w:rsidRPr="00E12936">
        <w:t>(Provider Interview 7)</w:t>
      </w:r>
    </w:p>
    <w:p w14:paraId="79EC4EEA" w14:textId="77777777" w:rsidR="00CC4E3D" w:rsidRDefault="00CC4E3D" w:rsidP="00CC4E3D">
      <w:r>
        <w:t xml:space="preserve">Almost 50 per cent of providers agreed that Group One referrals from DHS were smooth. Responses to this question are likely to have been influenced by issues with the start-up transfer in the early implementation phase. </w:t>
      </w:r>
    </w:p>
    <w:p w14:paraId="799C6555" w14:textId="77777777" w:rsidR="00CC4E3D" w:rsidRPr="00E12936" w:rsidRDefault="00CC4E3D" w:rsidP="00CC4E3D">
      <w:r>
        <w:t xml:space="preserve">Providers generally thought that awareness of TtW was low among DHS staff. DHS staff reported that, while they were aware of the TtW service, they generally had little detailed knowledge of the eligibility criteria and relied on the DHS IT system to flag a potentially eligible young person. They were also unsure of the exact nature of the service. As indicated earlier, this prompted some DHS staff to actively search for more information about TtW. </w:t>
      </w:r>
    </w:p>
    <w:p w14:paraId="7FE877AB" w14:textId="77777777" w:rsidR="00CC4E3D" w:rsidRDefault="00CC4E3D" w:rsidP="00CC4E3D">
      <w:r>
        <w:t>There were also reports from DHS staff that during the early stages of implementation that it could be difficult to find appointment slots on the system for TtW providers in the required timeframe. DHS staff often referred young people to the first available slot with a jobactive provider to avoid risking delays to the young person receiving a benefit payment.</w:t>
      </w:r>
    </w:p>
    <w:p w14:paraId="1443DCD3" w14:textId="77777777" w:rsidR="00CC4E3D" w:rsidRDefault="00CC4E3D" w:rsidP="00415050">
      <w:pPr>
        <w:pStyle w:val="Quotation"/>
        <w:keepNext/>
        <w:ind w:right="998"/>
      </w:pPr>
      <w:r w:rsidRPr="00B3259A">
        <w:t xml:space="preserve">We just have to make an appointment with someone, especially at the new claim stage because they have to go to one of these appointments for their payments to kick in. So, it might be that we’d make an appointment with one of them and </w:t>
      </w:r>
      <w:r w:rsidRPr="00B3259A">
        <w:lastRenderedPageBreak/>
        <w:t xml:space="preserve">then maybe get the client to come back in at some stage to see if we can then transfer them. </w:t>
      </w:r>
    </w:p>
    <w:p w14:paraId="0A7B4E51" w14:textId="77777777" w:rsidR="00CC4E3D" w:rsidRPr="00BB76AC" w:rsidRDefault="00CC4E3D" w:rsidP="00415050">
      <w:pPr>
        <w:pStyle w:val="Quotation"/>
      </w:pPr>
      <w:r>
        <w:t>(</w:t>
      </w:r>
      <w:r w:rsidRPr="00BB76AC">
        <w:t>DHS</w:t>
      </w:r>
      <w:r>
        <w:t xml:space="preserve"> Interview 2</w:t>
      </w:r>
      <w:r w:rsidRPr="00BB76AC">
        <w:t>)</w:t>
      </w:r>
    </w:p>
    <w:p w14:paraId="37782DBA" w14:textId="7DE7D581" w:rsidR="00CC4E3D" w:rsidRDefault="00CC4E3D" w:rsidP="00415050">
      <w:pPr>
        <w:pStyle w:val="Quotation"/>
      </w:pPr>
      <w:r w:rsidRPr="00BB76AC">
        <w:t>I’ve gone in to run a referral to Transition to Work and it comes up “no appointments available” and it is a known error that has been escalated apparently</w:t>
      </w:r>
      <w:r w:rsidR="00AC1F6C">
        <w:t xml:space="preserve"> </w:t>
      </w:r>
      <w:r w:rsidRPr="00BB76AC">
        <w:t xml:space="preserve">… In this one it reads that she’s linked with a jobactive provider however she needs to have an initial appointment of some kind in the system. So, we’ve had to code an exemption on her record which will allow another 28 days. So, if she doesn’t connect within that 28 days then her payment would suspend. </w:t>
      </w:r>
    </w:p>
    <w:p w14:paraId="187F0A2C" w14:textId="77777777" w:rsidR="00CC4E3D" w:rsidRPr="00BB76AC" w:rsidRDefault="00CC4E3D" w:rsidP="00415050">
      <w:pPr>
        <w:pStyle w:val="Quotation"/>
      </w:pPr>
      <w:r w:rsidRPr="00BB76AC">
        <w:t>(DHS</w:t>
      </w:r>
      <w:r>
        <w:t xml:space="preserve"> Interview 9</w:t>
      </w:r>
      <w:r w:rsidRPr="00BB76AC">
        <w:t xml:space="preserve">) </w:t>
      </w:r>
    </w:p>
    <w:p w14:paraId="5CB5E60A" w14:textId="77777777" w:rsidR="00CC4E3D" w:rsidRPr="00FD4CA8" w:rsidRDefault="00CC4E3D" w:rsidP="001C25D9">
      <w:pPr>
        <w:pStyle w:val="Heading3"/>
        <w:numPr>
          <w:ilvl w:val="2"/>
          <w:numId w:val="4"/>
        </w:numPr>
        <w:spacing w:before="200"/>
        <w:rPr>
          <w:szCs w:val="24"/>
        </w:rPr>
      </w:pPr>
      <w:bookmarkStart w:id="187" w:name="_Toc535498883"/>
      <w:bookmarkStart w:id="188" w:name="_Toc23841363"/>
      <w:r w:rsidRPr="00FD4CA8">
        <w:rPr>
          <w:szCs w:val="24"/>
        </w:rPr>
        <w:t>Providers had limited success in recruiting Group Two participants</w:t>
      </w:r>
      <w:bookmarkEnd w:id="187"/>
      <w:bookmarkEnd w:id="188"/>
      <w:r w:rsidRPr="00FD4CA8">
        <w:rPr>
          <w:szCs w:val="24"/>
        </w:rPr>
        <w:t xml:space="preserve"> </w:t>
      </w:r>
    </w:p>
    <w:p w14:paraId="49470658" w14:textId="77777777" w:rsidR="00CC4E3D" w:rsidRDefault="00CC4E3D" w:rsidP="00CC4E3D">
      <w:r>
        <w:t>Around 61 per cent of providers agreed that Group Two participants were difficult to attract. Providers also reported that there was too much red tape and that the eligibility criteria were too restrictive (</w:t>
      </w:r>
      <w:r>
        <w:rPr>
          <w:b/>
        </w:rPr>
        <w:t>Figure 3.10</w:t>
      </w:r>
      <w:r>
        <w:t xml:space="preserve">). </w:t>
      </w:r>
    </w:p>
    <w:p w14:paraId="44CB2959" w14:textId="3F2BFDBA" w:rsidR="00CC4E3D" w:rsidRDefault="00CC4E3D" w:rsidP="00FD4CA8">
      <w:pPr>
        <w:pStyle w:val="Caption"/>
      </w:pPr>
      <w:bookmarkStart w:id="189" w:name="_Toc514172356"/>
      <w:bookmarkStart w:id="190" w:name="_Toc535511462"/>
      <w:bookmarkStart w:id="191" w:name="_Toc535511522"/>
      <w:bookmarkStart w:id="192" w:name="_Toc535512749"/>
      <w:bookmarkStart w:id="193" w:name="_Toc535513385"/>
      <w:bookmarkStart w:id="194" w:name="_Toc23841464"/>
      <w:r>
        <w:t xml:space="preserve">Figure </w:t>
      </w:r>
      <w:r>
        <w:rPr>
          <w:noProof/>
        </w:rPr>
        <w:fldChar w:fldCharType="begin"/>
      </w:r>
      <w:r>
        <w:rPr>
          <w:noProof/>
        </w:rPr>
        <w:instrText xml:space="preserve"> STYLEREF 1 \s </w:instrText>
      </w:r>
      <w:r>
        <w:rPr>
          <w:noProof/>
        </w:rPr>
        <w:fldChar w:fldCharType="separate"/>
      </w:r>
      <w:r w:rsidR="00D84A2A">
        <w:rPr>
          <w:noProof/>
        </w:rPr>
        <w:t>3</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10</w:t>
      </w:r>
      <w:r>
        <w:rPr>
          <w:noProof/>
        </w:rPr>
        <w:fldChar w:fldCharType="end"/>
      </w:r>
      <w:r>
        <w:tab/>
        <w:t>Provider views on difficulty of engaging Group Two participants</w:t>
      </w:r>
      <w:bookmarkEnd w:id="189"/>
      <w:bookmarkEnd w:id="190"/>
      <w:bookmarkEnd w:id="191"/>
      <w:bookmarkEnd w:id="192"/>
      <w:bookmarkEnd w:id="193"/>
      <w:bookmarkEnd w:id="194"/>
    </w:p>
    <w:p w14:paraId="40FE0AD5" w14:textId="77777777" w:rsidR="00CC4E3D" w:rsidRPr="007946CC" w:rsidRDefault="00CC4E3D" w:rsidP="00CC4E3D">
      <w:r w:rsidRPr="00392DA0">
        <w:rPr>
          <w:noProof/>
          <w:lang w:eastAsia="en-AU"/>
        </w:rPr>
        <w:drawing>
          <wp:inline distT="0" distB="0" distL="0" distR="0" wp14:anchorId="53AEDF45" wp14:editId="76B838EC">
            <wp:extent cx="5403600" cy="3045600"/>
            <wp:effectExtent l="0" t="0" r="6985" b="2540"/>
            <wp:docPr id="502" name="Picture 502" descr="Stacked bar chart showing survey responses on the difficulty of attracting young people in Group Two. &#10;This chart shows the breakdown of provider responses. There were five possible responses, from ‘strongly agree’ to ‘strongly disagree’, to three statements:&#10;1. ‘There is too much red tape involved in engaging Group Two participants’ — 71% agreed or strongly agreed&#10;2. ‘The eligibility criteria for Group Two participants are too restrictive’ — 69% agreed or strongly agreed&#10;3. ‘It is difficult to attract Group Two participants to Transition to Work’ — 61% agreed or strongly agre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3600" cy="3045600"/>
                    </a:xfrm>
                    <a:prstGeom prst="rect">
                      <a:avLst/>
                    </a:prstGeom>
                    <a:noFill/>
                    <a:ln>
                      <a:noFill/>
                    </a:ln>
                  </pic:spPr>
                </pic:pic>
              </a:graphicData>
            </a:graphic>
          </wp:inline>
        </w:drawing>
      </w:r>
    </w:p>
    <w:p w14:paraId="6CF25C80" w14:textId="77777777" w:rsidR="00CC4E3D" w:rsidRDefault="00CC4E3D" w:rsidP="00CC4E3D">
      <w:pPr>
        <w:pStyle w:val="Note"/>
      </w:pPr>
      <w:r>
        <w:t xml:space="preserve">Note: Does not include providers who responded ‘Don’t know/Undecided’, so bars may not add up to 100 per cent. </w:t>
      </w:r>
    </w:p>
    <w:p w14:paraId="28D39383" w14:textId="77777777" w:rsidR="00CC4E3D" w:rsidRPr="005A1B8D" w:rsidRDefault="00CC4E3D" w:rsidP="00CC4E3D">
      <w:pPr>
        <w:pStyle w:val="Source"/>
        <w:rPr>
          <w:b/>
        </w:rPr>
      </w:pPr>
      <w:r w:rsidRPr="005A1B8D">
        <w:rPr>
          <w:b/>
        </w:rPr>
        <w:t>Source: TtW Provider Survey (2016).</w:t>
      </w:r>
    </w:p>
    <w:p w14:paraId="57CEC98D" w14:textId="77777777" w:rsidR="00CC4E3D" w:rsidRDefault="00CC4E3D" w:rsidP="00CC4E3D">
      <w:r>
        <w:t>Around 71 per cent of providers strongly agreed or agreed that there was too much red tape involved in recruiting disengaged young people, such as gathering documentary evidence to confirm that the young person has not attended school for 13 weeks.</w:t>
      </w:r>
    </w:p>
    <w:p w14:paraId="33171292" w14:textId="77777777" w:rsidR="00CC4E3D" w:rsidRDefault="00CC4E3D" w:rsidP="00CC4E3D">
      <w:r>
        <w:lastRenderedPageBreak/>
        <w:t>Providers reported that Group Two participants approached them directly to inquire about TtW. In line with this, focus group responses from participants indicated that they had heard about TtW from friends who had found employment though TtW. DHS staff also confirmed this.</w:t>
      </w:r>
    </w:p>
    <w:p w14:paraId="1730378B" w14:textId="77777777" w:rsidR="00CC4E3D" w:rsidRPr="00804009" w:rsidRDefault="00CC4E3D" w:rsidP="00CC4E3D">
      <w:pPr>
        <w:pStyle w:val="Quotation"/>
      </w:pPr>
      <w:r w:rsidRPr="00804009">
        <w:t xml:space="preserve">A lot of them I think came from word of mouth. So, a couple of the kids getting in — so, they were referred initially and then word’s got out on the street that, ‘Hey, this is available. You can get placed in work,’ that sort of thing. </w:t>
      </w:r>
    </w:p>
    <w:p w14:paraId="2FCF946E" w14:textId="77777777" w:rsidR="00CC4E3D" w:rsidRPr="00804009" w:rsidRDefault="00CC4E3D" w:rsidP="00CC4E3D">
      <w:pPr>
        <w:pStyle w:val="Quotation"/>
      </w:pPr>
      <w:r w:rsidRPr="00804009">
        <w:t>(DHS Interview 7)</w:t>
      </w:r>
    </w:p>
    <w:p w14:paraId="497E1DFF" w14:textId="77777777" w:rsidR="00CC4E3D" w:rsidRPr="00FD4CA8" w:rsidRDefault="00CC4E3D" w:rsidP="001C25D9">
      <w:pPr>
        <w:pStyle w:val="Heading3"/>
        <w:numPr>
          <w:ilvl w:val="2"/>
          <w:numId w:val="4"/>
        </w:numPr>
        <w:spacing w:before="200"/>
        <w:rPr>
          <w:szCs w:val="24"/>
        </w:rPr>
      </w:pPr>
      <w:bookmarkStart w:id="195" w:name="_Toc535498884"/>
      <w:bookmarkStart w:id="196" w:name="_Toc23841364"/>
      <w:r w:rsidRPr="00FD4CA8">
        <w:rPr>
          <w:szCs w:val="24"/>
        </w:rPr>
        <w:t>The number of Group Three referrals was below expectations</w:t>
      </w:r>
      <w:bookmarkEnd w:id="195"/>
      <w:bookmarkEnd w:id="196"/>
    </w:p>
    <w:p w14:paraId="065197E8" w14:textId="77777777" w:rsidR="00CC4E3D" w:rsidRDefault="00CC4E3D" w:rsidP="00CC4E3D">
      <w:r>
        <w:t xml:space="preserve">TtW providers were frustrated by the lack of Group Three referrals from jobactive providers. </w:t>
      </w:r>
    </w:p>
    <w:p w14:paraId="033D51B6" w14:textId="77777777" w:rsidR="00CC4E3D" w:rsidRPr="00804009" w:rsidRDefault="00CC4E3D" w:rsidP="00CC4E3D">
      <w:pPr>
        <w:pStyle w:val="Quotation"/>
      </w:pPr>
      <w:r w:rsidRPr="00804009">
        <w:t xml:space="preserve">Yes and it was very frustrating — there were certain jobactive providers that didn’t want to play and didn’t want to support that transition and were saying to the participants they didn’t have to go … but they weren’t supportive and this is about a young person’s development which is the whole purpose of a TtW, in my belief. </w:t>
      </w:r>
    </w:p>
    <w:p w14:paraId="62746FF5" w14:textId="77777777" w:rsidR="00CC4E3D" w:rsidRPr="00804009" w:rsidRDefault="00CC4E3D" w:rsidP="00CC4E3D">
      <w:pPr>
        <w:pStyle w:val="Quotation"/>
      </w:pPr>
      <w:r w:rsidRPr="00804009">
        <w:t>(Provider Interview 15)</w:t>
      </w:r>
    </w:p>
    <w:p w14:paraId="27F7F6BB" w14:textId="77777777" w:rsidR="00CC4E3D" w:rsidRDefault="00CC4E3D" w:rsidP="00CC4E3D">
      <w:r>
        <w:t xml:space="preserve">Administrative data from </w:t>
      </w:r>
      <w:r w:rsidRPr="00B34E09">
        <w:t>ESS</w:t>
      </w:r>
      <w:r>
        <w:t xml:space="preserve"> provided further evidence of low</w:t>
      </w:r>
      <w:r w:rsidRPr="00B34E09">
        <w:t xml:space="preserve"> Stream C</w:t>
      </w:r>
      <w:r>
        <w:t xml:space="preserve"> referral numbers from jobactive. In the first six months of operation of the TtW contracts, fewer than four per cent of referred participants who had commenced within 30 days of referral were from jobactive (Group Three participants). This compared with around 90 per cent for Group One and more than six per cent for Group Two (</w:t>
      </w:r>
      <w:r>
        <w:rPr>
          <w:b/>
        </w:rPr>
        <w:t>Figure 3.11</w:t>
      </w:r>
      <w:r>
        <w:t xml:space="preserve">). </w:t>
      </w:r>
    </w:p>
    <w:p w14:paraId="6EC11D8D" w14:textId="685586EF" w:rsidR="00CC4E3D" w:rsidRDefault="00CC4E3D" w:rsidP="00FD4CA8">
      <w:pPr>
        <w:pStyle w:val="Caption"/>
      </w:pPr>
      <w:bookmarkStart w:id="197" w:name="_Toc514172357"/>
      <w:bookmarkStart w:id="198" w:name="_Toc535511463"/>
      <w:bookmarkStart w:id="199" w:name="_Toc535511523"/>
      <w:bookmarkStart w:id="200" w:name="_Toc535512750"/>
      <w:bookmarkStart w:id="201" w:name="_Toc535513386"/>
      <w:bookmarkStart w:id="202" w:name="_Toc23841465"/>
      <w:r>
        <w:t xml:space="preserve">Figure </w:t>
      </w:r>
      <w:r>
        <w:rPr>
          <w:noProof/>
        </w:rPr>
        <w:fldChar w:fldCharType="begin"/>
      </w:r>
      <w:r>
        <w:rPr>
          <w:noProof/>
        </w:rPr>
        <w:instrText xml:space="preserve"> STYLEREF 1 \s </w:instrText>
      </w:r>
      <w:r>
        <w:rPr>
          <w:noProof/>
        </w:rPr>
        <w:fldChar w:fldCharType="separate"/>
      </w:r>
      <w:r w:rsidR="00D84A2A">
        <w:rPr>
          <w:noProof/>
        </w:rPr>
        <w:t>3</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11</w:t>
      </w:r>
      <w:r>
        <w:rPr>
          <w:noProof/>
        </w:rPr>
        <w:fldChar w:fldCharType="end"/>
      </w:r>
      <w:r>
        <w:tab/>
        <w:t>Referrals and commencements in the first 30 days of provider contracts, by participant group</w:t>
      </w:r>
      <w:bookmarkEnd w:id="197"/>
      <w:bookmarkEnd w:id="198"/>
      <w:bookmarkEnd w:id="199"/>
      <w:bookmarkEnd w:id="200"/>
      <w:bookmarkEnd w:id="201"/>
      <w:bookmarkEnd w:id="202"/>
      <w:r>
        <w:t xml:space="preserve"> </w:t>
      </w:r>
    </w:p>
    <w:p w14:paraId="01979E37" w14:textId="77777777" w:rsidR="00CC4E3D" w:rsidRDefault="00CC4E3D" w:rsidP="00CC4E3D">
      <w:r w:rsidRPr="00756E82">
        <w:rPr>
          <w:noProof/>
          <w:lang w:eastAsia="en-AU"/>
        </w:rPr>
        <w:drawing>
          <wp:inline distT="0" distB="0" distL="0" distR="0" wp14:anchorId="146CB44B" wp14:editId="294D4CC8">
            <wp:extent cx="4582800" cy="2750400"/>
            <wp:effectExtent l="0" t="0" r="8255" b="0"/>
            <wp:docPr id="7" name="Picture 7" descr="Clustered bar chart showing each target group’s share of total referrals and rate of converting referrals to commencements.&#10;This chart shows the breakdown of referrals to TtW between the three groups, and the proportions of young people in each group who commenced within 30 days of referral. Group One had the dominant share (90%) of referrals and the lowest commencement rate (89%). Group Two had the second-largest share (7%) of referrals and the highest commencement rate (97%). Group Three had the smallest share (4%) of referrals and the second-highest commencement rate (9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82800" cy="2750400"/>
                    </a:xfrm>
                    <a:prstGeom prst="rect">
                      <a:avLst/>
                    </a:prstGeom>
                    <a:noFill/>
                    <a:ln>
                      <a:noFill/>
                    </a:ln>
                  </pic:spPr>
                </pic:pic>
              </a:graphicData>
            </a:graphic>
          </wp:inline>
        </w:drawing>
      </w:r>
    </w:p>
    <w:p w14:paraId="309D5E5A" w14:textId="3FA1AD82" w:rsidR="00CC4E3D" w:rsidRPr="005A1B8D" w:rsidRDefault="00CC4E3D" w:rsidP="00CC4E3D">
      <w:pPr>
        <w:pStyle w:val="Source"/>
        <w:rPr>
          <w:b/>
        </w:rPr>
      </w:pPr>
      <w:r w:rsidRPr="005A1B8D">
        <w:rPr>
          <w:b/>
        </w:rPr>
        <w:t xml:space="preserve">Source: Department of </w:t>
      </w:r>
      <w:r w:rsidR="003405CC" w:rsidRPr="005A1B8D">
        <w:rPr>
          <w:b/>
        </w:rPr>
        <w:t>Employment, Skills, Small and Family</w:t>
      </w:r>
      <w:r w:rsidRPr="005A1B8D">
        <w:rPr>
          <w:b/>
        </w:rPr>
        <w:t xml:space="preserve"> Business administrative data.</w:t>
      </w:r>
    </w:p>
    <w:p w14:paraId="20396948" w14:textId="77777777" w:rsidR="00CC4E3D" w:rsidRDefault="00CC4E3D" w:rsidP="00CC4E3D">
      <w:r>
        <w:lastRenderedPageBreak/>
        <w:t xml:space="preserve">The median proportion of Group Three referrals was around 3 per cent of Annual Funded Places, well below the cap of 10 per cent of Annual Funded Places allowed. The commencement rate of Group Three referrals to TtW was around 92 per cent. </w:t>
      </w:r>
    </w:p>
    <w:p w14:paraId="5588B22E" w14:textId="77777777" w:rsidR="00CC4E3D" w:rsidRDefault="00CC4E3D" w:rsidP="00CC4E3D">
      <w:r>
        <w:t>TtW providers thought that jobactive providers were unwilling to refer Stream C young people for various reasons. Some providers speculated that Stream C participants attract much higher payments to jobactive providers than participants in other streams.</w:t>
      </w:r>
    </w:p>
    <w:p w14:paraId="782867AF" w14:textId="77777777" w:rsidR="00CC4E3D" w:rsidRPr="00804009" w:rsidRDefault="00CC4E3D" w:rsidP="00CC4E3D">
      <w:pPr>
        <w:pStyle w:val="Quotation"/>
      </w:pPr>
      <w:r w:rsidRPr="00804009">
        <w:t xml:space="preserve">I think it’s a combination of a lack of awareness but I also think (from the experience in the industry) people are not wanting to give up their participants. A Stream C participant is quite a high dollar value for them. A young person placed into work is more attractive for them to keep than it is to transition to us. </w:t>
      </w:r>
    </w:p>
    <w:p w14:paraId="411EAC58" w14:textId="77777777" w:rsidR="00CC4E3D" w:rsidRPr="00804009" w:rsidRDefault="00CC4E3D" w:rsidP="00CC4E3D">
      <w:pPr>
        <w:pStyle w:val="Quotation"/>
      </w:pPr>
      <w:r w:rsidRPr="00804009">
        <w:t>(Provider Interview 16)</w:t>
      </w:r>
    </w:p>
    <w:p w14:paraId="50C68AE7" w14:textId="77777777" w:rsidR="00CC4E3D" w:rsidRDefault="00CC4E3D" w:rsidP="00CC4E3D">
      <w:r>
        <w:t xml:space="preserve">Some TtW providers found that participants referred from Stream C in jobactive were already disengaged and </w:t>
      </w:r>
      <w:r w:rsidRPr="00B34E09">
        <w:t>non-compliant</w:t>
      </w:r>
      <w:r>
        <w:t xml:space="preserve">. Many of these participants had no interest in being supported by TtW — or by any other service, for that matter. Many did not attend initial appointments and were then </w:t>
      </w:r>
      <w:r w:rsidRPr="00B34E09">
        <w:t>exited</w:t>
      </w:r>
      <w:r>
        <w:t xml:space="preserve"> and returned to jobactive. Around 68 per cent of TtW providers agreed or strongly agreed that some of the participants referred to TtW from jobactive were unsuitable for the intensive activity requirements of TtW.</w:t>
      </w:r>
    </w:p>
    <w:p w14:paraId="6BCB9F13" w14:textId="77777777" w:rsidR="00CC4E3D" w:rsidRPr="00FD4CA8" w:rsidRDefault="00CC4E3D" w:rsidP="001C25D9">
      <w:pPr>
        <w:pStyle w:val="Heading3"/>
        <w:numPr>
          <w:ilvl w:val="2"/>
          <w:numId w:val="4"/>
        </w:numPr>
        <w:spacing w:before="200"/>
        <w:rPr>
          <w:szCs w:val="24"/>
        </w:rPr>
      </w:pPr>
      <w:bookmarkStart w:id="203" w:name="_Toc535498885"/>
      <w:bookmarkStart w:id="204" w:name="_Toc23841365"/>
      <w:r w:rsidRPr="00FD4CA8">
        <w:rPr>
          <w:szCs w:val="24"/>
        </w:rPr>
        <w:t>Providers reported that the TtW funding structure was sustainable and allowed them to support participants appropriately</w:t>
      </w:r>
      <w:bookmarkEnd w:id="203"/>
      <w:bookmarkEnd w:id="204"/>
    </w:p>
    <w:p w14:paraId="7DA28FF6" w14:textId="77777777" w:rsidR="00CC4E3D" w:rsidRDefault="00CC4E3D" w:rsidP="00CC4E3D">
      <w:r>
        <w:t>Providers indicated that they were generally satisfied with the funding structure and felt that the KPIs and Outcome Performance Targets were achievable. They said that the funding structure was sustainable and helped them to support participants properly. They agreed that the up-front payments had helped them set up their offices, pay staff and provide services to participants. A few providers who had achieved sustainability outcomes said that this was a good incentive as the extra income could be used to support other participants.</w:t>
      </w:r>
    </w:p>
    <w:p w14:paraId="6079DE81" w14:textId="77777777" w:rsidR="00CC4E3D" w:rsidRPr="00804009" w:rsidRDefault="00CC4E3D" w:rsidP="00CC4E3D">
      <w:pPr>
        <w:pStyle w:val="Quotation"/>
      </w:pPr>
      <w:r w:rsidRPr="00804009">
        <w:t xml:space="preserve">What I really like is that if you meet your KPI and you get over your KPI, you get a bonus payment that you wouldn’t otherwise get. We got quite a few because we knew our KPI was exceeded. That’s cool because all that is a bit of funding that will now go back for us to do something else with. </w:t>
      </w:r>
    </w:p>
    <w:p w14:paraId="3E59EABB" w14:textId="77777777" w:rsidR="00CC4E3D" w:rsidRPr="00804009" w:rsidRDefault="00CC4E3D" w:rsidP="00CC4E3D">
      <w:pPr>
        <w:pStyle w:val="Quotation"/>
      </w:pPr>
      <w:r w:rsidRPr="00804009">
        <w:t>(Provider Interview 3)</w:t>
      </w:r>
    </w:p>
    <w:p w14:paraId="1A8EE90B" w14:textId="77777777" w:rsidR="00CC4E3D" w:rsidRPr="00804009" w:rsidRDefault="00CC4E3D" w:rsidP="00CC4E3D">
      <w:pPr>
        <w:pStyle w:val="Quotation"/>
      </w:pPr>
      <w:r w:rsidRPr="00804009">
        <w:t>The funding portion, the way that they’ve rolled out the funding isn’t bad, because they’ve actually paid us in advance for a portion of it, and then we get quarterly payments. So the actual funding and the flow of cash for the program are not terribly bad. That’s actually quite fine.</w:t>
      </w:r>
    </w:p>
    <w:p w14:paraId="778F0E0E" w14:textId="77777777" w:rsidR="00CC4E3D" w:rsidRPr="00804009" w:rsidRDefault="00CC4E3D" w:rsidP="00CC4E3D">
      <w:pPr>
        <w:pStyle w:val="Quotation"/>
      </w:pPr>
      <w:r w:rsidRPr="00804009">
        <w:t>(Provider Interview 6)</w:t>
      </w:r>
    </w:p>
    <w:p w14:paraId="461B1EBB" w14:textId="77777777" w:rsidR="00CC4E3D" w:rsidRDefault="00CC4E3D" w:rsidP="00CC4E3D">
      <w:r>
        <w:lastRenderedPageBreak/>
        <w:t>Many providers reported setting aside a proportion of their up-front payments to help TtW participants prepare for work, such as to buy interview or job-specific clothing or to pay for driving lessons.</w:t>
      </w:r>
    </w:p>
    <w:p w14:paraId="1976B84A" w14:textId="77777777" w:rsidR="00CC4E3D" w:rsidRPr="00804009" w:rsidRDefault="00CC4E3D" w:rsidP="00CC4E3D">
      <w:pPr>
        <w:pStyle w:val="Quotation"/>
      </w:pPr>
      <w:r w:rsidRPr="00804009">
        <w:t xml:space="preserve">It’s allowed me to have that cash flow and stuff so that we can — you know, if they say this person wants to do their RSA [Responsible Service of Alcohol], RCG [Responsible Conduct of Gambling] you know, the money is there to do it and stuff like that, although I always make sure we can get a group together and do it in a group rather than paying individually this week and that week. </w:t>
      </w:r>
    </w:p>
    <w:p w14:paraId="7A88A5E0" w14:textId="77777777" w:rsidR="00CC4E3D" w:rsidRPr="00804009" w:rsidRDefault="00CC4E3D" w:rsidP="00CC4E3D">
      <w:pPr>
        <w:pStyle w:val="Quotation"/>
      </w:pPr>
      <w:r w:rsidRPr="00804009">
        <w:t>(Provider Interview 6)</w:t>
      </w:r>
    </w:p>
    <w:p w14:paraId="67508F03" w14:textId="77777777" w:rsidR="00CC4E3D" w:rsidRDefault="00CC4E3D" w:rsidP="00CC4E3D">
      <w:r>
        <w:t xml:space="preserve">The average TtW site caseload was around 50 participants; however, administrative data showed that the variation across sites was large. Where caseloads were higher, participants and providers made less positive comments about the quality of the service. </w:t>
      </w:r>
    </w:p>
    <w:p w14:paraId="188B640C" w14:textId="77777777" w:rsidR="00CC4E3D" w:rsidRPr="00804009" w:rsidRDefault="00CC4E3D" w:rsidP="00CC4E3D">
      <w:pPr>
        <w:pStyle w:val="Quotation"/>
      </w:pPr>
      <w:r w:rsidRPr="00804009">
        <w:t xml:space="preserve">It’s supposed to be intensive support but with a caseload of seventy how are you supposed to provide intensive support if you’re seeing them for half an hour a fortnight because that’s all you can actually do. </w:t>
      </w:r>
    </w:p>
    <w:p w14:paraId="3689E0CC" w14:textId="77777777" w:rsidR="00CC4E3D" w:rsidRPr="00804009" w:rsidRDefault="00CC4E3D" w:rsidP="00CC4E3D">
      <w:pPr>
        <w:pStyle w:val="Quotation"/>
      </w:pPr>
      <w:r w:rsidRPr="00804009">
        <w:t>(Provider Focus Group 1)</w:t>
      </w:r>
    </w:p>
    <w:p w14:paraId="6281D40A" w14:textId="77777777" w:rsidR="00CC4E3D" w:rsidRDefault="00CC4E3D" w:rsidP="00CC4E3D">
      <w:r w:rsidRPr="00B522DA">
        <w:t>Participants at sites with higher than average caseloads also felt that their consultant had not dedicated enough time to helping them find a job.</w:t>
      </w:r>
    </w:p>
    <w:p w14:paraId="29B06CFC" w14:textId="77777777" w:rsidR="00CC4E3D" w:rsidRPr="00804009" w:rsidRDefault="00CC4E3D" w:rsidP="00CC4E3D">
      <w:pPr>
        <w:pStyle w:val="Quotation"/>
      </w:pPr>
      <w:r w:rsidRPr="00804009">
        <w:t>Respondent:</w:t>
      </w:r>
      <w:r w:rsidRPr="00804009">
        <w:tab/>
        <w:t>I wouldn’t say she was negative, Iike I loved her from the day I walked in, she’s really cool, but I just don’t feel that she’s going out of her way for me. The last time I went in there they found one job, one job, and put me towards it, but why not put me towards a couple, because you’re not going to get one overnight.</w:t>
      </w:r>
    </w:p>
    <w:p w14:paraId="7051C1DB" w14:textId="77777777" w:rsidR="00CC4E3D" w:rsidRPr="00804009" w:rsidRDefault="00CC4E3D" w:rsidP="00CC4E3D">
      <w:pPr>
        <w:pStyle w:val="Quotation"/>
      </w:pPr>
      <w:r w:rsidRPr="00804009">
        <w:t>Respondent:</w:t>
      </w:r>
      <w:r w:rsidRPr="00804009">
        <w:tab/>
        <w:t>I just think there needs to be more people helping you.</w:t>
      </w:r>
    </w:p>
    <w:p w14:paraId="0B86E540" w14:textId="77777777" w:rsidR="00CC4E3D" w:rsidRPr="00804009" w:rsidRDefault="00CC4E3D" w:rsidP="00CC4E3D">
      <w:pPr>
        <w:pStyle w:val="Quotation"/>
      </w:pPr>
      <w:r w:rsidRPr="00804009">
        <w:t>(Participant Focus Group 10)</w:t>
      </w:r>
    </w:p>
    <w:p w14:paraId="511570EF" w14:textId="77777777" w:rsidR="00CC4E3D" w:rsidRDefault="00CC4E3D" w:rsidP="00CC4E3D">
      <w:r>
        <w:t>TtW providers estimated that the proportion of time they spent on administration was around 43 per cent — about 20 percentage points lower than reported in the jobactive Provider Survey. The stronger job seeker compliance arrangements and managing the operating requirement of their Employment Fund allocation to purchase goods and services for participants in jobactive are likely to be contributing factors in the reported difference in administrative burden.</w:t>
      </w:r>
    </w:p>
    <w:p w14:paraId="3E9A72DE" w14:textId="77777777" w:rsidR="00CC4E3D" w:rsidRPr="00FD4CA8" w:rsidRDefault="00CC4E3D" w:rsidP="001C25D9">
      <w:pPr>
        <w:pStyle w:val="Heading3"/>
        <w:numPr>
          <w:ilvl w:val="2"/>
          <w:numId w:val="4"/>
        </w:numPr>
        <w:spacing w:before="200"/>
        <w:rPr>
          <w:szCs w:val="24"/>
        </w:rPr>
      </w:pPr>
      <w:bookmarkStart w:id="205" w:name="_Toc535498886"/>
      <w:bookmarkStart w:id="206" w:name="_Toc23841366"/>
      <w:r w:rsidRPr="00FD4CA8">
        <w:rPr>
          <w:szCs w:val="24"/>
        </w:rPr>
        <w:t>Providers were satisfied with the operational information about TtW and, to a lesser extent, the ESS Web system</w:t>
      </w:r>
      <w:bookmarkEnd w:id="205"/>
      <w:bookmarkEnd w:id="206"/>
    </w:p>
    <w:p w14:paraId="463573A8" w14:textId="49B16200" w:rsidR="00CC4E3D" w:rsidRDefault="00CC4E3D" w:rsidP="00CC4E3D">
      <w:r>
        <w:t xml:space="preserve">The TtW provider survey examined providers’ satisfaction with the operational information they had about TtW and with the </w:t>
      </w:r>
      <w:r w:rsidR="00082F50">
        <w:t>d</w:t>
      </w:r>
      <w:r>
        <w:t xml:space="preserve">epartment’s information systems. Responses in relation to online information about TtW (including the </w:t>
      </w:r>
      <w:r w:rsidRPr="000A38F1">
        <w:t xml:space="preserve">Provider Portal and Question Manager) were overwhelmingly </w:t>
      </w:r>
      <w:r w:rsidRPr="000A38F1">
        <w:lastRenderedPageBreak/>
        <w:t>positive. More than 7</w:t>
      </w:r>
      <w:r>
        <w:t>5 </w:t>
      </w:r>
      <w:r w:rsidRPr="000A38F1">
        <w:t>per cent of respondents agreed or strongly agreed that the content was up to date, relevant, consistent, accurate, provided in a timely manner and a useful format, and easy to understand. Respondents were also very positive about the Learning Centre, the program guidelines and the TtW Deed (</w:t>
      </w:r>
      <w:r>
        <w:rPr>
          <w:b/>
        </w:rPr>
        <w:t>Figure 3.12</w:t>
      </w:r>
      <w:r w:rsidRPr="000A38F1">
        <w:t>).</w:t>
      </w:r>
      <w:r>
        <w:t xml:space="preserve"> </w:t>
      </w:r>
    </w:p>
    <w:p w14:paraId="0BA2D90A" w14:textId="688A013C" w:rsidR="00CC4E3D" w:rsidRDefault="00CC4E3D" w:rsidP="00FD4CA8">
      <w:pPr>
        <w:pStyle w:val="Caption"/>
      </w:pPr>
      <w:bookmarkStart w:id="207" w:name="_Toc514172358"/>
      <w:bookmarkStart w:id="208" w:name="_Toc535511464"/>
      <w:bookmarkStart w:id="209" w:name="_Toc535511524"/>
      <w:bookmarkStart w:id="210" w:name="_Toc535512751"/>
      <w:bookmarkStart w:id="211" w:name="_Toc535513387"/>
      <w:bookmarkStart w:id="212" w:name="_Toc23841466"/>
      <w:r>
        <w:t xml:space="preserve">Figure </w:t>
      </w:r>
      <w:r>
        <w:rPr>
          <w:noProof/>
        </w:rPr>
        <w:fldChar w:fldCharType="begin"/>
      </w:r>
      <w:r>
        <w:rPr>
          <w:noProof/>
        </w:rPr>
        <w:instrText xml:space="preserve"> STYLEREF 1 \s </w:instrText>
      </w:r>
      <w:r>
        <w:rPr>
          <w:noProof/>
        </w:rPr>
        <w:fldChar w:fldCharType="separate"/>
      </w:r>
      <w:r w:rsidR="00D84A2A">
        <w:rPr>
          <w:noProof/>
        </w:rPr>
        <w:t>3</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12</w:t>
      </w:r>
      <w:r>
        <w:rPr>
          <w:noProof/>
        </w:rPr>
        <w:fldChar w:fldCharType="end"/>
      </w:r>
      <w:r>
        <w:tab/>
        <w:t>Provider satisfaction with the Learning Centre, program guidelines and TtW Deed</w:t>
      </w:r>
      <w:bookmarkEnd w:id="207"/>
      <w:bookmarkEnd w:id="208"/>
      <w:bookmarkEnd w:id="209"/>
      <w:bookmarkEnd w:id="210"/>
      <w:bookmarkEnd w:id="211"/>
      <w:bookmarkEnd w:id="212"/>
    </w:p>
    <w:p w14:paraId="016D026B" w14:textId="77777777" w:rsidR="00CC4E3D" w:rsidRPr="00157371" w:rsidRDefault="00CC4E3D" w:rsidP="00CC4E3D">
      <w:pPr>
        <w:pStyle w:val="Source"/>
      </w:pPr>
      <w:r w:rsidRPr="00157371">
        <w:rPr>
          <w:noProof/>
          <w:lang w:eastAsia="en-AU"/>
        </w:rPr>
        <w:drawing>
          <wp:inline distT="0" distB="0" distL="0" distR="0" wp14:anchorId="15875C97" wp14:editId="04F7CEB9">
            <wp:extent cx="5403600" cy="3045600"/>
            <wp:effectExtent l="0" t="0" r="6985" b="2540"/>
            <wp:docPr id="504" name="Picture 504" descr="Stacked bar chart showing survey responses about the Learning Centre, guidelines and deed.&#10;This chart shows the breakdown of provider responses, from ‘strongly agree’ to ‘strongly disagree’, to three statements:&#10;1. ‘The Learning Centre content is relevant and helpful’ — 59% agreed; 15% strongly agreed&#10;2. ‘Program guidelines are comprehensive and meet our requirements’ — 74% agreed, 11% strongly agreed&#10;3. ‘The Transition to Work Deed is comprehensive and meets our requirements’ — 74% agreed; 11% strongly agre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03600" cy="3045600"/>
                    </a:xfrm>
                    <a:prstGeom prst="rect">
                      <a:avLst/>
                    </a:prstGeom>
                    <a:noFill/>
                    <a:ln>
                      <a:noFill/>
                    </a:ln>
                  </pic:spPr>
                </pic:pic>
              </a:graphicData>
            </a:graphic>
          </wp:inline>
        </w:drawing>
      </w:r>
    </w:p>
    <w:p w14:paraId="4E0275AC" w14:textId="77777777" w:rsidR="00CC4E3D" w:rsidRDefault="00CC4E3D" w:rsidP="00CC4E3D">
      <w:pPr>
        <w:pStyle w:val="Note"/>
      </w:pPr>
      <w:r>
        <w:t xml:space="preserve">Note: Does not include providers who responded ‘Don’t know/Undecided’, so bars may not add up to 100 per cent. </w:t>
      </w:r>
    </w:p>
    <w:p w14:paraId="4F69272B" w14:textId="77777777" w:rsidR="00CC4E3D" w:rsidRPr="005A1B8D" w:rsidRDefault="00CC4E3D" w:rsidP="00CC4E3D">
      <w:pPr>
        <w:pStyle w:val="Source"/>
        <w:rPr>
          <w:b/>
        </w:rPr>
      </w:pPr>
      <w:r w:rsidRPr="005A1B8D">
        <w:rPr>
          <w:b/>
        </w:rPr>
        <w:t>Source: TtW Provider Survey (2016).</w:t>
      </w:r>
    </w:p>
    <w:p w14:paraId="10108034" w14:textId="77777777" w:rsidR="00CC4E3D" w:rsidRDefault="00CC4E3D" w:rsidP="00CC4E3D">
      <w:r>
        <w:t>Around 60 per cent of providers strongly agreed or agreed that ESS Web provided flexibility with administering TtW.</w:t>
      </w:r>
    </w:p>
    <w:p w14:paraId="64130DBA" w14:textId="77777777" w:rsidR="00CC4E3D" w:rsidRPr="001F4939" w:rsidRDefault="00CC4E3D" w:rsidP="001F4939">
      <w:pPr>
        <w:pStyle w:val="Heading2"/>
        <w:numPr>
          <w:ilvl w:val="1"/>
          <w:numId w:val="4"/>
        </w:numPr>
      </w:pPr>
      <w:bookmarkStart w:id="213" w:name="_Toc511811985"/>
      <w:bookmarkStart w:id="214" w:name="_Toc511841622"/>
      <w:bookmarkStart w:id="215" w:name="_Toc511841731"/>
      <w:bookmarkStart w:id="216" w:name="_Toc511811986"/>
      <w:bookmarkStart w:id="217" w:name="_Toc511841623"/>
      <w:bookmarkStart w:id="218" w:name="_Toc511841732"/>
      <w:bookmarkStart w:id="219" w:name="_Toc535498887"/>
      <w:bookmarkStart w:id="220" w:name="_Toc23841367"/>
      <w:bookmarkEnd w:id="213"/>
      <w:bookmarkEnd w:id="214"/>
      <w:bookmarkEnd w:id="215"/>
      <w:bookmarkEnd w:id="216"/>
      <w:bookmarkEnd w:id="217"/>
      <w:bookmarkEnd w:id="218"/>
      <w:r w:rsidRPr="001F4939">
        <w:t>Providers’ strategies to address any implementation and early operational issues</w:t>
      </w:r>
      <w:bookmarkEnd w:id="219"/>
      <w:bookmarkEnd w:id="220"/>
    </w:p>
    <w:p w14:paraId="4A02734F" w14:textId="77777777" w:rsidR="00CC4E3D" w:rsidRDefault="00CC4E3D" w:rsidP="00CC4E3D">
      <w:r>
        <w:t xml:space="preserve">This section considers the extent to which the implementation and operational processes of TtW influenced the quality of service delivered by providers. As discussed in </w:t>
      </w:r>
      <w:r>
        <w:rPr>
          <w:b/>
        </w:rPr>
        <w:t>Section </w:t>
      </w:r>
      <w:r w:rsidRPr="001B6EB9">
        <w:rPr>
          <w:b/>
        </w:rPr>
        <w:t>3.2</w:t>
      </w:r>
      <w:r w:rsidRPr="001B6EB9">
        <w:t>,</w:t>
      </w:r>
      <w:r>
        <w:t xml:space="preserve"> the lack of up</w:t>
      </w:r>
      <w:r>
        <w:noBreakHyphen/>
        <w:t xml:space="preserve">to-date and complete contact details in the start-up caseload from DHS frustrated providers and compromised their ability to deliver the service efficiently. However, TtW providers devised innovative strategies to address this issue and other barriers. </w:t>
      </w:r>
    </w:p>
    <w:p w14:paraId="5B0E7643" w14:textId="77777777" w:rsidR="00CC4E3D" w:rsidRPr="00FD4CA8" w:rsidRDefault="00CC4E3D" w:rsidP="001C25D9">
      <w:pPr>
        <w:pStyle w:val="Heading3"/>
        <w:numPr>
          <w:ilvl w:val="2"/>
          <w:numId w:val="4"/>
        </w:numPr>
        <w:spacing w:before="200"/>
        <w:rPr>
          <w:szCs w:val="24"/>
        </w:rPr>
      </w:pPr>
      <w:bookmarkStart w:id="221" w:name="_Toc535498888"/>
      <w:bookmarkStart w:id="222" w:name="_Toc23841368"/>
      <w:r w:rsidRPr="00FD4CA8">
        <w:rPr>
          <w:szCs w:val="24"/>
        </w:rPr>
        <w:t>Providers regularly visited Centrelink offices to encourage Group One referrals by increasing understanding of TtW</w:t>
      </w:r>
      <w:bookmarkEnd w:id="221"/>
      <w:bookmarkEnd w:id="222"/>
      <w:r w:rsidRPr="00FD4CA8">
        <w:rPr>
          <w:szCs w:val="24"/>
        </w:rPr>
        <w:t xml:space="preserve"> </w:t>
      </w:r>
    </w:p>
    <w:p w14:paraId="54DBDD01" w14:textId="77777777" w:rsidR="00CC4E3D" w:rsidRDefault="00CC4E3D" w:rsidP="00CC4E3D">
      <w:r>
        <w:t xml:space="preserve">During the rollout and early months of the TtW service, DHS staff had little detailed knowledge of the eligibility criteria for TtW and limited understanding of the exact nature of the service. To overcome this barrier, many providers needed to visit Centrelink offices regularly to talk about TtW. </w:t>
      </w:r>
    </w:p>
    <w:p w14:paraId="11BA4216" w14:textId="77777777" w:rsidR="00CC4E3D" w:rsidRPr="00157371" w:rsidRDefault="00CC4E3D" w:rsidP="00CC4E3D">
      <w:pPr>
        <w:pStyle w:val="Quotation"/>
      </w:pPr>
      <w:r w:rsidRPr="00157371">
        <w:lastRenderedPageBreak/>
        <w:t>I’ve personally visited the [Centrelink location] office at least eight times now over the period of the contract to go to their staff meetings. If I didn’t do this, they wouldn’t know anything about us.</w:t>
      </w:r>
    </w:p>
    <w:p w14:paraId="31860DDA" w14:textId="77777777" w:rsidR="00CC4E3D" w:rsidRPr="00804009" w:rsidRDefault="00CC4E3D" w:rsidP="00CC4E3D">
      <w:pPr>
        <w:pStyle w:val="Quotation"/>
      </w:pPr>
      <w:r w:rsidRPr="00804009">
        <w:t>(Provider Interview 6)</w:t>
      </w:r>
    </w:p>
    <w:p w14:paraId="7ECE1F16" w14:textId="77777777" w:rsidR="00CC4E3D" w:rsidRPr="00804009" w:rsidRDefault="00CC4E3D" w:rsidP="00CC4E3D">
      <w:r>
        <w:t xml:space="preserve">Some DHS staff reported that it was difficult to find available TtW provider appointment slots in the IT system within the timeframe stipulated in </w:t>
      </w:r>
      <w:r w:rsidRPr="002A3932">
        <w:t>RapidConnect</w:t>
      </w:r>
      <w:r>
        <w:t xml:space="preserve"> (the young person must attend an interview with an employment services provider within two working days of their initial contact with DHS). </w:t>
      </w:r>
    </w:p>
    <w:p w14:paraId="448B865A" w14:textId="77777777" w:rsidR="00CC4E3D" w:rsidRDefault="00CC4E3D" w:rsidP="00CC4E3D">
      <w:r>
        <w:t>Following the feedback from DHS about the lack of available appointment slots, some providers reported reassessing their schedules regularly to ensure that appointment times were available for referrals.</w:t>
      </w:r>
    </w:p>
    <w:p w14:paraId="37AE122C" w14:textId="77777777" w:rsidR="00CC4E3D" w:rsidRPr="00804009" w:rsidRDefault="00CC4E3D" w:rsidP="00CC4E3D">
      <w:pPr>
        <w:pStyle w:val="Quotation"/>
      </w:pPr>
      <w:r w:rsidRPr="00804009">
        <w:t xml:space="preserve">I always monitor the calendar to make sure that there are available time slots and if there aren’t then we just add some more in. </w:t>
      </w:r>
    </w:p>
    <w:p w14:paraId="2BFBF5E8" w14:textId="77777777" w:rsidR="00CC4E3D" w:rsidRPr="00804009" w:rsidRDefault="00CC4E3D" w:rsidP="00CC4E3D">
      <w:pPr>
        <w:pStyle w:val="Quotation"/>
      </w:pPr>
      <w:r w:rsidRPr="00804009">
        <w:t>(Provider Focus Group 14)</w:t>
      </w:r>
    </w:p>
    <w:p w14:paraId="7C15898A" w14:textId="77777777" w:rsidR="00CC4E3D" w:rsidRPr="00FD4CA8" w:rsidRDefault="00CC4E3D" w:rsidP="001C25D9">
      <w:pPr>
        <w:pStyle w:val="Heading3"/>
        <w:numPr>
          <w:ilvl w:val="2"/>
          <w:numId w:val="4"/>
        </w:numPr>
        <w:spacing w:before="200"/>
        <w:rPr>
          <w:szCs w:val="24"/>
        </w:rPr>
      </w:pPr>
      <w:bookmarkStart w:id="223" w:name="_Toc535498889"/>
      <w:bookmarkStart w:id="224" w:name="_Toc23841369"/>
      <w:r w:rsidRPr="00FD4CA8">
        <w:rPr>
          <w:szCs w:val="24"/>
        </w:rPr>
        <w:t>Providers worked with local schools and community groups to recruit Group Two participants</w:t>
      </w:r>
      <w:bookmarkEnd w:id="223"/>
      <w:bookmarkEnd w:id="224"/>
    </w:p>
    <w:p w14:paraId="614A5F2D" w14:textId="77777777" w:rsidR="00CC4E3D" w:rsidRDefault="00CC4E3D" w:rsidP="00CC4E3D">
      <w:pPr>
        <w:keepNext/>
      </w:pPr>
      <w:r>
        <w:t xml:space="preserve">Most providers reported that recruitment rates for Group Two participants were much lower than the projected 20 per cent. They noted that </w:t>
      </w:r>
      <w:r w:rsidRPr="00B34E09">
        <w:t>commenc</w:t>
      </w:r>
      <w:r w:rsidRPr="00EC20F8">
        <w:t>ement</w:t>
      </w:r>
      <w:r>
        <w:t xml:space="preserve"> of Group Two participants was slow because of:</w:t>
      </w:r>
    </w:p>
    <w:p w14:paraId="7D323ED9" w14:textId="77777777" w:rsidR="00CC4E3D" w:rsidRDefault="00CC4E3D" w:rsidP="00E803E7">
      <w:pPr>
        <w:pStyle w:val="ListBullet"/>
      </w:pPr>
      <w:r>
        <w:t>the need to check and confirm that a young person was suitable for TtW first</w:t>
      </w:r>
    </w:p>
    <w:p w14:paraId="0BA2148E" w14:textId="77777777" w:rsidR="00CC4E3D" w:rsidRDefault="00CC4E3D" w:rsidP="00E803E7">
      <w:pPr>
        <w:pStyle w:val="ListBullet"/>
      </w:pPr>
      <w:r>
        <w:t>the required waiting period for disengagement from school, which meant that by the end of the waiting period the young person could have been completely disengaged from services as well</w:t>
      </w:r>
    </w:p>
    <w:p w14:paraId="63FB39AA" w14:textId="77777777" w:rsidR="00CC4E3D" w:rsidRDefault="00CC4E3D" w:rsidP="00E803E7">
      <w:pPr>
        <w:pStyle w:val="ListBullet"/>
      </w:pPr>
      <w:r>
        <w:t>the lack of contact details for this group, as in most cases their current details would not be registered with DHS.</w:t>
      </w:r>
    </w:p>
    <w:p w14:paraId="37E023CC" w14:textId="77777777" w:rsidR="00CC4E3D" w:rsidRDefault="00CC4E3D" w:rsidP="00E803E7">
      <w:pPr>
        <w:pStyle w:val="ListBullet"/>
      </w:pPr>
      <w:r>
        <w:t xml:space="preserve">Providers reported that they adopted a broad range of strategies for recruiting this group of participants. These included going out to local schools to identify students at risk of dropping out of school; collaborating with youth-oriented community organisations and programs such as juvenile justice and cultural groups; and reaching out to parents via leaflets, flyers etc. Some providers noted that they sent team members into the community to target specific hotspots, including shopping centres, skate parks and sports grounds. </w:t>
      </w:r>
    </w:p>
    <w:p w14:paraId="2CCA184F" w14:textId="77777777" w:rsidR="00CC4E3D" w:rsidRPr="00804009" w:rsidRDefault="00CC4E3D" w:rsidP="00CC4E3D">
      <w:pPr>
        <w:pStyle w:val="Quotation"/>
      </w:pPr>
      <w:r w:rsidRPr="00804009">
        <w:t xml:space="preserve">It’s more of a scatter gun approach. All of our YA youth advisors are mobile so what we’ve been focussing on is concentrating on areas where we know young people hang out. These are the shopping centres, the sporting fields, the skateboard parks. </w:t>
      </w:r>
    </w:p>
    <w:p w14:paraId="60136850" w14:textId="77777777" w:rsidR="00CC4E3D" w:rsidRPr="00743A5E" w:rsidRDefault="00CC4E3D" w:rsidP="00CC4E3D">
      <w:pPr>
        <w:pStyle w:val="Quotation"/>
      </w:pPr>
      <w:r w:rsidRPr="00804009">
        <w:t>(Provider Interview 5)</w:t>
      </w:r>
    </w:p>
    <w:p w14:paraId="6395A831" w14:textId="77777777" w:rsidR="00CC4E3D" w:rsidRPr="00804009" w:rsidRDefault="00CC4E3D" w:rsidP="005A1B8D">
      <w:pPr>
        <w:pStyle w:val="Quotation"/>
        <w:keepNext/>
        <w:keepLines/>
        <w:ind w:right="998"/>
      </w:pPr>
      <w:r w:rsidRPr="00804009">
        <w:lastRenderedPageBreak/>
        <w:t>We’ve been operating down there from time to time, we might just go down and work off the skateboard park and just be sitting on one of the benches on the skateboard park with our laptop and just looking and talking and people will start coming up.</w:t>
      </w:r>
    </w:p>
    <w:p w14:paraId="7F62458D" w14:textId="77777777" w:rsidR="00CC4E3D" w:rsidRPr="00804009" w:rsidRDefault="00CC4E3D" w:rsidP="005A1B8D">
      <w:pPr>
        <w:pStyle w:val="Quotation"/>
        <w:keepNext/>
        <w:keepLines/>
        <w:ind w:right="998"/>
      </w:pPr>
      <w:r w:rsidRPr="00804009">
        <w:t>(Provider Interview 5)</w:t>
      </w:r>
    </w:p>
    <w:p w14:paraId="781325AF" w14:textId="77777777" w:rsidR="00CC4E3D" w:rsidRDefault="00CC4E3D" w:rsidP="00CC4E3D">
      <w:r>
        <w:t xml:space="preserve">Peak body organisations acknowledged that providers taking innovative and flexible approaches to recruiting Group Two participants was a key element of TtW’s success in reaching disengaged young people who are not working or studying. </w:t>
      </w:r>
    </w:p>
    <w:p w14:paraId="1199A755" w14:textId="77777777" w:rsidR="00CC4E3D" w:rsidRDefault="00CC4E3D" w:rsidP="00CC4E3D">
      <w:r>
        <w:t>Providers questioned the requirement that a young person with Year 12 must not have engaged with employment or education for six months or more to be eligible for Group Two participation. They said that this requirement made it harder for them to engage the young person, and some realised that this reduced the value of their strategy of approaching schools directly.</w:t>
      </w:r>
    </w:p>
    <w:p w14:paraId="4EB52BFD" w14:textId="77777777" w:rsidR="00CC4E3D" w:rsidRPr="00804009" w:rsidRDefault="00CC4E3D" w:rsidP="00CC4E3D">
      <w:pPr>
        <w:pStyle w:val="Quotation"/>
      </w:pPr>
      <w:r w:rsidRPr="00804009">
        <w:t>Within the Group Twos (those are the ones with the direct register) they’re hard to find. Because of the requirement that they’ve been out of school for x amount of time and stuff like that, and they’re not on a payment, it means that they’re not engaged for the service to refer to us… and it’s harder for me to go to talk to them, sort of thing. We’re having some interactions with the schools, but we have to be a bit careful because we can’t sign them up straight out of school.</w:t>
      </w:r>
    </w:p>
    <w:p w14:paraId="17656706" w14:textId="77777777" w:rsidR="00CC4E3D" w:rsidRPr="00804009" w:rsidRDefault="00CC4E3D" w:rsidP="00CC4E3D">
      <w:pPr>
        <w:pStyle w:val="Quotation"/>
      </w:pPr>
      <w:r w:rsidRPr="00804009">
        <w:t>(Provider Interview 10)</w:t>
      </w:r>
    </w:p>
    <w:p w14:paraId="282E0A0D" w14:textId="05776F93" w:rsidR="00CC4E3D" w:rsidRPr="00FD4CA8" w:rsidRDefault="00CC4E3D" w:rsidP="001C25D9">
      <w:pPr>
        <w:pStyle w:val="Heading3"/>
        <w:numPr>
          <w:ilvl w:val="2"/>
          <w:numId w:val="4"/>
        </w:numPr>
        <w:spacing w:before="200"/>
        <w:rPr>
          <w:szCs w:val="24"/>
        </w:rPr>
      </w:pPr>
      <w:bookmarkStart w:id="225" w:name="_Toc535498890"/>
      <w:bookmarkStart w:id="226" w:name="_Toc23841370"/>
      <w:r w:rsidRPr="00FD4CA8">
        <w:rPr>
          <w:szCs w:val="24"/>
        </w:rPr>
        <w:t xml:space="preserve">Providers suggested that the </w:t>
      </w:r>
      <w:r w:rsidR="00263EF6">
        <w:rPr>
          <w:szCs w:val="24"/>
        </w:rPr>
        <w:t>d</w:t>
      </w:r>
      <w:r w:rsidRPr="00FD4CA8">
        <w:rPr>
          <w:szCs w:val="24"/>
        </w:rPr>
        <w:t>epartment could provide incentives to increase Group Three referrals</w:t>
      </w:r>
      <w:bookmarkEnd w:id="225"/>
      <w:bookmarkEnd w:id="226"/>
    </w:p>
    <w:p w14:paraId="09446965" w14:textId="69CD7AAF" w:rsidR="00CC4E3D" w:rsidRDefault="00CC4E3D" w:rsidP="00CC4E3D">
      <w:r>
        <w:t xml:space="preserve">Many TtW providers suggested that the </w:t>
      </w:r>
      <w:r w:rsidR="00263EF6">
        <w:t>d</w:t>
      </w:r>
      <w:r>
        <w:t xml:space="preserve">epartment could help by introducing a dual outcome funding structure so that jobactive providers would not lose the financial incentives for </w:t>
      </w:r>
      <w:r w:rsidRPr="00942582">
        <w:t>Stream C</w:t>
      </w:r>
      <w:r>
        <w:t xml:space="preserve"> young people when they refer them to TtW.</w:t>
      </w:r>
      <w:r>
        <w:rPr>
          <w:rStyle w:val="FootnoteReference"/>
        </w:rPr>
        <w:footnoteReference w:id="13"/>
      </w:r>
    </w:p>
    <w:p w14:paraId="208C04E9" w14:textId="77777777" w:rsidR="00CC4E3D" w:rsidRPr="00804009" w:rsidRDefault="00CC4E3D" w:rsidP="00CC4E3D">
      <w:pPr>
        <w:pStyle w:val="Quotation"/>
      </w:pPr>
      <w:r w:rsidRPr="00804009">
        <w:t>Those Stream Cs, for a jobactive provider are a very high profile client because they have huge weightings towards the STAR ratings. If I put my jobactive hat on I would not be referring any quality Stream Cs to TtW because if they refer them and TtW gets them into work or further education then TtW gets the results of that against the S</w:t>
      </w:r>
      <w:r>
        <w:t>tar</w:t>
      </w:r>
      <w:r w:rsidRPr="00804009">
        <w:t xml:space="preserve"> </w:t>
      </w:r>
      <w:r>
        <w:t>R</w:t>
      </w:r>
      <w:r w:rsidRPr="00804009">
        <w:t>atings, jobactive provider doesn’t. So that’s why I’m saying there’s a bit of a conflict of interest and I said to the department same thing yesterday. I said ‘Easy fix would be just to have a dual outcome so both programs get the outcome.’</w:t>
      </w:r>
    </w:p>
    <w:p w14:paraId="36A5217B" w14:textId="77777777" w:rsidR="00CC4E3D" w:rsidRPr="00804009" w:rsidRDefault="00CC4E3D" w:rsidP="00CC4E3D">
      <w:pPr>
        <w:pStyle w:val="Quotation"/>
      </w:pPr>
      <w:r w:rsidRPr="00804009">
        <w:t xml:space="preserve">(Provider Interview 5) </w:t>
      </w:r>
    </w:p>
    <w:p w14:paraId="7802466B" w14:textId="77777777" w:rsidR="00CC4E3D" w:rsidRPr="001F4939" w:rsidRDefault="00CC4E3D" w:rsidP="001F4939">
      <w:pPr>
        <w:pStyle w:val="Heading2"/>
        <w:numPr>
          <w:ilvl w:val="1"/>
          <w:numId w:val="4"/>
        </w:numPr>
      </w:pPr>
      <w:bookmarkStart w:id="227" w:name="_Toc535498891"/>
      <w:bookmarkStart w:id="228" w:name="_Toc23841371"/>
      <w:r w:rsidRPr="001F4939">
        <w:lastRenderedPageBreak/>
        <w:t>The appropriateness of the TtW model in helping young people to become job ready</w:t>
      </w:r>
      <w:bookmarkEnd w:id="227"/>
      <w:bookmarkEnd w:id="228"/>
    </w:p>
    <w:p w14:paraId="0A5475CE" w14:textId="77777777" w:rsidR="00CC4E3D" w:rsidRDefault="00CC4E3D" w:rsidP="00CC4E3D">
      <w:pPr>
        <w:keepNext/>
      </w:pPr>
      <w:r>
        <w:t>This section examines the alignment of TtW’s aims and objectives with the target group’s needs and priorities. TtW providers are required to work closely with participants to identify the individual, group and self-directed activities that are necessary for them to acquire appropriate skills and meet the 25 hours per week activity requirement. Activities TtW providers typically undertook with their participants were:</w:t>
      </w:r>
    </w:p>
    <w:p w14:paraId="653807EC" w14:textId="77777777" w:rsidR="00CC4E3D" w:rsidRPr="000A38F1" w:rsidRDefault="00CC4E3D" w:rsidP="00E803E7">
      <w:pPr>
        <w:pStyle w:val="ListBullet"/>
      </w:pPr>
      <w:r w:rsidRPr="000A38F1">
        <w:t xml:space="preserve">developing a </w:t>
      </w:r>
      <w:r>
        <w:t>J</w:t>
      </w:r>
      <w:r w:rsidRPr="000A38F1">
        <w:t xml:space="preserve">ob </w:t>
      </w:r>
      <w:r>
        <w:t>P</w:t>
      </w:r>
      <w:r w:rsidRPr="000A38F1">
        <w:t>lan</w:t>
      </w:r>
    </w:p>
    <w:p w14:paraId="3194C965" w14:textId="77777777" w:rsidR="00CC4E3D" w:rsidRPr="000A38F1" w:rsidRDefault="00CC4E3D" w:rsidP="00E803E7">
      <w:pPr>
        <w:pStyle w:val="ListBullet"/>
      </w:pPr>
      <w:r w:rsidRPr="000A38F1">
        <w:t>improving the participant’s foundation skills</w:t>
      </w:r>
      <w:r w:rsidRPr="000A38F1">
        <w:rPr>
          <w:rStyle w:val="FootnoteReference"/>
        </w:rPr>
        <w:footnoteReference w:id="14"/>
      </w:r>
      <w:r w:rsidRPr="000A38F1">
        <w:t xml:space="preserve"> </w:t>
      </w:r>
    </w:p>
    <w:p w14:paraId="33FEE74E" w14:textId="77777777" w:rsidR="00CC4E3D" w:rsidRPr="000A38F1" w:rsidRDefault="00CC4E3D" w:rsidP="00E803E7">
      <w:pPr>
        <w:pStyle w:val="ListBullet"/>
      </w:pPr>
      <w:r w:rsidRPr="000A38F1">
        <w:t xml:space="preserve">helping them develop non-vocational skills </w:t>
      </w:r>
    </w:p>
    <w:p w14:paraId="54FC7D57" w14:textId="77777777" w:rsidR="00CC4E3D" w:rsidRPr="000A38F1" w:rsidRDefault="00CC4E3D" w:rsidP="00E803E7">
      <w:pPr>
        <w:pStyle w:val="ListBullet"/>
      </w:pPr>
      <w:r w:rsidRPr="000A38F1">
        <w:t>providing career advice</w:t>
      </w:r>
    </w:p>
    <w:p w14:paraId="756162EC" w14:textId="77777777" w:rsidR="00CC4E3D" w:rsidRDefault="00CC4E3D" w:rsidP="00E803E7">
      <w:pPr>
        <w:pStyle w:val="ListBullet"/>
      </w:pPr>
      <w:r w:rsidRPr="000A38F1">
        <w:t>helping them access education</w:t>
      </w:r>
      <w:r>
        <w:t xml:space="preserve"> and training courses.</w:t>
      </w:r>
    </w:p>
    <w:p w14:paraId="341CDC4A" w14:textId="77777777" w:rsidR="00CC4E3D" w:rsidRPr="00804009" w:rsidRDefault="00CC4E3D" w:rsidP="00CC4E3D">
      <w:r>
        <w:t xml:space="preserve">According to providers interviewed in the qualitative research, many of the young people in TtW have multiple individual barriers to employment. These include inability to: read, write or communicate clearly; focus on work tasks; work in a team; and cope with change. Many young people also lack work experience, have never worked or have intergenerational unemployment issues, and often have poor attitudes and low motivation to finding a job. </w:t>
      </w:r>
    </w:p>
    <w:p w14:paraId="523BD3BB" w14:textId="62D9CB57" w:rsidR="00CC4E3D" w:rsidRDefault="00CC4E3D" w:rsidP="00CC4E3D">
      <w:pPr>
        <w:keepNext/>
      </w:pPr>
      <w:r w:rsidRPr="00804009">
        <w:t xml:space="preserve">The </w:t>
      </w:r>
      <w:r w:rsidRPr="00332BBF">
        <w:t>Survey of Employers’ Recruitment Experiences</w:t>
      </w:r>
      <w:r>
        <w:t>,</w:t>
      </w:r>
      <w:r w:rsidRPr="00332BBF">
        <w:t xml:space="preserve"> </w:t>
      </w:r>
      <w:r>
        <w:t xml:space="preserve">conducted biannually by the </w:t>
      </w:r>
      <w:r w:rsidR="00AC1C42">
        <w:t>d</w:t>
      </w:r>
      <w:r>
        <w:t>epartment, shows that employers believe that the employment prospects of young people improve in line with improvements in their:</w:t>
      </w:r>
    </w:p>
    <w:p w14:paraId="5C368666" w14:textId="77777777" w:rsidR="00CC4E3D" w:rsidRDefault="00CC4E3D" w:rsidP="00E803E7">
      <w:pPr>
        <w:pStyle w:val="ListBullet"/>
      </w:pPr>
      <w:r>
        <w:t>attitude to work</w:t>
      </w:r>
    </w:p>
    <w:p w14:paraId="32CECC40" w14:textId="77777777" w:rsidR="00CC4E3D" w:rsidRDefault="00CC4E3D" w:rsidP="00E803E7">
      <w:pPr>
        <w:pStyle w:val="ListBullet"/>
      </w:pPr>
      <w:r>
        <w:t>responsibility and reliability</w:t>
      </w:r>
    </w:p>
    <w:p w14:paraId="427E7AE2" w14:textId="77777777" w:rsidR="00CC4E3D" w:rsidRDefault="00CC4E3D" w:rsidP="00E803E7">
      <w:pPr>
        <w:pStyle w:val="ListBullet"/>
      </w:pPr>
      <w:r>
        <w:t>presentation</w:t>
      </w:r>
    </w:p>
    <w:p w14:paraId="093CFC75" w14:textId="77777777" w:rsidR="00CC4E3D" w:rsidRPr="000A38F1" w:rsidRDefault="00CC4E3D" w:rsidP="00E803E7">
      <w:pPr>
        <w:pStyle w:val="ListBullet"/>
      </w:pPr>
      <w:r w:rsidRPr="000A38F1">
        <w:t>realistic work expectations</w:t>
      </w:r>
    </w:p>
    <w:p w14:paraId="03ADCB81" w14:textId="77777777" w:rsidR="00CC4E3D" w:rsidRDefault="00CC4E3D" w:rsidP="00E803E7">
      <w:pPr>
        <w:pStyle w:val="ListBullet"/>
      </w:pPr>
      <w:r>
        <w:t>work experience</w:t>
      </w:r>
    </w:p>
    <w:p w14:paraId="3D64D3C7" w14:textId="77777777" w:rsidR="00CC4E3D" w:rsidRDefault="00CC4E3D" w:rsidP="00E803E7">
      <w:pPr>
        <w:pStyle w:val="ListBullet"/>
      </w:pPr>
      <w:r>
        <w:t>education and training</w:t>
      </w:r>
    </w:p>
    <w:p w14:paraId="601D50CF" w14:textId="77777777" w:rsidR="00CC4E3D" w:rsidRDefault="00CC4E3D" w:rsidP="00E803E7">
      <w:pPr>
        <w:pStyle w:val="ListBullet"/>
      </w:pPr>
      <w:r>
        <w:t>job search and application skills.</w:t>
      </w:r>
    </w:p>
    <w:p w14:paraId="5FB1F508" w14:textId="77777777" w:rsidR="00CC4E3D" w:rsidRDefault="00CC4E3D" w:rsidP="00CC4E3D">
      <w:r>
        <w:lastRenderedPageBreak/>
        <w:t xml:space="preserve">Flexibility is necessary if activities are to support the development of all the characteristics listed above. With this in mind, TtW was developed separately from the mainstream jobactive as a service to address some of these issues. </w:t>
      </w:r>
    </w:p>
    <w:p w14:paraId="491219F5" w14:textId="77777777" w:rsidR="00CC4E3D" w:rsidRDefault="00CC4E3D" w:rsidP="00CC4E3D">
      <w:r>
        <w:t>Providers agreed that the TtW model was appropriate, improved participants’ work-readiness and improved their chances of finding and keeping a job. Appropriateness relates to whether a program’s objectives are relevant to meeting the needs of its target groups. In the TtW Provider Survey, 97 per cent of respondents agreed or strongly agreed that the TtW model was appropriate to the target groups, particularly in improving their work-readiness and helping them find and keep a job (</w:t>
      </w:r>
      <w:r>
        <w:rPr>
          <w:b/>
        </w:rPr>
        <w:t>Figure </w:t>
      </w:r>
      <w:r w:rsidRPr="002E19EA">
        <w:rPr>
          <w:b/>
        </w:rPr>
        <w:t>3.</w:t>
      </w:r>
      <w:r>
        <w:rPr>
          <w:b/>
        </w:rPr>
        <w:t>13</w:t>
      </w:r>
      <w:r>
        <w:t xml:space="preserve">). </w:t>
      </w:r>
    </w:p>
    <w:p w14:paraId="567AB4FA" w14:textId="06969D47" w:rsidR="00CC4E3D" w:rsidRDefault="00CC4E3D" w:rsidP="00FD4CA8">
      <w:pPr>
        <w:pStyle w:val="Caption"/>
      </w:pPr>
      <w:bookmarkStart w:id="229" w:name="_Toc535511465"/>
      <w:bookmarkStart w:id="230" w:name="_Toc535511525"/>
      <w:bookmarkStart w:id="231" w:name="_Toc535512752"/>
      <w:bookmarkStart w:id="232" w:name="_Toc535513388"/>
      <w:bookmarkStart w:id="233" w:name="_Toc23841467"/>
      <w:r>
        <w:t xml:space="preserve">Figure </w:t>
      </w:r>
      <w:r>
        <w:rPr>
          <w:noProof/>
        </w:rPr>
        <w:fldChar w:fldCharType="begin"/>
      </w:r>
      <w:r>
        <w:rPr>
          <w:noProof/>
        </w:rPr>
        <w:instrText xml:space="preserve"> STYLEREF 1 \s </w:instrText>
      </w:r>
      <w:r>
        <w:rPr>
          <w:noProof/>
        </w:rPr>
        <w:fldChar w:fldCharType="separate"/>
      </w:r>
      <w:r w:rsidR="00D84A2A">
        <w:rPr>
          <w:noProof/>
        </w:rPr>
        <w:t>3</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13</w:t>
      </w:r>
      <w:r>
        <w:rPr>
          <w:noProof/>
        </w:rPr>
        <w:fldChar w:fldCharType="end"/>
      </w:r>
      <w:r>
        <w:tab/>
        <w:t>Provider views on TtW’s suitability for the target groups</w:t>
      </w:r>
      <w:bookmarkEnd w:id="229"/>
      <w:bookmarkEnd w:id="230"/>
      <w:bookmarkEnd w:id="231"/>
      <w:bookmarkEnd w:id="232"/>
      <w:bookmarkEnd w:id="233"/>
    </w:p>
    <w:p w14:paraId="3C7DC704" w14:textId="77777777" w:rsidR="00CC4E3D" w:rsidRDefault="00CC4E3D" w:rsidP="00CC4E3D">
      <w:r w:rsidRPr="00382F03">
        <w:rPr>
          <w:noProof/>
          <w:lang w:eastAsia="en-AU"/>
        </w:rPr>
        <w:drawing>
          <wp:inline distT="0" distB="0" distL="0" distR="0" wp14:anchorId="31C235B9" wp14:editId="0293BBA0">
            <wp:extent cx="5403600" cy="3045600"/>
            <wp:effectExtent l="0" t="0" r="6985" b="2540"/>
            <wp:docPr id="8" name="Picture 8" descr="Stacked bar chart showing survey responses on how suitable TtW is for the young people it targets.&#10;This chart shows the breakdown of provider responses, from ‘strongly agree’ to ‘strongly disagree’, to three descriptions of TtW:&#10;1. ‘improves participants’ work-readiness — 51% strongly agreed; 47% agreed&#10;2. ‘is appropriate for the target participant group’ — 45% strongly agreed; 52% agreed.&#10;3. ‘helps participants at high risk of long-term unemployment to improve their chances of finding and keeping a job’ — 44% strongly agreed; 52% agre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03600" cy="3045600"/>
                    </a:xfrm>
                    <a:prstGeom prst="rect">
                      <a:avLst/>
                    </a:prstGeom>
                    <a:noFill/>
                    <a:ln>
                      <a:noFill/>
                    </a:ln>
                  </pic:spPr>
                </pic:pic>
              </a:graphicData>
            </a:graphic>
          </wp:inline>
        </w:drawing>
      </w:r>
    </w:p>
    <w:p w14:paraId="4048C962" w14:textId="77777777" w:rsidR="00CC4E3D" w:rsidRDefault="00CC4E3D" w:rsidP="00CC4E3D">
      <w:pPr>
        <w:pStyle w:val="Note"/>
      </w:pPr>
      <w:r>
        <w:t>Note: Does not include providers who responded ‘Don’t know/</w:t>
      </w:r>
      <w:r w:rsidRPr="00804009">
        <w:t>Undecided’</w:t>
      </w:r>
      <w:r>
        <w:t xml:space="preserve">, so bars may not add up to 100 per cent. </w:t>
      </w:r>
    </w:p>
    <w:p w14:paraId="436281C7" w14:textId="77777777" w:rsidR="00CC4E3D" w:rsidRPr="005A1B8D" w:rsidRDefault="00CC4E3D" w:rsidP="00CC4E3D">
      <w:pPr>
        <w:pStyle w:val="Source"/>
        <w:rPr>
          <w:b/>
        </w:rPr>
      </w:pPr>
      <w:r w:rsidRPr="005A1B8D">
        <w:rPr>
          <w:b/>
        </w:rPr>
        <w:t>Source: TtW Provider Survey (2016).</w:t>
      </w:r>
    </w:p>
    <w:p w14:paraId="35198C94" w14:textId="77777777" w:rsidR="00CC4E3D" w:rsidRDefault="00CC4E3D" w:rsidP="00CC4E3D">
      <w:r>
        <w:t>This was supported by qualitative research findings that providers were generally positive about the design of TtW. Providers reported that the service model allowed them to provide individualised service to clients, which was important in helping disadvantaged young people.</w:t>
      </w:r>
    </w:p>
    <w:p w14:paraId="3032E913" w14:textId="77777777" w:rsidR="00CC4E3D" w:rsidRPr="00804009" w:rsidRDefault="00CC4E3D" w:rsidP="00CC4E3D">
      <w:pPr>
        <w:pStyle w:val="Quotation"/>
      </w:pPr>
      <w:r w:rsidRPr="00804009">
        <w:t xml:space="preserve">Having a long history of working in job services, to have something where we can offer a bit of flexibility and actually sit down and work with a young person is great. </w:t>
      </w:r>
    </w:p>
    <w:p w14:paraId="2C24598B" w14:textId="77777777" w:rsidR="00CC4E3D" w:rsidRPr="00804009" w:rsidRDefault="00CC4E3D" w:rsidP="00CC4E3D">
      <w:pPr>
        <w:pStyle w:val="Quotation"/>
      </w:pPr>
      <w:r w:rsidRPr="00804009">
        <w:t>(Provider Interview 1)</w:t>
      </w:r>
    </w:p>
    <w:p w14:paraId="098BE298" w14:textId="77777777" w:rsidR="00CC4E3D" w:rsidRDefault="00CC4E3D" w:rsidP="00CC4E3D">
      <w:r>
        <w:t>DHS staff also expressed support for a dedicated service for this cohort.</w:t>
      </w:r>
    </w:p>
    <w:p w14:paraId="5680A46E" w14:textId="77777777" w:rsidR="00CC4E3D" w:rsidRPr="00FD4CA8" w:rsidRDefault="00CC4E3D" w:rsidP="001C25D9">
      <w:pPr>
        <w:pStyle w:val="Heading3"/>
        <w:numPr>
          <w:ilvl w:val="2"/>
          <w:numId w:val="4"/>
        </w:numPr>
        <w:spacing w:before="200"/>
        <w:rPr>
          <w:szCs w:val="24"/>
        </w:rPr>
      </w:pPr>
      <w:bookmarkStart w:id="234" w:name="_Toc535498892"/>
      <w:bookmarkStart w:id="235" w:name="_Toc23841372"/>
      <w:r w:rsidRPr="00FD4CA8">
        <w:rPr>
          <w:szCs w:val="24"/>
        </w:rPr>
        <w:lastRenderedPageBreak/>
        <w:t>The TtW service model is flexible and appropriate for engaging young people</w:t>
      </w:r>
      <w:bookmarkEnd w:id="234"/>
      <w:bookmarkEnd w:id="235"/>
    </w:p>
    <w:p w14:paraId="2030E72E" w14:textId="77777777" w:rsidR="00CC4E3D" w:rsidRDefault="00CC4E3D" w:rsidP="00CC4E3D">
      <w:r>
        <w:t>Most providers (around 65 per cent) who responded to the TtW Provider Survey indicated that four weeks to engage and 12 months to increase work-readiness were sufficient time limits. Some providers advocated for flexibility to extend the service delivery time beyond 12 months.</w:t>
      </w:r>
    </w:p>
    <w:p w14:paraId="0F2193AD" w14:textId="77777777" w:rsidR="00CC4E3D" w:rsidRDefault="00CC4E3D" w:rsidP="00CC4E3D">
      <w:r>
        <w:t>It is worth noting that the difficulties associated with the early referrals in the implementation phase may have influenced these figures and that overall satisfaction may increase as TtW becomes more established.</w:t>
      </w:r>
    </w:p>
    <w:p w14:paraId="162AFDA9" w14:textId="77777777" w:rsidR="00CC4E3D" w:rsidRDefault="00CC4E3D" w:rsidP="00CC4E3D">
      <w:r>
        <w:t>Around 90 per cent of providers indicated that the service had the flexibility to help participants transition into work, education or training (</w:t>
      </w:r>
      <w:r>
        <w:rPr>
          <w:b/>
        </w:rPr>
        <w:t>Figure </w:t>
      </w:r>
      <w:r w:rsidRPr="00486AF7">
        <w:rPr>
          <w:b/>
        </w:rPr>
        <w:t>3.1</w:t>
      </w:r>
      <w:r>
        <w:rPr>
          <w:b/>
        </w:rPr>
        <w:t>4</w:t>
      </w:r>
      <w:r>
        <w:t xml:space="preserve">). </w:t>
      </w:r>
    </w:p>
    <w:p w14:paraId="0A51FD83" w14:textId="77777777" w:rsidR="00CC4E3D" w:rsidRPr="00804009" w:rsidRDefault="00CC4E3D" w:rsidP="00CC4E3D">
      <w:pPr>
        <w:pStyle w:val="Quotation"/>
      </w:pPr>
      <w:r w:rsidRPr="00804009">
        <w:t xml:space="preserve">I think that’s the best thing with Transition to Work — the flexibility in being able to work with a young person. </w:t>
      </w:r>
    </w:p>
    <w:p w14:paraId="06773826" w14:textId="77777777" w:rsidR="00CC4E3D" w:rsidRPr="00804009" w:rsidRDefault="00CC4E3D" w:rsidP="00CC4E3D">
      <w:pPr>
        <w:pStyle w:val="Quotation"/>
      </w:pPr>
      <w:r w:rsidRPr="00804009">
        <w:t>(Provider Interview 9)</w:t>
      </w:r>
    </w:p>
    <w:p w14:paraId="26B1CE11" w14:textId="42685702" w:rsidR="00CC4E3D" w:rsidRDefault="00CC4E3D" w:rsidP="00FD4CA8">
      <w:pPr>
        <w:pStyle w:val="Caption"/>
      </w:pPr>
      <w:bookmarkStart w:id="236" w:name="_Toc535511466"/>
      <w:bookmarkStart w:id="237" w:name="_Toc535511526"/>
      <w:bookmarkStart w:id="238" w:name="_Toc535512753"/>
      <w:bookmarkStart w:id="239" w:name="_Toc535513389"/>
      <w:bookmarkStart w:id="240" w:name="_Toc23841468"/>
      <w:r>
        <w:t xml:space="preserve">Figure </w:t>
      </w:r>
      <w:r>
        <w:rPr>
          <w:noProof/>
        </w:rPr>
        <w:fldChar w:fldCharType="begin"/>
      </w:r>
      <w:r>
        <w:rPr>
          <w:noProof/>
        </w:rPr>
        <w:instrText xml:space="preserve"> STYLEREF 1 \s </w:instrText>
      </w:r>
      <w:r>
        <w:rPr>
          <w:noProof/>
        </w:rPr>
        <w:fldChar w:fldCharType="separate"/>
      </w:r>
      <w:r w:rsidR="00D84A2A">
        <w:rPr>
          <w:noProof/>
        </w:rPr>
        <w:t>3</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14</w:t>
      </w:r>
      <w:r>
        <w:rPr>
          <w:noProof/>
        </w:rPr>
        <w:fldChar w:fldCharType="end"/>
      </w:r>
      <w:r>
        <w:tab/>
        <w:t>Provider views on TtW’s flexibility in meeting participant needs</w:t>
      </w:r>
      <w:bookmarkEnd w:id="236"/>
      <w:bookmarkEnd w:id="237"/>
      <w:bookmarkEnd w:id="238"/>
      <w:bookmarkEnd w:id="239"/>
      <w:bookmarkEnd w:id="240"/>
    </w:p>
    <w:p w14:paraId="0E3B27DD" w14:textId="77777777" w:rsidR="00CC4E3D" w:rsidRDefault="00CC4E3D" w:rsidP="00CC4E3D">
      <w:r w:rsidRPr="00382F03">
        <w:rPr>
          <w:noProof/>
          <w:lang w:eastAsia="en-AU"/>
        </w:rPr>
        <w:drawing>
          <wp:inline distT="0" distB="0" distL="0" distR="0" wp14:anchorId="78918C30" wp14:editId="02BC0DF2">
            <wp:extent cx="5403600" cy="3045600"/>
            <wp:effectExtent l="0" t="0" r="6985" b="2540"/>
            <wp:docPr id="9" name="Picture 9" descr="Stacked bar chart showing survey responses on how well TtW meets young people’s needs.&#10;This chart shows the breakdown of provider responses, from ‘strongly agree’ to ‘strongly disagree’, to three statements starting ‘TtW has sufficient flexibility to meet participants’ need to’:&#10;1. ‘transition to employment’ — 37% strongly agreed; 56% agreed&#10;2. ‘transition to education’ — 35% strongly agreed; 55% agreed&#10;3. ‘transition to training’ — 33% strongly agreed; 58% agreed&#10;4. ‘address non-vocational barriers’ — 32% strongly agreed; 58% agree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03600" cy="3045600"/>
                    </a:xfrm>
                    <a:prstGeom prst="rect">
                      <a:avLst/>
                    </a:prstGeom>
                    <a:noFill/>
                    <a:ln>
                      <a:noFill/>
                    </a:ln>
                  </pic:spPr>
                </pic:pic>
              </a:graphicData>
            </a:graphic>
          </wp:inline>
        </w:drawing>
      </w:r>
    </w:p>
    <w:p w14:paraId="0E74F9EB" w14:textId="77777777" w:rsidR="00CC4E3D" w:rsidRDefault="00CC4E3D" w:rsidP="00CC4E3D">
      <w:pPr>
        <w:pStyle w:val="Note"/>
      </w:pPr>
      <w:r>
        <w:t>Note: Does not include providers who responded ‘Don’t know/</w:t>
      </w:r>
      <w:r w:rsidRPr="00804009">
        <w:t>Undecided’</w:t>
      </w:r>
      <w:r>
        <w:t xml:space="preserve">, so bars may not add up to 100 per cent. </w:t>
      </w:r>
    </w:p>
    <w:p w14:paraId="38A45B6D" w14:textId="77777777" w:rsidR="00CC4E3D" w:rsidRPr="005A1B8D" w:rsidRDefault="00CC4E3D" w:rsidP="00CC4E3D">
      <w:pPr>
        <w:pStyle w:val="Source"/>
        <w:rPr>
          <w:b/>
        </w:rPr>
      </w:pPr>
      <w:r w:rsidRPr="005A1B8D">
        <w:rPr>
          <w:b/>
        </w:rPr>
        <w:t>Source: TtW Provider Survey (2016).</w:t>
      </w:r>
    </w:p>
    <w:p w14:paraId="14544123" w14:textId="77777777" w:rsidR="00CC4E3D" w:rsidRDefault="00CC4E3D" w:rsidP="00CC4E3D">
      <w:r>
        <w:t>Providers explained that TtW gave them the flexibility to spend more time with each participant, such as accompanying a participant on cold canvassing visits to local employers (</w:t>
      </w:r>
      <w:r>
        <w:rPr>
          <w:b/>
        </w:rPr>
        <w:t>Figure </w:t>
      </w:r>
      <w:r w:rsidRPr="00486AF7">
        <w:rPr>
          <w:b/>
        </w:rPr>
        <w:t>3.1</w:t>
      </w:r>
      <w:r>
        <w:rPr>
          <w:b/>
        </w:rPr>
        <w:t>5</w:t>
      </w:r>
      <w:r>
        <w:t xml:space="preserve">). </w:t>
      </w:r>
    </w:p>
    <w:p w14:paraId="7F539BB3" w14:textId="5F1312B3" w:rsidR="00CC4E3D" w:rsidRDefault="00CC4E3D" w:rsidP="00CC4E3D">
      <w:r>
        <w:t xml:space="preserve">Participants reported feeling more confident of their ability to present themselves to potential employers as a result of improving their </w:t>
      </w:r>
      <w:r w:rsidR="004C7BB9">
        <w:t>résumés</w:t>
      </w:r>
      <w:r>
        <w:t>, increasing their interpersonal skills to market themselves, and dressing appropriately for face-to-face interactions with employers.</w:t>
      </w:r>
    </w:p>
    <w:p w14:paraId="458926E0" w14:textId="79C14433" w:rsidR="00CC4E3D" w:rsidRPr="00804009" w:rsidRDefault="00CC4E3D" w:rsidP="00CC4E3D">
      <w:pPr>
        <w:pStyle w:val="Quotation"/>
      </w:pPr>
      <w:r w:rsidRPr="00804009">
        <w:lastRenderedPageBreak/>
        <w:t>I definitely feel more confident in going out there and looking for a job and everything. As I said I didn’t have a r</w:t>
      </w:r>
      <w:r w:rsidR="007B46C9">
        <w:t>é</w:t>
      </w:r>
      <w:r w:rsidRPr="00804009">
        <w:t>sum</w:t>
      </w:r>
      <w:r>
        <w:t>é</w:t>
      </w:r>
      <w:r w:rsidRPr="00804009">
        <w:t xml:space="preserve"> prior to joining them and now that I do, so yes. </w:t>
      </w:r>
    </w:p>
    <w:p w14:paraId="39A53B2A" w14:textId="77777777" w:rsidR="00CC4E3D" w:rsidRPr="00804009" w:rsidRDefault="00CC4E3D" w:rsidP="00CC4E3D">
      <w:pPr>
        <w:pStyle w:val="Quotation"/>
      </w:pPr>
      <w:r w:rsidRPr="00804009">
        <w:t>(Participant Focus Group 12)</w:t>
      </w:r>
    </w:p>
    <w:p w14:paraId="12DB814B" w14:textId="5AA94F3D" w:rsidR="00CC4E3D" w:rsidRDefault="00CC4E3D" w:rsidP="00FD4CA8">
      <w:pPr>
        <w:pStyle w:val="Caption"/>
      </w:pPr>
      <w:bookmarkStart w:id="241" w:name="_Toc535511467"/>
      <w:bookmarkStart w:id="242" w:name="_Toc535511527"/>
      <w:bookmarkStart w:id="243" w:name="_Toc535512754"/>
      <w:bookmarkStart w:id="244" w:name="_Toc535513390"/>
      <w:bookmarkStart w:id="245" w:name="_Toc23841469"/>
      <w:r>
        <w:t xml:space="preserve">Figure </w:t>
      </w:r>
      <w:r>
        <w:rPr>
          <w:noProof/>
        </w:rPr>
        <w:fldChar w:fldCharType="begin"/>
      </w:r>
      <w:r>
        <w:rPr>
          <w:noProof/>
        </w:rPr>
        <w:instrText xml:space="preserve"> STYLEREF 1 \s </w:instrText>
      </w:r>
      <w:r>
        <w:rPr>
          <w:noProof/>
        </w:rPr>
        <w:fldChar w:fldCharType="separate"/>
      </w:r>
      <w:r w:rsidR="00D84A2A">
        <w:rPr>
          <w:noProof/>
        </w:rPr>
        <w:t>3</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15</w:t>
      </w:r>
      <w:r>
        <w:rPr>
          <w:noProof/>
        </w:rPr>
        <w:fldChar w:fldCharType="end"/>
      </w:r>
      <w:r>
        <w:tab/>
        <w:t>Provider views on TtW’s flexibility in meeting participant and employer circumstances</w:t>
      </w:r>
      <w:bookmarkEnd w:id="241"/>
      <w:bookmarkEnd w:id="242"/>
      <w:bookmarkEnd w:id="243"/>
      <w:bookmarkEnd w:id="244"/>
      <w:bookmarkEnd w:id="245"/>
    </w:p>
    <w:p w14:paraId="09FBD538" w14:textId="77777777" w:rsidR="00CC4E3D" w:rsidRDefault="00CC4E3D" w:rsidP="00CC4E3D">
      <w:r w:rsidRPr="00382F03">
        <w:rPr>
          <w:noProof/>
          <w:lang w:eastAsia="en-AU"/>
        </w:rPr>
        <w:drawing>
          <wp:inline distT="0" distB="0" distL="0" distR="0" wp14:anchorId="036FB4BD" wp14:editId="6F757680">
            <wp:extent cx="5403600" cy="3045600"/>
            <wp:effectExtent l="0" t="0" r="6985" b="2540"/>
            <wp:docPr id="10" name="Picture 10" descr="Stacked bar chart showing survey responses on how flexible TtW is for young people and employers.&#10;This chart shows the breakdown of provider responses, from ‘strongly agree’ to ‘strongly disagree’, to two statements starting ‘TtW allows for more flexible strategies that are appropriately tailored to’:&#10;1. ‘meet the circumstances of participants’ — 53% strongly agreed; 41% agreed&#10;2. ‘meet the circumstances of employers’ — 38% strongly agreed; 46% agreed; 12% neither agreed nor disagree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03600" cy="3045600"/>
                    </a:xfrm>
                    <a:prstGeom prst="rect">
                      <a:avLst/>
                    </a:prstGeom>
                    <a:noFill/>
                    <a:ln>
                      <a:noFill/>
                    </a:ln>
                  </pic:spPr>
                </pic:pic>
              </a:graphicData>
            </a:graphic>
          </wp:inline>
        </w:drawing>
      </w:r>
    </w:p>
    <w:p w14:paraId="1D2F76F3" w14:textId="77777777" w:rsidR="00CC4E3D" w:rsidRDefault="00CC4E3D" w:rsidP="00CC4E3D">
      <w:pPr>
        <w:pStyle w:val="Note"/>
        <w:keepNext/>
      </w:pPr>
      <w:r>
        <w:t xml:space="preserve">Note: Does not include providers who responded ‘Don’t know/Undecided’, so bars will not add up to 100 per cent. </w:t>
      </w:r>
    </w:p>
    <w:p w14:paraId="40F30532" w14:textId="77777777" w:rsidR="00CC4E3D" w:rsidRPr="005A1B8D" w:rsidRDefault="00CC4E3D" w:rsidP="00CC4E3D">
      <w:pPr>
        <w:pStyle w:val="Source"/>
        <w:rPr>
          <w:b/>
        </w:rPr>
      </w:pPr>
      <w:r w:rsidRPr="005A1B8D">
        <w:rPr>
          <w:b/>
        </w:rPr>
        <w:t>Source: TtW Provider Survey (2016).</w:t>
      </w:r>
    </w:p>
    <w:p w14:paraId="461B1C7D" w14:textId="77777777" w:rsidR="00CC4E3D" w:rsidRDefault="00CC4E3D" w:rsidP="00CC4E3D">
      <w:r>
        <w:t>While providers used a combination of service approaches the survey data indicates (</w:t>
      </w:r>
      <w:r>
        <w:rPr>
          <w:b/>
        </w:rPr>
        <w:t>Figure </w:t>
      </w:r>
      <w:r w:rsidRPr="00486AF7">
        <w:rPr>
          <w:b/>
        </w:rPr>
        <w:t>3.1</w:t>
      </w:r>
      <w:r>
        <w:rPr>
          <w:b/>
        </w:rPr>
        <w:t>6</w:t>
      </w:r>
      <w:r>
        <w:t>) that 90 per cent of providers assigned a designated consultant to each participant to ensure that they received tailored and individualised service. Specialist consultants were also available to participants with specific barriers at 86 per cent of provider sites who responded. In addition, 61 per cent of the responding providers reported using teleconferencing or telephone servicing with almost half using self service at least some of the time.</w:t>
      </w:r>
    </w:p>
    <w:p w14:paraId="1920D2A3" w14:textId="000B05D1" w:rsidR="00CC4E3D" w:rsidRDefault="00CC4E3D" w:rsidP="00FD4CA8">
      <w:pPr>
        <w:pStyle w:val="Caption"/>
      </w:pPr>
      <w:bookmarkStart w:id="246" w:name="_Toc535511468"/>
      <w:bookmarkStart w:id="247" w:name="_Toc535511528"/>
      <w:bookmarkStart w:id="248" w:name="_Toc535512755"/>
      <w:bookmarkStart w:id="249" w:name="_Toc535513391"/>
      <w:bookmarkStart w:id="250" w:name="_Toc23841470"/>
      <w:r>
        <w:lastRenderedPageBreak/>
        <w:t xml:space="preserve">Figure </w:t>
      </w:r>
      <w:r>
        <w:rPr>
          <w:noProof/>
        </w:rPr>
        <w:fldChar w:fldCharType="begin"/>
      </w:r>
      <w:r>
        <w:rPr>
          <w:noProof/>
        </w:rPr>
        <w:instrText xml:space="preserve"> STYLEREF 1 \s </w:instrText>
      </w:r>
      <w:r>
        <w:rPr>
          <w:noProof/>
        </w:rPr>
        <w:fldChar w:fldCharType="separate"/>
      </w:r>
      <w:r w:rsidR="00D84A2A">
        <w:rPr>
          <w:noProof/>
        </w:rPr>
        <w:t>3</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16</w:t>
      </w:r>
      <w:r>
        <w:rPr>
          <w:noProof/>
        </w:rPr>
        <w:fldChar w:fldCharType="end"/>
      </w:r>
      <w:r>
        <w:tab/>
        <w:t>Service approaches reported by TtW providers</w:t>
      </w:r>
      <w:bookmarkEnd w:id="246"/>
      <w:bookmarkEnd w:id="247"/>
      <w:bookmarkEnd w:id="248"/>
      <w:bookmarkEnd w:id="249"/>
      <w:bookmarkEnd w:id="250"/>
      <w:r>
        <w:t xml:space="preserve"> </w:t>
      </w:r>
    </w:p>
    <w:p w14:paraId="1B3D67EC" w14:textId="77777777" w:rsidR="00CC4E3D" w:rsidRDefault="00CC4E3D" w:rsidP="00CC4E3D">
      <w:pPr>
        <w:keepNext/>
        <w:keepLines/>
      </w:pPr>
      <w:r w:rsidRPr="00382F03">
        <w:rPr>
          <w:noProof/>
          <w:lang w:eastAsia="en-AU"/>
        </w:rPr>
        <w:drawing>
          <wp:inline distT="0" distB="0" distL="0" distR="0" wp14:anchorId="084FF40C" wp14:editId="7E5215BF">
            <wp:extent cx="5403600" cy="3045600"/>
            <wp:effectExtent l="0" t="0" r="6985" b="2540"/>
            <wp:docPr id="11" name="Picture 11" descr="Stacked bar chart showing survey responses on how often they used different service delivery approaches.&#10;This chart shows the breakdown of providers’ responses on how often, from ‘All of the time’ to ‘Never’, they took the following service approaches:&#10;1. Individually with the same consultant — 91% said all or most of the time&#10;2. Individually with specialist consultants — 50% said all or most of the time; 36% some of the time&#10;3. Individually with any available consultant — 22% said all or most of the time; 21% some of the time; 41% rarely &#10;4. Group servicing by cohort — 21% said most of the time; 51% some of the time; 11% rarely &#10;5. Teleconference/telephone — 47% said some of the time; 34% rarely&#10;6. Self service — 37% said some of the time; 31% rarely; 21% nev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03600" cy="3045600"/>
                    </a:xfrm>
                    <a:prstGeom prst="rect">
                      <a:avLst/>
                    </a:prstGeom>
                    <a:noFill/>
                    <a:ln>
                      <a:noFill/>
                    </a:ln>
                  </pic:spPr>
                </pic:pic>
              </a:graphicData>
            </a:graphic>
          </wp:inline>
        </w:drawing>
      </w:r>
    </w:p>
    <w:p w14:paraId="1DC87EC3" w14:textId="77777777" w:rsidR="00CC4E3D" w:rsidRDefault="00CC4E3D" w:rsidP="00CC4E3D">
      <w:pPr>
        <w:pStyle w:val="Note"/>
        <w:keepNext/>
      </w:pPr>
      <w:r>
        <w:t xml:space="preserve">Note: Multiple response question, so bars will not add up to 100 per cent. </w:t>
      </w:r>
    </w:p>
    <w:p w14:paraId="2FB3B0E5" w14:textId="77777777" w:rsidR="00CC4E3D" w:rsidRPr="005A1B8D" w:rsidRDefault="00CC4E3D" w:rsidP="00CC4E3D">
      <w:pPr>
        <w:pStyle w:val="Source"/>
        <w:rPr>
          <w:b/>
        </w:rPr>
      </w:pPr>
      <w:r w:rsidRPr="005A1B8D">
        <w:rPr>
          <w:b/>
        </w:rPr>
        <w:t>Source: TtW Provider Survey (2016).</w:t>
      </w:r>
    </w:p>
    <w:p w14:paraId="1B96018F" w14:textId="77777777" w:rsidR="00CC4E3D" w:rsidRDefault="00CC4E3D" w:rsidP="00CC4E3D">
      <w:r>
        <w:t xml:space="preserve">In addition to assigning a dedicated consultant, most TtW providers organised group activities to help develop participants’ interpersonal skills, such as simulating work situations to help them learn about workplace etiquette. </w:t>
      </w:r>
    </w:p>
    <w:p w14:paraId="64C67F8C" w14:textId="77777777" w:rsidR="00CC4E3D" w:rsidRPr="00804009" w:rsidRDefault="00CC4E3D" w:rsidP="00CC4E3D">
      <w:pPr>
        <w:pStyle w:val="Quotation"/>
      </w:pPr>
      <w:r w:rsidRPr="00804009">
        <w:t>We’ve got an hour session on workplace etiquette and that talks about you should be there five minutes before start time and when the bell goes or the whistle goes and do different things and what to do and how to act in the smoko room and things like that. We try and make it fun but realistic as well.</w:t>
      </w:r>
    </w:p>
    <w:p w14:paraId="2E180B55" w14:textId="77777777" w:rsidR="00CC4E3D" w:rsidRPr="00804009" w:rsidRDefault="00CC4E3D" w:rsidP="00CC4E3D">
      <w:pPr>
        <w:pStyle w:val="Quotation"/>
      </w:pPr>
      <w:r w:rsidRPr="00804009">
        <w:t>(Provider Interview 5)</w:t>
      </w:r>
    </w:p>
    <w:p w14:paraId="6B777DD0" w14:textId="77777777" w:rsidR="00CC4E3D" w:rsidRPr="00FD4CA8" w:rsidRDefault="00CC4E3D" w:rsidP="001C25D9">
      <w:pPr>
        <w:pStyle w:val="Heading3"/>
        <w:numPr>
          <w:ilvl w:val="2"/>
          <w:numId w:val="4"/>
        </w:numPr>
        <w:spacing w:before="200"/>
        <w:rPr>
          <w:szCs w:val="24"/>
        </w:rPr>
      </w:pPr>
      <w:bookmarkStart w:id="251" w:name="_Toc535498893"/>
      <w:bookmarkStart w:id="252" w:name="_Toc23841373"/>
      <w:r w:rsidRPr="00FD4CA8">
        <w:rPr>
          <w:szCs w:val="24"/>
        </w:rPr>
        <w:t>Providers and participants preferred TtW to jobactive</w:t>
      </w:r>
      <w:bookmarkEnd w:id="251"/>
      <w:bookmarkEnd w:id="252"/>
    </w:p>
    <w:p w14:paraId="62228EC5" w14:textId="77777777" w:rsidR="00CC4E3D" w:rsidRDefault="00CC4E3D" w:rsidP="00CC4E3D">
      <w:r>
        <w:t>Both TtW and jobactive providers are expected to work closely with their participants to help them enter the workforce through activities such as training and job placements. In general, TtW providers are mostly specialised in working with disengaged and disadvantaged young people and therefore are likely in a position to provide more specialised and targeted pre</w:t>
      </w:r>
      <w:r>
        <w:noBreakHyphen/>
        <w:t xml:space="preserve">employment support to this particular cohort. This most likely explains why around 80 per cent of participants who </w:t>
      </w:r>
      <w:r w:rsidRPr="000A38F1">
        <w:t>contributed to the evaluation said</w:t>
      </w:r>
      <w:r>
        <w:t xml:space="preserve"> they preferred TtW to jobactive. </w:t>
      </w:r>
    </w:p>
    <w:p w14:paraId="62CBFF4B" w14:textId="77777777" w:rsidR="00CC4E3D" w:rsidRPr="00804009" w:rsidRDefault="00CC4E3D" w:rsidP="005A1B8D">
      <w:pPr>
        <w:pStyle w:val="Quotation"/>
        <w:keepNext/>
        <w:keepLines/>
        <w:ind w:right="998"/>
      </w:pPr>
      <w:r w:rsidRPr="00804009">
        <w:lastRenderedPageBreak/>
        <w:t>I like that they generally go out of the way to try and find you jobs that you are going to enjoy instead of just trying to force you to a job that you’re going to hate and leave anyway. It’s a big difference between getting someone to look for work they’re not going to like and then being in a job they hate and leaving it, and having done it all for nothing. A lot of new young persons find a job that they’re going to want to stay in that is going to help them with their future, and it will be a job they think that they’re going to keep. Like, it’s a big difference and I really like that they go out of the way to make sure that they’re looking for something that you’re comfortable doing, and something that you’re actually going to enjoy.</w:t>
      </w:r>
    </w:p>
    <w:p w14:paraId="470DD762" w14:textId="77777777" w:rsidR="00CC4E3D" w:rsidRPr="00804009" w:rsidRDefault="00CC4E3D" w:rsidP="005A1B8D">
      <w:pPr>
        <w:pStyle w:val="Quotation"/>
        <w:keepNext/>
        <w:keepLines/>
        <w:ind w:right="998"/>
      </w:pPr>
      <w:r w:rsidRPr="00804009">
        <w:t>(Respondent 1, Participant Focus Group 12)</w:t>
      </w:r>
    </w:p>
    <w:p w14:paraId="790C9D18" w14:textId="77777777" w:rsidR="00CC4E3D" w:rsidRDefault="00CC4E3D" w:rsidP="00CC4E3D">
      <w:r>
        <w:t xml:space="preserve">Providers welcomed a different way of operating under TtW than under jobactive — specifically TtW’s smaller caseloads supported by the funding arrangements, which allowed them to spend more time with each individual participant. </w:t>
      </w:r>
    </w:p>
    <w:p w14:paraId="73F3A165" w14:textId="77777777" w:rsidR="00CC4E3D" w:rsidRPr="00804009" w:rsidRDefault="00CC4E3D" w:rsidP="00CC4E3D">
      <w:pPr>
        <w:pStyle w:val="Quotation"/>
      </w:pPr>
      <w:r w:rsidRPr="00804009">
        <w:t>So with the ability to be able to spend that extra time with them and get to know them and get to know what it is that they actually do want to do, it makes our job a lot easier because we’ve got the time to just sit back and ask the questions that maybe jobactive providers don’t have the time to ask.</w:t>
      </w:r>
    </w:p>
    <w:p w14:paraId="64838D4F" w14:textId="77777777" w:rsidR="00CC4E3D" w:rsidRPr="00804009" w:rsidRDefault="00CC4E3D" w:rsidP="00CC4E3D">
      <w:pPr>
        <w:pStyle w:val="Quotation"/>
      </w:pPr>
      <w:r w:rsidRPr="00804009">
        <w:t>(Provider Interview 11)</w:t>
      </w:r>
    </w:p>
    <w:p w14:paraId="25D10603" w14:textId="77777777" w:rsidR="00CC4E3D" w:rsidRPr="001F4939" w:rsidRDefault="00CC4E3D" w:rsidP="001F4939">
      <w:pPr>
        <w:pStyle w:val="Heading2"/>
        <w:numPr>
          <w:ilvl w:val="1"/>
          <w:numId w:val="4"/>
        </w:numPr>
      </w:pPr>
      <w:bookmarkStart w:id="253" w:name="_Toc535498894"/>
      <w:bookmarkStart w:id="254" w:name="_Toc23841374"/>
      <w:r w:rsidRPr="001F4939">
        <w:t>Suggestions from stakeholders</w:t>
      </w:r>
      <w:bookmarkEnd w:id="253"/>
      <w:bookmarkEnd w:id="254"/>
      <w:r w:rsidRPr="001F4939">
        <w:t xml:space="preserve"> </w:t>
      </w:r>
    </w:p>
    <w:p w14:paraId="5EE073A9" w14:textId="77777777" w:rsidR="00CC4E3D" w:rsidRDefault="00CC4E3D" w:rsidP="00CC4E3D">
      <w:r w:rsidRPr="003A170C">
        <w:t xml:space="preserve">Overall the TtW </w:t>
      </w:r>
      <w:r>
        <w:t>service</w:t>
      </w:r>
      <w:r w:rsidRPr="003A170C">
        <w:t xml:space="preserve"> was positively received by all stakeholders</w:t>
      </w:r>
      <w:r>
        <w:t>:</w:t>
      </w:r>
      <w:r w:rsidRPr="003A170C">
        <w:t xml:space="preserve"> participants, providers, DHS</w:t>
      </w:r>
      <w:r>
        <w:t xml:space="preserve"> staff</w:t>
      </w:r>
      <w:r w:rsidRPr="003A170C">
        <w:t>, peak bod</w:t>
      </w:r>
      <w:r>
        <w:t>y representatives,</w:t>
      </w:r>
      <w:r w:rsidRPr="003A170C">
        <w:t xml:space="preserve"> and employers. </w:t>
      </w:r>
      <w:r>
        <w:t>Stakeholders agreed that t</w:t>
      </w:r>
      <w:r w:rsidRPr="003A170C">
        <w:t xml:space="preserve">he </w:t>
      </w:r>
      <w:r>
        <w:t>service gives</w:t>
      </w:r>
      <w:r w:rsidRPr="003A170C">
        <w:t xml:space="preserve"> providers the opportunity to deliver a flexible, holistic service to support </w:t>
      </w:r>
      <w:r>
        <w:t xml:space="preserve">a cohort of </w:t>
      </w:r>
      <w:r w:rsidRPr="003A170C">
        <w:t xml:space="preserve">young people on their path to employment or </w:t>
      </w:r>
      <w:r>
        <w:t xml:space="preserve">further </w:t>
      </w:r>
      <w:r w:rsidRPr="003A170C">
        <w:t xml:space="preserve">education. </w:t>
      </w:r>
      <w:r>
        <w:t>While stakeholders were generally satisfied with the TtW service there were a number of suggestions offered for improving the service.</w:t>
      </w:r>
    </w:p>
    <w:p w14:paraId="63C1FAAD" w14:textId="3A4B519F" w:rsidR="00CC4E3D" w:rsidRPr="00FD4CA8" w:rsidRDefault="00CC4E3D" w:rsidP="001C25D9">
      <w:pPr>
        <w:pStyle w:val="Heading3"/>
        <w:numPr>
          <w:ilvl w:val="2"/>
          <w:numId w:val="4"/>
        </w:numPr>
        <w:spacing w:before="200"/>
        <w:rPr>
          <w:szCs w:val="24"/>
        </w:rPr>
      </w:pPr>
      <w:bookmarkStart w:id="255" w:name="_Toc535498895"/>
      <w:bookmarkStart w:id="256" w:name="_Toc23841375"/>
      <w:r w:rsidRPr="00FD4CA8">
        <w:rPr>
          <w:szCs w:val="24"/>
        </w:rPr>
        <w:t xml:space="preserve">Support and guidance from the </w:t>
      </w:r>
      <w:r w:rsidR="00AC1C42">
        <w:rPr>
          <w:szCs w:val="24"/>
        </w:rPr>
        <w:t>d</w:t>
      </w:r>
      <w:r w:rsidRPr="00FD4CA8">
        <w:rPr>
          <w:szCs w:val="24"/>
        </w:rPr>
        <w:t>epartment</w:t>
      </w:r>
      <w:bookmarkEnd w:id="255"/>
      <w:bookmarkEnd w:id="256"/>
    </w:p>
    <w:p w14:paraId="23BAA859" w14:textId="1D65724A" w:rsidR="00CC4E3D" w:rsidRPr="00BB6608" w:rsidRDefault="00CC4E3D" w:rsidP="00CC4E3D">
      <w:pPr>
        <w:tabs>
          <w:tab w:val="left" w:pos="1865"/>
        </w:tabs>
        <w:rPr>
          <w:rFonts w:ascii="Calibri" w:hAnsi="Calibri"/>
        </w:rPr>
      </w:pPr>
      <w:r>
        <w:t>Some p</w:t>
      </w:r>
      <w:r w:rsidRPr="002B48B7">
        <w:t xml:space="preserve">roviders acknowledged that they would have benefited from additional </w:t>
      </w:r>
      <w:r w:rsidRPr="0065530C">
        <w:t xml:space="preserve">training on </w:t>
      </w:r>
      <w:r>
        <w:t xml:space="preserve">using the </w:t>
      </w:r>
      <w:r w:rsidR="00AC1C42">
        <w:t>d</w:t>
      </w:r>
      <w:r>
        <w:t>epartment‘s IT system and other resources available to providers</w:t>
      </w:r>
      <w:r w:rsidRPr="0065530C">
        <w:t>.</w:t>
      </w:r>
      <w:r w:rsidRPr="002B48B7">
        <w:t xml:space="preserve"> </w:t>
      </w:r>
      <w:r>
        <w:t>M</w:t>
      </w:r>
      <w:r w:rsidRPr="002B48B7">
        <w:t>any</w:t>
      </w:r>
      <w:r>
        <w:t xml:space="preserve"> providers who had not previously delivered jobactive services reported</w:t>
      </w:r>
      <w:r w:rsidRPr="002B48B7">
        <w:t xml:space="preserve"> that training </w:t>
      </w:r>
      <w:r w:rsidRPr="005C25FE">
        <w:t xml:space="preserve">on the </w:t>
      </w:r>
      <w:r w:rsidRPr="00474F26">
        <w:t>Provider Portal was</w:t>
      </w:r>
      <w:r w:rsidRPr="002B48B7">
        <w:t xml:space="preserve"> limited</w:t>
      </w:r>
      <w:r>
        <w:t>.</w:t>
      </w:r>
      <w:r w:rsidRPr="002B48B7">
        <w:t xml:space="preserve"> These providers </w:t>
      </w:r>
      <w:r>
        <w:t>said</w:t>
      </w:r>
      <w:r w:rsidRPr="002B48B7">
        <w:t xml:space="preserve"> there was insufficient training on </w:t>
      </w:r>
      <w:r>
        <w:t xml:space="preserve">using the </w:t>
      </w:r>
      <w:r w:rsidR="00AC1C42">
        <w:t>d</w:t>
      </w:r>
      <w:r>
        <w:t>epartment’s IT system and learning resources</w:t>
      </w:r>
      <w:r w:rsidRPr="002B48B7">
        <w:t xml:space="preserve"> at the beginning of the contract</w:t>
      </w:r>
      <w:r>
        <w:t>,</w:t>
      </w:r>
      <w:r w:rsidRPr="002B48B7">
        <w:t xml:space="preserve"> other than short webinars and face-to-face training </w:t>
      </w:r>
      <w:r>
        <w:t xml:space="preserve">that </w:t>
      </w:r>
      <w:r w:rsidRPr="002B48B7">
        <w:t xml:space="preserve">assumed </w:t>
      </w:r>
      <w:r>
        <w:t>some</w:t>
      </w:r>
      <w:r w:rsidRPr="002B48B7">
        <w:t xml:space="preserve"> basic knowledge. </w:t>
      </w:r>
      <w:r>
        <w:rPr>
          <w:rFonts w:ascii="Calibri" w:hAnsi="Calibri"/>
        </w:rPr>
        <w:t>A</w:t>
      </w:r>
      <w:r w:rsidRPr="00BB6608">
        <w:rPr>
          <w:rFonts w:ascii="Calibri" w:hAnsi="Calibri"/>
        </w:rPr>
        <w:t xml:space="preserve"> majority of providers </w:t>
      </w:r>
      <w:r>
        <w:rPr>
          <w:rFonts w:ascii="Calibri" w:hAnsi="Calibri"/>
        </w:rPr>
        <w:t>indicated that,</w:t>
      </w:r>
      <w:r w:rsidRPr="00BB6608">
        <w:rPr>
          <w:rFonts w:ascii="Calibri" w:hAnsi="Calibri"/>
        </w:rPr>
        <w:t xml:space="preserve"> </w:t>
      </w:r>
      <w:r>
        <w:rPr>
          <w:rFonts w:ascii="Calibri" w:hAnsi="Calibri"/>
        </w:rPr>
        <w:t xml:space="preserve">while the </w:t>
      </w:r>
      <w:r w:rsidRPr="00BB6608">
        <w:rPr>
          <w:rFonts w:ascii="Calibri" w:hAnsi="Calibri"/>
        </w:rPr>
        <w:t xml:space="preserve">program guidelines were helpful, </w:t>
      </w:r>
      <w:r>
        <w:rPr>
          <w:rFonts w:ascii="Calibri" w:hAnsi="Calibri"/>
        </w:rPr>
        <w:t>they</w:t>
      </w:r>
      <w:r w:rsidRPr="00BB6608">
        <w:rPr>
          <w:rFonts w:ascii="Calibri" w:hAnsi="Calibri"/>
        </w:rPr>
        <w:t xml:space="preserve"> </w:t>
      </w:r>
      <w:r>
        <w:rPr>
          <w:rFonts w:ascii="Calibri" w:hAnsi="Calibri"/>
        </w:rPr>
        <w:t xml:space="preserve">would </w:t>
      </w:r>
      <w:r w:rsidRPr="00BB6608">
        <w:rPr>
          <w:rFonts w:ascii="Calibri" w:hAnsi="Calibri"/>
        </w:rPr>
        <w:t xml:space="preserve">prefer more practical examples of likely situations that could arise and how to deal with them. </w:t>
      </w:r>
    </w:p>
    <w:p w14:paraId="4AD92E94" w14:textId="14A88F14" w:rsidR="00CC4E3D" w:rsidRPr="002B48B7" w:rsidRDefault="00CC4E3D" w:rsidP="00CC4E3D">
      <w:r>
        <w:rPr>
          <w:rFonts w:ascii="Calibri" w:hAnsi="Calibri"/>
        </w:rPr>
        <w:t>Some providers said that c</w:t>
      </w:r>
      <w:r w:rsidRPr="00BB6608">
        <w:rPr>
          <w:rFonts w:ascii="Calibri" w:hAnsi="Calibri"/>
        </w:rPr>
        <w:t xml:space="preserve">ommunication between the </w:t>
      </w:r>
      <w:r w:rsidR="00AC1C42">
        <w:rPr>
          <w:rFonts w:ascii="Calibri" w:hAnsi="Calibri"/>
        </w:rPr>
        <w:t>d</w:t>
      </w:r>
      <w:r w:rsidRPr="00BB6608">
        <w:rPr>
          <w:rFonts w:ascii="Calibri" w:hAnsi="Calibri"/>
        </w:rPr>
        <w:t>epartment</w:t>
      </w:r>
      <w:r>
        <w:rPr>
          <w:rFonts w:ascii="Calibri" w:hAnsi="Calibri"/>
        </w:rPr>
        <w:t xml:space="preserve"> </w:t>
      </w:r>
      <w:r w:rsidRPr="00BB6608">
        <w:rPr>
          <w:rFonts w:ascii="Calibri" w:hAnsi="Calibri"/>
        </w:rPr>
        <w:t xml:space="preserve">and </w:t>
      </w:r>
      <w:r>
        <w:rPr>
          <w:rFonts w:ascii="Calibri" w:hAnsi="Calibri"/>
        </w:rPr>
        <w:t>DHS could be improved by focusing not only on system needs but also on the support needs of TtW participants</w:t>
      </w:r>
      <w:r w:rsidRPr="00BB6608">
        <w:rPr>
          <w:rFonts w:ascii="Calibri" w:hAnsi="Calibri"/>
        </w:rPr>
        <w:t>.</w:t>
      </w:r>
      <w:r>
        <w:rPr>
          <w:rFonts w:ascii="Calibri" w:hAnsi="Calibri"/>
        </w:rPr>
        <w:t xml:space="preserve"> </w:t>
      </w:r>
      <w:r w:rsidRPr="002B48B7">
        <w:t xml:space="preserve">Providers </w:t>
      </w:r>
      <w:r>
        <w:t xml:space="preserve">also </w:t>
      </w:r>
      <w:r w:rsidRPr="002B48B7">
        <w:t xml:space="preserve">indicated that they wanted more information from the </w:t>
      </w:r>
      <w:r w:rsidR="00AC1C42">
        <w:t>d</w:t>
      </w:r>
      <w:r w:rsidRPr="002B48B7">
        <w:t>epartment about their performance</w:t>
      </w:r>
      <w:r>
        <w:t xml:space="preserve"> to enable them to assess how</w:t>
      </w:r>
      <w:r w:rsidRPr="002B48B7">
        <w:t xml:space="preserve"> they were performing against other organisations in their regions</w:t>
      </w:r>
      <w:r>
        <w:t xml:space="preserve"> and identify</w:t>
      </w:r>
      <w:r w:rsidRPr="002B48B7">
        <w:t xml:space="preserve"> where they needed to improve their service. </w:t>
      </w:r>
    </w:p>
    <w:p w14:paraId="08DCD237" w14:textId="77777777" w:rsidR="00CC4E3D" w:rsidRPr="00100E45" w:rsidRDefault="00CC4E3D" w:rsidP="00CC4E3D">
      <w:r>
        <w:rPr>
          <w:rFonts w:cstheme="minorHAnsi"/>
        </w:rPr>
        <w:lastRenderedPageBreak/>
        <w:t>Some TtW providers</w:t>
      </w:r>
      <w:r>
        <w:t xml:space="preserve"> speculated that jobactive providers had a perceived conflict of interest that may have made them reluctant to refer any suitable young people </w:t>
      </w:r>
      <w:r w:rsidRPr="008B4954">
        <w:t>in Stream C</w:t>
      </w:r>
      <w:r>
        <w:t xml:space="preserve"> to TtW because they would lose potential outcome payments. The Department has implemented changes that allow jobactive providers to count TtW outcomes achieved by their Stream C referrals towards their Star Ratings from June 2017 onwards.</w:t>
      </w:r>
    </w:p>
    <w:p w14:paraId="1A79316B" w14:textId="77777777" w:rsidR="00CC4E3D" w:rsidRPr="00FD4CA8" w:rsidRDefault="00CC4E3D" w:rsidP="001C25D9">
      <w:pPr>
        <w:pStyle w:val="Heading3"/>
        <w:numPr>
          <w:ilvl w:val="2"/>
          <w:numId w:val="4"/>
        </w:numPr>
        <w:spacing w:before="200"/>
        <w:rPr>
          <w:szCs w:val="24"/>
        </w:rPr>
      </w:pPr>
      <w:bookmarkStart w:id="257" w:name="_Toc535498896"/>
      <w:bookmarkStart w:id="258" w:name="_Toc23841376"/>
      <w:r w:rsidRPr="00FD4CA8">
        <w:rPr>
          <w:szCs w:val="24"/>
        </w:rPr>
        <w:t>Suggestions for expanding the service</w:t>
      </w:r>
      <w:bookmarkEnd w:id="257"/>
      <w:bookmarkEnd w:id="258"/>
    </w:p>
    <w:p w14:paraId="36699A82" w14:textId="77777777" w:rsidR="00CC4E3D" w:rsidRPr="00ED50C2" w:rsidRDefault="00CC4E3D" w:rsidP="00CC4E3D">
      <w:r w:rsidRPr="00ED50C2">
        <w:t xml:space="preserve">While </w:t>
      </w:r>
      <w:r>
        <w:t xml:space="preserve">most </w:t>
      </w:r>
      <w:r w:rsidRPr="00ED50C2">
        <w:t>providers suppor</w:t>
      </w:r>
      <w:r>
        <w:t>ted the different compliance in relation to individual appointments or activities in TtW,</w:t>
      </w:r>
      <w:r w:rsidRPr="00DA2349">
        <w:t xml:space="preserve"> </w:t>
      </w:r>
      <w:r>
        <w:t>some stakeholders</w:t>
      </w:r>
      <w:r w:rsidRPr="00ED50C2">
        <w:t xml:space="preserve"> suggested </w:t>
      </w:r>
      <w:r>
        <w:t xml:space="preserve">that </w:t>
      </w:r>
      <w:r w:rsidRPr="00ED50C2">
        <w:t>compliance could be</w:t>
      </w:r>
      <w:r>
        <w:t xml:space="preserve"> stronger in</w:t>
      </w:r>
      <w:r w:rsidRPr="00ED50C2">
        <w:t xml:space="preserve"> specific areas of the service.</w:t>
      </w:r>
      <w:r>
        <w:t xml:space="preserve"> P</w:t>
      </w:r>
      <w:r w:rsidRPr="00ED50C2">
        <w:t xml:space="preserve">roviders </w:t>
      </w:r>
      <w:r>
        <w:t>noted that they often had no option but to exit a non-complying</w:t>
      </w:r>
      <w:r w:rsidRPr="00ED50C2">
        <w:t xml:space="preserve"> participant from the service</w:t>
      </w:r>
      <w:r>
        <w:t>, despite believing that this was not always in the participant’s best interest</w:t>
      </w:r>
      <w:r w:rsidRPr="00ED50C2">
        <w:t xml:space="preserve">. </w:t>
      </w:r>
    </w:p>
    <w:p w14:paraId="0C592F64" w14:textId="77777777" w:rsidR="00CC4E3D" w:rsidRDefault="00CC4E3D" w:rsidP="00CC4E3D">
      <w:r>
        <w:t>Some providers and participants suggested expanding TtW by raising the age limit for eligibility to 24 or 25 years, to align with the Youth Allowance (Student) payment. Provid</w:t>
      </w:r>
      <w:r w:rsidRPr="000421DE">
        <w:t xml:space="preserve">ers </w:t>
      </w:r>
      <w:r>
        <w:t xml:space="preserve">also </w:t>
      </w:r>
      <w:r w:rsidRPr="000421DE">
        <w:t xml:space="preserve">suggested that some TtW participants with significant labour market barriers would benefit from </w:t>
      </w:r>
      <w:r>
        <w:t xml:space="preserve">an </w:t>
      </w:r>
      <w:r w:rsidRPr="000421DE">
        <w:t>extension beyond 1</w:t>
      </w:r>
      <w:r>
        <w:t>2 </w:t>
      </w:r>
      <w:r w:rsidRPr="000421DE">
        <w:t>months, on a case-by-case basis,</w:t>
      </w:r>
      <w:r>
        <w:t xml:space="preserve"> to gain the self-confidence, skills and qualifications needed </w:t>
      </w:r>
      <w:r w:rsidRPr="000421DE">
        <w:t>to reach their educational and employment goals</w:t>
      </w:r>
      <w:r>
        <w:t>.</w:t>
      </w:r>
      <w:r w:rsidRPr="000421DE">
        <w:t xml:space="preserve"> </w:t>
      </w:r>
    </w:p>
    <w:p w14:paraId="547BD1B7" w14:textId="77777777" w:rsidR="00CC4E3D" w:rsidRDefault="00CC4E3D" w:rsidP="00CC4E3D">
      <w:r>
        <w:t>A number of stakeholders</w:t>
      </w:r>
      <w:r w:rsidRPr="009E083F">
        <w:t xml:space="preserve"> </w:t>
      </w:r>
      <w:r>
        <w:t>suggested reducing the waiting period for</w:t>
      </w:r>
      <w:r w:rsidRPr="009E083F">
        <w:t xml:space="preserve"> </w:t>
      </w:r>
      <w:r>
        <w:t>Group </w:t>
      </w:r>
      <w:r w:rsidRPr="008B4954">
        <w:t>Two</w:t>
      </w:r>
      <w:r w:rsidRPr="009E083F">
        <w:t xml:space="preserve"> </w:t>
      </w:r>
      <w:r>
        <w:t>participants</w:t>
      </w:r>
      <w:r w:rsidRPr="009E083F">
        <w:t xml:space="preserve"> significantly or remov</w:t>
      </w:r>
      <w:r>
        <w:t>ing it</w:t>
      </w:r>
      <w:r w:rsidRPr="009E083F">
        <w:t xml:space="preserve"> altogether</w:t>
      </w:r>
      <w:r>
        <w:t>,</w:t>
      </w:r>
      <w:r w:rsidRPr="009E083F">
        <w:t xml:space="preserve"> to allow for direct registration of young people straight from school</w:t>
      </w:r>
      <w:r>
        <w:t>.</w:t>
      </w:r>
      <w:r w:rsidRPr="009E083F">
        <w:t xml:space="preserve"> Some providers </w:t>
      </w:r>
      <w:r>
        <w:t>said that</w:t>
      </w:r>
      <w:r w:rsidRPr="009E083F">
        <w:t xml:space="preserve"> the strict eligibility </w:t>
      </w:r>
      <w:r w:rsidRPr="001D788C">
        <w:t>criteria had contributed to the difficulty in building the caseload of Group Two participants. Many providers found it difficult to register young people into Group Two because they were already disengaged after leaving school for three to six months and have developed behavioural, cognitive and emotional disengagement.</w:t>
      </w:r>
    </w:p>
    <w:p w14:paraId="2D2930C6" w14:textId="77777777" w:rsidR="00CC4E3D" w:rsidRDefault="00CC4E3D" w:rsidP="00CC4E3D">
      <w:pPr>
        <w:rPr>
          <w:rFonts w:cstheme="minorHAnsi"/>
          <w:b/>
          <w:sz w:val="20"/>
          <w:szCs w:val="20"/>
        </w:rPr>
      </w:pPr>
      <w:r>
        <w:br w:type="page"/>
      </w:r>
    </w:p>
    <w:p w14:paraId="2040E6DC" w14:textId="77777777" w:rsidR="00CC4E3D" w:rsidRDefault="00CC4E3D" w:rsidP="001C25D9">
      <w:pPr>
        <w:pStyle w:val="Heading1"/>
        <w:keepNext w:val="0"/>
        <w:pageBreakBefore/>
        <w:numPr>
          <w:ilvl w:val="0"/>
          <w:numId w:val="4"/>
        </w:numPr>
        <w:spacing w:before="0" w:after="240"/>
        <w:ind w:left="431" w:hanging="431"/>
        <w:contextualSpacing/>
        <w:rPr>
          <w:rFonts w:eastAsia="Times New Roman"/>
        </w:rPr>
      </w:pPr>
      <w:bookmarkStart w:id="259" w:name="_Toc509402605"/>
      <w:bookmarkStart w:id="260" w:name="_Toc535498897"/>
      <w:bookmarkStart w:id="261" w:name="_Toc23841377"/>
      <w:r w:rsidRPr="00183225">
        <w:rPr>
          <w:rFonts w:eastAsia="Times New Roman"/>
        </w:rPr>
        <w:lastRenderedPageBreak/>
        <w:t>The effectiveness and efficiency of the Transition to Work service in engaging and retaining participants</w:t>
      </w:r>
      <w:bookmarkEnd w:id="259"/>
      <w:bookmarkEnd w:id="260"/>
      <w:bookmarkEnd w:id="261"/>
    </w:p>
    <w:p w14:paraId="74E551F9" w14:textId="77777777" w:rsidR="00CC4E3D" w:rsidRPr="001F4939" w:rsidRDefault="00CC4E3D" w:rsidP="001F4939">
      <w:pPr>
        <w:pStyle w:val="Heading2"/>
      </w:pPr>
      <w:bookmarkStart w:id="262" w:name="_Toc492976292"/>
      <w:bookmarkStart w:id="263" w:name="_Toc509402606"/>
      <w:bookmarkStart w:id="264" w:name="_Toc535498898"/>
      <w:bookmarkStart w:id="265" w:name="_Toc23841378"/>
      <w:r w:rsidRPr="001F4939">
        <w:t>Key findings</w:t>
      </w:r>
      <w:bookmarkEnd w:id="262"/>
      <w:bookmarkEnd w:id="263"/>
      <w:bookmarkEnd w:id="264"/>
      <w:bookmarkEnd w:id="265"/>
    </w:p>
    <w:p w14:paraId="1C86A54F" w14:textId="77777777" w:rsidR="00CC4E3D" w:rsidRPr="00FB0360" w:rsidRDefault="00CC4E3D" w:rsidP="00E803E7">
      <w:pPr>
        <w:pStyle w:val="ListBullet"/>
        <w:rPr>
          <w:rFonts w:eastAsia="Times New Roman"/>
        </w:rPr>
      </w:pPr>
      <w:r>
        <w:rPr>
          <w:rFonts w:eastAsia="Times New Roman"/>
        </w:rPr>
        <w:t>Utilisation</w:t>
      </w:r>
      <w:r w:rsidRPr="00FB0360">
        <w:rPr>
          <w:rFonts w:eastAsia="Times New Roman"/>
        </w:rPr>
        <w:t xml:space="preserve"> of </w:t>
      </w:r>
      <w:r>
        <w:rPr>
          <w:rFonts w:eastAsia="Times New Roman"/>
        </w:rPr>
        <w:t>TtW A</w:t>
      </w:r>
      <w:r w:rsidRPr="00FB0360">
        <w:rPr>
          <w:rFonts w:eastAsia="Times New Roman"/>
        </w:rPr>
        <w:t xml:space="preserve">nnual </w:t>
      </w:r>
      <w:r>
        <w:rPr>
          <w:rFonts w:eastAsia="Times New Roman"/>
        </w:rPr>
        <w:t>F</w:t>
      </w:r>
      <w:r w:rsidRPr="00FB0360">
        <w:rPr>
          <w:rFonts w:eastAsia="Times New Roman"/>
        </w:rPr>
        <w:t xml:space="preserve">unded </w:t>
      </w:r>
      <w:r>
        <w:rPr>
          <w:rFonts w:eastAsia="Times New Roman"/>
        </w:rPr>
        <w:t>P</w:t>
      </w:r>
      <w:r w:rsidRPr="00FB0360">
        <w:rPr>
          <w:rFonts w:eastAsia="Times New Roman"/>
        </w:rPr>
        <w:t>laces (</w:t>
      </w:r>
      <w:r>
        <w:rPr>
          <w:rFonts w:eastAsia="Times New Roman"/>
        </w:rPr>
        <w:t>that is occupancy</w:t>
      </w:r>
      <w:r w:rsidRPr="00FB0360">
        <w:rPr>
          <w:rFonts w:eastAsia="Times New Roman"/>
        </w:rPr>
        <w:t>) was influenced by</w:t>
      </w:r>
      <w:r>
        <w:rPr>
          <w:rFonts w:eastAsia="Times New Roman"/>
        </w:rPr>
        <w:t xml:space="preserve"> each provider’s</w:t>
      </w:r>
      <w:r w:rsidRPr="00FB0360">
        <w:rPr>
          <w:rFonts w:eastAsia="Times New Roman"/>
        </w:rPr>
        <w:t xml:space="preserve"> time in operation</w:t>
      </w:r>
      <w:r>
        <w:rPr>
          <w:rFonts w:eastAsia="Times New Roman"/>
        </w:rPr>
        <w:t>.</w:t>
      </w:r>
      <w:r w:rsidRPr="00FB0360">
        <w:rPr>
          <w:rFonts w:eastAsia="Times New Roman"/>
        </w:rPr>
        <w:t xml:space="preserve"> </w:t>
      </w:r>
      <w:r>
        <w:rPr>
          <w:rFonts w:eastAsia="Times New Roman"/>
        </w:rPr>
        <w:t>The average occupancy rate of caseloads grew from 78 per cent at 31 July 2016 to 117 per cent six months later</w:t>
      </w:r>
      <w:r w:rsidRPr="00FB0360">
        <w:rPr>
          <w:rFonts w:eastAsia="Times New Roman"/>
        </w:rPr>
        <w:t>.</w:t>
      </w:r>
    </w:p>
    <w:p w14:paraId="7480983F" w14:textId="77777777" w:rsidR="00CC4E3D" w:rsidRPr="00410935" w:rsidRDefault="00CC4E3D" w:rsidP="00E803E7">
      <w:pPr>
        <w:pStyle w:val="ListBullet"/>
        <w:rPr>
          <w:rFonts w:eastAsia="Times New Roman"/>
        </w:rPr>
      </w:pPr>
      <w:r w:rsidRPr="00410935">
        <w:rPr>
          <w:rFonts w:eastAsia="Times New Roman"/>
        </w:rPr>
        <w:t>TtW providers had more success in engaging referred young people in services during the first 30 days (93 per cent) than their jobactive counterparts had (83 per cent). TtW providers also reduced the median time between referral and commencement from 16 days during their first month of operation to four days by their sixth month.</w:t>
      </w:r>
    </w:p>
    <w:p w14:paraId="045D8CD8" w14:textId="77777777" w:rsidR="00CC4E3D" w:rsidRPr="00410935" w:rsidRDefault="00CC4E3D" w:rsidP="00E803E7">
      <w:pPr>
        <w:pStyle w:val="ListBullet"/>
        <w:rPr>
          <w:rFonts w:eastAsia="Times New Roman"/>
        </w:rPr>
      </w:pPr>
      <w:r w:rsidRPr="00410935">
        <w:rPr>
          <w:rFonts w:eastAsia="Times New Roman"/>
        </w:rPr>
        <w:t>Over the study perio</w:t>
      </w:r>
      <w:r>
        <w:rPr>
          <w:rFonts w:eastAsia="Times New Roman"/>
        </w:rPr>
        <w:t xml:space="preserve">d, consistent with the </w:t>
      </w:r>
      <w:r w:rsidRPr="00410935">
        <w:rPr>
          <w:rFonts w:eastAsia="Times New Roman"/>
        </w:rPr>
        <w:t>intensive</w:t>
      </w:r>
      <w:r>
        <w:rPr>
          <w:rFonts w:eastAsia="Times New Roman"/>
        </w:rPr>
        <w:t xml:space="preserve"> servicing</w:t>
      </w:r>
      <w:r w:rsidRPr="00410935">
        <w:rPr>
          <w:rFonts w:eastAsia="Times New Roman"/>
        </w:rPr>
        <w:t xml:space="preserve"> of the TtW program, the median number of attended contact appointments by TtW participants (7)</w:t>
      </w:r>
      <w:r>
        <w:rPr>
          <w:rFonts w:eastAsia="Times New Roman"/>
        </w:rPr>
        <w:t xml:space="preserve"> </w:t>
      </w:r>
      <w:r w:rsidRPr="00410935">
        <w:rPr>
          <w:rFonts w:eastAsia="Times New Roman"/>
        </w:rPr>
        <w:t xml:space="preserve">was more than twice the median number attended by the jobactive comparison group (3). </w:t>
      </w:r>
      <w:r>
        <w:rPr>
          <w:rFonts w:eastAsia="Times New Roman"/>
        </w:rPr>
        <w:t>Despite different compliance arrangements in jobactive and TtW applying to individual appointments or activities</w:t>
      </w:r>
      <w:r>
        <w:rPr>
          <w:rStyle w:val="FootnoteReference"/>
          <w:rFonts w:eastAsia="Times New Roman"/>
        </w:rPr>
        <w:footnoteReference w:id="15"/>
      </w:r>
      <w:r w:rsidRPr="00410935">
        <w:rPr>
          <w:rFonts w:eastAsia="Times New Roman"/>
        </w:rPr>
        <w:t xml:space="preserve"> </w:t>
      </w:r>
      <w:r>
        <w:t xml:space="preserve">the attendance rate at the first initial appointment was higher for TtW participants (77 per cent) than for young people in the jobactive comparison group (69 per cent). The attendance at contact appointments was </w:t>
      </w:r>
      <w:r w:rsidRPr="00633D2A">
        <w:t xml:space="preserve">slightly lower </w:t>
      </w:r>
      <w:r>
        <w:t>(60 per cent for TtW, compared with 63 per cent for the jobactive comparison group)</w:t>
      </w:r>
      <w:r w:rsidRPr="00410935">
        <w:rPr>
          <w:rFonts w:eastAsia="Times New Roman"/>
        </w:rPr>
        <w:t xml:space="preserve">. </w:t>
      </w:r>
    </w:p>
    <w:p w14:paraId="13F0F9F0" w14:textId="77777777" w:rsidR="00CC4E3D" w:rsidRPr="00FB0360" w:rsidRDefault="00CC4E3D" w:rsidP="00E803E7">
      <w:pPr>
        <w:pStyle w:val="ListBullet"/>
        <w:rPr>
          <w:rFonts w:eastAsia="Times New Roman"/>
        </w:rPr>
      </w:pPr>
      <w:r>
        <w:rPr>
          <w:rFonts w:eastAsia="Times New Roman"/>
        </w:rPr>
        <w:t>Consistent with the intensive activity nature of TtW, t</w:t>
      </w:r>
      <w:r w:rsidRPr="00FB0360">
        <w:rPr>
          <w:rFonts w:eastAsia="Times New Roman"/>
        </w:rPr>
        <w:t xml:space="preserve">he proportion of commencements </w:t>
      </w:r>
      <w:r w:rsidRPr="00474F26">
        <w:rPr>
          <w:rFonts w:eastAsia="Times New Roman"/>
        </w:rPr>
        <w:t>in activities</w:t>
      </w:r>
      <w:r w:rsidRPr="00FB0360">
        <w:rPr>
          <w:rFonts w:eastAsia="Times New Roman"/>
        </w:rPr>
        <w:t xml:space="preserve"> was higher for TtW, almost 4</w:t>
      </w:r>
      <w:r>
        <w:rPr>
          <w:rFonts w:eastAsia="Times New Roman"/>
        </w:rPr>
        <w:t>6 </w:t>
      </w:r>
      <w:r w:rsidRPr="00FB0360">
        <w:rPr>
          <w:rFonts w:eastAsia="Times New Roman"/>
        </w:rPr>
        <w:t>per cent</w:t>
      </w:r>
      <w:r>
        <w:rPr>
          <w:rFonts w:eastAsia="Times New Roman"/>
        </w:rPr>
        <w:t>,</w:t>
      </w:r>
      <w:r w:rsidRPr="00474F26">
        <w:rPr>
          <w:rFonts w:eastAsia="Times New Roman"/>
        </w:rPr>
        <w:t xml:space="preserve"> </w:t>
      </w:r>
      <w:r w:rsidRPr="00FB0360">
        <w:rPr>
          <w:rFonts w:eastAsia="Times New Roman"/>
        </w:rPr>
        <w:t xml:space="preserve">compared </w:t>
      </w:r>
      <w:r w:rsidRPr="00474F26">
        <w:rPr>
          <w:rFonts w:eastAsia="Times New Roman"/>
        </w:rPr>
        <w:t>with</w:t>
      </w:r>
      <w:r w:rsidRPr="00FB0360">
        <w:rPr>
          <w:rFonts w:eastAsia="Times New Roman"/>
        </w:rPr>
        <w:t xml:space="preserve"> 1</w:t>
      </w:r>
      <w:r>
        <w:rPr>
          <w:rFonts w:eastAsia="Times New Roman"/>
        </w:rPr>
        <w:t>9 </w:t>
      </w:r>
      <w:r w:rsidRPr="00FB0360">
        <w:rPr>
          <w:rFonts w:eastAsia="Times New Roman"/>
        </w:rPr>
        <w:t>per cent for</w:t>
      </w:r>
      <w:r>
        <w:rPr>
          <w:rFonts w:eastAsia="Times New Roman"/>
        </w:rPr>
        <w:t xml:space="preserve"> the</w:t>
      </w:r>
      <w:r w:rsidRPr="00FB0360">
        <w:rPr>
          <w:rFonts w:eastAsia="Times New Roman"/>
        </w:rPr>
        <w:t xml:space="preserve"> jobactive</w:t>
      </w:r>
      <w:r>
        <w:rPr>
          <w:rFonts w:eastAsia="Times New Roman"/>
        </w:rPr>
        <w:t xml:space="preserve"> comparison group during the six month study period</w:t>
      </w:r>
      <w:r w:rsidRPr="00FB0360">
        <w:rPr>
          <w:rFonts w:eastAsia="Times New Roman"/>
        </w:rPr>
        <w:t xml:space="preserve">. </w:t>
      </w:r>
    </w:p>
    <w:p w14:paraId="1EB119E5" w14:textId="77777777" w:rsidR="00CC4E3D" w:rsidRPr="00410935" w:rsidRDefault="00CC4E3D" w:rsidP="00E803E7">
      <w:pPr>
        <w:pStyle w:val="ListBullet"/>
        <w:rPr>
          <w:rFonts w:eastAsia="Times New Roman"/>
        </w:rPr>
      </w:pPr>
      <w:r w:rsidRPr="00410935">
        <w:rPr>
          <w:rFonts w:eastAsia="Times New Roman"/>
        </w:rPr>
        <w:t>Overall</w:t>
      </w:r>
      <w:r>
        <w:rPr>
          <w:rFonts w:eastAsia="Times New Roman"/>
        </w:rPr>
        <w:t>,</w:t>
      </w:r>
      <w:r w:rsidRPr="00410935">
        <w:rPr>
          <w:rFonts w:eastAsia="Times New Roman"/>
        </w:rPr>
        <w:t xml:space="preserve"> the exit rate over the first six months for commenced participants was higher for the jobactive comparison group (52 per cent) than for TtW (45 per cent)</w:t>
      </w:r>
      <w:r>
        <w:rPr>
          <w:rFonts w:eastAsia="Times New Roman"/>
        </w:rPr>
        <w:t>.</w:t>
      </w:r>
      <w:r w:rsidRPr="00410935">
        <w:rPr>
          <w:rFonts w:eastAsia="Times New Roman"/>
        </w:rPr>
        <w:t xml:space="preserve"> </w:t>
      </w:r>
      <w:r>
        <w:rPr>
          <w:rFonts w:eastAsia="Times New Roman"/>
        </w:rPr>
        <w:t xml:space="preserve">This was </w:t>
      </w:r>
      <w:r w:rsidRPr="00410935">
        <w:rPr>
          <w:rFonts w:eastAsia="Times New Roman"/>
        </w:rPr>
        <w:t xml:space="preserve">driven by the higher exit rate of the jobactive comparison group in the first month in service. The jobactive comparison group </w:t>
      </w:r>
      <w:r>
        <w:rPr>
          <w:rFonts w:eastAsia="Times New Roman"/>
        </w:rPr>
        <w:t xml:space="preserve">not receiving income support payments </w:t>
      </w:r>
      <w:r w:rsidRPr="00410935">
        <w:rPr>
          <w:rFonts w:eastAsia="Times New Roman"/>
        </w:rPr>
        <w:t>w</w:t>
      </w:r>
      <w:r>
        <w:rPr>
          <w:rFonts w:eastAsia="Times New Roman"/>
        </w:rPr>
        <w:t>ere</w:t>
      </w:r>
      <w:r w:rsidRPr="00410935">
        <w:rPr>
          <w:rFonts w:eastAsia="Times New Roman"/>
        </w:rPr>
        <w:t xml:space="preserve"> more likely to be exited </w:t>
      </w:r>
      <w:r>
        <w:rPr>
          <w:rFonts w:eastAsia="Times New Roman"/>
        </w:rPr>
        <w:t>(auto exit) as</w:t>
      </w:r>
      <w:r w:rsidRPr="00410935">
        <w:rPr>
          <w:rFonts w:eastAsia="Times New Roman"/>
        </w:rPr>
        <w:t xml:space="preserve"> ‘no longer fully eligible’</w:t>
      </w:r>
      <w:r>
        <w:rPr>
          <w:rFonts w:eastAsia="Times New Roman"/>
        </w:rPr>
        <w:t>,</w:t>
      </w:r>
      <w:r w:rsidRPr="00410935">
        <w:rPr>
          <w:rFonts w:eastAsia="Times New Roman"/>
        </w:rPr>
        <w:t xml:space="preserve"> while TtW participants were more likely to be exited from services as a result of not being contactable by their provider (provider exit)</w:t>
      </w:r>
      <w:r>
        <w:rPr>
          <w:rFonts w:eastAsia="Times New Roman"/>
        </w:rPr>
        <w:t>.</w:t>
      </w:r>
      <w:r w:rsidRPr="00410935">
        <w:rPr>
          <w:rFonts w:eastAsia="Times New Roman"/>
        </w:rPr>
        <w:t xml:space="preserve"> </w:t>
      </w:r>
      <w:r>
        <w:rPr>
          <w:rFonts w:eastAsia="Times New Roman"/>
        </w:rPr>
        <w:t xml:space="preserve">This </w:t>
      </w:r>
      <w:r w:rsidRPr="00410935">
        <w:rPr>
          <w:rFonts w:eastAsia="Times New Roman"/>
        </w:rPr>
        <w:t>reflect</w:t>
      </w:r>
      <w:r>
        <w:rPr>
          <w:rFonts w:eastAsia="Times New Roman"/>
        </w:rPr>
        <w:t>s</w:t>
      </w:r>
      <w:r w:rsidRPr="00410935">
        <w:rPr>
          <w:rFonts w:eastAsia="Times New Roman"/>
        </w:rPr>
        <w:t xml:space="preserve"> the different compliance and </w:t>
      </w:r>
      <w:r>
        <w:rPr>
          <w:rFonts w:eastAsia="Times New Roman"/>
        </w:rPr>
        <w:t>design</w:t>
      </w:r>
      <w:r w:rsidRPr="00410935">
        <w:rPr>
          <w:rFonts w:eastAsia="Times New Roman"/>
        </w:rPr>
        <w:t xml:space="preserve"> </w:t>
      </w:r>
      <w:r>
        <w:rPr>
          <w:rFonts w:eastAsia="Times New Roman"/>
        </w:rPr>
        <w:t>of the two programs as well as providers’</w:t>
      </w:r>
      <w:r w:rsidRPr="00410935">
        <w:rPr>
          <w:rFonts w:eastAsia="Times New Roman"/>
        </w:rPr>
        <w:t xml:space="preserve"> capa</w:t>
      </w:r>
      <w:r>
        <w:rPr>
          <w:rFonts w:eastAsia="Times New Roman"/>
        </w:rPr>
        <w:t>bility</w:t>
      </w:r>
      <w:r w:rsidRPr="00410935">
        <w:rPr>
          <w:rFonts w:eastAsia="Times New Roman"/>
        </w:rPr>
        <w:t xml:space="preserve"> to engage you</w:t>
      </w:r>
      <w:r>
        <w:rPr>
          <w:rFonts w:eastAsia="Times New Roman"/>
        </w:rPr>
        <w:t>ng people.</w:t>
      </w:r>
    </w:p>
    <w:p w14:paraId="0B3B3864" w14:textId="77777777" w:rsidR="00CC4E3D" w:rsidRPr="007E1DBA" w:rsidRDefault="00CC4E3D" w:rsidP="00415050">
      <w:pPr>
        <w:pStyle w:val="ListBullet"/>
        <w:rPr>
          <w:rFonts w:eastAsia="Times New Roman"/>
        </w:rPr>
      </w:pPr>
      <w:r>
        <w:t>The aim of t</w:t>
      </w:r>
      <w:r w:rsidRPr="007E1DBA">
        <w:t>his chapter</w:t>
      </w:r>
      <w:r>
        <w:t xml:space="preserve"> is</w:t>
      </w:r>
      <w:r w:rsidRPr="007E1DBA">
        <w:t xml:space="preserve"> </w:t>
      </w:r>
      <w:r>
        <w:t xml:space="preserve">to explain </w:t>
      </w:r>
      <w:r w:rsidRPr="007E1DBA">
        <w:rPr>
          <w:rFonts w:eastAsia="Times New Roman"/>
        </w:rPr>
        <w:t xml:space="preserve">how efficiently and effectively the </w:t>
      </w:r>
      <w:r>
        <w:rPr>
          <w:rFonts w:eastAsia="Times New Roman"/>
        </w:rPr>
        <w:t xml:space="preserve">TtW </w:t>
      </w:r>
      <w:r w:rsidRPr="007E1DBA">
        <w:rPr>
          <w:rFonts w:eastAsia="Times New Roman"/>
        </w:rPr>
        <w:t xml:space="preserve">service engages </w:t>
      </w:r>
      <w:r>
        <w:rPr>
          <w:rFonts w:eastAsia="Times New Roman"/>
        </w:rPr>
        <w:t xml:space="preserve">with </w:t>
      </w:r>
      <w:r w:rsidRPr="007E1DBA">
        <w:rPr>
          <w:rFonts w:eastAsia="Times New Roman"/>
        </w:rPr>
        <w:t>and retains participants. The analysis focus</w:t>
      </w:r>
      <w:r>
        <w:rPr>
          <w:rFonts w:eastAsia="Times New Roman"/>
        </w:rPr>
        <w:t>es</w:t>
      </w:r>
      <w:r w:rsidRPr="007E1DBA">
        <w:rPr>
          <w:rFonts w:eastAsia="Times New Roman"/>
        </w:rPr>
        <w:t xml:space="preserve"> on:</w:t>
      </w:r>
    </w:p>
    <w:p w14:paraId="79EF11C4" w14:textId="77777777" w:rsidR="00CC4E3D" w:rsidRPr="00445C8F" w:rsidRDefault="00CC4E3D" w:rsidP="00415050">
      <w:pPr>
        <w:pStyle w:val="ListBullet"/>
        <w:rPr>
          <w:rFonts w:eastAsia="Times New Roman"/>
        </w:rPr>
      </w:pPr>
      <w:r w:rsidRPr="00445C8F">
        <w:t xml:space="preserve">the number of participants engaged in TtW compared with the allocation of </w:t>
      </w:r>
      <w:r>
        <w:t>Annual Funded Places</w:t>
      </w:r>
      <w:r w:rsidRPr="00445C8F">
        <w:t xml:space="preserve"> </w:t>
      </w:r>
    </w:p>
    <w:p w14:paraId="63898A4E" w14:textId="77777777" w:rsidR="00CC4E3D" w:rsidRPr="00753AEE" w:rsidRDefault="00CC4E3D" w:rsidP="00E803E7">
      <w:pPr>
        <w:pStyle w:val="ListBullet"/>
        <w:rPr>
          <w:rFonts w:eastAsia="Times New Roman" w:cs="Times New Roman"/>
        </w:rPr>
      </w:pPr>
      <w:r w:rsidRPr="00445C8F">
        <w:lastRenderedPageBreak/>
        <w:t xml:space="preserve">whether participants </w:t>
      </w:r>
      <w:r>
        <w:t>commenced in services, and exits before or after commencement</w:t>
      </w:r>
    </w:p>
    <w:p w14:paraId="2E8BC727" w14:textId="77777777" w:rsidR="00CC4E3D" w:rsidRPr="00445C8F" w:rsidRDefault="00CC4E3D" w:rsidP="00E803E7">
      <w:pPr>
        <w:pStyle w:val="ListBullet"/>
        <w:rPr>
          <w:rFonts w:eastAsia="Times New Roman" w:cs="Times New Roman"/>
        </w:rPr>
      </w:pPr>
      <w:r w:rsidRPr="00445C8F">
        <w:t xml:space="preserve">how quickly </w:t>
      </w:r>
      <w:r w:rsidRPr="00474F26">
        <w:t>participants commenced in</w:t>
      </w:r>
      <w:r w:rsidRPr="00445C8F">
        <w:t xml:space="preserve"> the service </w:t>
      </w:r>
    </w:p>
    <w:p w14:paraId="4363DD76" w14:textId="77777777" w:rsidR="00CC4E3D" w:rsidRPr="00445C8F" w:rsidRDefault="00CC4E3D" w:rsidP="00E803E7">
      <w:pPr>
        <w:pStyle w:val="ListBullet"/>
        <w:rPr>
          <w:rFonts w:eastAsia="Times New Roman" w:cs="Times New Roman"/>
        </w:rPr>
      </w:pPr>
      <w:r>
        <w:t>which</w:t>
      </w:r>
      <w:r w:rsidRPr="00445C8F">
        <w:t xml:space="preserve"> activities participants</w:t>
      </w:r>
      <w:r>
        <w:t xml:space="preserve"> undertook.</w:t>
      </w:r>
    </w:p>
    <w:p w14:paraId="6933DDD8" w14:textId="620AA494" w:rsidR="00CC4E3D" w:rsidRDefault="00CC4E3D" w:rsidP="00CC4E3D">
      <w:pPr>
        <w:rPr>
          <w:rFonts w:ascii="Calibri" w:eastAsia="Times New Roman" w:hAnsi="Calibri" w:cs="Times New Roman"/>
        </w:rPr>
      </w:pPr>
      <w:r w:rsidRPr="007E1DBA">
        <w:t xml:space="preserve">The main data source used </w:t>
      </w:r>
      <w:r>
        <w:t>in this chapter wa</w:t>
      </w:r>
      <w:r w:rsidRPr="007E1DBA">
        <w:t xml:space="preserve">s </w:t>
      </w:r>
      <w:r>
        <w:t xml:space="preserve">the </w:t>
      </w:r>
      <w:r w:rsidR="00AC1C42">
        <w:t>d</w:t>
      </w:r>
      <w:r>
        <w:t xml:space="preserve">epartment’s </w:t>
      </w:r>
      <w:r w:rsidRPr="007E1DBA">
        <w:t>administrative data</w:t>
      </w:r>
      <w:r>
        <w:t>, augmented by</w:t>
      </w:r>
      <w:r w:rsidRPr="007E1DBA">
        <w:t xml:space="preserve"> </w:t>
      </w:r>
      <w:r>
        <w:t xml:space="preserve">income support data from the </w:t>
      </w:r>
      <w:r w:rsidR="00AC1C42">
        <w:t>d</w:t>
      </w:r>
      <w:r>
        <w:t>epartment’s RED.</w:t>
      </w:r>
      <w:r w:rsidRPr="007E1DBA">
        <w:rPr>
          <w:rFonts w:eastAsia="Times New Roman" w:cs="Times New Roman"/>
        </w:rPr>
        <w:t xml:space="preserve"> </w:t>
      </w:r>
      <w:r w:rsidRPr="007E1DBA">
        <w:rPr>
          <w:rFonts w:ascii="Calibri" w:eastAsia="Times New Roman" w:hAnsi="Calibri" w:cs="Times New Roman"/>
        </w:rPr>
        <w:t xml:space="preserve">The administrative data </w:t>
      </w:r>
      <w:r>
        <w:rPr>
          <w:rFonts w:ascii="Calibri" w:eastAsia="Times New Roman" w:hAnsi="Calibri" w:cs="Times New Roman"/>
        </w:rPr>
        <w:t>analysed</w:t>
      </w:r>
      <w:r w:rsidRPr="007E1DBA">
        <w:rPr>
          <w:rFonts w:ascii="Calibri" w:eastAsia="Times New Roman" w:hAnsi="Calibri" w:cs="Times New Roman"/>
        </w:rPr>
        <w:t xml:space="preserve"> rel</w:t>
      </w:r>
      <w:r>
        <w:rPr>
          <w:rFonts w:ascii="Calibri" w:eastAsia="Times New Roman" w:hAnsi="Calibri" w:cs="Times New Roman"/>
        </w:rPr>
        <w:t xml:space="preserve">ated to </w:t>
      </w:r>
      <w:r w:rsidRPr="007E1DBA">
        <w:rPr>
          <w:rFonts w:ascii="Calibri" w:eastAsia="Times New Roman" w:hAnsi="Calibri" w:cs="Times New Roman"/>
        </w:rPr>
        <w:t xml:space="preserve">the </w:t>
      </w:r>
      <w:r>
        <w:rPr>
          <w:rFonts w:ascii="Calibri" w:eastAsia="Times New Roman" w:hAnsi="Calibri" w:cs="Times New Roman"/>
        </w:rPr>
        <w:t>TtW</w:t>
      </w:r>
      <w:r w:rsidRPr="007E1DBA">
        <w:rPr>
          <w:rFonts w:ascii="Calibri" w:eastAsia="Times New Roman" w:hAnsi="Calibri" w:cs="Times New Roman"/>
        </w:rPr>
        <w:t xml:space="preserve"> inflow population</w:t>
      </w:r>
      <w:r>
        <w:rPr>
          <w:rFonts w:ascii="Calibri" w:eastAsia="Times New Roman" w:hAnsi="Calibri" w:cs="Times New Roman"/>
        </w:rPr>
        <w:t>,</w:t>
      </w:r>
      <w:r w:rsidRPr="007E1DBA">
        <w:rPr>
          <w:rFonts w:ascii="Calibri" w:eastAsia="Times New Roman" w:hAnsi="Calibri" w:cs="Times New Roman"/>
        </w:rPr>
        <w:t xml:space="preserve"> </w:t>
      </w:r>
      <w:r>
        <w:rPr>
          <w:rFonts w:ascii="Calibri" w:eastAsia="Times New Roman" w:hAnsi="Calibri" w:cs="Times New Roman"/>
        </w:rPr>
        <w:t>comprising</w:t>
      </w:r>
      <w:r w:rsidRPr="007E1DBA">
        <w:rPr>
          <w:rFonts w:ascii="Calibri" w:eastAsia="Times New Roman" w:hAnsi="Calibri" w:cs="Times New Roman"/>
        </w:rPr>
        <w:t xml:space="preserve"> all participants referred</w:t>
      </w:r>
      <w:r>
        <w:rPr>
          <w:rFonts w:ascii="Calibri" w:eastAsia="Times New Roman" w:hAnsi="Calibri" w:cs="Times New Roman"/>
        </w:rPr>
        <w:t xml:space="preserve"> to the service</w:t>
      </w:r>
      <w:r w:rsidRPr="007E1DBA">
        <w:rPr>
          <w:rFonts w:ascii="Calibri" w:eastAsia="Times New Roman" w:hAnsi="Calibri" w:cs="Times New Roman"/>
        </w:rPr>
        <w:t xml:space="preserve"> </w:t>
      </w:r>
      <w:r w:rsidRPr="007F58A1">
        <w:rPr>
          <w:rFonts w:ascii="Calibri" w:eastAsia="Times New Roman" w:hAnsi="Calibri" w:cs="Times New Roman"/>
        </w:rPr>
        <w:t xml:space="preserve">between </w:t>
      </w:r>
      <w:r>
        <w:rPr>
          <w:rFonts w:ascii="Calibri" w:eastAsia="Times New Roman" w:hAnsi="Calibri" w:cs="Times New Roman"/>
        </w:rPr>
        <w:t>1 </w:t>
      </w:r>
      <w:r w:rsidRPr="00266494">
        <w:rPr>
          <w:rFonts w:ascii="Calibri" w:eastAsia="Times New Roman" w:hAnsi="Calibri" w:cs="Times New Roman"/>
        </w:rPr>
        <w:t>February</w:t>
      </w:r>
      <w:r>
        <w:rPr>
          <w:rFonts w:ascii="Calibri" w:eastAsia="Times New Roman" w:hAnsi="Calibri" w:cs="Times New Roman"/>
        </w:rPr>
        <w:t> </w:t>
      </w:r>
      <w:r w:rsidRPr="00266494">
        <w:rPr>
          <w:rFonts w:ascii="Calibri" w:eastAsia="Times New Roman" w:hAnsi="Calibri" w:cs="Times New Roman"/>
        </w:rPr>
        <w:t>201</w:t>
      </w:r>
      <w:r>
        <w:rPr>
          <w:rFonts w:ascii="Calibri" w:eastAsia="Times New Roman" w:hAnsi="Calibri" w:cs="Times New Roman"/>
        </w:rPr>
        <w:t>6 </w:t>
      </w:r>
      <w:r w:rsidRPr="00266494">
        <w:rPr>
          <w:rFonts w:ascii="Calibri" w:eastAsia="Times New Roman" w:hAnsi="Calibri" w:cs="Times New Roman"/>
        </w:rPr>
        <w:t>and 3</w:t>
      </w:r>
      <w:r>
        <w:rPr>
          <w:rFonts w:ascii="Calibri" w:eastAsia="Times New Roman" w:hAnsi="Calibri" w:cs="Times New Roman"/>
        </w:rPr>
        <w:t>1 </w:t>
      </w:r>
      <w:r w:rsidRPr="00266494">
        <w:rPr>
          <w:rFonts w:ascii="Calibri" w:eastAsia="Times New Roman" w:hAnsi="Calibri" w:cs="Times New Roman"/>
        </w:rPr>
        <w:t>July 2016.</w:t>
      </w:r>
      <w:r w:rsidRPr="007E1DBA">
        <w:rPr>
          <w:rFonts w:ascii="Calibri" w:eastAsia="Times New Roman" w:hAnsi="Calibri" w:cs="Times New Roman"/>
        </w:rPr>
        <w:t xml:space="preserve"> Comparisons</w:t>
      </w:r>
      <w:r>
        <w:rPr>
          <w:rFonts w:ascii="Calibri" w:eastAsia="Times New Roman" w:hAnsi="Calibri" w:cs="Times New Roman"/>
        </w:rPr>
        <w:t xml:space="preserve"> </w:t>
      </w:r>
      <w:r w:rsidRPr="007E1DBA">
        <w:rPr>
          <w:rFonts w:ascii="Calibri" w:eastAsia="Times New Roman" w:hAnsi="Calibri" w:cs="Times New Roman"/>
        </w:rPr>
        <w:t xml:space="preserve">between </w:t>
      </w:r>
      <w:r>
        <w:rPr>
          <w:rFonts w:ascii="Calibri" w:eastAsia="Times New Roman" w:hAnsi="Calibri" w:cs="Times New Roman"/>
        </w:rPr>
        <w:t>TtW</w:t>
      </w:r>
      <w:r w:rsidRPr="007E1DBA">
        <w:rPr>
          <w:rFonts w:ascii="Calibri" w:eastAsia="Times New Roman" w:hAnsi="Calibri" w:cs="Times New Roman"/>
        </w:rPr>
        <w:t xml:space="preserve"> and jobactive </w:t>
      </w:r>
      <w:r>
        <w:rPr>
          <w:rFonts w:ascii="Calibri" w:eastAsia="Times New Roman" w:hAnsi="Calibri" w:cs="Times New Roman"/>
        </w:rPr>
        <w:t xml:space="preserve">participants </w:t>
      </w:r>
      <w:r w:rsidRPr="007E1DBA">
        <w:rPr>
          <w:rFonts w:ascii="Calibri" w:eastAsia="Times New Roman" w:hAnsi="Calibri" w:cs="Times New Roman"/>
        </w:rPr>
        <w:t>u</w:t>
      </w:r>
      <w:r>
        <w:rPr>
          <w:rFonts w:ascii="Calibri" w:eastAsia="Times New Roman" w:hAnsi="Calibri" w:cs="Times New Roman"/>
        </w:rPr>
        <w:t xml:space="preserve">sed the matched samples </w:t>
      </w:r>
      <w:r w:rsidRPr="007E1DBA">
        <w:rPr>
          <w:rFonts w:ascii="Calibri" w:eastAsia="Times New Roman" w:hAnsi="Calibri" w:cs="Times New Roman"/>
        </w:rPr>
        <w:t xml:space="preserve">described in </w:t>
      </w:r>
      <w:r>
        <w:rPr>
          <w:rFonts w:ascii="Calibri" w:eastAsia="Times New Roman" w:hAnsi="Calibri" w:cs="Times New Roman"/>
          <w:b/>
        </w:rPr>
        <w:t>Section </w:t>
      </w:r>
      <w:r w:rsidRPr="00306498">
        <w:rPr>
          <w:rFonts w:ascii="Calibri" w:eastAsia="Times New Roman" w:hAnsi="Calibri" w:cs="Times New Roman"/>
          <w:b/>
        </w:rPr>
        <w:t>2.3.3</w:t>
      </w:r>
      <w:r w:rsidRPr="00306498">
        <w:rPr>
          <w:rFonts w:ascii="Calibri" w:eastAsia="Times New Roman" w:hAnsi="Calibri" w:cs="Times New Roman"/>
        </w:rPr>
        <w:t>.</w:t>
      </w:r>
      <w:r w:rsidRPr="005C1CBD">
        <w:rPr>
          <w:rFonts w:ascii="Calibri" w:eastAsia="Times New Roman" w:hAnsi="Calibri" w:cs="Times New Roman"/>
        </w:rPr>
        <w:t xml:space="preserve"> </w:t>
      </w:r>
    </w:p>
    <w:p w14:paraId="05D2897B" w14:textId="77777777" w:rsidR="00CC4E3D" w:rsidRDefault="00CC4E3D" w:rsidP="00CC4E3D">
      <w:pPr>
        <w:keepNext/>
        <w:rPr>
          <w:rFonts w:ascii="Calibri" w:eastAsia="Times New Roman" w:hAnsi="Calibri" w:cs="Times New Roman"/>
        </w:rPr>
      </w:pPr>
      <w:r>
        <w:rPr>
          <w:rFonts w:ascii="Calibri" w:eastAsia="Times New Roman" w:hAnsi="Calibri" w:cs="Times New Roman"/>
        </w:rPr>
        <w:t xml:space="preserve">Two snapshots of the </w:t>
      </w:r>
      <w:r w:rsidRPr="007E1DBA">
        <w:rPr>
          <w:rFonts w:ascii="Calibri" w:eastAsia="Times New Roman" w:hAnsi="Calibri" w:cs="Times New Roman"/>
        </w:rPr>
        <w:t>caseload population</w:t>
      </w:r>
      <w:r>
        <w:rPr>
          <w:rFonts w:ascii="Calibri" w:eastAsia="Times New Roman" w:hAnsi="Calibri" w:cs="Times New Roman"/>
        </w:rPr>
        <w:t>, one</w:t>
      </w:r>
      <w:r w:rsidRPr="007E1DBA">
        <w:rPr>
          <w:rFonts w:ascii="Calibri" w:eastAsia="Times New Roman" w:hAnsi="Calibri" w:cs="Times New Roman"/>
        </w:rPr>
        <w:t xml:space="preserve"> at 3</w:t>
      </w:r>
      <w:r>
        <w:rPr>
          <w:rFonts w:ascii="Calibri" w:eastAsia="Times New Roman" w:hAnsi="Calibri" w:cs="Times New Roman"/>
        </w:rPr>
        <w:t>1 </w:t>
      </w:r>
      <w:r w:rsidRPr="007E1DBA">
        <w:rPr>
          <w:rFonts w:ascii="Calibri" w:eastAsia="Times New Roman" w:hAnsi="Calibri" w:cs="Times New Roman"/>
        </w:rPr>
        <w:t>July 201</w:t>
      </w:r>
      <w:r>
        <w:rPr>
          <w:rFonts w:ascii="Calibri" w:eastAsia="Times New Roman" w:hAnsi="Calibri" w:cs="Times New Roman"/>
        </w:rPr>
        <w:t>6 </w:t>
      </w:r>
      <w:r w:rsidRPr="007E1DBA">
        <w:rPr>
          <w:rFonts w:ascii="Calibri" w:eastAsia="Times New Roman" w:hAnsi="Calibri" w:cs="Times New Roman"/>
        </w:rPr>
        <w:t xml:space="preserve">and </w:t>
      </w:r>
      <w:r>
        <w:rPr>
          <w:rFonts w:ascii="Calibri" w:eastAsia="Times New Roman" w:hAnsi="Calibri" w:cs="Times New Roman"/>
        </w:rPr>
        <w:t xml:space="preserve">another at </w:t>
      </w:r>
      <w:r w:rsidRPr="007E1DBA">
        <w:rPr>
          <w:rFonts w:ascii="Calibri" w:eastAsia="Times New Roman" w:hAnsi="Calibri" w:cs="Times New Roman"/>
        </w:rPr>
        <w:t>3</w:t>
      </w:r>
      <w:r>
        <w:rPr>
          <w:rFonts w:ascii="Calibri" w:eastAsia="Times New Roman" w:hAnsi="Calibri" w:cs="Times New Roman"/>
        </w:rPr>
        <w:t>1 </w:t>
      </w:r>
      <w:r w:rsidRPr="007E1DBA">
        <w:rPr>
          <w:rFonts w:ascii="Calibri" w:eastAsia="Times New Roman" w:hAnsi="Calibri" w:cs="Times New Roman"/>
        </w:rPr>
        <w:t>January 2017</w:t>
      </w:r>
      <w:r>
        <w:rPr>
          <w:rFonts w:ascii="Calibri" w:eastAsia="Times New Roman" w:hAnsi="Calibri" w:cs="Times New Roman"/>
        </w:rPr>
        <w:t>, were</w:t>
      </w:r>
      <w:r w:rsidRPr="007E1DBA">
        <w:rPr>
          <w:rFonts w:ascii="Calibri" w:eastAsia="Times New Roman" w:hAnsi="Calibri" w:cs="Times New Roman"/>
        </w:rPr>
        <w:t xml:space="preserve"> used </w:t>
      </w:r>
      <w:r>
        <w:rPr>
          <w:rFonts w:ascii="Calibri" w:eastAsia="Times New Roman" w:hAnsi="Calibri" w:cs="Times New Roman"/>
        </w:rPr>
        <w:t>to assess:</w:t>
      </w:r>
    </w:p>
    <w:p w14:paraId="78F0D745" w14:textId="77777777" w:rsidR="00CC4E3D" w:rsidRPr="00B451BE" w:rsidRDefault="00CC4E3D" w:rsidP="00E803E7">
      <w:pPr>
        <w:pStyle w:val="ListBullet"/>
        <w:rPr>
          <w:rFonts w:eastAsia="Times New Roman"/>
        </w:rPr>
      </w:pPr>
      <w:r>
        <w:rPr>
          <w:rFonts w:eastAsia="Times New Roman"/>
        </w:rPr>
        <w:t>utilisation</w:t>
      </w:r>
      <w:r w:rsidRPr="00FB0360">
        <w:rPr>
          <w:rFonts w:eastAsia="Times New Roman"/>
        </w:rPr>
        <w:t xml:space="preserve"> of </w:t>
      </w:r>
      <w:r>
        <w:rPr>
          <w:rFonts w:eastAsia="Times New Roman"/>
        </w:rPr>
        <w:t>TtW A</w:t>
      </w:r>
      <w:r w:rsidRPr="00FB0360">
        <w:rPr>
          <w:rFonts w:eastAsia="Times New Roman"/>
        </w:rPr>
        <w:t xml:space="preserve">nnual </w:t>
      </w:r>
      <w:r>
        <w:rPr>
          <w:rFonts w:eastAsia="Times New Roman"/>
        </w:rPr>
        <w:t>F</w:t>
      </w:r>
      <w:r w:rsidRPr="00FB0360">
        <w:rPr>
          <w:rFonts w:eastAsia="Times New Roman"/>
        </w:rPr>
        <w:t xml:space="preserve">unded </w:t>
      </w:r>
      <w:r>
        <w:rPr>
          <w:rFonts w:eastAsia="Times New Roman"/>
        </w:rPr>
        <w:t>P</w:t>
      </w:r>
      <w:r w:rsidRPr="00FB0360">
        <w:rPr>
          <w:rFonts w:eastAsia="Times New Roman"/>
        </w:rPr>
        <w:t>laces</w:t>
      </w:r>
    </w:p>
    <w:p w14:paraId="4A7F7CFC" w14:textId="77777777" w:rsidR="00CC4E3D" w:rsidRPr="002576F2" w:rsidRDefault="00CC4E3D" w:rsidP="00E803E7">
      <w:pPr>
        <w:pStyle w:val="ListBullet"/>
        <w:rPr>
          <w:rFonts w:eastAsia="Times New Roman"/>
        </w:rPr>
      </w:pPr>
      <w:r w:rsidRPr="002576F2">
        <w:rPr>
          <w:rFonts w:eastAsia="Times New Roman"/>
        </w:rPr>
        <w:t>distribution of participants in various groups</w:t>
      </w:r>
      <w:r>
        <w:rPr>
          <w:rFonts w:eastAsia="Times New Roman"/>
        </w:rPr>
        <w:t>.</w:t>
      </w:r>
    </w:p>
    <w:p w14:paraId="17EAA066" w14:textId="77777777" w:rsidR="00CC4E3D" w:rsidRDefault="00CC4E3D" w:rsidP="00CC4E3D">
      <w:pPr>
        <w:spacing w:before="240"/>
        <w:rPr>
          <w:rFonts w:ascii="Calibri" w:eastAsia="Times New Roman" w:hAnsi="Calibri" w:cs="Times New Roman"/>
        </w:rPr>
      </w:pPr>
      <w:r>
        <w:rPr>
          <w:rFonts w:ascii="Calibri" w:eastAsia="Times New Roman" w:hAnsi="Calibri" w:cs="Times New Roman"/>
        </w:rPr>
        <w:t>T</w:t>
      </w:r>
      <w:r w:rsidRPr="007E1DBA">
        <w:rPr>
          <w:rFonts w:ascii="Calibri" w:eastAsia="Times New Roman" w:hAnsi="Calibri" w:cs="Times New Roman"/>
        </w:rPr>
        <w:t xml:space="preserve">he findings from a provider survey and qualitative research </w:t>
      </w:r>
      <w:r>
        <w:rPr>
          <w:rFonts w:ascii="Calibri" w:eastAsia="Times New Roman" w:hAnsi="Calibri" w:cs="Times New Roman"/>
        </w:rPr>
        <w:t xml:space="preserve">(undertaken in October to December 2016) </w:t>
      </w:r>
      <w:r w:rsidRPr="007E1DBA">
        <w:rPr>
          <w:rFonts w:ascii="Calibri" w:eastAsia="Times New Roman" w:hAnsi="Calibri" w:cs="Times New Roman"/>
        </w:rPr>
        <w:t>are included to support the analysis of administrative data</w:t>
      </w:r>
      <w:r>
        <w:rPr>
          <w:rFonts w:ascii="Calibri" w:eastAsia="Times New Roman" w:hAnsi="Calibri" w:cs="Times New Roman"/>
        </w:rPr>
        <w:t xml:space="preserve"> w</w:t>
      </w:r>
      <w:r w:rsidRPr="007E1DBA">
        <w:rPr>
          <w:rFonts w:ascii="Calibri" w:eastAsia="Times New Roman" w:hAnsi="Calibri" w:cs="Times New Roman"/>
        </w:rPr>
        <w:t xml:space="preserve">here relevant. </w:t>
      </w:r>
    </w:p>
    <w:p w14:paraId="1F181C28" w14:textId="77777777" w:rsidR="00CC4E3D" w:rsidRPr="001F4939" w:rsidRDefault="00CC4E3D" w:rsidP="001F4939">
      <w:pPr>
        <w:pStyle w:val="Heading2"/>
        <w:numPr>
          <w:ilvl w:val="1"/>
          <w:numId w:val="4"/>
        </w:numPr>
      </w:pPr>
      <w:bookmarkStart w:id="266" w:name="_Toc492976293"/>
      <w:bookmarkStart w:id="267" w:name="_Toc509402607"/>
      <w:bookmarkStart w:id="268" w:name="_Toc535498899"/>
      <w:bookmarkStart w:id="269" w:name="_Toc23841379"/>
      <w:r w:rsidRPr="001F4939">
        <w:t>The number of participants engaged in TtW compared with the allocation of Annual Funded Places — caseloads and commencements</w:t>
      </w:r>
      <w:bookmarkEnd w:id="266"/>
      <w:bookmarkEnd w:id="267"/>
      <w:bookmarkEnd w:id="268"/>
      <w:bookmarkEnd w:id="269"/>
    </w:p>
    <w:p w14:paraId="7AFCFFB9" w14:textId="68C1A223" w:rsidR="00CC4E3D" w:rsidRPr="00FD4CA8" w:rsidRDefault="00CC4E3D" w:rsidP="001C25D9">
      <w:pPr>
        <w:pStyle w:val="Heading3"/>
        <w:numPr>
          <w:ilvl w:val="2"/>
          <w:numId w:val="4"/>
        </w:numPr>
        <w:spacing w:before="200"/>
        <w:rPr>
          <w:rFonts w:eastAsia="Times New Roman" w:cs="Times New Roman"/>
          <w:szCs w:val="24"/>
        </w:rPr>
      </w:pPr>
      <w:bookmarkStart w:id="270" w:name="_Toc492976294"/>
      <w:bookmarkStart w:id="271" w:name="_Toc509402608"/>
      <w:bookmarkStart w:id="272" w:name="_Toc535498900"/>
      <w:bookmarkStart w:id="273" w:name="_Toc23841380"/>
      <w:r w:rsidRPr="00FD4CA8">
        <w:rPr>
          <w:szCs w:val="24"/>
        </w:rPr>
        <w:t>Contracts were approved on a rolling basis</w:t>
      </w:r>
      <w:bookmarkEnd w:id="270"/>
      <w:bookmarkEnd w:id="271"/>
      <w:bookmarkEnd w:id="272"/>
      <w:bookmarkEnd w:id="273"/>
      <w:r w:rsidRPr="00FD4CA8">
        <w:rPr>
          <w:rFonts w:eastAsia="Times New Roman" w:cs="Times New Roman"/>
          <w:szCs w:val="24"/>
        </w:rPr>
        <w:t xml:space="preserve"> </w:t>
      </w:r>
    </w:p>
    <w:p w14:paraId="56EB4A33" w14:textId="77777777" w:rsidR="00CC4E3D" w:rsidRDefault="00CC4E3D" w:rsidP="00CC4E3D">
      <w:r>
        <w:t>Contracts were approved between February 2016 and the end of April 2016 an allocated a start date in one of the four implementation phases (</w:t>
      </w:r>
      <w:r>
        <w:rPr>
          <w:b/>
        </w:rPr>
        <w:t>Figure 4.</w:t>
      </w:r>
      <w:r w:rsidRPr="00D511F5">
        <w:rPr>
          <w:b/>
        </w:rPr>
        <w:t>1</w:t>
      </w:r>
      <w:r>
        <w:t xml:space="preserve">). </w:t>
      </w:r>
    </w:p>
    <w:p w14:paraId="1B8A793F" w14:textId="43AAABEC" w:rsidR="00CC4E3D" w:rsidRDefault="00CC4E3D" w:rsidP="00CC4E3D">
      <w:pPr>
        <w:pStyle w:val="Default"/>
        <w:spacing w:line="276" w:lineRule="auto"/>
        <w:rPr>
          <w:rFonts w:cs="Times New Roman"/>
        </w:rPr>
      </w:pPr>
      <w:r>
        <w:rPr>
          <w:rFonts w:eastAsiaTheme="minorEastAsia"/>
          <w:sz w:val="22"/>
          <w:szCs w:val="22"/>
          <w:lang w:eastAsia="en-US"/>
        </w:rPr>
        <w:t>Once provider sites and start-up dates were</w:t>
      </w:r>
      <w:r w:rsidRPr="009E0B7A">
        <w:rPr>
          <w:rFonts w:eastAsiaTheme="minorEastAsia"/>
          <w:sz w:val="22"/>
          <w:szCs w:val="22"/>
          <w:lang w:eastAsia="en-US"/>
        </w:rPr>
        <w:t xml:space="preserve"> confirmed, the </w:t>
      </w:r>
      <w:r w:rsidR="00AC1C42">
        <w:rPr>
          <w:rFonts w:eastAsiaTheme="minorEastAsia"/>
          <w:sz w:val="22"/>
          <w:szCs w:val="22"/>
          <w:lang w:eastAsia="en-US"/>
        </w:rPr>
        <w:t>d</w:t>
      </w:r>
      <w:r w:rsidRPr="009E0B7A">
        <w:rPr>
          <w:rFonts w:eastAsiaTheme="minorEastAsia"/>
          <w:sz w:val="22"/>
          <w:szCs w:val="22"/>
          <w:lang w:eastAsia="en-US"/>
        </w:rPr>
        <w:t xml:space="preserve">epartment </w:t>
      </w:r>
      <w:r>
        <w:rPr>
          <w:rFonts w:eastAsiaTheme="minorEastAsia"/>
          <w:sz w:val="22"/>
          <w:szCs w:val="22"/>
          <w:lang w:eastAsia="en-US"/>
        </w:rPr>
        <w:t>identified</w:t>
      </w:r>
      <w:r w:rsidRPr="009E0B7A">
        <w:rPr>
          <w:rFonts w:eastAsiaTheme="minorEastAsia"/>
          <w:sz w:val="22"/>
          <w:szCs w:val="22"/>
          <w:lang w:eastAsia="en-US"/>
        </w:rPr>
        <w:t xml:space="preserve"> you</w:t>
      </w:r>
      <w:r>
        <w:rPr>
          <w:rFonts w:eastAsiaTheme="minorEastAsia"/>
          <w:sz w:val="22"/>
          <w:szCs w:val="22"/>
          <w:lang w:eastAsia="en-US"/>
        </w:rPr>
        <w:t>ng people in jobactive in each employment r</w:t>
      </w:r>
      <w:r w:rsidRPr="009E0B7A">
        <w:rPr>
          <w:rFonts w:eastAsiaTheme="minorEastAsia"/>
          <w:sz w:val="22"/>
          <w:szCs w:val="22"/>
          <w:lang w:eastAsia="en-US"/>
        </w:rPr>
        <w:t xml:space="preserve">egion </w:t>
      </w:r>
      <w:r>
        <w:rPr>
          <w:rFonts w:eastAsiaTheme="minorEastAsia"/>
          <w:sz w:val="22"/>
          <w:szCs w:val="22"/>
          <w:lang w:eastAsia="en-US"/>
        </w:rPr>
        <w:t>who</w:t>
      </w:r>
      <w:r w:rsidRPr="009E0B7A">
        <w:rPr>
          <w:rFonts w:eastAsiaTheme="minorEastAsia"/>
          <w:sz w:val="22"/>
          <w:szCs w:val="22"/>
          <w:lang w:eastAsia="en-US"/>
        </w:rPr>
        <w:t xml:space="preserve"> </w:t>
      </w:r>
      <w:r>
        <w:rPr>
          <w:rFonts w:eastAsiaTheme="minorEastAsia"/>
          <w:sz w:val="22"/>
          <w:szCs w:val="22"/>
          <w:lang w:eastAsia="en-US"/>
        </w:rPr>
        <w:t>were</w:t>
      </w:r>
      <w:r w:rsidRPr="009E0B7A">
        <w:rPr>
          <w:rFonts w:eastAsiaTheme="minorEastAsia"/>
          <w:sz w:val="22"/>
          <w:szCs w:val="22"/>
          <w:lang w:eastAsia="en-US"/>
        </w:rPr>
        <w:t xml:space="preserve"> eligible for </w:t>
      </w:r>
      <w:r>
        <w:rPr>
          <w:rFonts w:eastAsiaTheme="minorEastAsia"/>
          <w:sz w:val="22"/>
          <w:szCs w:val="22"/>
          <w:lang w:eastAsia="en-US"/>
        </w:rPr>
        <w:t>TtW and started referring them to TtW providers (start</w:t>
      </w:r>
      <w:r>
        <w:rPr>
          <w:rFonts w:eastAsiaTheme="minorEastAsia"/>
          <w:sz w:val="22"/>
          <w:szCs w:val="22"/>
          <w:lang w:eastAsia="en-US"/>
        </w:rPr>
        <w:noBreakHyphen/>
        <w:t>up caseload)</w:t>
      </w:r>
      <w:r w:rsidRPr="009E0B7A">
        <w:rPr>
          <w:rFonts w:eastAsiaTheme="minorEastAsia"/>
          <w:sz w:val="22"/>
          <w:szCs w:val="22"/>
          <w:lang w:eastAsia="en-US"/>
        </w:rPr>
        <w:t xml:space="preserve">. </w:t>
      </w:r>
      <w:r>
        <w:rPr>
          <w:rFonts w:eastAsiaTheme="minorEastAsia"/>
          <w:sz w:val="22"/>
          <w:szCs w:val="22"/>
          <w:lang w:eastAsia="en-US"/>
        </w:rPr>
        <w:t>T</w:t>
      </w:r>
      <w:r w:rsidRPr="00F75BE7">
        <w:rPr>
          <w:rFonts w:eastAsiaTheme="minorEastAsia"/>
          <w:sz w:val="22"/>
          <w:szCs w:val="22"/>
          <w:lang w:eastAsia="en-US"/>
        </w:rPr>
        <w:t xml:space="preserve">here were 82 contracts approved (across 271 sites and 43 organisations) </w:t>
      </w:r>
      <w:r>
        <w:rPr>
          <w:rFonts w:eastAsiaTheme="minorEastAsia"/>
          <w:sz w:val="22"/>
          <w:szCs w:val="22"/>
          <w:lang w:eastAsia="en-US"/>
        </w:rPr>
        <w:t xml:space="preserve">between February and the end of April 2016 that were operational </w:t>
      </w:r>
      <w:r w:rsidRPr="00F75BE7">
        <w:rPr>
          <w:rFonts w:eastAsiaTheme="minorEastAsia"/>
          <w:sz w:val="22"/>
          <w:szCs w:val="22"/>
          <w:lang w:eastAsia="en-US"/>
        </w:rPr>
        <w:t>during the first year of TtW.</w:t>
      </w:r>
    </w:p>
    <w:p w14:paraId="5E12F061" w14:textId="17FD50C6" w:rsidR="00CC4E3D" w:rsidRPr="00D7275E" w:rsidRDefault="00CC4E3D" w:rsidP="00FD4CA8">
      <w:pPr>
        <w:pStyle w:val="Caption"/>
      </w:pPr>
      <w:bookmarkStart w:id="274" w:name="_Toc492976733"/>
      <w:bookmarkStart w:id="275" w:name="_Toc509402453"/>
      <w:bookmarkStart w:id="276" w:name="_Toc514172368"/>
      <w:bookmarkStart w:id="277" w:name="_Toc535511469"/>
      <w:bookmarkStart w:id="278" w:name="_Toc535511529"/>
      <w:bookmarkStart w:id="279" w:name="_Toc535512756"/>
      <w:bookmarkStart w:id="280" w:name="_Toc535513392"/>
      <w:bookmarkStart w:id="281" w:name="_Toc23841471"/>
      <w:r>
        <w:lastRenderedPageBreak/>
        <w:t xml:space="preserve">Figure </w:t>
      </w:r>
      <w:r>
        <w:rPr>
          <w:noProof/>
        </w:rPr>
        <w:fldChar w:fldCharType="begin"/>
      </w:r>
      <w:r>
        <w:rPr>
          <w:noProof/>
        </w:rPr>
        <w:instrText xml:space="preserve"> STYLEREF 1 \s </w:instrText>
      </w:r>
      <w:r>
        <w:rPr>
          <w:noProof/>
        </w:rPr>
        <w:fldChar w:fldCharType="separate"/>
      </w:r>
      <w:r w:rsidR="00D84A2A">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1</w:t>
      </w:r>
      <w:r>
        <w:rPr>
          <w:noProof/>
        </w:rPr>
        <w:fldChar w:fldCharType="end"/>
      </w:r>
      <w:r>
        <w:tab/>
        <w:t>Timeline</w:t>
      </w:r>
      <w:r w:rsidRPr="00D7275E">
        <w:t xml:space="preserve"> of contracts approved </w:t>
      </w:r>
      <w:r>
        <w:t>during</w:t>
      </w:r>
      <w:r w:rsidRPr="00D7275E">
        <w:t xml:space="preserve"> the implementation </w:t>
      </w:r>
      <w:bookmarkEnd w:id="274"/>
      <w:bookmarkEnd w:id="275"/>
      <w:r>
        <w:t>phase</w:t>
      </w:r>
      <w:bookmarkEnd w:id="276"/>
      <w:bookmarkEnd w:id="277"/>
      <w:bookmarkEnd w:id="278"/>
      <w:bookmarkEnd w:id="279"/>
      <w:bookmarkEnd w:id="280"/>
      <w:bookmarkEnd w:id="281"/>
    </w:p>
    <w:p w14:paraId="179C90C2" w14:textId="77777777" w:rsidR="00CC4E3D" w:rsidRPr="000F6F27" w:rsidRDefault="00CC4E3D" w:rsidP="00CC4E3D">
      <w:r w:rsidRPr="00245FEC">
        <w:rPr>
          <w:noProof/>
          <w:lang w:eastAsia="en-AU"/>
        </w:rPr>
        <w:drawing>
          <wp:inline distT="0" distB="0" distL="0" distR="0" wp14:anchorId="2E1932BB" wp14:editId="17BBEA9B">
            <wp:extent cx="5403600" cy="3045600"/>
            <wp:effectExtent l="0" t="0" r="6985" b="2540"/>
            <wp:docPr id="291" name="Picture 291" descr="Column chart showing the numbers of contracts that were approved and started on specific dates.&#10;This chart shows five contract start dates:&#10;17/02/16 — 7 contract starts&#10;02/03/16 — 4 contract starts&#10;16/03/16 — 28 contract starts&#10;06/04/16 — 42 contract starts&#10;Unspecified date after 27/04/16 — 1 contract start.&#10;It shows contract approval dates staggered in the periods before each batch of contract starts, beginning on 10/02/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03600" cy="3045600"/>
                    </a:xfrm>
                    <a:prstGeom prst="rect">
                      <a:avLst/>
                    </a:prstGeom>
                    <a:noFill/>
                    <a:ln>
                      <a:noFill/>
                    </a:ln>
                  </pic:spPr>
                </pic:pic>
              </a:graphicData>
            </a:graphic>
          </wp:inline>
        </w:drawing>
      </w:r>
    </w:p>
    <w:p w14:paraId="6C6A1BF2" w14:textId="29C40E74" w:rsidR="00CC4E3D" w:rsidRPr="005A1B8D" w:rsidRDefault="00CC4E3D" w:rsidP="00CC4E3D">
      <w:pPr>
        <w:pStyle w:val="Source"/>
        <w:rPr>
          <w:rFonts w:eastAsia="Times New Roman"/>
          <w:b/>
        </w:rPr>
      </w:pPr>
      <w:r w:rsidRPr="005A1B8D">
        <w:rPr>
          <w:rFonts w:eastAsia="Times New Roman"/>
          <w:b/>
        </w:rPr>
        <w:t xml:space="preserve">Source: Department of </w:t>
      </w:r>
      <w:r w:rsidR="009A07D4" w:rsidRPr="005A1B8D">
        <w:rPr>
          <w:b/>
        </w:rPr>
        <w:t>Employment, Skills, Small and Family</w:t>
      </w:r>
      <w:r w:rsidRPr="005A1B8D">
        <w:rPr>
          <w:b/>
        </w:rPr>
        <w:t xml:space="preserve"> Business</w:t>
      </w:r>
      <w:r w:rsidRPr="005A1B8D">
        <w:rPr>
          <w:rFonts w:eastAsia="Times New Roman"/>
          <w:b/>
        </w:rPr>
        <w:t xml:space="preserve"> </w:t>
      </w:r>
      <w:r w:rsidRPr="005A1B8D">
        <w:rPr>
          <w:b/>
        </w:rPr>
        <w:t>administrative</w:t>
      </w:r>
      <w:r w:rsidRPr="005A1B8D">
        <w:rPr>
          <w:rFonts w:eastAsia="Times New Roman"/>
          <w:b/>
        </w:rPr>
        <w:t xml:space="preserve"> data.</w:t>
      </w:r>
    </w:p>
    <w:p w14:paraId="3DBEF8F8" w14:textId="77777777" w:rsidR="00CC4E3D" w:rsidRPr="00FD4CA8" w:rsidRDefault="00CC4E3D" w:rsidP="001C25D9">
      <w:pPr>
        <w:pStyle w:val="Heading3"/>
        <w:numPr>
          <w:ilvl w:val="2"/>
          <w:numId w:val="4"/>
        </w:numPr>
        <w:spacing w:before="200"/>
        <w:rPr>
          <w:rFonts w:eastAsia="Times New Roman" w:cs="Times New Roman"/>
          <w:szCs w:val="24"/>
        </w:rPr>
      </w:pPr>
      <w:bookmarkStart w:id="282" w:name="_Toc511812003"/>
      <w:bookmarkStart w:id="283" w:name="_Toc511841640"/>
      <w:bookmarkStart w:id="284" w:name="_Toc511841749"/>
      <w:bookmarkStart w:id="285" w:name="_Toc514172969"/>
      <w:bookmarkStart w:id="286" w:name="_Toc514173077"/>
      <w:bookmarkStart w:id="287" w:name="_Toc535498901"/>
      <w:bookmarkStart w:id="288" w:name="_Toc23841381"/>
      <w:bookmarkEnd w:id="282"/>
      <w:bookmarkEnd w:id="283"/>
      <w:bookmarkEnd w:id="284"/>
      <w:bookmarkEnd w:id="285"/>
      <w:bookmarkEnd w:id="286"/>
      <w:r w:rsidRPr="00FD4CA8">
        <w:rPr>
          <w:szCs w:val="24"/>
        </w:rPr>
        <w:t>Utilisation of Annual Funded Places</w:t>
      </w:r>
      <w:bookmarkEnd w:id="287"/>
      <w:bookmarkEnd w:id="288"/>
    </w:p>
    <w:p w14:paraId="626204DA" w14:textId="77777777" w:rsidR="00CC4E3D" w:rsidRPr="00DB390C" w:rsidRDefault="00CC4E3D" w:rsidP="00CC4E3D">
      <w:pPr>
        <w:rPr>
          <w:rFonts w:ascii="Calibri" w:eastAsiaTheme="majorEastAsia" w:hAnsi="Calibri" w:cstheme="majorBidi"/>
          <w:b/>
          <w:bCs/>
          <w:vanish/>
        </w:rPr>
      </w:pPr>
      <w:r>
        <w:rPr>
          <w:rFonts w:ascii="Calibri" w:eastAsia="Times New Roman" w:hAnsi="Calibri" w:cs="Times New Roman"/>
        </w:rPr>
        <w:t>The evaluation examined TtW caseloads at two dates, 31 July 2016 and 31 January 2017, to measure the utilisation of Annual Funded Places. As participants are not allocated to a single funded place, providers are expected to continue accepting new referrals and recruiting. At any time providers may have more participants than their allocated Annual Funded Places.</w:t>
      </w:r>
      <w:r w:rsidRPr="008A5822">
        <w:rPr>
          <w:rFonts w:ascii="Calibri" w:eastAsia="Times New Roman" w:hAnsi="Calibri" w:cs="Times New Roman"/>
        </w:rPr>
        <w:t xml:space="preserve"> </w:t>
      </w:r>
    </w:p>
    <w:p w14:paraId="65611954" w14:textId="77777777" w:rsidR="00CC4E3D" w:rsidRDefault="00CC4E3D" w:rsidP="00CC4E3D">
      <w:r>
        <w:rPr>
          <w:rFonts w:ascii="Calibri" w:eastAsia="Times New Roman" w:hAnsi="Calibri" w:cs="Times New Roman"/>
        </w:rPr>
        <w:t xml:space="preserve">When the approval date of each contract was accounted for, there was a trend for providers whose contracts had been operating for longer to have a higher percentage of their Annual Funded Places filled as shown in </w:t>
      </w:r>
      <w:r>
        <w:rPr>
          <w:rFonts w:ascii="Calibri" w:eastAsia="Times New Roman" w:hAnsi="Calibri" w:cs="Times New Roman"/>
          <w:b/>
        </w:rPr>
        <w:t>Figure 4.2</w:t>
      </w:r>
      <w:r>
        <w:rPr>
          <w:rFonts w:ascii="Calibri" w:eastAsia="Times New Roman" w:hAnsi="Calibri" w:cs="Times New Roman"/>
        </w:rPr>
        <w:t xml:space="preserve"> (i.e. they had more time to build their caseload).</w:t>
      </w:r>
      <w:r>
        <w:t xml:space="preserve"> In fact, the average occupancy rate of caseloads grew from 78 per cent at 31 July 2016 to 117 per cent six months later. </w:t>
      </w:r>
    </w:p>
    <w:p w14:paraId="59158833" w14:textId="77777777" w:rsidR="00CC4E3D" w:rsidRDefault="00CC4E3D" w:rsidP="00CC4E3D">
      <w:r>
        <w:t xml:space="preserve">As is also evident from </w:t>
      </w:r>
      <w:r>
        <w:rPr>
          <w:b/>
        </w:rPr>
        <w:t>Figure 4.</w:t>
      </w:r>
      <w:r w:rsidRPr="00D511F5">
        <w:rPr>
          <w:b/>
        </w:rPr>
        <w:t>2</w:t>
      </w:r>
      <w:r>
        <w:t>, there was still a high degree of variability in the percentage of Annual Funded Places filled that was not explained by the time in operation. This indicated that other significant factors specific to contracts were likely to have influenced use of allocated places, such as the number and timing of young people registering for income support. Other factors such as the providers’ skill in recruiting disengaged young people (Group Two) and the flow of suitable Stream C participants from jobactive had a smaller impact.</w:t>
      </w:r>
    </w:p>
    <w:p w14:paraId="2A1700D1" w14:textId="77777777" w:rsidR="00CC4E3D" w:rsidRDefault="00CC4E3D" w:rsidP="005A1B8D">
      <w:pPr>
        <w:keepNext/>
        <w:keepLines/>
      </w:pPr>
      <w:r>
        <w:lastRenderedPageBreak/>
        <w:t xml:space="preserve">Additional site-specific factors might have also contributed to the variability, including: </w:t>
      </w:r>
    </w:p>
    <w:p w14:paraId="4F87282B" w14:textId="77777777" w:rsidR="00CC4E3D" w:rsidRDefault="00CC4E3D" w:rsidP="00415050">
      <w:pPr>
        <w:pStyle w:val="ListBullet"/>
        <w:keepNext/>
        <w:keepLines/>
        <w:ind w:left="357" w:hanging="357"/>
      </w:pPr>
      <w:r>
        <w:t>whether they were previously operating as an employment services</w:t>
      </w:r>
      <w:r>
        <w:rPr>
          <w:rStyle w:val="FootnoteReference"/>
        </w:rPr>
        <w:footnoteReference w:id="16"/>
      </w:r>
      <w:r>
        <w:t xml:space="preserve"> site</w:t>
      </w:r>
    </w:p>
    <w:p w14:paraId="0F1CD616" w14:textId="77777777" w:rsidR="00CC4E3D" w:rsidRDefault="00CC4E3D" w:rsidP="00E803E7">
      <w:pPr>
        <w:pStyle w:val="ListBullet"/>
      </w:pPr>
      <w:r>
        <w:t xml:space="preserve">the relationships between the provider, DHS and other referring partners </w:t>
      </w:r>
    </w:p>
    <w:p w14:paraId="604DC303" w14:textId="77777777" w:rsidR="00CC4E3D" w:rsidRDefault="00CC4E3D" w:rsidP="00E803E7">
      <w:pPr>
        <w:pStyle w:val="ListBullet"/>
      </w:pPr>
      <w:r>
        <w:t>how experienced their staff were in delivering employment services.</w:t>
      </w:r>
    </w:p>
    <w:p w14:paraId="223F2CB3" w14:textId="3E3898B3" w:rsidR="00CC4E3D" w:rsidRDefault="00CC4E3D" w:rsidP="00FD4CA8">
      <w:pPr>
        <w:pStyle w:val="Caption"/>
      </w:pPr>
      <w:bookmarkStart w:id="289" w:name="_Toc492976734"/>
      <w:bookmarkStart w:id="290" w:name="_Toc509402454"/>
      <w:bookmarkStart w:id="291" w:name="_Toc535511470"/>
      <w:bookmarkStart w:id="292" w:name="_Toc535511530"/>
      <w:bookmarkStart w:id="293" w:name="_Toc535512757"/>
      <w:bookmarkStart w:id="294" w:name="_Toc535513393"/>
      <w:bookmarkStart w:id="295" w:name="_Toc23841472"/>
      <w:r>
        <w:t xml:space="preserve">Figure </w:t>
      </w:r>
      <w:r>
        <w:rPr>
          <w:noProof/>
        </w:rPr>
        <w:fldChar w:fldCharType="begin"/>
      </w:r>
      <w:r>
        <w:rPr>
          <w:noProof/>
        </w:rPr>
        <w:instrText xml:space="preserve"> STYLEREF 1 \s </w:instrText>
      </w:r>
      <w:r>
        <w:rPr>
          <w:noProof/>
        </w:rPr>
        <w:fldChar w:fldCharType="separate"/>
      </w:r>
      <w:r w:rsidR="00D84A2A">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2</w:t>
      </w:r>
      <w:r>
        <w:rPr>
          <w:noProof/>
        </w:rPr>
        <w:fldChar w:fldCharType="end"/>
      </w:r>
      <w:r>
        <w:tab/>
        <w:t>Use</w:t>
      </w:r>
      <w:r w:rsidRPr="00610D95">
        <w:t xml:space="preserve"> of </w:t>
      </w:r>
      <w:r>
        <w:t>Annual Funded Places</w:t>
      </w:r>
      <w:r w:rsidRPr="00610D95">
        <w:t xml:space="preserve"> per </w:t>
      </w:r>
      <w:r>
        <w:t xml:space="preserve">provider </w:t>
      </w:r>
      <w:r w:rsidRPr="00610D95">
        <w:t>contract</w:t>
      </w:r>
      <w:bookmarkEnd w:id="289"/>
      <w:bookmarkEnd w:id="290"/>
      <w:r>
        <w:t>, by days from contract start</w:t>
      </w:r>
      <w:bookmarkEnd w:id="291"/>
      <w:bookmarkEnd w:id="292"/>
      <w:bookmarkEnd w:id="293"/>
      <w:bookmarkEnd w:id="294"/>
      <w:bookmarkEnd w:id="295"/>
    </w:p>
    <w:p w14:paraId="4A09BA4B" w14:textId="0E15AE6B" w:rsidR="000A3E79" w:rsidRPr="000A3E79" w:rsidRDefault="00E73D3E" w:rsidP="000A3E79">
      <w:pPr>
        <w:spacing w:after="0"/>
      </w:pPr>
      <w:r>
        <w:rPr>
          <w:noProof/>
          <w:lang w:eastAsia="en-AU"/>
        </w:rPr>
        <w:drawing>
          <wp:inline distT="0" distB="0" distL="0" distR="0" wp14:anchorId="42A73F2C" wp14:editId="0E750462">
            <wp:extent cx="5621020" cy="3072765"/>
            <wp:effectExtent l="0" t="0" r="0" b="0"/>
            <wp:docPr id="6" name="Picture 6" descr="Scatter/line chart showing, at two points in time, the percentage of annual funded places filled by each contract, grouped by days from contract start dates.&#10;Comparing 31 July 2016 and 31 January 2017, this figure plots each contract individually by its utilisation rate (percentage of funded places in use) against how long it had been operating. &#10;It shows a sizeable reduction in the number of contracts with unused annual funded places, and a substantial increase in the number of contracts that were using more than 100% of their funded places (including several over 150% and one over 200%). &#10;The spread of utilisation rates between individual contracts was broad on 31 July and broader on 31 January. &#10;On 31 July the majority of contracts were using fewer than 100% (average 78%) of their funded places. On 31 January the majority were using more than 100% (average 117%) but there were still a significant number using between 50% and 1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21020" cy="3072765"/>
                    </a:xfrm>
                    <a:prstGeom prst="rect">
                      <a:avLst/>
                    </a:prstGeom>
                    <a:noFill/>
                  </pic:spPr>
                </pic:pic>
              </a:graphicData>
            </a:graphic>
          </wp:inline>
        </w:drawing>
      </w:r>
    </w:p>
    <w:p w14:paraId="31AEDDF3" w14:textId="34EEFBB0" w:rsidR="00CC4E3D" w:rsidRPr="005A1B8D" w:rsidRDefault="00CC4E3D" w:rsidP="00CC4E3D">
      <w:pPr>
        <w:pStyle w:val="Source"/>
        <w:rPr>
          <w:rFonts w:eastAsia="Times New Roman"/>
          <w:b/>
        </w:rPr>
      </w:pPr>
      <w:r w:rsidRPr="005A1B8D">
        <w:rPr>
          <w:rFonts w:eastAsia="Times New Roman"/>
          <w:b/>
        </w:rPr>
        <w:t xml:space="preserve">Source: Department of </w:t>
      </w:r>
      <w:r w:rsidR="009A07D4" w:rsidRPr="005A1B8D">
        <w:rPr>
          <w:rFonts w:eastAsia="Times New Roman"/>
          <w:b/>
        </w:rPr>
        <w:t>Employment, Skills, Small and Family</w:t>
      </w:r>
      <w:r w:rsidRPr="005A1B8D">
        <w:rPr>
          <w:rFonts w:eastAsia="Times New Roman"/>
          <w:b/>
        </w:rPr>
        <w:t xml:space="preserve"> Business administrative data.</w:t>
      </w:r>
    </w:p>
    <w:p w14:paraId="1C858720" w14:textId="13937EB6" w:rsidR="00CC4E3D" w:rsidRDefault="00CC4E3D" w:rsidP="00CC4E3D">
      <w:r>
        <w:rPr>
          <w:rFonts w:ascii="Calibri" w:eastAsia="Times New Roman" w:hAnsi="Calibri" w:cs="Times New Roman"/>
        </w:rPr>
        <w:t xml:space="preserve">The utilisation of Annual Funded Places is reviewed by the </w:t>
      </w:r>
      <w:r w:rsidR="00AC1C42">
        <w:rPr>
          <w:rFonts w:ascii="Calibri" w:eastAsia="Times New Roman" w:hAnsi="Calibri" w:cs="Times New Roman"/>
        </w:rPr>
        <w:t>d</w:t>
      </w:r>
      <w:r>
        <w:rPr>
          <w:rFonts w:ascii="Calibri" w:eastAsia="Times New Roman" w:hAnsi="Calibri" w:cs="Times New Roman"/>
        </w:rPr>
        <w:t xml:space="preserve">epartment on a quarterly basis. The department may adjust a provider’s number of Annual Funded Places </w:t>
      </w:r>
      <w:r>
        <w:t xml:space="preserve">(as a result of labour market shifts, demographic change etc.) if their caseload is significantly or consistently different from their allocated places. It may also adjust Annual Funded Places based on provider performance. </w:t>
      </w:r>
    </w:p>
    <w:p w14:paraId="499D93EB" w14:textId="77777777" w:rsidR="00CC4E3D" w:rsidRDefault="00CC4E3D" w:rsidP="00CC4E3D">
      <w:pPr>
        <w:rPr>
          <w:rFonts w:ascii="Calibri" w:eastAsia="Times New Roman" w:hAnsi="Calibri" w:cs="Times New Roman"/>
        </w:rPr>
      </w:pPr>
      <w:r>
        <w:rPr>
          <w:rFonts w:ascii="Calibri" w:eastAsia="Times New Roman" w:hAnsi="Calibri" w:cs="Times New Roman"/>
        </w:rPr>
        <w:t>The actual caseload</w:t>
      </w:r>
      <w:r>
        <w:rPr>
          <w:rFonts w:ascii="Calibri" w:eastAsia="Times New Roman" w:hAnsi="Calibri" w:cs="Times New Roman"/>
          <w:b/>
        </w:rPr>
        <w:t xml:space="preserve"> </w:t>
      </w:r>
      <w:r>
        <w:rPr>
          <w:rFonts w:ascii="Calibri" w:eastAsia="Times New Roman" w:hAnsi="Calibri" w:cs="Times New Roman"/>
        </w:rPr>
        <w:t>breakdown of active referrals</w:t>
      </w:r>
      <w:r w:rsidRPr="00610D95">
        <w:rPr>
          <w:rStyle w:val="FootnoteReference"/>
          <w:rFonts w:eastAsia="Times New Roman" w:cs="Times New Roman"/>
          <w:b/>
        </w:rPr>
        <w:footnoteReference w:id="17"/>
      </w:r>
      <w:r>
        <w:rPr>
          <w:rFonts w:ascii="Calibri" w:eastAsia="Times New Roman" w:hAnsi="Calibri" w:cs="Times New Roman"/>
        </w:rPr>
        <w:t xml:space="preserve"> at 31 July 2016 and 31 January 2017, and expected allocation by group, is in </w:t>
      </w:r>
      <w:r>
        <w:rPr>
          <w:rFonts w:ascii="Calibri" w:eastAsia="Times New Roman" w:hAnsi="Calibri" w:cs="Times New Roman"/>
          <w:b/>
        </w:rPr>
        <w:t>Table 4.1</w:t>
      </w:r>
      <w:r>
        <w:rPr>
          <w:rFonts w:ascii="Calibri" w:eastAsia="Times New Roman" w:hAnsi="Calibri" w:cs="Times New Roman"/>
        </w:rPr>
        <w:t>.</w:t>
      </w:r>
    </w:p>
    <w:p w14:paraId="3D40682D" w14:textId="57D122AB" w:rsidR="00CC4E3D" w:rsidRPr="000A38F1" w:rsidRDefault="00CC4E3D" w:rsidP="005A1B8D">
      <w:pPr>
        <w:pStyle w:val="Caption"/>
      </w:pPr>
      <w:bookmarkStart w:id="296" w:name="_Toc535511471"/>
      <w:bookmarkStart w:id="297" w:name="_Toc535511531"/>
      <w:bookmarkStart w:id="298" w:name="_Toc535512758"/>
      <w:bookmarkStart w:id="299" w:name="_Toc535513394"/>
      <w:bookmarkStart w:id="300" w:name="_Toc23841439"/>
      <w:r>
        <w:lastRenderedPageBreak/>
        <w:t xml:space="preserve">Table </w:t>
      </w:r>
      <w:r>
        <w:rPr>
          <w:noProof/>
        </w:rPr>
        <w:fldChar w:fldCharType="begin"/>
      </w:r>
      <w:r>
        <w:rPr>
          <w:noProof/>
        </w:rPr>
        <w:instrText xml:space="preserve"> STYLEREF 1 \s </w:instrText>
      </w:r>
      <w:r>
        <w:rPr>
          <w:noProof/>
        </w:rPr>
        <w:fldChar w:fldCharType="separate"/>
      </w:r>
      <w:r w:rsidR="00D84A2A">
        <w:rPr>
          <w:noProof/>
        </w:rPr>
        <w:t>4</w:t>
      </w:r>
      <w:r>
        <w:rPr>
          <w:noProof/>
        </w:rPr>
        <w:fldChar w:fldCharType="end"/>
      </w:r>
      <w:r>
        <w:t>.</w:t>
      </w:r>
      <w:r>
        <w:rPr>
          <w:noProof/>
        </w:rPr>
        <w:fldChar w:fldCharType="begin"/>
      </w:r>
      <w:r>
        <w:rPr>
          <w:noProof/>
        </w:rPr>
        <w:instrText xml:space="preserve"> SEQ Table \* ARABIC \s 1 </w:instrText>
      </w:r>
      <w:r>
        <w:rPr>
          <w:noProof/>
        </w:rPr>
        <w:fldChar w:fldCharType="separate"/>
      </w:r>
      <w:r w:rsidR="00D84A2A">
        <w:rPr>
          <w:noProof/>
        </w:rPr>
        <w:t>1</w:t>
      </w:r>
      <w:r>
        <w:rPr>
          <w:noProof/>
        </w:rPr>
        <w:fldChar w:fldCharType="end"/>
      </w:r>
      <w:r w:rsidRPr="000A38F1">
        <w:tab/>
        <w:t>Caseload at 3</w:t>
      </w:r>
      <w:r>
        <w:t>1 </w:t>
      </w:r>
      <w:r w:rsidRPr="000A38F1">
        <w:t>July 201</w:t>
      </w:r>
      <w:r>
        <w:t>6 </w:t>
      </w:r>
      <w:r w:rsidRPr="000A38F1">
        <w:t>and 3</w:t>
      </w:r>
      <w:r>
        <w:t>1 </w:t>
      </w:r>
      <w:r w:rsidRPr="000A38F1">
        <w:t>January 2017</w:t>
      </w:r>
      <w:bookmarkEnd w:id="296"/>
      <w:bookmarkEnd w:id="297"/>
      <w:bookmarkEnd w:id="298"/>
      <w:bookmarkEnd w:id="299"/>
      <w:bookmarkEnd w:id="300"/>
    </w:p>
    <w:tbl>
      <w:tblPr>
        <w:tblStyle w:val="JobsTable"/>
        <w:tblW w:w="9026" w:type="dxa"/>
        <w:tblBorders>
          <w:bottom w:val="none" w:sz="0" w:space="0" w:color="auto"/>
        </w:tblBorders>
        <w:tblLook w:val="04A0" w:firstRow="1" w:lastRow="0" w:firstColumn="1" w:lastColumn="0" w:noHBand="0" w:noVBand="1"/>
        <w:tblDescription w:val="Breaks down the share of caseload and projected allocation between the three TtW groups.&#10;At 31 July 2016 the percentages of caseload were Group One (DHS referrals) 91.1; Group Two (disengaged young people) 4.9; Group Three (jobactive referrals) 4.0.&#10;At 31 January 2017 the percentages of caseload were Group One (DHS referrals) 90.6; Group Two (disengaged young people) 7.6; Group Three (jobactive referrals) 1.9.&#10;The projected allocations were Group One (DHS referrals) 70; Group Two (disengaged young people) 20; Group Three (jobactive referrals) 10.&#10;"/>
      </w:tblPr>
      <w:tblGrid>
        <w:gridCol w:w="3544"/>
        <w:gridCol w:w="1827"/>
        <w:gridCol w:w="1827"/>
        <w:gridCol w:w="1828"/>
      </w:tblGrid>
      <w:tr w:rsidR="00CC4E3D" w:rsidRPr="00205968" w14:paraId="3DD162E9" w14:textId="77777777" w:rsidTr="005A1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6AE95CF6" w14:textId="77777777" w:rsidR="00CC4E3D" w:rsidRPr="00205968" w:rsidRDefault="00CC4E3D" w:rsidP="005A1B8D">
            <w:pPr>
              <w:keepNext/>
              <w:keepLines/>
              <w:spacing w:before="40" w:after="40"/>
              <w:rPr>
                <w:b/>
                <w:bCs/>
                <w:sz w:val="20"/>
                <w:szCs w:val="20"/>
              </w:rPr>
            </w:pPr>
            <w:r w:rsidRPr="00205968">
              <w:rPr>
                <w:b/>
                <w:bCs/>
                <w:sz w:val="20"/>
                <w:szCs w:val="20"/>
              </w:rPr>
              <w:t>TtW group</w:t>
            </w:r>
          </w:p>
        </w:tc>
        <w:tc>
          <w:tcPr>
            <w:tcW w:w="1827" w:type="dxa"/>
            <w:vAlign w:val="center"/>
          </w:tcPr>
          <w:p w14:paraId="15A048AC" w14:textId="77777777" w:rsidR="00CC4E3D" w:rsidRPr="00205968" w:rsidRDefault="00CC4E3D" w:rsidP="005A1B8D">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205968">
              <w:rPr>
                <w:b/>
                <w:bCs/>
                <w:sz w:val="20"/>
                <w:szCs w:val="20"/>
              </w:rPr>
              <w:t>Percentage of caseload at 31 July 2016</w:t>
            </w:r>
          </w:p>
        </w:tc>
        <w:tc>
          <w:tcPr>
            <w:tcW w:w="1827" w:type="dxa"/>
            <w:vAlign w:val="center"/>
          </w:tcPr>
          <w:p w14:paraId="4110B957" w14:textId="47E68DDB" w:rsidR="00CC4E3D" w:rsidRPr="00205968" w:rsidRDefault="00CC4E3D" w:rsidP="005A1B8D">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205968">
              <w:rPr>
                <w:b/>
                <w:bCs/>
                <w:sz w:val="20"/>
                <w:szCs w:val="20"/>
              </w:rPr>
              <w:t>Percentage of caseload at 31 January 2017</w:t>
            </w:r>
          </w:p>
        </w:tc>
        <w:tc>
          <w:tcPr>
            <w:tcW w:w="1828" w:type="dxa"/>
            <w:vAlign w:val="center"/>
          </w:tcPr>
          <w:p w14:paraId="39A303B1" w14:textId="77777777" w:rsidR="00CC4E3D" w:rsidRPr="00205968" w:rsidRDefault="00CC4E3D" w:rsidP="005A1B8D">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205968">
              <w:rPr>
                <w:b/>
                <w:bCs/>
                <w:sz w:val="20"/>
                <w:szCs w:val="20"/>
              </w:rPr>
              <w:t>Projected allocation (%)</w:t>
            </w:r>
          </w:p>
        </w:tc>
      </w:tr>
      <w:tr w:rsidR="00CC4E3D" w:rsidRPr="00205968" w14:paraId="2E632098" w14:textId="77777777" w:rsidTr="005A1B8D">
        <w:tc>
          <w:tcPr>
            <w:cnfStyle w:val="001000000000" w:firstRow="0" w:lastRow="0" w:firstColumn="1" w:lastColumn="0" w:oddVBand="0" w:evenVBand="0" w:oddHBand="0" w:evenHBand="0" w:firstRowFirstColumn="0" w:firstRowLastColumn="0" w:lastRowFirstColumn="0" w:lastRowLastColumn="0"/>
            <w:tcW w:w="3544" w:type="dxa"/>
          </w:tcPr>
          <w:p w14:paraId="24CC54AC" w14:textId="77777777" w:rsidR="00CC4E3D" w:rsidRPr="00205968" w:rsidRDefault="00CC4E3D" w:rsidP="005A1B8D">
            <w:pPr>
              <w:keepNext/>
              <w:keepLines/>
              <w:spacing w:before="40" w:after="40"/>
              <w:rPr>
                <w:sz w:val="20"/>
                <w:szCs w:val="20"/>
              </w:rPr>
            </w:pPr>
            <w:r w:rsidRPr="00205968">
              <w:rPr>
                <w:sz w:val="20"/>
                <w:szCs w:val="20"/>
              </w:rPr>
              <w:t>Group One (DHS referrals)</w:t>
            </w:r>
          </w:p>
        </w:tc>
        <w:tc>
          <w:tcPr>
            <w:tcW w:w="1827" w:type="dxa"/>
            <w:vAlign w:val="center"/>
          </w:tcPr>
          <w:p w14:paraId="4DD8FDA9" w14:textId="77777777" w:rsidR="00CC4E3D" w:rsidRPr="00205968" w:rsidRDefault="00CC4E3D" w:rsidP="005A1B8D">
            <w:pPr>
              <w:keepNext/>
              <w:keepLines/>
              <w:spacing w:before="40" w:after="4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91.1</w:t>
            </w:r>
          </w:p>
        </w:tc>
        <w:tc>
          <w:tcPr>
            <w:tcW w:w="1827" w:type="dxa"/>
            <w:vAlign w:val="center"/>
          </w:tcPr>
          <w:p w14:paraId="1888188F" w14:textId="77777777" w:rsidR="00CC4E3D" w:rsidRPr="00205968" w:rsidRDefault="00CC4E3D" w:rsidP="005A1B8D">
            <w:pPr>
              <w:keepNext/>
              <w:keepLines/>
              <w:spacing w:before="40" w:after="4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90.6</w:t>
            </w:r>
          </w:p>
        </w:tc>
        <w:tc>
          <w:tcPr>
            <w:tcW w:w="1828" w:type="dxa"/>
            <w:vAlign w:val="center"/>
          </w:tcPr>
          <w:p w14:paraId="3822E976" w14:textId="77777777" w:rsidR="00CC4E3D" w:rsidRPr="00205968" w:rsidRDefault="00CC4E3D" w:rsidP="005A1B8D">
            <w:pPr>
              <w:keepNext/>
              <w:keepLines/>
              <w:spacing w:before="40" w:after="4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70.0</w:t>
            </w:r>
          </w:p>
        </w:tc>
      </w:tr>
      <w:tr w:rsidR="00CC4E3D" w:rsidRPr="00205968" w14:paraId="2CDC74F2" w14:textId="77777777" w:rsidTr="005A1B8D">
        <w:tc>
          <w:tcPr>
            <w:cnfStyle w:val="001000000000" w:firstRow="0" w:lastRow="0" w:firstColumn="1" w:lastColumn="0" w:oddVBand="0" w:evenVBand="0" w:oddHBand="0" w:evenHBand="0" w:firstRowFirstColumn="0" w:firstRowLastColumn="0" w:lastRowFirstColumn="0" w:lastRowLastColumn="0"/>
            <w:tcW w:w="3544" w:type="dxa"/>
            <w:shd w:val="clear" w:color="auto" w:fill="F2F2F2" w:themeFill="background2"/>
          </w:tcPr>
          <w:p w14:paraId="2BE6410F" w14:textId="77777777" w:rsidR="00CC4E3D" w:rsidRPr="00205968" w:rsidRDefault="00CC4E3D" w:rsidP="005A1B8D">
            <w:pPr>
              <w:keepNext/>
              <w:keepLines/>
              <w:spacing w:before="40" w:after="40"/>
              <w:rPr>
                <w:sz w:val="20"/>
                <w:szCs w:val="20"/>
              </w:rPr>
            </w:pPr>
            <w:r w:rsidRPr="00205968">
              <w:rPr>
                <w:sz w:val="20"/>
                <w:szCs w:val="20"/>
              </w:rPr>
              <w:t>Group Two (disengaged young people)</w:t>
            </w:r>
          </w:p>
        </w:tc>
        <w:tc>
          <w:tcPr>
            <w:tcW w:w="1827" w:type="dxa"/>
            <w:shd w:val="clear" w:color="auto" w:fill="F2F2F2" w:themeFill="background2"/>
            <w:vAlign w:val="center"/>
          </w:tcPr>
          <w:p w14:paraId="3B5AAE1F" w14:textId="77777777" w:rsidR="00CC4E3D" w:rsidRPr="00205968" w:rsidRDefault="00CC4E3D" w:rsidP="005A1B8D">
            <w:pPr>
              <w:keepNext/>
              <w:keepLines/>
              <w:spacing w:before="40" w:after="4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4.9</w:t>
            </w:r>
          </w:p>
        </w:tc>
        <w:tc>
          <w:tcPr>
            <w:tcW w:w="1827" w:type="dxa"/>
            <w:shd w:val="clear" w:color="auto" w:fill="F2F2F2" w:themeFill="background2"/>
            <w:vAlign w:val="center"/>
          </w:tcPr>
          <w:p w14:paraId="20D6B4A7" w14:textId="77777777" w:rsidR="00CC4E3D" w:rsidRPr="00205968" w:rsidRDefault="00CC4E3D" w:rsidP="005A1B8D">
            <w:pPr>
              <w:keepNext/>
              <w:keepLines/>
              <w:spacing w:before="40" w:after="4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7.6</w:t>
            </w:r>
          </w:p>
        </w:tc>
        <w:tc>
          <w:tcPr>
            <w:tcW w:w="1828" w:type="dxa"/>
            <w:shd w:val="clear" w:color="auto" w:fill="F2F2F2" w:themeFill="background2"/>
            <w:vAlign w:val="center"/>
          </w:tcPr>
          <w:p w14:paraId="67DD38E4" w14:textId="77777777" w:rsidR="00CC4E3D" w:rsidRPr="00205968" w:rsidRDefault="00CC4E3D" w:rsidP="005A1B8D">
            <w:pPr>
              <w:keepNext/>
              <w:keepLines/>
              <w:spacing w:before="40" w:after="4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20.0</w:t>
            </w:r>
          </w:p>
        </w:tc>
      </w:tr>
      <w:tr w:rsidR="00CC4E3D" w:rsidRPr="00205968" w14:paraId="42120113" w14:textId="77777777" w:rsidTr="005A1B8D">
        <w:tc>
          <w:tcPr>
            <w:cnfStyle w:val="001000000000" w:firstRow="0" w:lastRow="0" w:firstColumn="1" w:lastColumn="0" w:oddVBand="0" w:evenVBand="0" w:oddHBand="0" w:evenHBand="0" w:firstRowFirstColumn="0" w:firstRowLastColumn="0" w:lastRowFirstColumn="0" w:lastRowLastColumn="0"/>
            <w:tcW w:w="3544" w:type="dxa"/>
            <w:tcBorders>
              <w:bottom w:val="single" w:sz="4" w:space="0" w:color="auto"/>
            </w:tcBorders>
          </w:tcPr>
          <w:p w14:paraId="207F33E5" w14:textId="77777777" w:rsidR="00CC4E3D" w:rsidRPr="00205968" w:rsidRDefault="00CC4E3D" w:rsidP="005A1B8D">
            <w:pPr>
              <w:keepNext/>
              <w:keepLines/>
              <w:spacing w:before="40" w:after="40"/>
              <w:rPr>
                <w:sz w:val="20"/>
                <w:szCs w:val="20"/>
              </w:rPr>
            </w:pPr>
            <w:r w:rsidRPr="00205968">
              <w:rPr>
                <w:sz w:val="20"/>
                <w:szCs w:val="20"/>
              </w:rPr>
              <w:t xml:space="preserve">Group Three (jobactive referrals) </w:t>
            </w:r>
          </w:p>
        </w:tc>
        <w:tc>
          <w:tcPr>
            <w:tcW w:w="1827" w:type="dxa"/>
            <w:tcBorders>
              <w:bottom w:val="single" w:sz="4" w:space="0" w:color="auto"/>
            </w:tcBorders>
            <w:vAlign w:val="center"/>
          </w:tcPr>
          <w:p w14:paraId="4AF692B6" w14:textId="77777777" w:rsidR="00CC4E3D" w:rsidRPr="00205968" w:rsidRDefault="00CC4E3D" w:rsidP="005A1B8D">
            <w:pPr>
              <w:keepNext/>
              <w:keepLines/>
              <w:spacing w:before="40" w:after="4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4.0</w:t>
            </w:r>
          </w:p>
        </w:tc>
        <w:tc>
          <w:tcPr>
            <w:tcW w:w="1827" w:type="dxa"/>
            <w:tcBorders>
              <w:bottom w:val="single" w:sz="4" w:space="0" w:color="auto"/>
            </w:tcBorders>
            <w:vAlign w:val="center"/>
          </w:tcPr>
          <w:p w14:paraId="706724A2" w14:textId="77777777" w:rsidR="00CC4E3D" w:rsidRPr="00205968" w:rsidRDefault="00CC4E3D" w:rsidP="005A1B8D">
            <w:pPr>
              <w:keepNext/>
              <w:keepLines/>
              <w:spacing w:before="40" w:after="4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1.9</w:t>
            </w:r>
          </w:p>
        </w:tc>
        <w:tc>
          <w:tcPr>
            <w:tcW w:w="1828" w:type="dxa"/>
            <w:tcBorders>
              <w:bottom w:val="single" w:sz="4" w:space="0" w:color="auto"/>
            </w:tcBorders>
            <w:vAlign w:val="center"/>
          </w:tcPr>
          <w:p w14:paraId="3FF556DC" w14:textId="77777777" w:rsidR="00CC4E3D" w:rsidRPr="00205968" w:rsidRDefault="00CC4E3D" w:rsidP="005A1B8D">
            <w:pPr>
              <w:keepNext/>
              <w:keepLines/>
              <w:spacing w:before="40" w:after="4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10.0</w:t>
            </w:r>
          </w:p>
        </w:tc>
      </w:tr>
    </w:tbl>
    <w:p w14:paraId="47C016DC" w14:textId="47A36EEF" w:rsidR="00CC4E3D" w:rsidRPr="005A1B8D" w:rsidRDefault="00CC4E3D" w:rsidP="005A1B8D">
      <w:pPr>
        <w:pStyle w:val="Source"/>
        <w:keepNext/>
        <w:keepLines/>
        <w:rPr>
          <w:b/>
        </w:rPr>
      </w:pPr>
      <w:r w:rsidRPr="005A1B8D">
        <w:rPr>
          <w:b/>
        </w:rPr>
        <w:t xml:space="preserve">Source: Department of </w:t>
      </w:r>
      <w:r w:rsidR="00311C8F" w:rsidRPr="005A1B8D">
        <w:rPr>
          <w:b/>
        </w:rPr>
        <w:t xml:space="preserve">Employment, Skills, Small and Family </w:t>
      </w:r>
      <w:r w:rsidRPr="005A1B8D">
        <w:rPr>
          <w:b/>
        </w:rPr>
        <w:t>Business administrative data — caseload data.</w:t>
      </w:r>
    </w:p>
    <w:p w14:paraId="2F39D169" w14:textId="77777777" w:rsidR="00CC4E3D" w:rsidRDefault="00CC4E3D" w:rsidP="00CC4E3D">
      <w:pPr>
        <w:rPr>
          <w:rFonts w:eastAsia="Times New Roman" w:cs="Times New Roman"/>
        </w:rPr>
      </w:pPr>
      <w:r>
        <w:rPr>
          <w:rFonts w:eastAsia="Times New Roman" w:cs="Times New Roman"/>
          <w:bCs/>
          <w:iCs/>
        </w:rPr>
        <w:t xml:space="preserve">The proportion of </w:t>
      </w:r>
      <w:r>
        <w:rPr>
          <w:rFonts w:eastAsia="Times New Roman" w:cs="Times New Roman"/>
        </w:rPr>
        <w:t xml:space="preserve">Group Three participants was capped at 10 per cent of </w:t>
      </w:r>
      <w:r w:rsidRPr="009540C8">
        <w:rPr>
          <w:rFonts w:eastAsia="Times New Roman" w:cs="Times New Roman"/>
        </w:rPr>
        <w:t>the nu</w:t>
      </w:r>
      <w:r>
        <w:rPr>
          <w:rFonts w:eastAsia="Times New Roman" w:cs="Times New Roman"/>
        </w:rPr>
        <w:t xml:space="preserve">mber of Annual Funded Places. </w:t>
      </w:r>
      <w:r w:rsidRPr="0030755E">
        <w:rPr>
          <w:rFonts w:eastAsia="Times New Roman" w:cs="Times New Roman"/>
        </w:rPr>
        <w:t xml:space="preserve">While </w:t>
      </w:r>
      <w:r>
        <w:rPr>
          <w:rFonts w:eastAsia="Times New Roman" w:cs="Times New Roman"/>
        </w:rPr>
        <w:t>all</w:t>
      </w:r>
      <w:r w:rsidRPr="0030755E">
        <w:rPr>
          <w:rFonts w:eastAsia="Times New Roman" w:cs="Times New Roman"/>
        </w:rPr>
        <w:t xml:space="preserve"> provider</w:t>
      </w:r>
      <w:r>
        <w:rPr>
          <w:rFonts w:eastAsia="Times New Roman" w:cs="Times New Roman"/>
        </w:rPr>
        <w:t>s</w:t>
      </w:r>
      <w:r w:rsidRPr="0030755E">
        <w:rPr>
          <w:rFonts w:eastAsia="Times New Roman" w:cs="Times New Roman"/>
        </w:rPr>
        <w:t xml:space="preserve"> </w:t>
      </w:r>
      <w:r>
        <w:rPr>
          <w:rFonts w:eastAsia="Times New Roman" w:cs="Times New Roman"/>
        </w:rPr>
        <w:t>had</w:t>
      </w:r>
      <w:r w:rsidRPr="0030755E">
        <w:rPr>
          <w:rFonts w:eastAsia="Times New Roman" w:cs="Times New Roman"/>
        </w:rPr>
        <w:t xml:space="preserve"> </w:t>
      </w:r>
      <w:r>
        <w:rPr>
          <w:rFonts w:eastAsia="Times New Roman" w:cs="Times New Roman"/>
        </w:rPr>
        <w:t xml:space="preserve">filled </w:t>
      </w:r>
      <w:r w:rsidRPr="0030755E">
        <w:rPr>
          <w:rFonts w:eastAsia="Times New Roman" w:cs="Times New Roman"/>
        </w:rPr>
        <w:t>over 5</w:t>
      </w:r>
      <w:r>
        <w:rPr>
          <w:rFonts w:eastAsia="Times New Roman" w:cs="Times New Roman"/>
        </w:rPr>
        <w:t>0 </w:t>
      </w:r>
      <w:r w:rsidRPr="0030755E">
        <w:rPr>
          <w:rFonts w:eastAsia="Times New Roman" w:cs="Times New Roman"/>
        </w:rPr>
        <w:t>per</w:t>
      </w:r>
      <w:r>
        <w:rPr>
          <w:rFonts w:eastAsia="Times New Roman" w:cs="Times New Roman"/>
        </w:rPr>
        <w:t> </w:t>
      </w:r>
      <w:r w:rsidRPr="0030755E">
        <w:rPr>
          <w:rFonts w:eastAsia="Times New Roman" w:cs="Times New Roman"/>
        </w:rPr>
        <w:t xml:space="preserve">cent of </w:t>
      </w:r>
      <w:r>
        <w:rPr>
          <w:rFonts w:eastAsia="Times New Roman" w:cs="Times New Roman"/>
        </w:rPr>
        <w:t>their total Annual Funded Places by 31 January 2017</w:t>
      </w:r>
      <w:r w:rsidRPr="0030755E">
        <w:rPr>
          <w:rFonts w:eastAsia="Times New Roman" w:cs="Times New Roman"/>
        </w:rPr>
        <w:t xml:space="preserve">, the majority </w:t>
      </w:r>
      <w:r>
        <w:rPr>
          <w:rFonts w:eastAsia="Times New Roman" w:cs="Times New Roman"/>
        </w:rPr>
        <w:t>of the Group Three</w:t>
      </w:r>
      <w:r w:rsidRPr="0030755E">
        <w:rPr>
          <w:rFonts w:eastAsia="Times New Roman" w:cs="Times New Roman"/>
        </w:rPr>
        <w:t xml:space="preserve"> places ha</w:t>
      </w:r>
      <w:r>
        <w:rPr>
          <w:rFonts w:eastAsia="Times New Roman" w:cs="Times New Roman"/>
        </w:rPr>
        <w:t>d not been filled.</w:t>
      </w:r>
    </w:p>
    <w:p w14:paraId="58237AAA" w14:textId="48FA2EEE" w:rsidR="00CC4E3D" w:rsidRPr="00610D95" w:rsidRDefault="00CC4E3D" w:rsidP="00FD4CA8">
      <w:pPr>
        <w:pStyle w:val="Caption"/>
      </w:pPr>
      <w:bookmarkStart w:id="301" w:name="_Toc492976735"/>
      <w:bookmarkStart w:id="302" w:name="_Toc509402455"/>
      <w:bookmarkStart w:id="303" w:name="_Toc514172369"/>
      <w:bookmarkStart w:id="304" w:name="_Toc535511472"/>
      <w:bookmarkStart w:id="305" w:name="_Toc535511532"/>
      <w:bookmarkStart w:id="306" w:name="_Toc535512759"/>
      <w:bookmarkStart w:id="307" w:name="_Toc535513395"/>
      <w:bookmarkStart w:id="308" w:name="_Toc23841473"/>
      <w:r>
        <w:t xml:space="preserve">Figure </w:t>
      </w:r>
      <w:r>
        <w:rPr>
          <w:noProof/>
        </w:rPr>
        <w:fldChar w:fldCharType="begin"/>
      </w:r>
      <w:r>
        <w:rPr>
          <w:noProof/>
        </w:rPr>
        <w:instrText xml:space="preserve"> STYLEREF 1 \s </w:instrText>
      </w:r>
      <w:r>
        <w:rPr>
          <w:noProof/>
        </w:rPr>
        <w:fldChar w:fldCharType="separate"/>
      </w:r>
      <w:r w:rsidR="00D84A2A">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3</w:t>
      </w:r>
      <w:r>
        <w:rPr>
          <w:noProof/>
        </w:rPr>
        <w:fldChar w:fldCharType="end"/>
      </w:r>
      <w:r>
        <w:tab/>
        <w:t xml:space="preserve">Utilisation rates </w:t>
      </w:r>
      <w:r w:rsidRPr="00610D95">
        <w:t xml:space="preserve">of </w:t>
      </w:r>
      <w:r>
        <w:t>Group Three</w:t>
      </w:r>
      <w:r w:rsidRPr="00610D95" w:rsidDel="004D494A">
        <w:t xml:space="preserve"> </w:t>
      </w:r>
      <w:r>
        <w:t>Annual Funded Places,</w:t>
      </w:r>
      <w:r w:rsidRPr="00610D95">
        <w:t xml:space="preserve"> </w:t>
      </w:r>
      <w:bookmarkEnd w:id="301"/>
      <w:bookmarkEnd w:id="302"/>
      <w:r>
        <w:t>31 July 2016 and 31 January 2017</w:t>
      </w:r>
      <w:bookmarkEnd w:id="303"/>
      <w:bookmarkEnd w:id="304"/>
      <w:bookmarkEnd w:id="305"/>
      <w:bookmarkEnd w:id="306"/>
      <w:bookmarkEnd w:id="307"/>
      <w:bookmarkEnd w:id="308"/>
    </w:p>
    <w:p w14:paraId="6425BD92" w14:textId="77777777" w:rsidR="00CC4E3D" w:rsidRDefault="00CC4E3D" w:rsidP="00CC4E3D">
      <w:pPr>
        <w:keepNext/>
        <w:spacing w:after="0"/>
        <w:rPr>
          <w:rFonts w:ascii="Calibri" w:eastAsia="Times New Roman" w:hAnsi="Calibri" w:cs="Times New Roman"/>
        </w:rPr>
      </w:pPr>
      <w:r w:rsidRPr="00C74AC3">
        <w:rPr>
          <w:rFonts w:ascii="Calibri" w:eastAsia="Times New Roman" w:hAnsi="Calibri" w:cs="Times New Roman"/>
          <w:noProof/>
          <w:lang w:eastAsia="en-AU"/>
        </w:rPr>
        <w:drawing>
          <wp:inline distT="0" distB="0" distL="0" distR="0" wp14:anchorId="72E814A2" wp14:editId="4C6C8E0D">
            <wp:extent cx="5346000" cy="3045600"/>
            <wp:effectExtent l="0" t="0" r="7620" b="2540"/>
            <wp:docPr id="12" name="Picture 12" descr="Clustered column chart showing, at two points in time, the utilisation rates of annual funded places for Group Three participants.&#10;Comparing 31 July 2016 and 31 January 2017, this shows an overall reduction in the utilisation rates of Group Three places, starting from already low rates. It groups contracts into utilisation rate categories of less than 25%, 25%–49%, 50%–74%, 75%–99%, and 100% or more. &#10;On both dates the largest percentages of contracts were in the less than 25% category: 43% on 31 July increasing to 54% on 31 January. &#10;The results for the remaining categories were: &#10;25%–49%: 33% down to 27% &#10;50%–74%: 15% down to 11.0% &#10;75%–99%: 5% on both dates&#10;100% or more: 5% down to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46000" cy="3045600"/>
                    </a:xfrm>
                    <a:prstGeom prst="rect">
                      <a:avLst/>
                    </a:prstGeom>
                    <a:noFill/>
                    <a:ln>
                      <a:noFill/>
                    </a:ln>
                  </pic:spPr>
                </pic:pic>
              </a:graphicData>
            </a:graphic>
          </wp:inline>
        </w:drawing>
      </w:r>
    </w:p>
    <w:p w14:paraId="16E686DF" w14:textId="1AFD40B0" w:rsidR="00CC4E3D" w:rsidRPr="005A1B8D" w:rsidRDefault="00CC4E3D" w:rsidP="00CC4E3D">
      <w:pPr>
        <w:pStyle w:val="Source"/>
        <w:rPr>
          <w:b/>
        </w:rPr>
      </w:pPr>
      <w:r w:rsidRPr="005A1B8D">
        <w:rPr>
          <w:b/>
        </w:rPr>
        <w:t xml:space="preserve">Source: Department of </w:t>
      </w:r>
      <w:r w:rsidR="00311C8F" w:rsidRPr="005A1B8D">
        <w:rPr>
          <w:b/>
        </w:rPr>
        <w:t>Employment, Skills, Small and Family</w:t>
      </w:r>
      <w:r w:rsidRPr="005A1B8D">
        <w:rPr>
          <w:b/>
        </w:rPr>
        <w:t xml:space="preserve"> Business administrative data.</w:t>
      </w:r>
    </w:p>
    <w:p w14:paraId="24D0E404" w14:textId="77777777" w:rsidR="00CC4E3D" w:rsidRPr="00E93269" w:rsidRDefault="00CC4E3D" w:rsidP="00CC4E3D">
      <w:pPr>
        <w:rPr>
          <w:rFonts w:ascii="Calibri" w:eastAsia="Times New Roman" w:hAnsi="Calibri" w:cs="Times New Roman"/>
          <w:b/>
        </w:rPr>
      </w:pPr>
      <w:r w:rsidRPr="00E93269">
        <w:rPr>
          <w:rFonts w:ascii="Calibri" w:eastAsia="Times New Roman" w:hAnsi="Calibri" w:cs="Times New Roman"/>
          <w:b/>
        </w:rPr>
        <w:t xml:space="preserve">Figure 4.3 </w:t>
      </w:r>
      <w:r w:rsidRPr="00E93269">
        <w:rPr>
          <w:rFonts w:ascii="Calibri" w:eastAsia="Times New Roman" w:hAnsi="Calibri" w:cs="Times New Roman"/>
        </w:rPr>
        <w:t>shows a decline in the proportion of Group Three referrals between 31 July 2016 and 31</w:t>
      </w:r>
      <w:r>
        <w:rPr>
          <w:rFonts w:ascii="Calibri" w:eastAsia="Times New Roman" w:hAnsi="Calibri" w:cs="Times New Roman"/>
        </w:rPr>
        <w:t> </w:t>
      </w:r>
      <w:r w:rsidRPr="00E93269">
        <w:rPr>
          <w:rFonts w:ascii="Calibri" w:eastAsia="Times New Roman" w:hAnsi="Calibri" w:cs="Times New Roman"/>
        </w:rPr>
        <w:t xml:space="preserve">January 2017. This indicates that there were ongoing </w:t>
      </w:r>
      <w:r>
        <w:rPr>
          <w:rFonts w:ascii="Calibri" w:eastAsia="Times New Roman" w:hAnsi="Calibri" w:cs="Times New Roman"/>
        </w:rPr>
        <w:t>issues</w:t>
      </w:r>
      <w:r w:rsidRPr="00E93269">
        <w:rPr>
          <w:rFonts w:ascii="Calibri" w:eastAsia="Times New Roman" w:hAnsi="Calibri" w:cs="Times New Roman"/>
        </w:rPr>
        <w:t xml:space="preserve"> with </w:t>
      </w:r>
      <w:r>
        <w:rPr>
          <w:rFonts w:ascii="Calibri" w:eastAsia="Times New Roman" w:hAnsi="Calibri" w:cs="Times New Roman"/>
        </w:rPr>
        <w:t xml:space="preserve">achieving the estimated number of </w:t>
      </w:r>
      <w:r w:rsidRPr="00E93269">
        <w:rPr>
          <w:rFonts w:ascii="Calibri" w:eastAsia="Times New Roman" w:hAnsi="Calibri" w:cs="Times New Roman"/>
        </w:rPr>
        <w:t>Stream</w:t>
      </w:r>
      <w:r>
        <w:rPr>
          <w:rFonts w:ascii="Calibri" w:eastAsia="Times New Roman" w:hAnsi="Calibri" w:cs="Times New Roman"/>
        </w:rPr>
        <w:t> </w:t>
      </w:r>
      <w:r w:rsidRPr="00E93269">
        <w:rPr>
          <w:rFonts w:ascii="Calibri" w:eastAsia="Times New Roman" w:hAnsi="Calibri" w:cs="Times New Roman"/>
        </w:rPr>
        <w:t>C referrals from jobactive</w:t>
      </w:r>
      <w:r>
        <w:rPr>
          <w:rFonts w:ascii="Calibri" w:eastAsia="Times New Roman" w:hAnsi="Calibri" w:cs="Times New Roman"/>
        </w:rPr>
        <w:t>.</w:t>
      </w:r>
      <w:r w:rsidRPr="00E93269">
        <w:rPr>
          <w:rFonts w:ascii="Calibri" w:eastAsia="Times New Roman" w:hAnsi="Calibri" w:cs="Times New Roman"/>
        </w:rPr>
        <w:t xml:space="preserve"> </w:t>
      </w:r>
      <w:r>
        <w:rPr>
          <w:rFonts w:ascii="Calibri" w:eastAsia="Times New Roman" w:hAnsi="Calibri" w:cs="Times New Roman"/>
        </w:rPr>
        <w:t>T</w:t>
      </w:r>
      <w:r w:rsidRPr="00E93269">
        <w:rPr>
          <w:rFonts w:ascii="Calibri" w:eastAsia="Times New Roman" w:hAnsi="Calibri" w:cs="Times New Roman"/>
        </w:rPr>
        <w:t>his downward trend could also be because many providers ha</w:t>
      </w:r>
      <w:r>
        <w:rPr>
          <w:rFonts w:ascii="Calibri" w:eastAsia="Times New Roman" w:hAnsi="Calibri" w:cs="Times New Roman"/>
        </w:rPr>
        <w:t>d</w:t>
      </w:r>
      <w:r w:rsidRPr="00E93269">
        <w:rPr>
          <w:rFonts w:ascii="Calibri" w:eastAsia="Times New Roman" w:hAnsi="Calibri" w:cs="Times New Roman"/>
        </w:rPr>
        <w:t xml:space="preserve"> already filled or exceeded their Annual Funded Places with Group One </w:t>
      </w:r>
      <w:r>
        <w:rPr>
          <w:rFonts w:ascii="Calibri" w:eastAsia="Times New Roman" w:hAnsi="Calibri" w:cs="Times New Roman"/>
        </w:rPr>
        <w:t xml:space="preserve">and Group Two </w:t>
      </w:r>
      <w:r w:rsidRPr="00E93269">
        <w:rPr>
          <w:rFonts w:ascii="Calibri" w:eastAsia="Times New Roman" w:hAnsi="Calibri" w:cs="Times New Roman"/>
        </w:rPr>
        <w:t>participants and therefore did not consider Group Three referrals to be a priority.</w:t>
      </w:r>
      <w:r w:rsidRPr="00B550DF">
        <w:rPr>
          <w:rFonts w:ascii="Calibri" w:eastAsia="Times New Roman" w:hAnsi="Calibri" w:cs="Times New Roman"/>
        </w:rPr>
        <w:t xml:space="preserve"> </w:t>
      </w:r>
    </w:p>
    <w:p w14:paraId="7CC84078" w14:textId="77777777" w:rsidR="00CC4E3D" w:rsidRPr="00610D95" w:rsidRDefault="00CC4E3D" w:rsidP="00CC4E3D">
      <w:pPr>
        <w:rPr>
          <w:rFonts w:ascii="Calibri" w:eastAsia="Times New Roman" w:hAnsi="Calibri" w:cs="Times New Roman"/>
        </w:rPr>
      </w:pPr>
      <w:r>
        <w:rPr>
          <w:rFonts w:ascii="Calibri" w:eastAsia="Times New Roman" w:hAnsi="Calibri" w:cs="Times New Roman"/>
        </w:rPr>
        <w:t>Another reason for the shortfall could have been because the eligible Stream C pool contains a high proportion of young people with complex needs, who are difficult to place in the labour force and are therefore considered unsuitable for referral to TtW. The final evaluation report will further investigate the lower than expected proportion of Group Three referrals.</w:t>
      </w:r>
      <w:r w:rsidRPr="00D511F5">
        <w:rPr>
          <w:rFonts w:ascii="Calibri" w:eastAsia="Times New Roman" w:hAnsi="Calibri" w:cs="Times New Roman"/>
        </w:rPr>
        <w:t xml:space="preserve"> </w:t>
      </w:r>
    </w:p>
    <w:p w14:paraId="295E45B0" w14:textId="77777777" w:rsidR="00CC4E3D" w:rsidRPr="001F4939" w:rsidRDefault="00CC4E3D" w:rsidP="001F4939">
      <w:pPr>
        <w:pStyle w:val="Heading2"/>
        <w:numPr>
          <w:ilvl w:val="1"/>
          <w:numId w:val="4"/>
        </w:numPr>
      </w:pPr>
      <w:bookmarkStart w:id="309" w:name="_Toc492976297"/>
      <w:bookmarkStart w:id="310" w:name="_Toc509402611"/>
      <w:bookmarkStart w:id="311" w:name="_Toc535498902"/>
      <w:bookmarkStart w:id="312" w:name="_Toc23841382"/>
      <w:r w:rsidRPr="001F4939">
        <w:lastRenderedPageBreak/>
        <w:t>Speed of commencement in service</w:t>
      </w:r>
      <w:bookmarkEnd w:id="309"/>
      <w:bookmarkEnd w:id="310"/>
      <w:r w:rsidRPr="001F4939">
        <w:t>s</w:t>
      </w:r>
      <w:bookmarkEnd w:id="311"/>
      <w:bookmarkEnd w:id="312"/>
      <w:r w:rsidRPr="001F4939">
        <w:t xml:space="preserve"> </w:t>
      </w:r>
    </w:p>
    <w:p w14:paraId="20A441CA" w14:textId="77777777" w:rsidR="00CC4E3D" w:rsidRDefault="00CC4E3D" w:rsidP="00CC4E3D">
      <w:r w:rsidRPr="000F6F27">
        <w:rPr>
          <w:rFonts w:ascii="Calibri" w:eastAsia="Times New Roman" w:hAnsi="Calibri" w:cs="Times New Roman"/>
        </w:rPr>
        <w:t xml:space="preserve">This section </w:t>
      </w:r>
      <w:r>
        <w:rPr>
          <w:rFonts w:ascii="Calibri" w:eastAsia="Times New Roman" w:hAnsi="Calibri" w:cs="Times New Roman"/>
        </w:rPr>
        <w:t>examines how quickly young people commenced in</w:t>
      </w:r>
      <w:r w:rsidRPr="000F6F27">
        <w:rPr>
          <w:rFonts w:ascii="Calibri" w:eastAsia="Times New Roman" w:hAnsi="Calibri" w:cs="Times New Roman"/>
        </w:rPr>
        <w:t xml:space="preserve"> </w:t>
      </w:r>
      <w:r>
        <w:rPr>
          <w:rFonts w:ascii="Calibri" w:eastAsia="Times New Roman" w:hAnsi="Calibri" w:cs="Times New Roman"/>
        </w:rPr>
        <w:t>TtW, compared with the matched jobactive inflow population</w:t>
      </w:r>
      <w:r w:rsidRPr="000F6F27">
        <w:rPr>
          <w:rFonts w:ascii="Calibri" w:eastAsia="Times New Roman" w:hAnsi="Calibri" w:cs="Times New Roman"/>
        </w:rPr>
        <w:t xml:space="preserve">. </w:t>
      </w:r>
      <w:r>
        <w:rPr>
          <w:rFonts w:ascii="Calibri" w:eastAsia="Times New Roman" w:hAnsi="Calibri" w:cs="Times New Roman"/>
        </w:rPr>
        <w:t>DHS refers m</w:t>
      </w:r>
      <w:r w:rsidRPr="000F6F27">
        <w:rPr>
          <w:rFonts w:ascii="Calibri" w:eastAsia="Times New Roman" w:hAnsi="Calibri" w:cs="Times New Roman"/>
        </w:rPr>
        <w:t>ost people</w:t>
      </w:r>
      <w:r>
        <w:rPr>
          <w:rFonts w:ascii="Calibri" w:eastAsia="Times New Roman" w:hAnsi="Calibri" w:cs="Times New Roman"/>
        </w:rPr>
        <w:t xml:space="preserve"> who</w:t>
      </w:r>
      <w:r w:rsidRPr="000F6F27">
        <w:rPr>
          <w:rFonts w:ascii="Calibri" w:eastAsia="Times New Roman" w:hAnsi="Calibri" w:cs="Times New Roman"/>
        </w:rPr>
        <w:t xml:space="preserve"> register for income support payment</w:t>
      </w:r>
      <w:r>
        <w:rPr>
          <w:rFonts w:ascii="Calibri" w:eastAsia="Times New Roman" w:hAnsi="Calibri" w:cs="Times New Roman"/>
        </w:rPr>
        <w:t>s</w:t>
      </w:r>
      <w:r w:rsidRPr="000F6F27">
        <w:rPr>
          <w:rFonts w:ascii="Calibri" w:eastAsia="Times New Roman" w:hAnsi="Calibri" w:cs="Times New Roman"/>
        </w:rPr>
        <w:t xml:space="preserve"> with </w:t>
      </w:r>
      <w:r>
        <w:rPr>
          <w:rFonts w:ascii="Calibri" w:eastAsia="Times New Roman" w:hAnsi="Calibri" w:cs="Times New Roman"/>
        </w:rPr>
        <w:t>Mutual Obligation Requirements</w:t>
      </w:r>
      <w:r w:rsidRPr="000F6F27">
        <w:rPr>
          <w:rFonts w:ascii="Calibri" w:eastAsia="Times New Roman" w:hAnsi="Calibri" w:cs="Times New Roman"/>
        </w:rPr>
        <w:t xml:space="preserve"> to an </w:t>
      </w:r>
      <w:r>
        <w:rPr>
          <w:rFonts w:ascii="Calibri" w:eastAsia="Times New Roman" w:hAnsi="Calibri" w:cs="Times New Roman"/>
        </w:rPr>
        <w:t>e</w:t>
      </w:r>
      <w:r w:rsidRPr="000F6F27">
        <w:rPr>
          <w:rFonts w:ascii="Calibri" w:eastAsia="Times New Roman" w:hAnsi="Calibri" w:cs="Times New Roman"/>
        </w:rPr>
        <w:t xml:space="preserve">mployment </w:t>
      </w:r>
      <w:r>
        <w:rPr>
          <w:rFonts w:ascii="Calibri" w:eastAsia="Times New Roman" w:hAnsi="Calibri" w:cs="Times New Roman"/>
        </w:rPr>
        <w:t>s</w:t>
      </w:r>
      <w:r w:rsidRPr="000F6F27">
        <w:rPr>
          <w:rFonts w:ascii="Calibri" w:eastAsia="Times New Roman" w:hAnsi="Calibri" w:cs="Times New Roman"/>
        </w:rPr>
        <w:t>ervice</w:t>
      </w:r>
      <w:r>
        <w:rPr>
          <w:rFonts w:ascii="Calibri" w:eastAsia="Times New Roman" w:hAnsi="Calibri" w:cs="Times New Roman"/>
        </w:rPr>
        <w:t>s</w:t>
      </w:r>
      <w:r w:rsidRPr="000F6F27">
        <w:rPr>
          <w:rFonts w:ascii="Calibri" w:eastAsia="Times New Roman" w:hAnsi="Calibri" w:cs="Times New Roman"/>
        </w:rPr>
        <w:t xml:space="preserve"> provider</w:t>
      </w:r>
      <w:r>
        <w:rPr>
          <w:rFonts w:ascii="Calibri" w:eastAsia="Times New Roman" w:hAnsi="Calibri" w:cs="Times New Roman"/>
        </w:rPr>
        <w:t xml:space="preserve">. </w:t>
      </w:r>
      <w:r>
        <w:t>Young people who register with DHS and are eligible for TtW are referred for a maximum of 12 months</w:t>
      </w:r>
      <w:r>
        <w:rPr>
          <w:rStyle w:val="FootnoteReference"/>
        </w:rPr>
        <w:footnoteReference w:id="18"/>
      </w:r>
      <w:r>
        <w:t xml:space="preserve"> of services in TtW instead of jobactive. Some may still choose to go to jobactive if, for example, the location of jobactive services is more convenient.</w:t>
      </w:r>
    </w:p>
    <w:p w14:paraId="587C957C" w14:textId="77777777" w:rsidR="00CC4E3D" w:rsidRPr="00FD4CA8" w:rsidRDefault="00CC4E3D" w:rsidP="001C25D9">
      <w:pPr>
        <w:pStyle w:val="Heading3"/>
        <w:numPr>
          <w:ilvl w:val="2"/>
          <w:numId w:val="4"/>
        </w:numPr>
        <w:spacing w:before="200"/>
        <w:rPr>
          <w:rFonts w:eastAsia="Times New Roman"/>
          <w:szCs w:val="24"/>
        </w:rPr>
      </w:pPr>
      <w:bookmarkStart w:id="313" w:name="_Toc535498903"/>
      <w:bookmarkStart w:id="314" w:name="_Toc23841383"/>
      <w:r w:rsidRPr="00FD4CA8">
        <w:rPr>
          <w:szCs w:val="24"/>
        </w:rPr>
        <w:t>The commencement process</w:t>
      </w:r>
      <w:bookmarkEnd w:id="313"/>
      <w:bookmarkEnd w:id="314"/>
    </w:p>
    <w:p w14:paraId="3E7F8B3E" w14:textId="77777777" w:rsidR="00CC4E3D" w:rsidRPr="00D511F5" w:rsidRDefault="00CC4E3D" w:rsidP="00CC4E3D">
      <w:pPr>
        <w:rPr>
          <w:rFonts w:ascii="Calibri" w:eastAsia="Times New Roman" w:hAnsi="Calibri" w:cs="Times New Roman"/>
        </w:rPr>
      </w:pPr>
      <w:r>
        <w:rPr>
          <w:rFonts w:ascii="Calibri" w:eastAsia="Times New Roman" w:hAnsi="Calibri" w:cs="Times New Roman"/>
        </w:rPr>
        <w:t>For each TtW group there is a different target</w:t>
      </w:r>
      <w:r w:rsidRPr="00D511F5">
        <w:rPr>
          <w:rFonts w:ascii="Calibri" w:eastAsia="Times New Roman" w:hAnsi="Calibri" w:cs="Times New Roman"/>
        </w:rPr>
        <w:t xml:space="preserve"> </w:t>
      </w:r>
      <w:r w:rsidRPr="003D203D">
        <w:rPr>
          <w:rFonts w:ascii="Calibri" w:eastAsia="Times New Roman" w:hAnsi="Calibri" w:cs="Times New Roman"/>
        </w:rPr>
        <w:t>for the</w:t>
      </w:r>
      <w:r>
        <w:rPr>
          <w:rFonts w:ascii="Calibri" w:eastAsia="Times New Roman" w:hAnsi="Calibri" w:cs="Times New Roman"/>
        </w:rPr>
        <w:t xml:space="preserve"> length of</w:t>
      </w:r>
      <w:r w:rsidRPr="003D203D">
        <w:rPr>
          <w:rFonts w:ascii="Calibri" w:eastAsia="Times New Roman" w:hAnsi="Calibri" w:cs="Times New Roman"/>
        </w:rPr>
        <w:t xml:space="preserve"> time </w:t>
      </w:r>
      <w:r>
        <w:rPr>
          <w:rFonts w:ascii="Calibri" w:eastAsia="Times New Roman" w:hAnsi="Calibri" w:cs="Times New Roman"/>
        </w:rPr>
        <w:t xml:space="preserve">that can </w:t>
      </w:r>
      <w:r w:rsidRPr="003D203D">
        <w:rPr>
          <w:rFonts w:ascii="Calibri" w:eastAsia="Times New Roman" w:hAnsi="Calibri" w:cs="Times New Roman"/>
        </w:rPr>
        <w:t>elapse between</w:t>
      </w:r>
      <w:r>
        <w:rPr>
          <w:rFonts w:ascii="Calibri" w:eastAsia="Times New Roman" w:hAnsi="Calibri" w:cs="Times New Roman"/>
        </w:rPr>
        <w:t xml:space="preserve"> a participant’s </w:t>
      </w:r>
      <w:r w:rsidRPr="003D203D">
        <w:rPr>
          <w:rFonts w:ascii="Calibri" w:eastAsia="Times New Roman" w:hAnsi="Calibri" w:cs="Times New Roman"/>
        </w:rPr>
        <w:t>referral</w:t>
      </w:r>
      <w:r>
        <w:rPr>
          <w:rFonts w:ascii="Calibri" w:eastAsia="Times New Roman" w:hAnsi="Calibri" w:cs="Times New Roman"/>
        </w:rPr>
        <w:t xml:space="preserve"> to</w:t>
      </w:r>
      <w:r w:rsidRPr="003D203D">
        <w:rPr>
          <w:rFonts w:ascii="Calibri" w:eastAsia="Times New Roman" w:hAnsi="Calibri" w:cs="Times New Roman"/>
        </w:rPr>
        <w:t xml:space="preserve"> and initial appointment (commencement) with a provider</w:t>
      </w:r>
      <w:r w:rsidRPr="00D511F5">
        <w:rPr>
          <w:rFonts w:ascii="Calibri" w:eastAsia="Times New Roman" w:hAnsi="Calibri" w:cs="Times New Roman"/>
        </w:rPr>
        <w:t>:</w:t>
      </w:r>
    </w:p>
    <w:p w14:paraId="3E0D9128" w14:textId="77777777" w:rsidR="00CC4E3D" w:rsidRPr="00D511F5" w:rsidRDefault="00CC4E3D" w:rsidP="00E803E7">
      <w:pPr>
        <w:pStyle w:val="ListBullet"/>
        <w:rPr>
          <w:rFonts w:eastAsia="Times New Roman"/>
        </w:rPr>
      </w:pPr>
      <w:r>
        <w:rPr>
          <w:rFonts w:eastAsia="Times New Roman"/>
        </w:rPr>
        <w:t>Group O</w:t>
      </w:r>
      <w:r w:rsidRPr="00D511F5">
        <w:rPr>
          <w:rFonts w:eastAsia="Times New Roman"/>
        </w:rPr>
        <w:t>ne (referred by DHS through RapidConnect</w:t>
      </w:r>
      <w:r>
        <w:rPr>
          <w:rFonts w:eastAsia="Times New Roman"/>
        </w:rPr>
        <w:t>, unless granted an exemption</w:t>
      </w:r>
      <w:r w:rsidRPr="00D511F5">
        <w:rPr>
          <w:rFonts w:eastAsia="Times New Roman"/>
        </w:rPr>
        <w:t xml:space="preserve">) and </w:t>
      </w:r>
      <w:r>
        <w:rPr>
          <w:rFonts w:eastAsia="Times New Roman"/>
        </w:rPr>
        <w:t>Group </w:t>
      </w:r>
      <w:r w:rsidRPr="00D511F5">
        <w:rPr>
          <w:rFonts w:eastAsia="Times New Roman"/>
        </w:rPr>
        <w:t xml:space="preserve">Three </w:t>
      </w:r>
      <w:r>
        <w:rPr>
          <w:rFonts w:eastAsia="Times New Roman"/>
        </w:rPr>
        <w:t>(</w:t>
      </w:r>
      <w:r w:rsidRPr="00D511F5">
        <w:rPr>
          <w:rFonts w:eastAsia="Times New Roman"/>
        </w:rPr>
        <w:t>referr</w:t>
      </w:r>
      <w:r>
        <w:rPr>
          <w:rFonts w:eastAsia="Times New Roman"/>
        </w:rPr>
        <w:t>ed</w:t>
      </w:r>
      <w:r w:rsidRPr="00D511F5">
        <w:rPr>
          <w:rFonts w:eastAsia="Times New Roman"/>
        </w:rPr>
        <w:t xml:space="preserve"> from jobactive</w:t>
      </w:r>
      <w:r>
        <w:rPr>
          <w:rFonts w:eastAsia="Times New Roman"/>
        </w:rPr>
        <w:t>)</w:t>
      </w:r>
      <w:r w:rsidRPr="00D511F5">
        <w:rPr>
          <w:rFonts w:eastAsia="Times New Roman"/>
        </w:rPr>
        <w:t xml:space="preserve"> </w:t>
      </w:r>
      <w:r>
        <w:rPr>
          <w:rFonts w:eastAsia="Times New Roman"/>
        </w:rPr>
        <w:t>participants must</w:t>
      </w:r>
      <w:r w:rsidRPr="00D511F5">
        <w:rPr>
          <w:rFonts w:eastAsia="Times New Roman"/>
        </w:rPr>
        <w:t xml:space="preserve"> </w:t>
      </w:r>
      <w:r>
        <w:rPr>
          <w:rFonts w:eastAsia="Times New Roman"/>
        </w:rPr>
        <w:t xml:space="preserve">generally </w:t>
      </w:r>
      <w:r w:rsidRPr="00D511F5">
        <w:rPr>
          <w:rFonts w:eastAsia="Times New Roman"/>
        </w:rPr>
        <w:t>commence within two business days</w:t>
      </w:r>
    </w:p>
    <w:p w14:paraId="298677E3" w14:textId="77777777" w:rsidR="00CC4E3D" w:rsidRDefault="00CC4E3D" w:rsidP="00E803E7">
      <w:pPr>
        <w:pStyle w:val="ListBullet"/>
        <w:rPr>
          <w:rFonts w:eastAsia="Times New Roman"/>
        </w:rPr>
      </w:pPr>
      <w:r>
        <w:rPr>
          <w:rFonts w:eastAsia="Times New Roman"/>
        </w:rPr>
        <w:t>Group </w:t>
      </w:r>
      <w:r w:rsidRPr="00D511F5">
        <w:rPr>
          <w:rFonts w:eastAsia="Times New Roman"/>
        </w:rPr>
        <w:t xml:space="preserve">Two (direct entry) participants </w:t>
      </w:r>
      <w:r>
        <w:rPr>
          <w:rFonts w:eastAsia="Times New Roman"/>
        </w:rPr>
        <w:t>must generally</w:t>
      </w:r>
      <w:r w:rsidRPr="00D511F5">
        <w:rPr>
          <w:rFonts w:eastAsia="Times New Roman"/>
        </w:rPr>
        <w:t xml:space="preserve"> commence within four weeks of </w:t>
      </w:r>
      <w:r>
        <w:rPr>
          <w:rFonts w:eastAsia="Times New Roman"/>
        </w:rPr>
        <w:t xml:space="preserve">their </w:t>
      </w:r>
      <w:r w:rsidRPr="00D511F5">
        <w:rPr>
          <w:rFonts w:eastAsia="Times New Roman"/>
        </w:rPr>
        <w:t xml:space="preserve">referral </w:t>
      </w:r>
      <w:r>
        <w:rPr>
          <w:rFonts w:eastAsia="Times New Roman"/>
        </w:rPr>
        <w:t>to services by a TtW provider (or DHS if their income support claim is unsuccessful).</w:t>
      </w:r>
    </w:p>
    <w:p w14:paraId="26B1F677" w14:textId="77777777" w:rsidR="00CC4E3D" w:rsidRDefault="00CC4E3D" w:rsidP="00CC4E3D">
      <w:pPr>
        <w:rPr>
          <w:rFonts w:eastAsia="Times New Roman"/>
        </w:rPr>
      </w:pPr>
      <w:r>
        <w:rPr>
          <w:rFonts w:eastAsia="Times New Roman"/>
        </w:rPr>
        <w:t>Most of the jobactive comparison population were referred by DHS though RapidConnect and were expected to commence within two business days.</w:t>
      </w:r>
    </w:p>
    <w:p w14:paraId="1448F326" w14:textId="77777777" w:rsidR="00CC4E3D" w:rsidRPr="004230FE" w:rsidRDefault="00CC4E3D" w:rsidP="00CC4E3D">
      <w:pPr>
        <w:rPr>
          <w:rFonts w:eastAsia="Times New Roman"/>
        </w:rPr>
      </w:pPr>
      <w:r>
        <w:rPr>
          <w:rFonts w:eastAsia="Times New Roman"/>
        </w:rPr>
        <w:t>The following analysis is restricted to young people in the study groups who had commenced services in the first 30 days after referral.</w:t>
      </w:r>
    </w:p>
    <w:p w14:paraId="4DA4A9F5" w14:textId="77777777" w:rsidR="00CC4E3D" w:rsidRPr="00FD4CA8" w:rsidRDefault="00CC4E3D" w:rsidP="001C25D9">
      <w:pPr>
        <w:pStyle w:val="Heading3"/>
        <w:numPr>
          <w:ilvl w:val="2"/>
          <w:numId w:val="4"/>
        </w:numPr>
        <w:spacing w:before="200"/>
        <w:rPr>
          <w:szCs w:val="24"/>
        </w:rPr>
      </w:pPr>
      <w:bookmarkStart w:id="315" w:name="_Toc492976300"/>
      <w:bookmarkStart w:id="316" w:name="_Toc509402612"/>
      <w:bookmarkStart w:id="317" w:name="_Toc535498904"/>
      <w:bookmarkStart w:id="318" w:name="_Toc23841384"/>
      <w:r w:rsidRPr="00FD4CA8">
        <w:rPr>
          <w:szCs w:val="24"/>
        </w:rPr>
        <w:t>Lags between referral and commencement were initially very large but decreased rapidly</w:t>
      </w:r>
      <w:bookmarkEnd w:id="315"/>
      <w:bookmarkEnd w:id="316"/>
      <w:bookmarkEnd w:id="317"/>
      <w:bookmarkEnd w:id="318"/>
    </w:p>
    <w:p w14:paraId="4118FBD6" w14:textId="77777777" w:rsidR="00CC4E3D" w:rsidRDefault="00CC4E3D" w:rsidP="00CC4E3D">
      <w:pPr>
        <w:rPr>
          <w:rFonts w:ascii="Calibri" w:eastAsia="Times New Roman" w:hAnsi="Calibri" w:cs="Times New Roman"/>
          <w:noProof/>
          <w:lang w:eastAsia="en-AU"/>
        </w:rPr>
      </w:pPr>
      <w:r>
        <w:rPr>
          <w:rFonts w:ascii="Calibri" w:eastAsia="Times New Roman" w:hAnsi="Calibri" w:cs="Times New Roman"/>
        </w:rPr>
        <w:t>The a</w:t>
      </w:r>
      <w:r w:rsidRPr="0030755E">
        <w:rPr>
          <w:rFonts w:ascii="Calibri" w:eastAsia="Times New Roman" w:hAnsi="Calibri" w:cs="Times New Roman"/>
        </w:rPr>
        <w:t>nalysis</w:t>
      </w:r>
      <w:r>
        <w:rPr>
          <w:rFonts w:ascii="Calibri" w:eastAsia="Times New Roman" w:hAnsi="Calibri" w:cs="Times New Roman"/>
        </w:rPr>
        <w:t xml:space="preserve"> was aligned</w:t>
      </w:r>
      <w:r w:rsidRPr="0030755E">
        <w:rPr>
          <w:rFonts w:ascii="Calibri" w:eastAsia="Times New Roman" w:hAnsi="Calibri" w:cs="Times New Roman"/>
        </w:rPr>
        <w:t xml:space="preserve"> to </w:t>
      </w:r>
      <w:r>
        <w:rPr>
          <w:rFonts w:ascii="Calibri" w:eastAsia="Times New Roman" w:hAnsi="Calibri" w:cs="Times New Roman"/>
        </w:rPr>
        <w:t>when the provider contract started</w:t>
      </w:r>
      <w:r w:rsidRPr="0030755E">
        <w:rPr>
          <w:rFonts w:ascii="Calibri" w:eastAsia="Times New Roman" w:hAnsi="Calibri" w:cs="Times New Roman"/>
        </w:rPr>
        <w:t xml:space="preserve"> rather than </w:t>
      </w:r>
      <w:r>
        <w:rPr>
          <w:rFonts w:ascii="Calibri" w:eastAsia="Times New Roman" w:hAnsi="Calibri" w:cs="Times New Roman"/>
        </w:rPr>
        <w:t>when the TtW service started.</w:t>
      </w:r>
      <w:r>
        <w:rPr>
          <w:rStyle w:val="FootnoteReference"/>
          <w:rFonts w:ascii="Calibri" w:eastAsia="Times New Roman" w:hAnsi="Calibri" w:cs="Times New Roman"/>
        </w:rPr>
        <w:footnoteReference w:id="19"/>
      </w:r>
      <w:r w:rsidRPr="0030755E">
        <w:rPr>
          <w:rFonts w:ascii="Calibri" w:eastAsia="Times New Roman" w:hAnsi="Calibri" w:cs="Times New Roman"/>
        </w:rPr>
        <w:t xml:space="preserve"> </w:t>
      </w:r>
      <w:r>
        <w:rPr>
          <w:rFonts w:ascii="Calibri" w:eastAsia="Times New Roman" w:hAnsi="Calibri" w:cs="Times New Roman"/>
        </w:rPr>
        <w:t>By allowing the evaluation to</w:t>
      </w:r>
      <w:r w:rsidRPr="0030755E">
        <w:rPr>
          <w:rFonts w:ascii="Calibri" w:eastAsia="Times New Roman" w:hAnsi="Calibri" w:cs="Times New Roman"/>
        </w:rPr>
        <w:t xml:space="preserve"> </w:t>
      </w:r>
      <w:r>
        <w:rPr>
          <w:rFonts w:ascii="Calibri" w:eastAsia="Times New Roman" w:hAnsi="Calibri" w:cs="Times New Roman"/>
        </w:rPr>
        <w:t xml:space="preserve">examine the </w:t>
      </w:r>
      <w:r w:rsidRPr="0030755E">
        <w:rPr>
          <w:rFonts w:ascii="Calibri" w:eastAsia="Times New Roman" w:hAnsi="Calibri" w:cs="Times New Roman"/>
        </w:rPr>
        <w:t xml:space="preserve">time elapsed between referral and commencement </w:t>
      </w:r>
      <w:r>
        <w:rPr>
          <w:rFonts w:ascii="Calibri" w:eastAsia="Times New Roman" w:hAnsi="Calibri" w:cs="Times New Roman"/>
        </w:rPr>
        <w:t>over each contract’s first six months of operation, this avoided</w:t>
      </w:r>
      <w:r w:rsidRPr="0030755E">
        <w:rPr>
          <w:rFonts w:ascii="Calibri" w:eastAsia="Times New Roman" w:hAnsi="Calibri" w:cs="Times New Roman"/>
        </w:rPr>
        <w:t xml:space="preserve"> conflating </w:t>
      </w:r>
      <w:r>
        <w:rPr>
          <w:rFonts w:ascii="Calibri" w:eastAsia="Times New Roman" w:hAnsi="Calibri" w:cs="Times New Roman"/>
        </w:rPr>
        <w:t>commencement lags under established contracts</w:t>
      </w:r>
      <w:r w:rsidRPr="0030755E">
        <w:rPr>
          <w:rFonts w:ascii="Calibri" w:eastAsia="Times New Roman" w:hAnsi="Calibri" w:cs="Times New Roman"/>
        </w:rPr>
        <w:t xml:space="preserve"> with those</w:t>
      </w:r>
      <w:r>
        <w:rPr>
          <w:rFonts w:ascii="Calibri" w:eastAsia="Times New Roman" w:hAnsi="Calibri" w:cs="Times New Roman"/>
        </w:rPr>
        <w:t xml:space="preserve"> under contracts</w:t>
      </w:r>
      <w:r w:rsidRPr="0030755E">
        <w:rPr>
          <w:rFonts w:ascii="Calibri" w:eastAsia="Times New Roman" w:hAnsi="Calibri" w:cs="Times New Roman"/>
        </w:rPr>
        <w:t xml:space="preserve"> that </w:t>
      </w:r>
      <w:r>
        <w:rPr>
          <w:rFonts w:ascii="Calibri" w:eastAsia="Times New Roman" w:hAnsi="Calibri" w:cs="Times New Roman"/>
        </w:rPr>
        <w:t>we</w:t>
      </w:r>
      <w:r w:rsidRPr="0030755E">
        <w:rPr>
          <w:rFonts w:ascii="Calibri" w:eastAsia="Times New Roman" w:hAnsi="Calibri" w:cs="Times New Roman"/>
        </w:rPr>
        <w:t xml:space="preserve">re just </w:t>
      </w:r>
      <w:r>
        <w:rPr>
          <w:rFonts w:ascii="Calibri" w:eastAsia="Times New Roman" w:hAnsi="Calibri" w:cs="Times New Roman"/>
        </w:rPr>
        <w:t>starting</w:t>
      </w:r>
      <w:r w:rsidRPr="0030755E">
        <w:rPr>
          <w:rFonts w:ascii="Calibri" w:eastAsia="Times New Roman" w:hAnsi="Calibri" w:cs="Times New Roman"/>
        </w:rPr>
        <w:t>.</w:t>
      </w:r>
      <w:r w:rsidRPr="0030755E">
        <w:rPr>
          <w:rFonts w:ascii="Calibri" w:eastAsia="Times New Roman" w:hAnsi="Calibri" w:cs="Times New Roman"/>
          <w:noProof/>
          <w:lang w:eastAsia="en-AU"/>
        </w:rPr>
        <w:t xml:space="preserve"> </w:t>
      </w:r>
    </w:p>
    <w:p w14:paraId="768226CB" w14:textId="25B9069B" w:rsidR="00CC4E3D" w:rsidRPr="00D7275E" w:rsidRDefault="00CC4E3D" w:rsidP="00FD4CA8">
      <w:pPr>
        <w:pStyle w:val="Caption"/>
      </w:pPr>
      <w:bookmarkStart w:id="319" w:name="_Toc492976737"/>
      <w:bookmarkStart w:id="320" w:name="_Toc509402456"/>
      <w:bookmarkStart w:id="321" w:name="_Toc514172370"/>
      <w:bookmarkStart w:id="322" w:name="_Toc535511473"/>
      <w:bookmarkStart w:id="323" w:name="_Toc535511533"/>
      <w:bookmarkStart w:id="324" w:name="_Toc535512760"/>
      <w:bookmarkStart w:id="325" w:name="_Toc535513396"/>
      <w:bookmarkStart w:id="326" w:name="_Toc23841474"/>
      <w:r>
        <w:lastRenderedPageBreak/>
        <w:t xml:space="preserve">Figure </w:t>
      </w:r>
      <w:r>
        <w:rPr>
          <w:noProof/>
        </w:rPr>
        <w:fldChar w:fldCharType="begin"/>
      </w:r>
      <w:r>
        <w:rPr>
          <w:noProof/>
        </w:rPr>
        <w:instrText xml:space="preserve"> STYLEREF 1 \s </w:instrText>
      </w:r>
      <w:r>
        <w:rPr>
          <w:noProof/>
        </w:rPr>
        <w:fldChar w:fldCharType="separate"/>
      </w:r>
      <w:r w:rsidR="00D84A2A">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4</w:t>
      </w:r>
      <w:r>
        <w:rPr>
          <w:noProof/>
        </w:rPr>
        <w:fldChar w:fldCharType="end"/>
      </w:r>
      <w:r>
        <w:tab/>
      </w:r>
      <w:r w:rsidRPr="00D7275E">
        <w:t>Median days from referral to commencement</w:t>
      </w:r>
      <w:r>
        <w:t>,</w:t>
      </w:r>
      <w:r w:rsidRPr="00D7275E">
        <w:t xml:space="preserve"> by month </w:t>
      </w:r>
      <w:r>
        <w:t>from</w:t>
      </w:r>
      <w:r w:rsidRPr="00D7275E">
        <w:t xml:space="preserve"> </w:t>
      </w:r>
      <w:r>
        <w:t xml:space="preserve">TtW </w:t>
      </w:r>
      <w:r w:rsidRPr="00D7275E">
        <w:t>provider contract</w:t>
      </w:r>
      <w:bookmarkEnd w:id="319"/>
      <w:bookmarkEnd w:id="320"/>
      <w:r>
        <w:t> start</w:t>
      </w:r>
      <w:bookmarkEnd w:id="321"/>
      <w:bookmarkEnd w:id="322"/>
      <w:bookmarkEnd w:id="323"/>
      <w:bookmarkEnd w:id="324"/>
      <w:bookmarkEnd w:id="325"/>
      <w:bookmarkEnd w:id="326"/>
    </w:p>
    <w:p w14:paraId="7A1722B8" w14:textId="31705810" w:rsidR="00CC4E3D" w:rsidRPr="0030755E" w:rsidRDefault="002D0011" w:rsidP="00CC4E3D">
      <w:pPr>
        <w:keepNext/>
        <w:spacing w:after="0"/>
        <w:rPr>
          <w:rFonts w:ascii="Calibri" w:eastAsia="Times New Roman" w:hAnsi="Calibri" w:cs="Times New Roman"/>
        </w:rPr>
      </w:pPr>
      <w:r>
        <w:rPr>
          <w:rFonts w:ascii="Calibri" w:eastAsia="Times New Roman" w:hAnsi="Calibri" w:cs="Times New Roman"/>
          <w:noProof/>
          <w:lang w:eastAsia="en-AU"/>
        </w:rPr>
        <w:drawing>
          <wp:inline distT="0" distB="0" distL="0" distR="0" wp14:anchorId="1B510CA4" wp14:editId="5C3C722B">
            <wp:extent cx="5401310" cy="3237230"/>
            <wp:effectExtent l="0" t="0" r="8890" b="1270"/>
            <wp:docPr id="24" name="Picture 24" descr="Line chart showing the relationship between the duration of the contract and the time from referral to commencement.&#10;This figure shows a steep reduction in the time from referral to commencement in the first two months of operation, then a relatively flat level to the six month. The median time to commencement was about 22 days at the start of the contract, about 15 days by the end of month 1, just over five by the end of month 2, and five or just below at the end of months 3, 4, 5 and 6.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01310" cy="3237230"/>
                    </a:xfrm>
                    <a:prstGeom prst="rect">
                      <a:avLst/>
                    </a:prstGeom>
                    <a:noFill/>
                  </pic:spPr>
                </pic:pic>
              </a:graphicData>
            </a:graphic>
          </wp:inline>
        </w:drawing>
      </w:r>
    </w:p>
    <w:p w14:paraId="649BD91D" w14:textId="02916B54" w:rsidR="00CC4E3D" w:rsidRPr="005A1B8D" w:rsidRDefault="00CC4E3D" w:rsidP="00CC4E3D">
      <w:pPr>
        <w:pStyle w:val="Source"/>
        <w:rPr>
          <w:rFonts w:eastAsia="Times New Roman"/>
          <w:b/>
        </w:rPr>
      </w:pPr>
      <w:r w:rsidRPr="005A1B8D">
        <w:rPr>
          <w:rFonts w:eastAsia="Times New Roman"/>
          <w:b/>
        </w:rPr>
        <w:t xml:space="preserve">Source: Department of </w:t>
      </w:r>
      <w:r w:rsidR="00311C8F" w:rsidRPr="005A1B8D">
        <w:rPr>
          <w:rFonts w:eastAsia="Times New Roman"/>
          <w:b/>
        </w:rPr>
        <w:t>Employment, Skills, Small and Family</w:t>
      </w:r>
      <w:r w:rsidRPr="005A1B8D">
        <w:rPr>
          <w:rFonts w:eastAsia="Times New Roman"/>
          <w:b/>
        </w:rPr>
        <w:t xml:space="preserve"> Business administrative data.</w:t>
      </w:r>
    </w:p>
    <w:p w14:paraId="49E51982" w14:textId="77777777" w:rsidR="00CC4E3D" w:rsidRDefault="00CC4E3D" w:rsidP="00CC4E3D">
      <w:r>
        <w:rPr>
          <w:b/>
        </w:rPr>
        <w:t>Figure 4.4 </w:t>
      </w:r>
      <w:r>
        <w:t>shows the median time to commencement for TtW</w:t>
      </w:r>
      <w:r w:rsidRPr="0044565C">
        <w:t xml:space="preserve"> </w:t>
      </w:r>
      <w:r>
        <w:t>participants referred during the inflow period who</w:t>
      </w:r>
      <w:r w:rsidRPr="0044565C">
        <w:t xml:space="preserve"> commenced during the </w:t>
      </w:r>
      <w:r>
        <w:t>first 30 days</w:t>
      </w:r>
      <w:r w:rsidRPr="0044565C">
        <w:t>.</w:t>
      </w:r>
    </w:p>
    <w:p w14:paraId="7510603F" w14:textId="77777777" w:rsidR="00CC4E3D" w:rsidRDefault="00CC4E3D" w:rsidP="00CC4E3D">
      <w:r>
        <w:t xml:space="preserve">As expected, early referrals from jobactive from the contract approval date and often before the actual contract start date, to allow for a start-up caseload, contributed to the large lags from referral to commencement during the first months of operation across all contracts. DHS staff interviewed for the qualitative research reported difficulties in finding appointment slots with TtW providers in the required timeframe during the early days of operation. </w:t>
      </w:r>
    </w:p>
    <w:p w14:paraId="104950CB" w14:textId="77777777" w:rsidR="00CC4E3D" w:rsidRDefault="00CC4E3D" w:rsidP="00CC4E3D">
      <w:pPr>
        <w:rPr>
          <w:rFonts w:ascii="Calibri" w:eastAsia="Times New Roman" w:hAnsi="Calibri" w:cs="Times New Roman"/>
        </w:rPr>
      </w:pPr>
      <w:r>
        <w:t>R</w:t>
      </w:r>
      <w:r w:rsidRPr="003C1D26">
        <w:t xml:space="preserve">esponses from the </w:t>
      </w:r>
      <w:r>
        <w:t>TtW</w:t>
      </w:r>
      <w:r w:rsidRPr="003C1D26">
        <w:t xml:space="preserve"> provider survey </w:t>
      </w:r>
      <w:r>
        <w:t xml:space="preserve">highlighted initial communication issues with DHS, as well as incorrect contact details and </w:t>
      </w:r>
      <w:r w:rsidRPr="0008267C">
        <w:rPr>
          <w:rFonts w:ascii="Calibri" w:eastAsia="Times New Roman" w:hAnsi="Calibri" w:cs="Times New Roman"/>
        </w:rPr>
        <w:t>inappropriate</w:t>
      </w:r>
      <w:r>
        <w:t xml:space="preserve"> referrals for many in the starting caseload. </w:t>
      </w:r>
      <w:r w:rsidRPr="00C662EE">
        <w:rPr>
          <w:rFonts w:ascii="Calibri" w:eastAsia="Times New Roman" w:hAnsi="Calibri" w:cs="Times New Roman"/>
        </w:rPr>
        <w:t>Around 4</w:t>
      </w:r>
      <w:r>
        <w:rPr>
          <w:rFonts w:ascii="Calibri" w:eastAsia="Times New Roman" w:hAnsi="Calibri" w:cs="Times New Roman"/>
        </w:rPr>
        <w:t>0 </w:t>
      </w:r>
      <w:r w:rsidRPr="00C662EE">
        <w:rPr>
          <w:rFonts w:ascii="Calibri" w:eastAsia="Times New Roman" w:hAnsi="Calibri" w:cs="Times New Roman"/>
        </w:rPr>
        <w:t xml:space="preserve">per cent of surveyed providers reported that </w:t>
      </w:r>
      <w:r>
        <w:rPr>
          <w:rFonts w:ascii="Calibri" w:eastAsia="Times New Roman" w:hAnsi="Calibri" w:cs="Times New Roman"/>
        </w:rPr>
        <w:t>fewer than half</w:t>
      </w:r>
      <w:r w:rsidRPr="00C662EE">
        <w:rPr>
          <w:rFonts w:ascii="Calibri" w:eastAsia="Times New Roman" w:hAnsi="Calibri" w:cs="Times New Roman"/>
        </w:rPr>
        <w:t xml:space="preserve"> of</w:t>
      </w:r>
      <w:r>
        <w:rPr>
          <w:rFonts w:ascii="Calibri" w:eastAsia="Times New Roman" w:hAnsi="Calibri" w:cs="Times New Roman"/>
        </w:rPr>
        <w:t xml:space="preserve"> the people in</w:t>
      </w:r>
      <w:r w:rsidRPr="00C662EE">
        <w:rPr>
          <w:rFonts w:ascii="Calibri" w:eastAsia="Times New Roman" w:hAnsi="Calibri" w:cs="Times New Roman"/>
        </w:rPr>
        <w:t xml:space="preserve"> their referred caseload in the first month of operation w</w:t>
      </w:r>
      <w:r>
        <w:rPr>
          <w:rFonts w:ascii="Calibri" w:eastAsia="Times New Roman" w:hAnsi="Calibri" w:cs="Times New Roman"/>
        </w:rPr>
        <w:t>ere</w:t>
      </w:r>
      <w:r w:rsidRPr="00C662EE">
        <w:rPr>
          <w:rFonts w:ascii="Calibri" w:eastAsia="Times New Roman" w:hAnsi="Calibri" w:cs="Times New Roman"/>
        </w:rPr>
        <w:t xml:space="preserve"> eligible for TtW. </w:t>
      </w:r>
      <w:r>
        <w:rPr>
          <w:rFonts w:ascii="Calibri" w:eastAsia="Times New Roman" w:hAnsi="Calibri" w:cs="Times New Roman"/>
        </w:rPr>
        <w:t>Only 14 per cent reported similar issues with</w:t>
      </w:r>
      <w:r w:rsidRPr="00C662EE">
        <w:rPr>
          <w:rFonts w:ascii="Calibri" w:eastAsia="Times New Roman" w:hAnsi="Calibri" w:cs="Times New Roman"/>
        </w:rPr>
        <w:t xml:space="preserve"> their most recent referrals</w:t>
      </w:r>
      <w:r>
        <w:rPr>
          <w:rFonts w:ascii="Calibri" w:eastAsia="Times New Roman" w:hAnsi="Calibri" w:cs="Times New Roman"/>
        </w:rPr>
        <w:t xml:space="preserve"> at the time of the survey, in October and </w:t>
      </w:r>
      <w:r w:rsidRPr="008B4954">
        <w:rPr>
          <w:rFonts w:ascii="Calibri" w:eastAsia="Times New Roman" w:hAnsi="Calibri" w:cs="Times New Roman"/>
        </w:rPr>
        <w:t>November</w:t>
      </w:r>
      <w:r>
        <w:rPr>
          <w:rFonts w:ascii="Calibri" w:eastAsia="Times New Roman" w:hAnsi="Calibri" w:cs="Times New Roman"/>
        </w:rPr>
        <w:t xml:space="preserve"> 2016</w:t>
      </w:r>
      <w:r w:rsidRPr="00C662EE">
        <w:rPr>
          <w:rFonts w:ascii="Calibri" w:eastAsia="Times New Roman" w:hAnsi="Calibri" w:cs="Times New Roman"/>
        </w:rPr>
        <w:t>. The reasons</w:t>
      </w:r>
      <w:r>
        <w:rPr>
          <w:rFonts w:ascii="Calibri" w:eastAsia="Times New Roman" w:hAnsi="Calibri" w:cs="Times New Roman"/>
        </w:rPr>
        <w:t xml:space="preserve"> given were discussed in </w:t>
      </w:r>
      <w:r>
        <w:rPr>
          <w:rFonts w:ascii="Calibri" w:eastAsia="Times New Roman" w:hAnsi="Calibri" w:cs="Times New Roman"/>
          <w:b/>
        </w:rPr>
        <w:t>Section </w:t>
      </w:r>
      <w:r w:rsidRPr="004801AB">
        <w:rPr>
          <w:rFonts w:ascii="Calibri" w:eastAsia="Times New Roman" w:hAnsi="Calibri" w:cs="Times New Roman"/>
          <w:b/>
        </w:rPr>
        <w:t>3.2.2</w:t>
      </w:r>
      <w:r w:rsidRPr="0008267C">
        <w:rPr>
          <w:rFonts w:ascii="Calibri" w:eastAsia="Times New Roman" w:hAnsi="Calibri" w:cs="Times New Roman"/>
        </w:rPr>
        <w:t xml:space="preserve">. </w:t>
      </w:r>
    </w:p>
    <w:p w14:paraId="7A556B3D" w14:textId="1FF12F7C" w:rsidR="00CC4E3D" w:rsidRDefault="00CC4E3D" w:rsidP="00CC4E3D">
      <w:r>
        <w:t>T</w:t>
      </w:r>
      <w:r w:rsidRPr="003C1D26">
        <w:t xml:space="preserve">he median time between referral and commencement reduced </w:t>
      </w:r>
      <w:r>
        <w:t xml:space="preserve">significantly over the study period and was down </w:t>
      </w:r>
      <w:r w:rsidRPr="003C1D26">
        <w:t>to four days</w:t>
      </w:r>
      <w:r>
        <w:t xml:space="preserve"> by the provider’s sixth month of operation.</w:t>
      </w:r>
    </w:p>
    <w:p w14:paraId="39FFF221" w14:textId="735225AE" w:rsidR="00CC4E3D" w:rsidRPr="00610D95" w:rsidRDefault="00CC4E3D" w:rsidP="00FD4CA8">
      <w:pPr>
        <w:pStyle w:val="Caption"/>
        <w:rPr>
          <w:rFonts w:eastAsia="Times New Roman"/>
        </w:rPr>
      </w:pPr>
      <w:bookmarkStart w:id="327" w:name="_Toc514172371"/>
      <w:bookmarkStart w:id="328" w:name="_Toc535511474"/>
      <w:bookmarkStart w:id="329" w:name="_Toc535511534"/>
      <w:bookmarkStart w:id="330" w:name="_Toc535512761"/>
      <w:bookmarkStart w:id="331" w:name="_Toc535513397"/>
      <w:bookmarkStart w:id="332" w:name="_Toc23841475"/>
      <w:bookmarkStart w:id="333" w:name="_Toc492976738"/>
      <w:bookmarkStart w:id="334" w:name="_Toc509402457"/>
      <w:r>
        <w:lastRenderedPageBreak/>
        <w:t xml:space="preserve">Figure </w:t>
      </w:r>
      <w:r>
        <w:rPr>
          <w:noProof/>
        </w:rPr>
        <w:fldChar w:fldCharType="begin"/>
      </w:r>
      <w:r>
        <w:rPr>
          <w:noProof/>
        </w:rPr>
        <w:instrText xml:space="preserve"> STYLEREF 1 \s </w:instrText>
      </w:r>
      <w:r>
        <w:rPr>
          <w:noProof/>
        </w:rPr>
        <w:fldChar w:fldCharType="separate"/>
      </w:r>
      <w:r w:rsidR="00D84A2A">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5</w:t>
      </w:r>
      <w:r>
        <w:rPr>
          <w:noProof/>
        </w:rPr>
        <w:fldChar w:fldCharType="end"/>
      </w:r>
      <w:r>
        <w:tab/>
      </w:r>
      <w:r w:rsidRPr="00727225">
        <w:t xml:space="preserve">Days from referral to commencement of </w:t>
      </w:r>
      <w:r>
        <w:t>Group </w:t>
      </w:r>
      <w:r w:rsidRPr="00727225">
        <w:t>Two participants</w:t>
      </w:r>
      <w:bookmarkEnd w:id="327"/>
      <w:bookmarkEnd w:id="328"/>
      <w:bookmarkEnd w:id="329"/>
      <w:bookmarkEnd w:id="330"/>
      <w:bookmarkEnd w:id="331"/>
      <w:bookmarkEnd w:id="332"/>
      <w:r w:rsidRPr="00727225" w:rsidDel="00727225">
        <w:t xml:space="preserve"> </w:t>
      </w:r>
      <w:bookmarkEnd w:id="333"/>
      <w:bookmarkEnd w:id="334"/>
    </w:p>
    <w:p w14:paraId="2AF8B647" w14:textId="7263F1D3" w:rsidR="00CC4E3D" w:rsidRPr="005A1B8D" w:rsidRDefault="005D0E02" w:rsidP="00CC4E3D">
      <w:pPr>
        <w:pStyle w:val="Source"/>
        <w:rPr>
          <w:rFonts w:eastAsia="Times New Roman"/>
          <w:b/>
        </w:rPr>
      </w:pPr>
      <w:r>
        <w:rPr>
          <w:rFonts w:eastAsia="Times New Roman"/>
          <w:b/>
          <w:noProof/>
          <w:lang w:eastAsia="en-AU"/>
        </w:rPr>
        <w:drawing>
          <wp:inline distT="0" distB="0" distL="0" distR="0" wp14:anchorId="235ACE6B" wp14:editId="690E4959">
            <wp:extent cx="5401310" cy="3042285"/>
            <wp:effectExtent l="0" t="0" r="8890" b="5715"/>
            <wp:docPr id="30" name="Picture 30" descr="Line chart showing the number of days from referral to commencement for Group Two participants.&#10;This figure shows, in cumulative percentage terms, the number of days from referral to commencement for Group Two participants. One day from referral, more than 60 per cent had commenced. By day 7, about 80% had commenced; by day 14, about 90%; by day 28 (the end of the initial phase), about 95%; and by day 63 almost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01310" cy="3042285"/>
                    </a:xfrm>
                    <a:prstGeom prst="rect">
                      <a:avLst/>
                    </a:prstGeom>
                    <a:noFill/>
                  </pic:spPr>
                </pic:pic>
              </a:graphicData>
            </a:graphic>
          </wp:inline>
        </w:drawing>
      </w:r>
      <w:r w:rsidR="00CC4E3D" w:rsidRPr="005A1B8D">
        <w:rPr>
          <w:rFonts w:eastAsia="Times New Roman"/>
          <w:b/>
        </w:rPr>
        <w:t xml:space="preserve">Source: Department of </w:t>
      </w:r>
      <w:r w:rsidR="00311C8F" w:rsidRPr="005A1B8D">
        <w:rPr>
          <w:rFonts w:eastAsia="Times New Roman"/>
          <w:b/>
        </w:rPr>
        <w:t>Employment</w:t>
      </w:r>
      <w:r w:rsidR="00C55A06" w:rsidRPr="005A1B8D">
        <w:rPr>
          <w:rFonts w:eastAsia="Times New Roman"/>
          <w:b/>
        </w:rPr>
        <w:t>, Skills, Small and Family</w:t>
      </w:r>
      <w:r w:rsidR="00CC4E3D" w:rsidRPr="005A1B8D">
        <w:rPr>
          <w:rFonts w:eastAsia="Times New Roman"/>
          <w:b/>
        </w:rPr>
        <w:t xml:space="preserve"> Business administrative data.</w:t>
      </w:r>
    </w:p>
    <w:p w14:paraId="227596EA" w14:textId="62BB8D91" w:rsidR="00CC4E3D" w:rsidRPr="003C240F" w:rsidRDefault="00CC4E3D" w:rsidP="00CC4E3D">
      <w:r w:rsidRPr="001D788C">
        <w:rPr>
          <w:rFonts w:eastAsia="Times New Roman"/>
        </w:rPr>
        <w:t xml:space="preserve">There were some differences in the time to commencement between groups. </w:t>
      </w:r>
      <w:r>
        <w:t>Although</w:t>
      </w:r>
      <w:r w:rsidRPr="001D788C">
        <w:t xml:space="preserve"> providers’ reported difficulties in </w:t>
      </w:r>
      <w:r>
        <w:t>recruiting</w:t>
      </w:r>
      <w:r w:rsidRPr="001D788C">
        <w:t xml:space="preserve"> Group Two participants (discussed in </w:t>
      </w:r>
      <w:r w:rsidRPr="001D788C">
        <w:rPr>
          <w:b/>
        </w:rPr>
        <w:t>Section 3.3.2</w:t>
      </w:r>
      <w:r w:rsidRPr="001D788C">
        <w:t xml:space="preserve">), more than 95 per cent of commencements were within the 28-day timeframe set out in the </w:t>
      </w:r>
      <w:r w:rsidR="00AC1C42">
        <w:t>d</w:t>
      </w:r>
      <w:r w:rsidRPr="001D788C">
        <w:t xml:space="preserve">epartment’s guidelines and </w:t>
      </w:r>
      <w:r w:rsidRPr="001D788C">
        <w:rPr>
          <w:rFonts w:eastAsia="Times New Roman"/>
        </w:rPr>
        <w:t>more than 60 per cent commenced within one day of referral (</w:t>
      </w:r>
      <w:r w:rsidRPr="001D788C">
        <w:rPr>
          <w:rFonts w:eastAsia="Times New Roman"/>
          <w:b/>
        </w:rPr>
        <w:t>Figure 4.5</w:t>
      </w:r>
      <w:r w:rsidRPr="001D788C">
        <w:rPr>
          <w:rFonts w:eastAsia="Times New Roman"/>
        </w:rPr>
        <w:t xml:space="preserve">). This suggests that providers </w:t>
      </w:r>
      <w:r>
        <w:rPr>
          <w:rFonts w:eastAsia="Times New Roman"/>
        </w:rPr>
        <w:t>recorded</w:t>
      </w:r>
      <w:r w:rsidRPr="001D788C">
        <w:rPr>
          <w:rFonts w:eastAsia="Times New Roman"/>
        </w:rPr>
        <w:t xml:space="preserve"> referrals and </w:t>
      </w:r>
      <w:r>
        <w:rPr>
          <w:rFonts w:eastAsia="Times New Roman"/>
        </w:rPr>
        <w:t>many of</w:t>
      </w:r>
      <w:r w:rsidRPr="001D788C">
        <w:rPr>
          <w:rFonts w:eastAsia="Times New Roman"/>
        </w:rPr>
        <w:t xml:space="preserve"> these participants . However, this does not necessarily reflect the time providers spent on recruiting or engaging these young people.</w:t>
      </w:r>
    </w:p>
    <w:p w14:paraId="142B4FAD" w14:textId="77777777" w:rsidR="00CC4E3D" w:rsidRPr="00847093" w:rsidRDefault="00CC4E3D" w:rsidP="00CC4E3D">
      <w:pPr>
        <w:rPr>
          <w:rFonts w:eastAsia="Times New Roman"/>
        </w:rPr>
      </w:pPr>
      <w:r w:rsidRPr="001C7CE3">
        <w:rPr>
          <w:rFonts w:eastAsia="Times New Roman"/>
        </w:rPr>
        <w:t>For Group Three participants (those referred from jobactive), the median time to commence was initially nine days, then settled at around six or seven days across the remaining five months of the study period.</w:t>
      </w:r>
    </w:p>
    <w:p w14:paraId="5C9C49F5" w14:textId="77777777" w:rsidR="00CC4E3D" w:rsidRPr="00FD4CA8" w:rsidRDefault="00CC4E3D" w:rsidP="001C25D9">
      <w:pPr>
        <w:pStyle w:val="Heading3"/>
        <w:numPr>
          <w:ilvl w:val="2"/>
          <w:numId w:val="4"/>
        </w:numPr>
        <w:spacing w:before="200"/>
        <w:rPr>
          <w:rFonts w:eastAsia="Times New Roman"/>
          <w:szCs w:val="24"/>
        </w:rPr>
      </w:pPr>
      <w:bookmarkStart w:id="335" w:name="_Toc511812008"/>
      <w:bookmarkStart w:id="336" w:name="_Toc511841645"/>
      <w:bookmarkStart w:id="337" w:name="_Toc511841754"/>
      <w:bookmarkStart w:id="338" w:name="_Toc514172974"/>
      <w:bookmarkStart w:id="339" w:name="_Toc514173082"/>
      <w:bookmarkStart w:id="340" w:name="_Toc492976301"/>
      <w:bookmarkStart w:id="341" w:name="_Toc509402613"/>
      <w:bookmarkStart w:id="342" w:name="_Toc535498905"/>
      <w:bookmarkStart w:id="343" w:name="_Toc23841385"/>
      <w:bookmarkEnd w:id="335"/>
      <w:bookmarkEnd w:id="336"/>
      <w:bookmarkEnd w:id="337"/>
      <w:bookmarkEnd w:id="338"/>
      <w:bookmarkEnd w:id="339"/>
      <w:r w:rsidRPr="00FD4CA8">
        <w:rPr>
          <w:szCs w:val="24"/>
        </w:rPr>
        <w:t xml:space="preserve">Time to commence is faster in </w:t>
      </w:r>
      <w:r w:rsidRPr="00FD4CA8">
        <w:rPr>
          <w:rFonts w:eastAsia="Times New Roman"/>
          <w:szCs w:val="24"/>
        </w:rPr>
        <w:t>TtW than in the jobactive</w:t>
      </w:r>
      <w:bookmarkEnd w:id="340"/>
      <w:bookmarkEnd w:id="341"/>
      <w:r w:rsidRPr="00FD4CA8">
        <w:rPr>
          <w:rFonts w:eastAsia="Times New Roman"/>
          <w:szCs w:val="24"/>
        </w:rPr>
        <w:t xml:space="preserve"> comparison group</w:t>
      </w:r>
      <w:bookmarkEnd w:id="342"/>
      <w:bookmarkEnd w:id="343"/>
    </w:p>
    <w:p w14:paraId="72CE18FD" w14:textId="77777777" w:rsidR="00CC4E3D" w:rsidRPr="003E2401" w:rsidRDefault="00CC4E3D" w:rsidP="00CC4E3D">
      <w:r>
        <w:rPr>
          <w:rFonts w:ascii="Calibri" w:eastAsia="Times New Roman" w:hAnsi="Calibri" w:cs="Times New Roman"/>
        </w:rPr>
        <w:t>The evaluation compared c</w:t>
      </w:r>
      <w:r w:rsidRPr="00324593">
        <w:rPr>
          <w:rFonts w:ascii="Calibri" w:eastAsia="Times New Roman" w:hAnsi="Calibri" w:cs="Times New Roman"/>
        </w:rPr>
        <w:t>ommencement</w:t>
      </w:r>
      <w:r>
        <w:rPr>
          <w:rFonts w:ascii="Calibri" w:eastAsia="Times New Roman" w:hAnsi="Calibri" w:cs="Times New Roman"/>
        </w:rPr>
        <w:t xml:space="preserve"> patterns for the</w:t>
      </w:r>
      <w:r w:rsidRPr="00324593">
        <w:rPr>
          <w:rFonts w:ascii="Calibri" w:eastAsia="Times New Roman" w:hAnsi="Calibri" w:cs="Times New Roman"/>
        </w:rPr>
        <w:t xml:space="preserve"> </w:t>
      </w:r>
      <w:r>
        <w:rPr>
          <w:rFonts w:ascii="Calibri" w:eastAsia="Times New Roman" w:hAnsi="Calibri" w:cs="Times New Roman"/>
        </w:rPr>
        <w:t>TtW and jobactive matched inflow populations</w:t>
      </w:r>
      <w:r w:rsidRPr="00324593">
        <w:rPr>
          <w:rFonts w:ascii="Calibri" w:eastAsia="Times New Roman" w:hAnsi="Calibri" w:cs="Times New Roman"/>
        </w:rPr>
        <w:t xml:space="preserve">. </w:t>
      </w:r>
      <w:r w:rsidRPr="000F6F27">
        <w:rPr>
          <w:rFonts w:ascii="Calibri" w:eastAsia="Times New Roman" w:hAnsi="Calibri" w:cs="Times New Roman"/>
        </w:rPr>
        <w:t>Given the</w:t>
      </w:r>
      <w:r w:rsidRPr="000F6F27">
        <w:rPr>
          <w:rFonts w:ascii="Calibri" w:eastAsia="Times New Roman" w:hAnsi="Calibri" w:cs="Times New Roman"/>
          <w:color w:val="000000"/>
        </w:rPr>
        <w:t xml:space="preserve"> </w:t>
      </w:r>
      <w:r>
        <w:t>voluntary nature of participation in TtW,</w:t>
      </w:r>
      <w:r w:rsidRPr="000F6F27">
        <w:rPr>
          <w:rFonts w:ascii="Calibri" w:eastAsia="Times New Roman" w:hAnsi="Calibri" w:cs="Times New Roman"/>
          <w:color w:val="000000"/>
        </w:rPr>
        <w:t xml:space="preserve"> it is not possible to control for any bias in referrals between the two </w:t>
      </w:r>
      <w:r>
        <w:rPr>
          <w:rFonts w:ascii="Calibri" w:eastAsia="Times New Roman" w:hAnsi="Calibri" w:cs="Times New Roman"/>
          <w:color w:val="000000"/>
        </w:rPr>
        <w:t>services</w:t>
      </w:r>
      <w:r w:rsidRPr="000F6F27">
        <w:rPr>
          <w:rFonts w:ascii="Calibri" w:eastAsia="Times New Roman" w:hAnsi="Calibri" w:cs="Times New Roman"/>
          <w:color w:val="000000"/>
        </w:rPr>
        <w:t xml:space="preserve">. </w:t>
      </w:r>
    </w:p>
    <w:p w14:paraId="67A18BB5" w14:textId="77777777" w:rsidR="00CC4E3D" w:rsidRDefault="00CC4E3D" w:rsidP="00CC4E3D">
      <w:pPr>
        <w:rPr>
          <w:rFonts w:ascii="Calibri" w:eastAsia="Times New Roman" w:hAnsi="Calibri" w:cs="Times New Roman"/>
        </w:rPr>
      </w:pPr>
      <w:r>
        <w:rPr>
          <w:rFonts w:ascii="Calibri" w:eastAsia="Times New Roman" w:hAnsi="Calibri" w:cs="Times New Roman"/>
        </w:rPr>
        <w:t>To</w:t>
      </w:r>
      <w:r w:rsidRPr="0030755E">
        <w:rPr>
          <w:rFonts w:ascii="Calibri" w:eastAsia="Times New Roman" w:hAnsi="Calibri" w:cs="Times New Roman"/>
        </w:rPr>
        <w:t xml:space="preserve"> </w:t>
      </w:r>
      <w:r>
        <w:rPr>
          <w:rFonts w:ascii="Calibri" w:eastAsia="Times New Roman" w:hAnsi="Calibri" w:cs="Times New Roman"/>
        </w:rPr>
        <w:t xml:space="preserve">measure performance, </w:t>
      </w:r>
      <w:r w:rsidRPr="0030755E">
        <w:rPr>
          <w:rFonts w:ascii="Calibri" w:eastAsia="Times New Roman" w:hAnsi="Calibri" w:cs="Times New Roman"/>
        </w:rPr>
        <w:t>the</w:t>
      </w:r>
      <w:r>
        <w:rPr>
          <w:rFonts w:ascii="Calibri" w:eastAsia="Times New Roman" w:hAnsi="Calibri" w:cs="Times New Roman"/>
        </w:rPr>
        <w:t xml:space="preserve"> evaluation compared the</w:t>
      </w:r>
      <w:r w:rsidRPr="0030755E">
        <w:rPr>
          <w:rFonts w:ascii="Calibri" w:eastAsia="Times New Roman" w:hAnsi="Calibri" w:cs="Times New Roman"/>
        </w:rPr>
        <w:t xml:space="preserve"> mean number of days between referral and commencement</w:t>
      </w:r>
      <w:r>
        <w:rPr>
          <w:rFonts w:ascii="Calibri" w:eastAsia="Times New Roman" w:hAnsi="Calibri" w:cs="Times New Roman"/>
        </w:rPr>
        <w:t xml:space="preserve"> for </w:t>
      </w:r>
      <w:r w:rsidRPr="0030755E">
        <w:rPr>
          <w:rFonts w:ascii="Calibri" w:eastAsia="Times New Roman" w:hAnsi="Calibri" w:cs="Times New Roman"/>
        </w:rPr>
        <w:t xml:space="preserve">participants </w:t>
      </w:r>
      <w:r>
        <w:rPr>
          <w:rFonts w:ascii="Calibri" w:eastAsia="Times New Roman" w:hAnsi="Calibri" w:cs="Times New Roman"/>
        </w:rPr>
        <w:t xml:space="preserve">in the matched TtW sample (excluding Group Three) with </w:t>
      </w:r>
      <w:r w:rsidRPr="0030755E">
        <w:rPr>
          <w:rFonts w:ascii="Calibri" w:eastAsia="Times New Roman" w:hAnsi="Calibri" w:cs="Times New Roman"/>
        </w:rPr>
        <w:t xml:space="preserve">the matched jobactive </w:t>
      </w:r>
      <w:r>
        <w:rPr>
          <w:rFonts w:ascii="Calibri" w:eastAsia="Times New Roman" w:hAnsi="Calibri" w:cs="Times New Roman"/>
        </w:rPr>
        <w:t xml:space="preserve">comparison </w:t>
      </w:r>
      <w:r w:rsidRPr="0030755E">
        <w:rPr>
          <w:rFonts w:ascii="Calibri" w:eastAsia="Times New Roman" w:hAnsi="Calibri" w:cs="Times New Roman"/>
        </w:rPr>
        <w:t>group</w:t>
      </w:r>
      <w:r>
        <w:rPr>
          <w:rFonts w:ascii="Calibri" w:eastAsia="Times New Roman" w:hAnsi="Calibri" w:cs="Times New Roman"/>
        </w:rPr>
        <w:t>.</w:t>
      </w:r>
      <w:r w:rsidRPr="003C5D00">
        <w:rPr>
          <w:rFonts w:ascii="Calibri" w:eastAsia="Times New Roman" w:hAnsi="Calibri" w:cs="Times New Roman"/>
        </w:rPr>
        <w:t xml:space="preserve"> </w:t>
      </w:r>
      <w:r>
        <w:rPr>
          <w:rFonts w:ascii="Calibri" w:eastAsia="Times New Roman" w:hAnsi="Calibri" w:cs="Times New Roman"/>
        </w:rPr>
        <w:t>To allow for comparable operational conditions, as jobactive was an ongoing program, the analysis excluded referrals to TtW sites in their first month of operation</w:t>
      </w:r>
      <w:r w:rsidRPr="0030755E">
        <w:rPr>
          <w:rFonts w:ascii="Calibri" w:eastAsia="Times New Roman" w:hAnsi="Calibri" w:cs="Times New Roman"/>
        </w:rPr>
        <w:t>.</w:t>
      </w:r>
      <w:r w:rsidRPr="008D353D">
        <w:rPr>
          <w:rFonts w:ascii="Calibri" w:eastAsia="Times New Roman" w:hAnsi="Calibri" w:cs="Times New Roman"/>
        </w:rPr>
        <w:t xml:space="preserve"> </w:t>
      </w:r>
      <w:r>
        <w:rPr>
          <w:rFonts w:ascii="Calibri" w:eastAsia="Times New Roman" w:hAnsi="Calibri" w:cs="Times New Roman"/>
        </w:rPr>
        <w:t>It also excluded Group Three</w:t>
      </w:r>
      <w:r w:rsidRPr="0030755E">
        <w:rPr>
          <w:rFonts w:ascii="Calibri" w:eastAsia="Times New Roman" w:hAnsi="Calibri" w:cs="Times New Roman"/>
        </w:rPr>
        <w:t xml:space="preserve"> participants</w:t>
      </w:r>
      <w:r>
        <w:rPr>
          <w:rFonts w:ascii="Calibri" w:eastAsia="Times New Roman" w:hAnsi="Calibri" w:cs="Times New Roman"/>
        </w:rPr>
        <w:t>,</w:t>
      </w:r>
      <w:r w:rsidRPr="0030755E">
        <w:rPr>
          <w:rFonts w:ascii="Calibri" w:eastAsia="Times New Roman" w:hAnsi="Calibri" w:cs="Times New Roman"/>
        </w:rPr>
        <w:t xml:space="preserve"> </w:t>
      </w:r>
      <w:r>
        <w:rPr>
          <w:rFonts w:ascii="Calibri" w:eastAsia="Times New Roman" w:hAnsi="Calibri" w:cs="Times New Roman"/>
        </w:rPr>
        <w:t>since they are direct referrals from a jobactive provider and do not have a comparable</w:t>
      </w:r>
      <w:r>
        <w:rPr>
          <w:rStyle w:val="FootnoteReference"/>
          <w:rFonts w:ascii="Calibri" w:eastAsia="Times New Roman" w:hAnsi="Calibri" w:cs="Times New Roman"/>
        </w:rPr>
        <w:footnoteReference w:id="20"/>
      </w:r>
      <w:r>
        <w:rPr>
          <w:rFonts w:ascii="Calibri" w:eastAsia="Times New Roman" w:hAnsi="Calibri" w:cs="Times New Roman"/>
        </w:rPr>
        <w:t xml:space="preserve"> cohort in jobactive. </w:t>
      </w:r>
    </w:p>
    <w:p w14:paraId="3B798AE0" w14:textId="77777777" w:rsidR="00CC4E3D" w:rsidRDefault="00CC4E3D" w:rsidP="00CC4E3D">
      <w:pPr>
        <w:rPr>
          <w:rFonts w:ascii="Calibri" w:eastAsia="Times New Roman" w:hAnsi="Calibri" w:cs="Times New Roman"/>
        </w:rPr>
      </w:pPr>
      <w:r>
        <w:rPr>
          <w:rFonts w:ascii="Calibri" w:eastAsia="Times New Roman" w:hAnsi="Calibri" w:cs="Times New Roman"/>
        </w:rPr>
        <w:lastRenderedPageBreak/>
        <w:t>The majority of the referred participants who started before 31 August 2016 appeared to have commenced within 30 days (</w:t>
      </w:r>
      <w:r>
        <w:rPr>
          <w:rFonts w:ascii="Calibri" w:eastAsia="Times New Roman" w:hAnsi="Calibri" w:cs="Times New Roman"/>
          <w:b/>
        </w:rPr>
        <w:t>Figure </w:t>
      </w:r>
      <w:r w:rsidRPr="00F14E93">
        <w:rPr>
          <w:rFonts w:ascii="Calibri" w:eastAsia="Times New Roman" w:hAnsi="Calibri" w:cs="Times New Roman"/>
          <w:b/>
        </w:rPr>
        <w:t>4.</w:t>
      </w:r>
      <w:r>
        <w:rPr>
          <w:rFonts w:ascii="Calibri" w:eastAsia="Times New Roman" w:hAnsi="Calibri" w:cs="Times New Roman"/>
          <w:b/>
        </w:rPr>
        <w:t>6</w:t>
      </w:r>
      <w:r>
        <w:rPr>
          <w:rFonts w:ascii="Calibri" w:eastAsia="Times New Roman" w:hAnsi="Calibri" w:cs="Times New Roman"/>
        </w:rPr>
        <w:t xml:space="preserve">). A similar proportion (35 per cent for TtW compared with 31 per cent for the jobactive comparison) commenced over the first two days (i.e. met the RapidConnect provisions). However, the proportion of referrals commenced within thirty days was consistently higher in TtW. </w:t>
      </w:r>
    </w:p>
    <w:p w14:paraId="40D19156" w14:textId="414E286B" w:rsidR="00CC4E3D" w:rsidRPr="00610D95" w:rsidRDefault="00CC4E3D" w:rsidP="00FD4CA8">
      <w:pPr>
        <w:pStyle w:val="Caption"/>
      </w:pPr>
      <w:bookmarkStart w:id="344" w:name="_Toc514172372"/>
      <w:bookmarkStart w:id="345" w:name="_Toc535511475"/>
      <w:bookmarkStart w:id="346" w:name="_Toc535511535"/>
      <w:bookmarkStart w:id="347" w:name="_Toc535512762"/>
      <w:bookmarkStart w:id="348" w:name="_Toc535513398"/>
      <w:bookmarkStart w:id="349" w:name="_Toc23841476"/>
      <w:bookmarkStart w:id="350" w:name="_Toc492976739"/>
      <w:bookmarkStart w:id="351" w:name="_Toc509402458"/>
      <w:r>
        <w:t xml:space="preserve">Figure </w:t>
      </w:r>
      <w:r>
        <w:rPr>
          <w:noProof/>
        </w:rPr>
        <w:fldChar w:fldCharType="begin"/>
      </w:r>
      <w:r>
        <w:rPr>
          <w:noProof/>
        </w:rPr>
        <w:instrText xml:space="preserve"> STYLEREF 1 \s </w:instrText>
      </w:r>
      <w:r>
        <w:rPr>
          <w:noProof/>
        </w:rPr>
        <w:fldChar w:fldCharType="separate"/>
      </w:r>
      <w:r w:rsidR="00D84A2A">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6</w:t>
      </w:r>
      <w:r>
        <w:rPr>
          <w:noProof/>
        </w:rPr>
        <w:fldChar w:fldCharType="end"/>
      </w:r>
      <w:r>
        <w:tab/>
      </w:r>
      <w:r w:rsidRPr="00610D95">
        <w:t xml:space="preserve">Cumulative percentage of </w:t>
      </w:r>
      <w:r>
        <w:t>commencements</w:t>
      </w:r>
      <w:r w:rsidRPr="00610D95">
        <w:t xml:space="preserve"> within 3</w:t>
      </w:r>
      <w:r>
        <w:t>0 </w:t>
      </w:r>
      <w:r w:rsidRPr="00610D95">
        <w:t>days</w:t>
      </w:r>
      <w:r>
        <w:t>,</w:t>
      </w:r>
      <w:r w:rsidRPr="00610D95">
        <w:t xml:space="preserve"> by days </w:t>
      </w:r>
      <w:r>
        <w:t>from </w:t>
      </w:r>
      <w:r w:rsidRPr="00610D95">
        <w:t>referral</w:t>
      </w:r>
      <w:bookmarkEnd w:id="344"/>
      <w:bookmarkEnd w:id="345"/>
      <w:bookmarkEnd w:id="346"/>
      <w:bookmarkEnd w:id="347"/>
      <w:bookmarkEnd w:id="348"/>
      <w:bookmarkEnd w:id="349"/>
      <w:r w:rsidRPr="00610D95">
        <w:t xml:space="preserve"> </w:t>
      </w:r>
      <w:bookmarkEnd w:id="350"/>
      <w:bookmarkEnd w:id="351"/>
    </w:p>
    <w:p w14:paraId="42C1618A" w14:textId="5F1DA738" w:rsidR="00CC4E3D" w:rsidRPr="00873EE8" w:rsidRDefault="005D0E02" w:rsidP="00CC4E3D">
      <w:r>
        <w:rPr>
          <w:noProof/>
          <w:lang w:eastAsia="en-AU"/>
        </w:rPr>
        <w:drawing>
          <wp:inline distT="0" distB="0" distL="0" distR="0" wp14:anchorId="615995A5" wp14:editId="37A8E053">
            <wp:extent cx="5407660" cy="3048000"/>
            <wp:effectExtent l="0" t="0" r="2540" b="0"/>
            <wp:docPr id="452" name="Picture 452" descr="Line chart comparing the number of days from referral to commencement for TtW (except Group Three) and jobactive.&#10;This figure compares, in cumulative percentage terms over the first 30 days, the number of days from referral to commencement for Group One and Group Two TtW participants (combined) and for the matched sample of jobactive participants. Two days from referral, the percentage commenced in TtW was slightly higher than the percentage commenced in jobactive. By day 10, TtW commencements were about 10 percentage points higher. By day 30 the gap had closed a little but TtW was still more than 5 points high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07660" cy="3048000"/>
                    </a:xfrm>
                    <a:prstGeom prst="rect">
                      <a:avLst/>
                    </a:prstGeom>
                    <a:noFill/>
                  </pic:spPr>
                </pic:pic>
              </a:graphicData>
            </a:graphic>
          </wp:inline>
        </w:drawing>
      </w:r>
    </w:p>
    <w:p w14:paraId="0FC7C80C" w14:textId="77777777" w:rsidR="00CC4E3D" w:rsidRPr="00157371" w:rsidRDefault="00CC4E3D" w:rsidP="005A1B8D">
      <w:pPr>
        <w:pStyle w:val="Note"/>
        <w:ind w:left="0" w:firstLine="0"/>
      </w:pPr>
      <w:r w:rsidRPr="00157371">
        <w:t>Note: TtW contracts were quarantined for the first month of operation, to allow a valid comparison with the jobactive comparison.</w:t>
      </w:r>
    </w:p>
    <w:p w14:paraId="7E5230D3" w14:textId="31CA084E" w:rsidR="00CC4E3D" w:rsidRPr="005A1B8D" w:rsidRDefault="00CC4E3D" w:rsidP="00CC4E3D">
      <w:pPr>
        <w:pStyle w:val="Source"/>
        <w:rPr>
          <w:rFonts w:eastAsia="Times New Roman"/>
          <w:b/>
        </w:rPr>
      </w:pPr>
      <w:r w:rsidRPr="005A1B8D">
        <w:rPr>
          <w:rFonts w:eastAsia="Times New Roman"/>
          <w:b/>
        </w:rPr>
        <w:t xml:space="preserve">Source: Department of </w:t>
      </w:r>
      <w:r w:rsidR="00C55A06" w:rsidRPr="005A1B8D">
        <w:rPr>
          <w:b/>
        </w:rPr>
        <w:t>Employment, Skills, Small and Family</w:t>
      </w:r>
      <w:r w:rsidRPr="005A1B8D">
        <w:rPr>
          <w:b/>
        </w:rPr>
        <w:t xml:space="preserve"> Business</w:t>
      </w:r>
      <w:r w:rsidRPr="005A1B8D">
        <w:rPr>
          <w:rFonts w:eastAsia="Times New Roman"/>
          <w:b/>
        </w:rPr>
        <w:t xml:space="preserve"> administrative data.</w:t>
      </w:r>
    </w:p>
    <w:p w14:paraId="3227FEE5" w14:textId="77777777" w:rsidR="00CC4E3D" w:rsidRDefault="00CC4E3D" w:rsidP="00CC4E3D">
      <w:pPr>
        <w:rPr>
          <w:rFonts w:ascii="Calibri" w:eastAsia="Times New Roman" w:hAnsi="Calibri" w:cs="Times New Roman"/>
        </w:rPr>
      </w:pPr>
      <w:r>
        <w:rPr>
          <w:rFonts w:ascii="Calibri" w:eastAsia="Times New Roman" w:hAnsi="Calibri" w:cs="Times New Roman"/>
        </w:rPr>
        <w:t xml:space="preserve">While </w:t>
      </w:r>
      <w:r w:rsidRPr="00610D95">
        <w:rPr>
          <w:rFonts w:ascii="Calibri" w:eastAsia="Times New Roman" w:hAnsi="Calibri" w:cs="Times New Roman"/>
        </w:rPr>
        <w:t>certain unforeseen circumstances</w:t>
      </w:r>
      <w:r>
        <w:rPr>
          <w:rFonts w:ascii="Calibri" w:eastAsia="Times New Roman" w:hAnsi="Calibri" w:cs="Times New Roman"/>
        </w:rPr>
        <w:t xml:space="preserve"> may have caused commenc</w:t>
      </w:r>
      <w:r w:rsidRPr="00F26616">
        <w:rPr>
          <w:rFonts w:ascii="Calibri" w:eastAsia="Times New Roman" w:hAnsi="Calibri" w:cs="Times New Roman"/>
        </w:rPr>
        <w:t xml:space="preserve">ement delays for </w:t>
      </w:r>
      <w:r w:rsidRPr="00610D95">
        <w:rPr>
          <w:rFonts w:ascii="Calibri" w:eastAsia="Times New Roman" w:hAnsi="Calibri" w:cs="Times New Roman"/>
        </w:rPr>
        <w:t xml:space="preserve">some </w:t>
      </w:r>
      <w:r>
        <w:rPr>
          <w:rFonts w:ascii="Calibri" w:eastAsia="Times New Roman" w:hAnsi="Calibri" w:cs="Times New Roman"/>
        </w:rPr>
        <w:t>participants</w:t>
      </w:r>
      <w:r w:rsidRPr="00F26616">
        <w:rPr>
          <w:rFonts w:ascii="Calibri" w:eastAsia="Times New Roman" w:hAnsi="Calibri" w:cs="Times New Roman"/>
        </w:rPr>
        <w:t>,</w:t>
      </w:r>
      <w:r>
        <w:rPr>
          <w:rFonts w:ascii="Calibri" w:eastAsia="Times New Roman" w:hAnsi="Calibri" w:cs="Times New Roman"/>
        </w:rPr>
        <w:t xml:space="preserve"> the analysis shows that TtW providers had more success in commencing young people in services during the first 30 days (93 per cent) than jobactive providers (83 per cent). Controlling for participants with an </w:t>
      </w:r>
      <w:r w:rsidRPr="008B4954">
        <w:rPr>
          <w:rFonts w:ascii="Calibri" w:eastAsia="Times New Roman" w:hAnsi="Calibri" w:cs="Times New Roman"/>
        </w:rPr>
        <w:t>ESAt referral</w:t>
      </w:r>
      <w:r>
        <w:rPr>
          <w:rFonts w:ascii="Calibri" w:eastAsia="Times New Roman" w:hAnsi="Calibri" w:cs="Times New Roman"/>
        </w:rPr>
        <w:t xml:space="preserve"> in the jobactive sample did not account for the difference. </w:t>
      </w:r>
    </w:p>
    <w:p w14:paraId="436A74ED" w14:textId="77777777" w:rsidR="00CC4E3D" w:rsidRDefault="00CC4E3D" w:rsidP="00CC4E3D">
      <w:pPr>
        <w:rPr>
          <w:rFonts w:ascii="Calibri" w:eastAsia="Times New Roman" w:hAnsi="Calibri" w:cs="Times New Roman"/>
        </w:rPr>
      </w:pPr>
      <w:r>
        <w:rPr>
          <w:rFonts w:ascii="Calibri" w:eastAsia="Times New Roman" w:hAnsi="Calibri" w:cs="Times New Roman"/>
        </w:rPr>
        <w:t>There are many reasons why young people referred to both programs do not commence in services, such as finding a job, their income support claim rejected or withdrawn or other changes in their personal circumstances. Young people referred to jobactive who are not yet receiving income support payments are placed as Stream A (Volunteer) and do not have a mutual obligation requirement so must elect to participate as a volunteer. This may influence the timing of their commencement in services. As all referrals to TtW have the same participation requirement based on their particular circumstances and receive the same service, their income support status is less relevant.</w:t>
      </w:r>
    </w:p>
    <w:p w14:paraId="66148ADA" w14:textId="77777777" w:rsidR="00CC4E3D" w:rsidRPr="00867F55" w:rsidRDefault="00CC4E3D" w:rsidP="00CC4E3D">
      <w:pPr>
        <w:rPr>
          <w:rFonts w:ascii="Calibri" w:eastAsia="Times New Roman" w:hAnsi="Calibri" w:cs="Times New Roman"/>
        </w:rPr>
      </w:pPr>
      <w:r>
        <w:rPr>
          <w:rFonts w:ascii="Calibri" w:eastAsia="Times New Roman" w:hAnsi="Calibri" w:cs="Times New Roman"/>
        </w:rPr>
        <w:lastRenderedPageBreak/>
        <w:t>This early evidence points to TtW meeting its objective of targeting and engaging a cohort of young people in services to improve their work-readiness and help them find work.</w:t>
      </w:r>
      <w:r w:rsidRPr="00941980">
        <w:rPr>
          <w:rFonts w:ascii="Calibri" w:eastAsia="Times New Roman" w:hAnsi="Calibri" w:cs="Times New Roman"/>
        </w:rPr>
        <w:t xml:space="preserve"> </w:t>
      </w:r>
      <w:r>
        <w:rPr>
          <w:rFonts w:ascii="Calibri" w:eastAsia="Times New Roman" w:hAnsi="Calibri" w:cs="Times New Roman"/>
        </w:rPr>
        <w:t xml:space="preserve">A more comprehensive analysis will be carried out for the final evaluation of TtW when additional data becomes available. </w:t>
      </w:r>
    </w:p>
    <w:p w14:paraId="3D1FB678" w14:textId="77777777" w:rsidR="00CC4E3D" w:rsidRPr="001F4939" w:rsidRDefault="00CC4E3D" w:rsidP="001F4939">
      <w:pPr>
        <w:pStyle w:val="Heading2"/>
        <w:numPr>
          <w:ilvl w:val="1"/>
          <w:numId w:val="4"/>
        </w:numPr>
        <w:rPr>
          <w:rFonts w:eastAsia="Times New Roman"/>
        </w:rPr>
      </w:pPr>
      <w:bookmarkStart w:id="352" w:name="_Toc492976302"/>
      <w:bookmarkStart w:id="353" w:name="_Toc509402614"/>
      <w:bookmarkStart w:id="354" w:name="_Toc535498906"/>
      <w:bookmarkStart w:id="355" w:name="_Toc23841386"/>
      <w:r w:rsidRPr="001F4939">
        <w:rPr>
          <w:rFonts w:eastAsia="Times New Roman"/>
        </w:rPr>
        <w:t xml:space="preserve">Appointments and </w:t>
      </w:r>
      <w:r w:rsidRPr="001F4939">
        <w:t>activities</w:t>
      </w:r>
      <w:bookmarkEnd w:id="352"/>
      <w:bookmarkEnd w:id="353"/>
      <w:bookmarkEnd w:id="354"/>
      <w:bookmarkEnd w:id="355"/>
      <w:r w:rsidRPr="001F4939">
        <w:rPr>
          <w:rFonts w:eastAsia="Times New Roman"/>
        </w:rPr>
        <w:t xml:space="preserve"> </w:t>
      </w:r>
    </w:p>
    <w:p w14:paraId="04A7FB4E" w14:textId="77777777" w:rsidR="00CC4E3D" w:rsidRDefault="00CC4E3D" w:rsidP="00CC4E3D">
      <w:pPr>
        <w:rPr>
          <w:rFonts w:eastAsia="Times New Roman"/>
        </w:rPr>
      </w:pPr>
      <w:r w:rsidRPr="00D511F5">
        <w:rPr>
          <w:rFonts w:eastAsia="Times New Roman"/>
        </w:rPr>
        <w:t xml:space="preserve">All participants in TtW and </w:t>
      </w:r>
      <w:r>
        <w:rPr>
          <w:rFonts w:eastAsia="Times New Roman"/>
        </w:rPr>
        <w:t xml:space="preserve">the </w:t>
      </w:r>
      <w:r w:rsidRPr="00D511F5">
        <w:rPr>
          <w:rFonts w:eastAsia="Times New Roman"/>
        </w:rPr>
        <w:t xml:space="preserve">jobactive </w:t>
      </w:r>
      <w:r>
        <w:rPr>
          <w:rFonts w:eastAsia="Times New Roman"/>
        </w:rPr>
        <w:t xml:space="preserve">comparison group </w:t>
      </w:r>
      <w:r w:rsidRPr="00D511F5">
        <w:rPr>
          <w:rFonts w:eastAsia="Times New Roman"/>
        </w:rPr>
        <w:t>attend</w:t>
      </w:r>
      <w:r>
        <w:rPr>
          <w:rFonts w:eastAsia="Times New Roman"/>
        </w:rPr>
        <w:t>ed</w:t>
      </w:r>
      <w:r w:rsidRPr="00D511F5">
        <w:rPr>
          <w:rFonts w:eastAsia="Times New Roman"/>
        </w:rPr>
        <w:t xml:space="preserve"> at least one </w:t>
      </w:r>
      <w:r>
        <w:rPr>
          <w:rFonts w:eastAsia="Times New Roman"/>
        </w:rPr>
        <w:t xml:space="preserve">initial </w:t>
      </w:r>
      <w:r w:rsidRPr="00D511F5">
        <w:rPr>
          <w:rFonts w:eastAsia="Times New Roman"/>
        </w:rPr>
        <w:t xml:space="preserve">appointment </w:t>
      </w:r>
      <w:r>
        <w:rPr>
          <w:rFonts w:eastAsia="Times New Roman"/>
        </w:rPr>
        <w:t>before</w:t>
      </w:r>
      <w:r w:rsidRPr="00D511F5">
        <w:rPr>
          <w:rFonts w:eastAsia="Times New Roman"/>
        </w:rPr>
        <w:t xml:space="preserve"> commence</w:t>
      </w:r>
      <w:r>
        <w:rPr>
          <w:rFonts w:eastAsia="Times New Roman"/>
        </w:rPr>
        <w:t>ment</w:t>
      </w:r>
      <w:r w:rsidRPr="00D511F5">
        <w:rPr>
          <w:rFonts w:eastAsia="Times New Roman"/>
        </w:rPr>
        <w:t>.</w:t>
      </w:r>
      <w:r>
        <w:rPr>
          <w:rFonts w:eastAsia="Times New Roman"/>
        </w:rPr>
        <w:t xml:space="preserve"> After this, they kept in contact with their provider through group appointments, telephone, email or SMS, plus individual appointments. Individual appointments with the provider (including the outcomes of these appointments) were captured in the </w:t>
      </w:r>
      <w:r w:rsidRPr="008B4954">
        <w:rPr>
          <w:rFonts w:eastAsia="Times New Roman"/>
        </w:rPr>
        <w:t>ESS</w:t>
      </w:r>
      <w:r>
        <w:rPr>
          <w:rFonts w:eastAsia="Times New Roman"/>
        </w:rPr>
        <w:t xml:space="preserve"> administrative datasets. </w:t>
      </w:r>
    </w:p>
    <w:p w14:paraId="3B608D6B" w14:textId="77777777" w:rsidR="00CC4E3D" w:rsidRPr="003C240F" w:rsidRDefault="00CC4E3D" w:rsidP="00CC4E3D">
      <w:pPr>
        <w:rPr>
          <w:rFonts w:eastAsia="Times New Roman"/>
        </w:rPr>
      </w:pPr>
      <w:r>
        <w:rPr>
          <w:rFonts w:eastAsia="Times New Roman"/>
        </w:rPr>
        <w:t>As TtW is a more intensive and tailored service, TtW participants had more appointments and contact with their providers than participants in the jobactive comparison group</w:t>
      </w:r>
      <w:r w:rsidRPr="003C240F">
        <w:rPr>
          <w:rFonts w:eastAsia="Times New Roman"/>
        </w:rPr>
        <w:t>. TtW providers are required to maintain regular contact with each participant to monitor their progress against agreed participation requirements and activities agreed in their Job Plans. Providers will work with the participants to develop strategies to overcome issues that affect participation, such as changing the mix of activities, renegotiating activity requirements, advising the participant to contact DHS to test their eligibility for an exemption, applying a suspension period, or directing the participant to other relevant services for specialised assistance. If these attempts fail without any valid reasons from the participant, they will then be exited from TtW.</w:t>
      </w:r>
    </w:p>
    <w:p w14:paraId="021E108D" w14:textId="77777777" w:rsidR="00CC4E3D" w:rsidRPr="0047398F" w:rsidRDefault="00CC4E3D" w:rsidP="00CC4E3D">
      <w:pPr>
        <w:rPr>
          <w:rFonts w:eastAsia="Times New Roman"/>
        </w:rPr>
      </w:pPr>
      <w:r w:rsidRPr="003C240F">
        <w:rPr>
          <w:rFonts w:eastAsia="Times New Roman"/>
        </w:rPr>
        <w:t xml:space="preserve">Participants in the jobactive comparison group </w:t>
      </w:r>
      <w:r>
        <w:rPr>
          <w:rFonts w:eastAsia="Times New Roman"/>
        </w:rPr>
        <w:t>may</w:t>
      </w:r>
      <w:r w:rsidRPr="003C240F">
        <w:rPr>
          <w:rFonts w:eastAsia="Times New Roman"/>
        </w:rPr>
        <w:t xml:space="preserve"> hav</w:t>
      </w:r>
      <w:r>
        <w:rPr>
          <w:rFonts w:eastAsia="Times New Roman"/>
        </w:rPr>
        <w:t>e</w:t>
      </w:r>
      <w:r w:rsidRPr="003C240F">
        <w:rPr>
          <w:rFonts w:eastAsia="Times New Roman"/>
        </w:rPr>
        <w:t xml:space="preserve"> their income support payments suspended by DHS if they fail to meet </w:t>
      </w:r>
      <w:r>
        <w:rPr>
          <w:rFonts w:eastAsia="Times New Roman"/>
        </w:rPr>
        <w:t>their mutual obligation</w:t>
      </w:r>
      <w:r w:rsidRPr="003C240F">
        <w:rPr>
          <w:rFonts w:eastAsia="Times New Roman"/>
        </w:rPr>
        <w:t xml:space="preserve"> requirements, such as missing appointments without a valid reason, mutual obligation breaches, failure to submit job search or attend reasonable activities</w:t>
      </w:r>
      <w:r>
        <w:rPr>
          <w:rFonts w:eastAsia="Times New Roman"/>
        </w:rPr>
        <w:t xml:space="preserve"> as set out in their Job Plan</w:t>
      </w:r>
      <w:r w:rsidRPr="003C240F">
        <w:rPr>
          <w:rFonts w:eastAsia="Times New Roman"/>
        </w:rPr>
        <w:t>. Their payments will only be re-instated once they attend a re-engagement appointment with their jobactive provider.</w:t>
      </w:r>
    </w:p>
    <w:p w14:paraId="566D9A0F" w14:textId="77777777" w:rsidR="00CC4E3D" w:rsidRPr="00FD4CA8" w:rsidRDefault="00CC4E3D" w:rsidP="001C25D9">
      <w:pPr>
        <w:pStyle w:val="Heading3"/>
        <w:numPr>
          <w:ilvl w:val="2"/>
          <w:numId w:val="4"/>
        </w:numPr>
        <w:spacing w:before="200"/>
        <w:rPr>
          <w:rFonts w:eastAsia="Times New Roman"/>
          <w:szCs w:val="24"/>
        </w:rPr>
      </w:pPr>
      <w:bookmarkStart w:id="356" w:name="_Toc492976303"/>
      <w:bookmarkStart w:id="357" w:name="_Toc509402615"/>
      <w:bookmarkStart w:id="358" w:name="_Toc535498907"/>
      <w:bookmarkStart w:id="359" w:name="_Toc23841387"/>
      <w:r w:rsidRPr="00FD4CA8">
        <w:rPr>
          <w:rFonts w:eastAsia="Times New Roman"/>
          <w:szCs w:val="24"/>
        </w:rPr>
        <w:t xml:space="preserve">TtW providers engaged </w:t>
      </w:r>
      <w:r w:rsidRPr="00FD4CA8">
        <w:rPr>
          <w:szCs w:val="24"/>
        </w:rPr>
        <w:t>more</w:t>
      </w:r>
      <w:r w:rsidRPr="00FD4CA8">
        <w:rPr>
          <w:rFonts w:eastAsia="Times New Roman"/>
          <w:szCs w:val="24"/>
        </w:rPr>
        <w:t xml:space="preserve"> frequently with participants over the six months following the initial appointment</w:t>
      </w:r>
      <w:bookmarkEnd w:id="356"/>
      <w:bookmarkEnd w:id="357"/>
      <w:bookmarkEnd w:id="358"/>
      <w:bookmarkEnd w:id="359"/>
    </w:p>
    <w:p w14:paraId="45BC0B11" w14:textId="77777777" w:rsidR="00CC4E3D" w:rsidRDefault="00CC4E3D" w:rsidP="00CC4E3D">
      <w:pPr>
        <w:rPr>
          <w:b/>
        </w:rPr>
      </w:pPr>
      <w:r>
        <w:rPr>
          <w:rFonts w:eastAsia="Times New Roman"/>
          <w:b/>
        </w:rPr>
        <w:t>Table 4.2 </w:t>
      </w:r>
      <w:r>
        <w:rPr>
          <w:rFonts w:eastAsia="Times New Roman"/>
        </w:rPr>
        <w:t>shows that a higher proportion of participants in TtW than in the jobactive comparison group attended their first initial scheduled appointment after which they were commenced in services. For jobactive referrals with a mutual obligation requirement non-attendance at their initial appointment without a valid reason may result in compliance action such as suspension of their income support. This means that 17 per cent were subject to compliance action before they commenced and were required to attend a re-engagement appointment to have an income support payment suspension lifted. For this group their first appointment is recorded as a re-engagement appointment in the IT system.</w:t>
      </w:r>
    </w:p>
    <w:p w14:paraId="5A015EF2" w14:textId="68FB02BE" w:rsidR="00CC4E3D" w:rsidRPr="001033EE" w:rsidRDefault="00CC4E3D" w:rsidP="005A1B8D">
      <w:pPr>
        <w:pStyle w:val="Caption"/>
      </w:pPr>
      <w:bookmarkStart w:id="360" w:name="_Toc492976659"/>
      <w:bookmarkStart w:id="361" w:name="_Toc509402982"/>
      <w:bookmarkStart w:id="362" w:name="_Toc535511476"/>
      <w:bookmarkStart w:id="363" w:name="_Toc535511536"/>
      <w:bookmarkStart w:id="364" w:name="_Toc535512763"/>
      <w:bookmarkStart w:id="365" w:name="_Toc535513399"/>
      <w:bookmarkStart w:id="366" w:name="_Toc23841440"/>
      <w:r>
        <w:lastRenderedPageBreak/>
        <w:t xml:space="preserve">Table </w:t>
      </w:r>
      <w:r>
        <w:rPr>
          <w:noProof/>
        </w:rPr>
        <w:fldChar w:fldCharType="begin"/>
      </w:r>
      <w:r>
        <w:rPr>
          <w:noProof/>
        </w:rPr>
        <w:instrText xml:space="preserve"> STYLEREF 1 \s </w:instrText>
      </w:r>
      <w:r>
        <w:rPr>
          <w:noProof/>
        </w:rPr>
        <w:fldChar w:fldCharType="separate"/>
      </w:r>
      <w:r w:rsidR="00D84A2A">
        <w:rPr>
          <w:noProof/>
        </w:rPr>
        <w:t>4</w:t>
      </w:r>
      <w:r>
        <w:rPr>
          <w:noProof/>
        </w:rPr>
        <w:fldChar w:fldCharType="end"/>
      </w:r>
      <w:r>
        <w:t>.</w:t>
      </w:r>
      <w:r>
        <w:rPr>
          <w:noProof/>
        </w:rPr>
        <w:fldChar w:fldCharType="begin"/>
      </w:r>
      <w:r>
        <w:rPr>
          <w:noProof/>
        </w:rPr>
        <w:instrText xml:space="preserve"> SEQ Table \* ARABIC \s 1 </w:instrText>
      </w:r>
      <w:r>
        <w:rPr>
          <w:noProof/>
        </w:rPr>
        <w:fldChar w:fldCharType="separate"/>
      </w:r>
      <w:r w:rsidR="00D84A2A">
        <w:rPr>
          <w:noProof/>
        </w:rPr>
        <w:t>2</w:t>
      </w:r>
      <w:r>
        <w:rPr>
          <w:noProof/>
        </w:rPr>
        <w:fldChar w:fldCharType="end"/>
      </w:r>
      <w:r>
        <w:tab/>
      </w:r>
      <w:r w:rsidRPr="00B71A86">
        <w:t xml:space="preserve">Initial appointment attendance rates for </w:t>
      </w:r>
      <w:r>
        <w:t>participants</w:t>
      </w:r>
      <w:r w:rsidRPr="00B71A86">
        <w:t xml:space="preserve"> who commenced within 3</w:t>
      </w:r>
      <w:r>
        <w:t>0 </w:t>
      </w:r>
      <w:r w:rsidRPr="00B71A86">
        <w:t>days of referral</w:t>
      </w:r>
      <w:bookmarkEnd w:id="360"/>
      <w:bookmarkEnd w:id="361"/>
      <w:r>
        <w:t xml:space="preserve">, comparing TtW and </w:t>
      </w:r>
      <w:r w:rsidRPr="004D62EE">
        <w:t>the jobactive comparison group</w:t>
      </w:r>
      <w:bookmarkEnd w:id="362"/>
      <w:bookmarkEnd w:id="363"/>
      <w:bookmarkEnd w:id="364"/>
      <w:bookmarkEnd w:id="365"/>
      <w:bookmarkEnd w:id="366"/>
    </w:p>
    <w:tbl>
      <w:tblPr>
        <w:tblStyle w:val="JobsTable"/>
        <w:tblW w:w="8505" w:type="dxa"/>
        <w:tblBorders>
          <w:bottom w:val="none" w:sz="0" w:space="0" w:color="auto"/>
        </w:tblBorders>
        <w:tblLook w:val="06A0" w:firstRow="1" w:lastRow="0" w:firstColumn="1" w:lastColumn="0" w:noHBand="1" w:noVBand="1"/>
        <w:tblDescription w:val="76.8% of TtW participants attended their first initial appointment, compared to 69.3% of jobactive comparison participants.&#10;23.2% of TtW participants attended a rescheduled initial appointment, compared to 13.7% of jobactive comparison participants.&#10;100% of TtW participants attended at least one appointment, compared to 83% of jobactive comparison participants.&#10;15.6% of jobactive comparison participants attended their first re-engagement appointment; this metric does not apply to TtW participants.&#10;1.4% of jobactive comparison participants attended a rescheduled re-engagement appointment; this metric does not apply to TtW participants.&#10;"/>
      </w:tblPr>
      <w:tblGrid>
        <w:gridCol w:w="5629"/>
        <w:gridCol w:w="1438"/>
        <w:gridCol w:w="1438"/>
      </w:tblGrid>
      <w:tr w:rsidR="009659CB" w:rsidRPr="006C601D" w14:paraId="4A861320" w14:textId="77777777" w:rsidTr="005A1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1A4469B" w14:textId="4E1F0D77" w:rsidR="009659CB" w:rsidRPr="00F50321" w:rsidRDefault="009659CB" w:rsidP="005A1B8D">
            <w:pPr>
              <w:keepNext/>
              <w:keepLines/>
              <w:spacing w:before="60" w:after="60"/>
            </w:pPr>
            <w:r w:rsidRPr="005A1B8D">
              <w:rPr>
                <w:b/>
                <w:bCs/>
                <w:sz w:val="20"/>
                <w:szCs w:val="20"/>
              </w:rPr>
              <w:t>Appointment(s) attended before commencement</w:t>
            </w:r>
          </w:p>
        </w:tc>
        <w:tc>
          <w:tcPr>
            <w:tcW w:w="1438" w:type="dxa"/>
            <w:noWrap/>
            <w:hideMark/>
          </w:tcPr>
          <w:p w14:paraId="16354FE0" w14:textId="4C161132" w:rsidR="009659CB" w:rsidRPr="00205968" w:rsidRDefault="009659CB" w:rsidP="005A1B8D">
            <w:pPr>
              <w:keepNext/>
              <w:keepLines/>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205968">
              <w:rPr>
                <w:b/>
                <w:bCs/>
                <w:sz w:val="20"/>
                <w:szCs w:val="20"/>
              </w:rPr>
              <w:t>TtW</w:t>
            </w:r>
          </w:p>
          <w:p w14:paraId="1645F442" w14:textId="77777777" w:rsidR="009659CB" w:rsidRPr="00205968" w:rsidRDefault="009659CB" w:rsidP="005A1B8D">
            <w:pPr>
              <w:keepNext/>
              <w:keepLines/>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205968">
              <w:rPr>
                <w:b/>
                <w:bCs/>
                <w:sz w:val="20"/>
                <w:szCs w:val="20"/>
              </w:rPr>
              <w:t>(%)</w:t>
            </w:r>
          </w:p>
        </w:tc>
        <w:tc>
          <w:tcPr>
            <w:tcW w:w="1438" w:type="dxa"/>
            <w:hideMark/>
          </w:tcPr>
          <w:p w14:paraId="14B84994" w14:textId="059E7BF1" w:rsidR="009659CB" w:rsidRPr="00205968" w:rsidRDefault="009659CB" w:rsidP="005A1B8D">
            <w:pPr>
              <w:keepNext/>
              <w:keepLines/>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205968">
              <w:rPr>
                <w:b/>
                <w:bCs/>
                <w:sz w:val="20"/>
                <w:szCs w:val="20"/>
              </w:rPr>
              <w:t>jobactive</w:t>
            </w:r>
          </w:p>
          <w:p w14:paraId="7CEB7A6E" w14:textId="77777777" w:rsidR="009659CB" w:rsidRPr="00205968" w:rsidRDefault="009659CB" w:rsidP="005A1B8D">
            <w:pPr>
              <w:keepNext/>
              <w:keepLines/>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205968">
              <w:rPr>
                <w:b/>
                <w:bCs/>
                <w:sz w:val="20"/>
                <w:szCs w:val="20"/>
              </w:rPr>
              <w:t>comparison</w:t>
            </w:r>
          </w:p>
          <w:p w14:paraId="70C4D757" w14:textId="77777777" w:rsidR="009659CB" w:rsidRPr="00205968" w:rsidRDefault="009659CB" w:rsidP="005A1B8D">
            <w:pPr>
              <w:keepNext/>
              <w:keepLines/>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205968">
              <w:rPr>
                <w:b/>
                <w:bCs/>
                <w:sz w:val="20"/>
                <w:szCs w:val="20"/>
              </w:rPr>
              <w:t>(%)</w:t>
            </w:r>
          </w:p>
        </w:tc>
      </w:tr>
      <w:tr w:rsidR="009659CB" w:rsidRPr="006C601D" w14:paraId="0E85D47B" w14:textId="77777777" w:rsidTr="005A1B8D">
        <w:trPr>
          <w:trHeight w:val="4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2AAC49B" w14:textId="0B78E8F8" w:rsidR="009659CB" w:rsidRPr="005A1B8D" w:rsidRDefault="009659CB" w:rsidP="005A1B8D">
            <w:pPr>
              <w:keepNext/>
              <w:keepLines/>
              <w:rPr>
                <w:sz w:val="20"/>
                <w:szCs w:val="20"/>
              </w:rPr>
            </w:pPr>
            <w:r w:rsidRPr="005A1B8D">
              <w:rPr>
                <w:sz w:val="20"/>
                <w:szCs w:val="20"/>
              </w:rPr>
              <w:t>Initial appointments</w:t>
            </w:r>
          </w:p>
        </w:tc>
        <w:tc>
          <w:tcPr>
            <w:tcW w:w="1438" w:type="dxa"/>
            <w:noWrap/>
          </w:tcPr>
          <w:p w14:paraId="5C454C6B" w14:textId="4488DE0A" w:rsidR="009659CB" w:rsidRPr="00DF15E5" w:rsidRDefault="00AE5F3B" w:rsidP="00F50321">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color w:val="FFFFFF" w:themeColor="background1"/>
                <w:sz w:val="20"/>
                <w:szCs w:val="20"/>
              </w:rPr>
            </w:pPr>
            <w:r w:rsidRPr="00DF15E5">
              <w:rPr>
                <w:color w:val="FFFFFF" w:themeColor="background1"/>
                <w:sz w:val="20"/>
                <w:szCs w:val="20"/>
              </w:rPr>
              <w:t>—</w:t>
            </w:r>
          </w:p>
        </w:tc>
        <w:tc>
          <w:tcPr>
            <w:tcW w:w="1438" w:type="dxa"/>
          </w:tcPr>
          <w:p w14:paraId="6991841A" w14:textId="4D7F5BA9" w:rsidR="009659CB" w:rsidRPr="00DF15E5" w:rsidRDefault="00AE5F3B" w:rsidP="00C63B89">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color w:val="FFFFFF" w:themeColor="background1"/>
                <w:sz w:val="20"/>
                <w:szCs w:val="20"/>
              </w:rPr>
            </w:pPr>
            <w:r w:rsidRPr="00DF15E5">
              <w:rPr>
                <w:color w:val="FFFFFF" w:themeColor="background1"/>
                <w:sz w:val="20"/>
                <w:szCs w:val="20"/>
              </w:rPr>
              <w:t>—</w:t>
            </w:r>
          </w:p>
        </w:tc>
      </w:tr>
      <w:tr w:rsidR="009659CB" w:rsidRPr="006C601D" w14:paraId="410D69D0" w14:textId="77777777" w:rsidTr="005A1B8D">
        <w:trPr>
          <w:trHeight w:val="4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4988978" w14:textId="674CDB0C" w:rsidR="009659CB" w:rsidRPr="005A1B8D" w:rsidRDefault="009659CB" w:rsidP="005A1B8D">
            <w:pPr>
              <w:pStyle w:val="ListParagraph"/>
              <w:keepNext/>
              <w:keepLines/>
              <w:spacing w:before="60" w:after="60"/>
              <w:ind w:left="360"/>
              <w:rPr>
                <w:sz w:val="20"/>
                <w:szCs w:val="20"/>
              </w:rPr>
            </w:pPr>
            <w:r w:rsidRPr="005A1B8D">
              <w:rPr>
                <w:sz w:val="20"/>
                <w:szCs w:val="20"/>
              </w:rPr>
              <w:t>First initial appointment attended</w:t>
            </w:r>
          </w:p>
        </w:tc>
        <w:tc>
          <w:tcPr>
            <w:tcW w:w="1438" w:type="dxa"/>
            <w:noWrap/>
            <w:hideMark/>
          </w:tcPr>
          <w:p w14:paraId="3ADE8813" w14:textId="5D6D3087" w:rsidR="009659CB" w:rsidRPr="00205968" w:rsidRDefault="009659CB"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76.8</w:t>
            </w:r>
          </w:p>
        </w:tc>
        <w:tc>
          <w:tcPr>
            <w:tcW w:w="1438" w:type="dxa"/>
            <w:hideMark/>
          </w:tcPr>
          <w:p w14:paraId="061725AF" w14:textId="2B54CA3A" w:rsidR="009659CB" w:rsidRPr="00205968" w:rsidRDefault="009659CB"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69.3</w:t>
            </w:r>
          </w:p>
        </w:tc>
      </w:tr>
      <w:tr w:rsidR="009659CB" w:rsidRPr="006C601D" w14:paraId="2DD9673F" w14:textId="77777777" w:rsidTr="005A1B8D">
        <w:trPr>
          <w:trHeight w:val="4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AA13617" w14:textId="7484CE3E" w:rsidR="009659CB" w:rsidRPr="005A1B8D" w:rsidRDefault="009659CB" w:rsidP="005A1B8D">
            <w:pPr>
              <w:pStyle w:val="ListParagraph"/>
              <w:keepNext/>
              <w:keepLines/>
              <w:spacing w:before="60" w:after="60"/>
              <w:ind w:left="360"/>
              <w:rPr>
                <w:sz w:val="20"/>
                <w:szCs w:val="20"/>
              </w:rPr>
            </w:pPr>
            <w:r w:rsidRPr="005A1B8D">
              <w:rPr>
                <w:sz w:val="20"/>
                <w:szCs w:val="20"/>
              </w:rPr>
              <w:t>Rescheduled initial appointments attended</w:t>
            </w:r>
          </w:p>
        </w:tc>
        <w:tc>
          <w:tcPr>
            <w:tcW w:w="1438" w:type="dxa"/>
            <w:noWrap/>
            <w:hideMark/>
          </w:tcPr>
          <w:p w14:paraId="55A4EEEA" w14:textId="7A5D1F8A" w:rsidR="009659CB" w:rsidRPr="00205968" w:rsidRDefault="009659CB"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23.2</w:t>
            </w:r>
          </w:p>
        </w:tc>
        <w:tc>
          <w:tcPr>
            <w:tcW w:w="1438" w:type="dxa"/>
            <w:hideMark/>
          </w:tcPr>
          <w:p w14:paraId="336E69B1" w14:textId="6A1622D1" w:rsidR="009659CB" w:rsidRPr="00205968" w:rsidRDefault="009659CB"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13.7</w:t>
            </w:r>
          </w:p>
        </w:tc>
      </w:tr>
      <w:tr w:rsidR="009659CB" w:rsidRPr="006C601D" w14:paraId="554BD0DC" w14:textId="77777777" w:rsidTr="005A1B8D">
        <w:trPr>
          <w:trHeight w:val="4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85A9B5B" w14:textId="0D53F0DD" w:rsidR="009659CB" w:rsidRPr="005A1B8D" w:rsidRDefault="009659CB" w:rsidP="005A1B8D">
            <w:pPr>
              <w:pStyle w:val="ListParagraph"/>
              <w:keepNext/>
              <w:keepLines/>
              <w:spacing w:before="60" w:after="60"/>
              <w:ind w:left="360"/>
              <w:rPr>
                <w:sz w:val="20"/>
                <w:szCs w:val="20"/>
              </w:rPr>
            </w:pPr>
            <w:r w:rsidRPr="005A1B8D">
              <w:rPr>
                <w:sz w:val="20"/>
                <w:szCs w:val="20"/>
              </w:rPr>
              <w:t xml:space="preserve">Proportion of participants who attended at least one </w:t>
            </w:r>
          </w:p>
        </w:tc>
        <w:tc>
          <w:tcPr>
            <w:tcW w:w="1438" w:type="dxa"/>
            <w:noWrap/>
            <w:hideMark/>
          </w:tcPr>
          <w:p w14:paraId="17069FC5" w14:textId="48849526" w:rsidR="009659CB" w:rsidRPr="00205968" w:rsidRDefault="009659CB"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100.0</w:t>
            </w:r>
          </w:p>
        </w:tc>
        <w:tc>
          <w:tcPr>
            <w:tcW w:w="1438" w:type="dxa"/>
            <w:hideMark/>
          </w:tcPr>
          <w:p w14:paraId="742BF466" w14:textId="2D171934" w:rsidR="009659CB" w:rsidRPr="00205968" w:rsidRDefault="009659CB"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83.0</w:t>
            </w:r>
          </w:p>
        </w:tc>
      </w:tr>
      <w:tr w:rsidR="009659CB" w:rsidRPr="006C601D" w14:paraId="14ABC8C4" w14:textId="77777777" w:rsidTr="005A1B8D">
        <w:trPr>
          <w:trHeight w:val="4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BC71D25" w14:textId="2EFB15F1" w:rsidR="009659CB" w:rsidRPr="00205968" w:rsidRDefault="009659CB" w:rsidP="00F50321">
            <w:pPr>
              <w:keepNext/>
              <w:keepLines/>
              <w:spacing w:before="60" w:after="60"/>
              <w:rPr>
                <w:sz w:val="20"/>
                <w:szCs w:val="20"/>
              </w:rPr>
            </w:pPr>
            <w:r w:rsidRPr="00205968">
              <w:rPr>
                <w:sz w:val="20"/>
                <w:szCs w:val="20"/>
              </w:rPr>
              <w:t>Re-engagement appointments (jobactive comparison group only)</w:t>
            </w:r>
          </w:p>
        </w:tc>
        <w:tc>
          <w:tcPr>
            <w:tcW w:w="1438" w:type="dxa"/>
            <w:noWrap/>
          </w:tcPr>
          <w:p w14:paraId="20B5FEFE" w14:textId="6EE786E0" w:rsidR="009659CB" w:rsidRPr="00DF15E5" w:rsidRDefault="00AE5F3B" w:rsidP="00C63B89">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color w:val="FFFFFF" w:themeColor="background1"/>
                <w:sz w:val="20"/>
                <w:szCs w:val="20"/>
              </w:rPr>
            </w:pPr>
            <w:r w:rsidRPr="00DF15E5">
              <w:rPr>
                <w:color w:val="FFFFFF" w:themeColor="background1"/>
                <w:sz w:val="20"/>
                <w:szCs w:val="20"/>
              </w:rPr>
              <w:t>—</w:t>
            </w:r>
          </w:p>
        </w:tc>
        <w:tc>
          <w:tcPr>
            <w:tcW w:w="1438" w:type="dxa"/>
          </w:tcPr>
          <w:p w14:paraId="01041524" w14:textId="6F1A0CB4" w:rsidR="009659CB" w:rsidRPr="00DF15E5" w:rsidRDefault="00AE5F3B" w:rsidP="009C0E68">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color w:val="FFFFFF" w:themeColor="background1"/>
                <w:sz w:val="20"/>
                <w:szCs w:val="20"/>
              </w:rPr>
            </w:pPr>
            <w:r w:rsidRPr="00DF15E5">
              <w:rPr>
                <w:color w:val="FFFFFF" w:themeColor="background1"/>
                <w:sz w:val="20"/>
                <w:szCs w:val="20"/>
              </w:rPr>
              <w:t>—</w:t>
            </w:r>
          </w:p>
        </w:tc>
      </w:tr>
      <w:tr w:rsidR="009659CB" w:rsidRPr="006C601D" w14:paraId="78E7B6BA" w14:textId="77777777" w:rsidTr="005A1B8D">
        <w:trPr>
          <w:trHeight w:val="4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8985FA9" w14:textId="5C29A647" w:rsidR="009659CB" w:rsidRPr="005A1B8D" w:rsidRDefault="009659CB" w:rsidP="005A1B8D">
            <w:pPr>
              <w:pStyle w:val="ListParagraph"/>
              <w:keepNext/>
              <w:keepLines/>
              <w:spacing w:before="60" w:after="60"/>
              <w:ind w:left="360"/>
              <w:rPr>
                <w:sz w:val="20"/>
                <w:szCs w:val="20"/>
              </w:rPr>
            </w:pPr>
            <w:r w:rsidRPr="005A1B8D">
              <w:rPr>
                <w:sz w:val="20"/>
                <w:szCs w:val="20"/>
              </w:rPr>
              <w:t>First re-engagement appointment attended</w:t>
            </w:r>
          </w:p>
        </w:tc>
        <w:tc>
          <w:tcPr>
            <w:tcW w:w="1438" w:type="dxa"/>
            <w:noWrap/>
            <w:vAlign w:val="center"/>
            <w:hideMark/>
          </w:tcPr>
          <w:p w14:paraId="689ACB21" w14:textId="661DD047" w:rsidR="009659CB" w:rsidRPr="00205968" w:rsidRDefault="009659CB"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n.a.</w:t>
            </w:r>
          </w:p>
        </w:tc>
        <w:tc>
          <w:tcPr>
            <w:tcW w:w="1438" w:type="dxa"/>
            <w:vAlign w:val="center"/>
            <w:hideMark/>
          </w:tcPr>
          <w:p w14:paraId="156FB10B" w14:textId="1A2E2856" w:rsidR="009659CB" w:rsidRPr="00205968" w:rsidRDefault="009659CB"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15.6</w:t>
            </w:r>
          </w:p>
        </w:tc>
      </w:tr>
      <w:tr w:rsidR="009659CB" w:rsidRPr="006C601D" w14:paraId="79ADBF50" w14:textId="77777777" w:rsidTr="005A1B8D">
        <w:trPr>
          <w:trHeight w:val="4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6C5A0590" w14:textId="5151B363" w:rsidR="009659CB" w:rsidRPr="005A1B8D" w:rsidRDefault="009659CB" w:rsidP="005A1B8D">
            <w:pPr>
              <w:pStyle w:val="ListParagraph"/>
              <w:keepNext/>
              <w:keepLines/>
              <w:spacing w:before="60" w:after="60"/>
              <w:ind w:left="360"/>
              <w:rPr>
                <w:sz w:val="20"/>
                <w:szCs w:val="20"/>
              </w:rPr>
            </w:pPr>
            <w:r w:rsidRPr="005A1B8D">
              <w:rPr>
                <w:sz w:val="20"/>
                <w:szCs w:val="20"/>
              </w:rPr>
              <w:t>Rescheduled re-engagement appointments attended</w:t>
            </w:r>
          </w:p>
        </w:tc>
        <w:tc>
          <w:tcPr>
            <w:tcW w:w="1438" w:type="dxa"/>
            <w:noWrap/>
            <w:vAlign w:val="center"/>
            <w:hideMark/>
          </w:tcPr>
          <w:p w14:paraId="5494593A" w14:textId="4A60AD66" w:rsidR="009659CB" w:rsidRPr="00205968" w:rsidRDefault="009659CB"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n.a.</w:t>
            </w:r>
          </w:p>
        </w:tc>
        <w:tc>
          <w:tcPr>
            <w:tcW w:w="1438" w:type="dxa"/>
            <w:vAlign w:val="center"/>
            <w:hideMark/>
          </w:tcPr>
          <w:p w14:paraId="5A2FDFE8" w14:textId="7CE2F187" w:rsidR="009659CB" w:rsidRPr="00205968" w:rsidRDefault="009659CB"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1.4</w:t>
            </w:r>
          </w:p>
        </w:tc>
      </w:tr>
      <w:tr w:rsidR="002256E4" w:rsidRPr="006C601D" w14:paraId="4BC1C59A" w14:textId="77777777" w:rsidTr="005A1B8D">
        <w:trPr>
          <w:trHeight w:val="40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19915FD1" w14:textId="2A59C8F3" w:rsidR="002256E4" w:rsidRPr="00205968" w:rsidRDefault="002256E4" w:rsidP="005A1B8D">
            <w:pPr>
              <w:keepNext/>
              <w:keepLines/>
              <w:spacing w:before="60" w:after="60"/>
              <w:rPr>
                <w:color w:val="FFFFFF" w:themeColor="background1"/>
                <w:sz w:val="20"/>
                <w:szCs w:val="20"/>
              </w:rPr>
            </w:pPr>
            <w:r w:rsidRPr="00205968">
              <w:rPr>
                <w:sz w:val="20"/>
                <w:szCs w:val="20"/>
              </w:rPr>
              <w:t>Proportion of participants</w:t>
            </w:r>
          </w:p>
        </w:tc>
        <w:tc>
          <w:tcPr>
            <w:tcW w:w="1438" w:type="dxa"/>
            <w:tcBorders>
              <w:bottom w:val="single" w:sz="4" w:space="0" w:color="auto"/>
            </w:tcBorders>
            <w:noWrap/>
            <w:hideMark/>
          </w:tcPr>
          <w:p w14:paraId="7915A339" w14:textId="517EED64" w:rsidR="002256E4" w:rsidRPr="005A1B8D" w:rsidRDefault="002256E4"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5A1B8D">
              <w:rPr>
                <w:sz w:val="20"/>
                <w:szCs w:val="20"/>
              </w:rPr>
              <w:t>100.0</w:t>
            </w:r>
          </w:p>
        </w:tc>
        <w:tc>
          <w:tcPr>
            <w:tcW w:w="1438" w:type="dxa"/>
            <w:tcBorders>
              <w:bottom w:val="single" w:sz="4" w:space="0" w:color="auto"/>
            </w:tcBorders>
            <w:hideMark/>
          </w:tcPr>
          <w:p w14:paraId="4E23BACA" w14:textId="45C59A5F" w:rsidR="002256E4" w:rsidRPr="00205968" w:rsidRDefault="002256E4"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100.0</w:t>
            </w:r>
          </w:p>
        </w:tc>
      </w:tr>
    </w:tbl>
    <w:p w14:paraId="69B4A7E2" w14:textId="77777777" w:rsidR="00CC4E3D" w:rsidRPr="00700376" w:rsidRDefault="00CC4E3D" w:rsidP="005A1B8D">
      <w:pPr>
        <w:pStyle w:val="Note"/>
        <w:keepNext/>
        <w:keepLines/>
        <w:ind w:left="0" w:firstLine="0"/>
      </w:pPr>
      <w:r w:rsidRPr="00700376">
        <w:t>n.a.</w:t>
      </w:r>
      <w:r>
        <w:t xml:space="preserve"> = n</w:t>
      </w:r>
      <w:r w:rsidRPr="00700376">
        <w:t xml:space="preserve">ot applicable, </w:t>
      </w:r>
      <w:r>
        <w:t xml:space="preserve">as </w:t>
      </w:r>
      <w:r w:rsidRPr="00700376">
        <w:t>participation in TtW is not subject to compliance mechanisms to suspend, cancel or apply a penalty to income support payments.</w:t>
      </w:r>
      <w:r>
        <w:t xml:space="preserve"> Seventeen per cent of jobactive first attended appointments were re-engagement appointments.</w:t>
      </w:r>
    </w:p>
    <w:p w14:paraId="529981F6" w14:textId="32C65C33" w:rsidR="00CC4E3D" w:rsidRPr="005A1B8D" w:rsidRDefault="00CC4E3D" w:rsidP="009B324F">
      <w:pPr>
        <w:pStyle w:val="Source"/>
        <w:keepNext/>
        <w:keepLines/>
        <w:rPr>
          <w:rFonts w:eastAsia="Times New Roman"/>
          <w:b/>
        </w:rPr>
      </w:pPr>
      <w:r w:rsidRPr="005A1B8D">
        <w:rPr>
          <w:rFonts w:eastAsia="Times New Roman"/>
          <w:b/>
        </w:rPr>
        <w:t xml:space="preserve">Source: Department of </w:t>
      </w:r>
      <w:r w:rsidR="002256E4" w:rsidRPr="005A1B8D">
        <w:rPr>
          <w:rFonts w:eastAsia="Times New Roman"/>
          <w:b/>
        </w:rPr>
        <w:t>Employment, Skills, Small and Family</w:t>
      </w:r>
      <w:r w:rsidRPr="005A1B8D">
        <w:rPr>
          <w:rFonts w:eastAsia="Times New Roman"/>
          <w:b/>
        </w:rPr>
        <w:t xml:space="preserve"> Business administrative data — matched inflow populations.</w:t>
      </w:r>
    </w:p>
    <w:p w14:paraId="661B93AE" w14:textId="77777777" w:rsidR="00CC4E3D" w:rsidRDefault="00CC4E3D" w:rsidP="00CC4E3D">
      <w:pPr>
        <w:rPr>
          <w:rFonts w:eastAsia="Times New Roman"/>
        </w:rPr>
      </w:pPr>
      <w:r>
        <w:rPr>
          <w:rFonts w:eastAsia="Times New Roman"/>
        </w:rPr>
        <w:t xml:space="preserve">The following analysis focuses on the number </w:t>
      </w:r>
      <w:r w:rsidRPr="00DB2014">
        <w:rPr>
          <w:rFonts w:eastAsia="Times New Roman"/>
        </w:rPr>
        <w:t xml:space="preserve">of </w:t>
      </w:r>
      <w:r w:rsidRPr="00610D95">
        <w:rPr>
          <w:rFonts w:eastAsia="Times New Roman"/>
        </w:rPr>
        <w:t>subsequently</w:t>
      </w:r>
      <w:r>
        <w:rPr>
          <w:rFonts w:eastAsia="Times New Roman"/>
        </w:rPr>
        <w:t xml:space="preserve"> booked and attended contact appointments for TtW and jobactive referrals over the 180-day period following participants’ commencement (or a shorter period if the participant exited services during the tracking period). </w:t>
      </w:r>
    </w:p>
    <w:p w14:paraId="4AFD67D5" w14:textId="77777777" w:rsidR="00CC4E3D" w:rsidRDefault="00CC4E3D" w:rsidP="00CC4E3D">
      <w:pPr>
        <w:rPr>
          <w:rFonts w:eastAsia="Times New Roman"/>
        </w:rPr>
      </w:pPr>
      <w:r>
        <w:rPr>
          <w:rFonts w:eastAsia="Times New Roman"/>
        </w:rPr>
        <w:t xml:space="preserve">Despite </w:t>
      </w:r>
      <w:r>
        <w:t>different compliance arrangements in relation to individual appointments or activities</w:t>
      </w:r>
      <w:r>
        <w:rPr>
          <w:rStyle w:val="FootnoteReference"/>
        </w:rPr>
        <w:footnoteReference w:id="21"/>
      </w:r>
      <w:r>
        <w:t xml:space="preserve"> </w:t>
      </w:r>
      <w:r>
        <w:rPr>
          <w:rFonts w:eastAsia="Times New Roman"/>
        </w:rPr>
        <w:t>in TtW, the median attendance rate for ongoing contact appointments for both services was over 60 per cent (</w:t>
      </w:r>
      <w:r>
        <w:rPr>
          <w:rFonts w:eastAsia="Times New Roman"/>
          <w:b/>
        </w:rPr>
        <w:t>Table 4.3</w:t>
      </w:r>
      <w:r>
        <w:rPr>
          <w:rFonts w:eastAsia="Times New Roman"/>
        </w:rPr>
        <w:t>). The median number of attended contact appointments for TtW was more than twice that for jobactive.</w:t>
      </w:r>
      <w:r>
        <w:rPr>
          <w:rStyle w:val="FootnoteReference"/>
          <w:rFonts w:eastAsia="Times New Roman"/>
        </w:rPr>
        <w:footnoteReference w:id="22"/>
      </w:r>
    </w:p>
    <w:p w14:paraId="76852640" w14:textId="44D0F55F" w:rsidR="00CC4E3D" w:rsidRDefault="00CC4E3D" w:rsidP="00FD4CA8">
      <w:pPr>
        <w:pStyle w:val="Caption"/>
        <w:rPr>
          <w:szCs w:val="20"/>
        </w:rPr>
      </w:pPr>
      <w:bookmarkStart w:id="367" w:name="_Toc492976660"/>
      <w:bookmarkStart w:id="368" w:name="_Toc509402983"/>
      <w:bookmarkStart w:id="369" w:name="_Toc535511477"/>
      <w:bookmarkStart w:id="370" w:name="_Toc535511537"/>
      <w:bookmarkStart w:id="371" w:name="_Toc535512764"/>
      <w:bookmarkStart w:id="372" w:name="_Toc535513400"/>
      <w:bookmarkStart w:id="373" w:name="_Toc23841441"/>
      <w:r>
        <w:lastRenderedPageBreak/>
        <w:t xml:space="preserve">Table </w:t>
      </w:r>
      <w:r>
        <w:rPr>
          <w:noProof/>
        </w:rPr>
        <w:fldChar w:fldCharType="begin"/>
      </w:r>
      <w:r>
        <w:rPr>
          <w:noProof/>
        </w:rPr>
        <w:instrText xml:space="preserve"> STYLEREF 1 \s </w:instrText>
      </w:r>
      <w:r>
        <w:rPr>
          <w:noProof/>
        </w:rPr>
        <w:fldChar w:fldCharType="separate"/>
      </w:r>
      <w:r w:rsidR="00D84A2A">
        <w:rPr>
          <w:noProof/>
        </w:rPr>
        <w:t>4</w:t>
      </w:r>
      <w:r>
        <w:rPr>
          <w:noProof/>
        </w:rPr>
        <w:fldChar w:fldCharType="end"/>
      </w:r>
      <w:r>
        <w:t>.</w:t>
      </w:r>
      <w:r>
        <w:rPr>
          <w:noProof/>
        </w:rPr>
        <w:fldChar w:fldCharType="begin"/>
      </w:r>
      <w:r>
        <w:rPr>
          <w:noProof/>
        </w:rPr>
        <w:instrText xml:space="preserve"> SEQ Table \* ARABIC \s 1 </w:instrText>
      </w:r>
      <w:r>
        <w:rPr>
          <w:noProof/>
        </w:rPr>
        <w:fldChar w:fldCharType="separate"/>
      </w:r>
      <w:r w:rsidR="00D84A2A">
        <w:rPr>
          <w:noProof/>
        </w:rPr>
        <w:t>3</w:t>
      </w:r>
      <w:r>
        <w:rPr>
          <w:noProof/>
        </w:rPr>
        <w:fldChar w:fldCharType="end"/>
      </w:r>
      <w:r>
        <w:rPr>
          <w:rFonts w:cs="Times New Roman"/>
        </w:rPr>
        <w:tab/>
      </w:r>
      <w:r>
        <w:rPr>
          <w:lang w:eastAsia="en-AU"/>
        </w:rPr>
        <w:t>A</w:t>
      </w:r>
      <w:r w:rsidRPr="00B71A86">
        <w:rPr>
          <w:lang w:eastAsia="en-AU"/>
        </w:rPr>
        <w:t xml:space="preserve">ppointments attended </w:t>
      </w:r>
      <w:r>
        <w:rPr>
          <w:lang w:eastAsia="en-AU"/>
        </w:rPr>
        <w:t>in the first</w:t>
      </w:r>
      <w:r w:rsidRPr="00B71A86">
        <w:rPr>
          <w:lang w:eastAsia="en-AU"/>
        </w:rPr>
        <w:t xml:space="preserve"> 18</w:t>
      </w:r>
      <w:r>
        <w:rPr>
          <w:lang w:eastAsia="en-AU"/>
        </w:rPr>
        <w:t>0 </w:t>
      </w:r>
      <w:r w:rsidRPr="00B71A86">
        <w:rPr>
          <w:lang w:eastAsia="en-AU"/>
        </w:rPr>
        <w:t>day</w:t>
      </w:r>
      <w:r>
        <w:rPr>
          <w:lang w:eastAsia="en-AU"/>
        </w:rPr>
        <w:t>s</w:t>
      </w:r>
      <w:r w:rsidRPr="00B71A86">
        <w:rPr>
          <w:lang w:eastAsia="en-AU"/>
        </w:rPr>
        <w:t xml:space="preserve"> from commencement</w:t>
      </w:r>
      <w:r>
        <w:rPr>
          <w:lang w:eastAsia="en-AU"/>
        </w:rPr>
        <w:t>, comparing TtW and jobactive</w:t>
      </w:r>
      <w:bookmarkEnd w:id="367"/>
      <w:bookmarkEnd w:id="368"/>
      <w:bookmarkEnd w:id="369"/>
      <w:bookmarkEnd w:id="370"/>
      <w:bookmarkEnd w:id="371"/>
      <w:bookmarkEnd w:id="372"/>
      <w:bookmarkEnd w:id="373"/>
    </w:p>
    <w:tbl>
      <w:tblPr>
        <w:tblStyle w:val="JobsTable"/>
        <w:tblW w:w="8789" w:type="dxa"/>
        <w:tblBorders>
          <w:bottom w:val="none" w:sz="0" w:space="0" w:color="auto"/>
        </w:tblBorders>
        <w:tblLook w:val="04A0" w:firstRow="1" w:lastRow="0" w:firstColumn="1" w:lastColumn="0" w:noHBand="0" w:noVBand="1"/>
        <w:tblDescription w:val="The median TtW participant attended 7 contact appointments, compared to 3 contact appointments for the median jobactive participant.&#10;The median attendance rate for TtW participants was 60%, compared to 63% for jobactive participants.&#10;"/>
      </w:tblPr>
      <w:tblGrid>
        <w:gridCol w:w="3900"/>
        <w:gridCol w:w="2516"/>
        <w:gridCol w:w="2373"/>
      </w:tblGrid>
      <w:tr w:rsidR="00CC4E3D" w:rsidRPr="00360C23" w14:paraId="59309A1A" w14:textId="77777777" w:rsidTr="005A1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6D195737" w14:textId="77777777" w:rsidR="00CC4E3D" w:rsidRPr="00205968" w:rsidRDefault="00CC4E3D" w:rsidP="005A1B8D">
            <w:pPr>
              <w:keepNext/>
              <w:spacing w:before="60" w:after="60"/>
              <w:rPr>
                <w:b/>
                <w:bCs/>
                <w:sz w:val="20"/>
                <w:szCs w:val="20"/>
              </w:rPr>
            </w:pPr>
            <w:r w:rsidRPr="00205968">
              <w:rPr>
                <w:b/>
                <w:bCs/>
                <w:sz w:val="20"/>
                <w:szCs w:val="20"/>
              </w:rPr>
              <w:t>Appointment type</w:t>
            </w:r>
          </w:p>
        </w:tc>
        <w:tc>
          <w:tcPr>
            <w:tcW w:w="0" w:type="auto"/>
            <w:noWrap/>
            <w:hideMark/>
          </w:tcPr>
          <w:p w14:paraId="0033BD77" w14:textId="77777777" w:rsidR="00CC4E3D" w:rsidRPr="00205968" w:rsidRDefault="00CC4E3D" w:rsidP="005A1B8D">
            <w:pPr>
              <w:keepNext/>
              <w:spacing w:before="60" w:after="60"/>
              <w:cnfStyle w:val="100000000000" w:firstRow="1" w:lastRow="0" w:firstColumn="0" w:lastColumn="0" w:oddVBand="0" w:evenVBand="0" w:oddHBand="0" w:evenHBand="0" w:firstRowFirstColumn="0" w:firstRowLastColumn="0" w:lastRowFirstColumn="0" w:lastRowLastColumn="0"/>
              <w:rPr>
                <w:b/>
                <w:bCs/>
                <w:sz w:val="20"/>
                <w:szCs w:val="20"/>
              </w:rPr>
            </w:pPr>
            <w:r w:rsidRPr="00205968">
              <w:rPr>
                <w:b/>
                <w:bCs/>
                <w:sz w:val="20"/>
                <w:szCs w:val="20"/>
              </w:rPr>
              <w:t>Median number attended</w:t>
            </w:r>
          </w:p>
        </w:tc>
        <w:tc>
          <w:tcPr>
            <w:tcW w:w="0" w:type="auto"/>
            <w:noWrap/>
            <w:hideMark/>
          </w:tcPr>
          <w:p w14:paraId="5BF821AC" w14:textId="77777777" w:rsidR="00CC4E3D" w:rsidRPr="00205968" w:rsidRDefault="00CC4E3D" w:rsidP="005A1B8D">
            <w:pPr>
              <w:keepNext/>
              <w:spacing w:before="60" w:after="60"/>
              <w:cnfStyle w:val="100000000000" w:firstRow="1" w:lastRow="0" w:firstColumn="0" w:lastColumn="0" w:oddVBand="0" w:evenVBand="0" w:oddHBand="0" w:evenHBand="0" w:firstRowFirstColumn="0" w:firstRowLastColumn="0" w:lastRowFirstColumn="0" w:lastRowLastColumn="0"/>
              <w:rPr>
                <w:b/>
                <w:bCs/>
                <w:sz w:val="20"/>
                <w:szCs w:val="20"/>
              </w:rPr>
            </w:pPr>
            <w:r w:rsidRPr="00205968">
              <w:rPr>
                <w:b/>
                <w:bCs/>
                <w:sz w:val="20"/>
                <w:szCs w:val="20"/>
              </w:rPr>
              <w:t>Median attendance rate</w:t>
            </w:r>
          </w:p>
        </w:tc>
      </w:tr>
      <w:tr w:rsidR="00CC4E3D" w:rsidRPr="00360C23" w14:paraId="78691E85" w14:textId="77777777" w:rsidTr="005A1B8D">
        <w:tc>
          <w:tcPr>
            <w:cnfStyle w:val="001000000000" w:firstRow="0" w:lastRow="0" w:firstColumn="1" w:lastColumn="0" w:oddVBand="0" w:evenVBand="0" w:oddHBand="0" w:evenHBand="0" w:firstRowFirstColumn="0" w:firstRowLastColumn="0" w:lastRowFirstColumn="0" w:lastRowLastColumn="0"/>
            <w:tcW w:w="0" w:type="auto"/>
            <w:hideMark/>
          </w:tcPr>
          <w:p w14:paraId="3894BEC6" w14:textId="77777777" w:rsidR="00CC4E3D" w:rsidRPr="00205968" w:rsidRDefault="00CC4E3D" w:rsidP="005A1B8D">
            <w:pPr>
              <w:keepNext/>
              <w:spacing w:before="60" w:after="60"/>
              <w:rPr>
                <w:sz w:val="20"/>
                <w:szCs w:val="20"/>
              </w:rPr>
            </w:pPr>
            <w:r w:rsidRPr="00205968">
              <w:rPr>
                <w:sz w:val="20"/>
                <w:szCs w:val="20"/>
              </w:rPr>
              <w:t>TtW contact appointments attended</w:t>
            </w:r>
          </w:p>
        </w:tc>
        <w:tc>
          <w:tcPr>
            <w:tcW w:w="0" w:type="auto"/>
            <w:noWrap/>
            <w:vAlign w:val="center"/>
            <w:hideMark/>
          </w:tcPr>
          <w:p w14:paraId="3D6777EA" w14:textId="77777777" w:rsidR="00CC4E3D" w:rsidRPr="00205968" w:rsidRDefault="00CC4E3D" w:rsidP="005A1B8D">
            <w:pPr>
              <w:keepNext/>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7</w:t>
            </w:r>
          </w:p>
        </w:tc>
        <w:tc>
          <w:tcPr>
            <w:tcW w:w="0" w:type="auto"/>
            <w:noWrap/>
            <w:vAlign w:val="center"/>
            <w:hideMark/>
          </w:tcPr>
          <w:p w14:paraId="45701882" w14:textId="77777777" w:rsidR="00CC4E3D" w:rsidRPr="00205968" w:rsidRDefault="00CC4E3D" w:rsidP="005A1B8D">
            <w:pPr>
              <w:keepNext/>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60%</w:t>
            </w:r>
          </w:p>
        </w:tc>
      </w:tr>
      <w:tr w:rsidR="00CC4E3D" w:rsidRPr="00360C23" w14:paraId="6BA71F50" w14:textId="77777777" w:rsidTr="005A1B8D">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F2F2F2" w:themeFill="background2"/>
            <w:hideMark/>
          </w:tcPr>
          <w:p w14:paraId="73C4D8B6" w14:textId="77777777" w:rsidR="00CC4E3D" w:rsidRPr="00205968" w:rsidRDefault="00CC4E3D" w:rsidP="005A1B8D">
            <w:pPr>
              <w:keepNext/>
              <w:spacing w:before="60" w:after="60"/>
              <w:rPr>
                <w:sz w:val="20"/>
                <w:szCs w:val="20"/>
              </w:rPr>
            </w:pPr>
            <w:r w:rsidRPr="00205968">
              <w:rPr>
                <w:sz w:val="20"/>
                <w:szCs w:val="20"/>
              </w:rPr>
              <w:t>jobactive contact appointments attended</w:t>
            </w:r>
          </w:p>
        </w:tc>
        <w:tc>
          <w:tcPr>
            <w:tcW w:w="0" w:type="auto"/>
            <w:tcBorders>
              <w:bottom w:val="single" w:sz="4" w:space="0" w:color="auto"/>
            </w:tcBorders>
            <w:shd w:val="clear" w:color="auto" w:fill="F2F2F2" w:themeFill="background2"/>
            <w:noWrap/>
            <w:vAlign w:val="center"/>
            <w:hideMark/>
          </w:tcPr>
          <w:p w14:paraId="61BABCD2" w14:textId="77777777" w:rsidR="00CC4E3D" w:rsidRPr="00205968" w:rsidRDefault="00CC4E3D" w:rsidP="005A1B8D">
            <w:pPr>
              <w:keepNext/>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3</w:t>
            </w:r>
          </w:p>
        </w:tc>
        <w:tc>
          <w:tcPr>
            <w:tcW w:w="0" w:type="auto"/>
            <w:tcBorders>
              <w:bottom w:val="single" w:sz="4" w:space="0" w:color="auto"/>
            </w:tcBorders>
            <w:shd w:val="clear" w:color="auto" w:fill="F2F2F2" w:themeFill="background2"/>
            <w:noWrap/>
            <w:vAlign w:val="center"/>
            <w:hideMark/>
          </w:tcPr>
          <w:p w14:paraId="53EAA41F" w14:textId="77777777" w:rsidR="00CC4E3D" w:rsidRPr="00205968" w:rsidRDefault="00CC4E3D" w:rsidP="005A1B8D">
            <w:pPr>
              <w:keepNext/>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63%</w:t>
            </w:r>
          </w:p>
        </w:tc>
      </w:tr>
    </w:tbl>
    <w:p w14:paraId="0569290A" w14:textId="77777777" w:rsidR="00CC4E3D" w:rsidRPr="00157371" w:rsidRDefault="00CC4E3D" w:rsidP="005A1B8D">
      <w:pPr>
        <w:pStyle w:val="Note"/>
        <w:keepNext/>
        <w:spacing w:before="60" w:after="60"/>
        <w:ind w:left="0" w:firstLine="0"/>
      </w:pPr>
      <w:r w:rsidRPr="00157371">
        <w:t xml:space="preserve">Note: </w:t>
      </w:r>
      <w:r>
        <w:t>jobactive re-engagement appointments are not included (see footnote below).</w:t>
      </w:r>
    </w:p>
    <w:p w14:paraId="2E582A8B" w14:textId="535EF135" w:rsidR="00CC4E3D" w:rsidRPr="005A1B8D" w:rsidRDefault="00CC4E3D" w:rsidP="00CC4E3D">
      <w:pPr>
        <w:pStyle w:val="Source"/>
        <w:rPr>
          <w:b/>
        </w:rPr>
      </w:pPr>
      <w:r w:rsidRPr="005A1B8D">
        <w:rPr>
          <w:rFonts w:eastAsia="Times New Roman"/>
          <w:b/>
        </w:rPr>
        <w:t xml:space="preserve">Source: Department of </w:t>
      </w:r>
      <w:r w:rsidR="00F50321" w:rsidRPr="005A1B8D">
        <w:rPr>
          <w:rFonts w:eastAsia="Times New Roman"/>
          <w:b/>
        </w:rPr>
        <w:t>Employment, Skills, Small and Family</w:t>
      </w:r>
      <w:r w:rsidRPr="005A1B8D">
        <w:rPr>
          <w:rFonts w:eastAsia="Times New Roman"/>
          <w:b/>
        </w:rPr>
        <w:t xml:space="preserve"> Business administrative data — matched inflow populations.</w:t>
      </w:r>
    </w:p>
    <w:p w14:paraId="0764DC09" w14:textId="77777777" w:rsidR="00CC4E3D" w:rsidRDefault="00CC4E3D" w:rsidP="00CC4E3D">
      <w:pPr>
        <w:rPr>
          <w:rFonts w:eastAsia="Times New Roman"/>
        </w:rPr>
      </w:pPr>
      <w:r>
        <w:rPr>
          <w:rFonts w:eastAsia="Times New Roman"/>
        </w:rPr>
        <w:t xml:space="preserve">The evaluation showed that at least 50 per cent of participants attended face-to-face meetings with their TtW providers on a monthly basis (on average), compared with every two months for participants in the jobactive comparison group. </w:t>
      </w:r>
    </w:p>
    <w:p w14:paraId="4359E7F6" w14:textId="77777777" w:rsidR="00CC4E3D" w:rsidRDefault="00CC4E3D" w:rsidP="00CC4E3D">
      <w:r>
        <w:t>TtW providers indicated during the</w:t>
      </w:r>
      <w:r w:rsidRPr="00F56087">
        <w:t xml:space="preserve"> qualitative research</w:t>
      </w:r>
      <w:r>
        <w:t xml:space="preserve"> that individual face-to-face discussions with young people were the most effective way to build rapport and gain their confidence.</w:t>
      </w:r>
    </w:p>
    <w:p w14:paraId="6B24A606" w14:textId="77777777" w:rsidR="00CC4E3D" w:rsidRPr="00266494" w:rsidRDefault="00CC4E3D" w:rsidP="00CC4E3D">
      <w:pPr>
        <w:pStyle w:val="Quotation"/>
      </w:pPr>
      <w:r w:rsidRPr="00266494">
        <w:t>So you</w:t>
      </w:r>
      <w:r>
        <w:t>’</w:t>
      </w:r>
      <w:r w:rsidRPr="00266494">
        <w:t>d have to look at everything that that person is interested in, and we spend a lot of time looking at what are their interests, and we have different ways of finding out what their interests are, what their experiences are, and have they been exposed to different workplaces? Or are they only familiar with what they know because of their family or a friend works in that area? And why don</w:t>
      </w:r>
      <w:r>
        <w:t>’</w:t>
      </w:r>
      <w:r w:rsidRPr="00266494">
        <w:t>t we go and show you different workplaces so you can see this is what it</w:t>
      </w:r>
      <w:r>
        <w:t>’</w:t>
      </w:r>
      <w:r w:rsidRPr="00266494">
        <w:t>s like.</w:t>
      </w:r>
    </w:p>
    <w:p w14:paraId="78023654" w14:textId="77777777" w:rsidR="00CC4E3D" w:rsidRPr="009232EE" w:rsidRDefault="00CC4E3D" w:rsidP="00CC4E3D">
      <w:pPr>
        <w:pStyle w:val="Quotation"/>
      </w:pPr>
      <w:r w:rsidRPr="009232EE">
        <w:t>(Provider Interview 7)</w:t>
      </w:r>
    </w:p>
    <w:p w14:paraId="07EB21FD" w14:textId="77777777" w:rsidR="00CC4E3D" w:rsidRPr="00266494" w:rsidRDefault="00CC4E3D" w:rsidP="00CC4E3D">
      <w:pPr>
        <w:pStyle w:val="Quotation"/>
        <w:keepLines/>
        <w:ind w:right="998"/>
      </w:pPr>
      <w:r w:rsidRPr="00266494">
        <w:t>I like [my TtW provider]. Their goal is to actually help you. Because a lot of [jobactive] job providers that I</w:t>
      </w:r>
      <w:r>
        <w:t>’</w:t>
      </w:r>
      <w:r w:rsidRPr="00266494">
        <w:t>ve been with, they</w:t>
      </w:r>
      <w:r>
        <w:t>’</w:t>
      </w:r>
      <w:r w:rsidRPr="00266494">
        <w:t>re just there to get you a job and then they</w:t>
      </w:r>
      <w:r>
        <w:t>’</w:t>
      </w:r>
      <w:r w:rsidRPr="00266494">
        <w:t>re out. You</w:t>
      </w:r>
      <w:r>
        <w:t>’</w:t>
      </w:r>
      <w:r w:rsidRPr="00266494">
        <w:t xml:space="preserve">re just another number, whereas with [my TtW provider] they care. </w:t>
      </w:r>
    </w:p>
    <w:p w14:paraId="6283A8EC" w14:textId="77777777" w:rsidR="00CC4E3D" w:rsidRPr="009232EE" w:rsidRDefault="00CC4E3D" w:rsidP="00CC4E3D">
      <w:pPr>
        <w:pStyle w:val="Quotation"/>
        <w:keepLines/>
        <w:ind w:right="998"/>
      </w:pPr>
      <w:r w:rsidRPr="009232EE">
        <w:t>(Participant Focus Group 2)</w:t>
      </w:r>
    </w:p>
    <w:p w14:paraId="6FF4408B" w14:textId="77777777" w:rsidR="00CC4E3D" w:rsidRPr="00FD4CA8" w:rsidRDefault="00CC4E3D" w:rsidP="001C25D9">
      <w:pPr>
        <w:pStyle w:val="Heading3"/>
        <w:numPr>
          <w:ilvl w:val="2"/>
          <w:numId w:val="4"/>
        </w:numPr>
        <w:spacing w:before="200"/>
        <w:rPr>
          <w:rFonts w:eastAsia="Times New Roman"/>
          <w:szCs w:val="24"/>
        </w:rPr>
      </w:pPr>
      <w:bookmarkStart w:id="374" w:name="_Toc492976304"/>
      <w:bookmarkStart w:id="375" w:name="_Toc509402616"/>
      <w:bookmarkStart w:id="376" w:name="_Toc535498908"/>
      <w:bookmarkStart w:id="377" w:name="_Toc23841388"/>
      <w:r w:rsidRPr="00FD4CA8">
        <w:rPr>
          <w:rFonts w:eastAsia="Times New Roman"/>
          <w:szCs w:val="24"/>
        </w:rPr>
        <w:t xml:space="preserve">Consistent with the service design, TtW participants engage in more activities than participants in the matched jobactive </w:t>
      </w:r>
      <w:bookmarkEnd w:id="374"/>
      <w:bookmarkEnd w:id="375"/>
      <w:r w:rsidRPr="00FD4CA8">
        <w:rPr>
          <w:rFonts w:eastAsia="Times New Roman"/>
          <w:szCs w:val="24"/>
        </w:rPr>
        <w:t>comparison group</w:t>
      </w:r>
      <w:bookmarkEnd w:id="376"/>
      <w:bookmarkEnd w:id="377"/>
      <w:r w:rsidRPr="00FD4CA8">
        <w:rPr>
          <w:rFonts w:eastAsia="Times New Roman"/>
          <w:szCs w:val="24"/>
        </w:rPr>
        <w:t xml:space="preserve"> </w:t>
      </w:r>
    </w:p>
    <w:p w14:paraId="085D1A66" w14:textId="77777777" w:rsidR="00CC4E3D" w:rsidRDefault="00CC4E3D" w:rsidP="00CC4E3D">
      <w:pPr>
        <w:rPr>
          <w:rFonts w:ascii="Calibri" w:eastAsia="Times New Roman" w:hAnsi="Calibri" w:cs="Times New Roman"/>
        </w:rPr>
      </w:pPr>
      <w:r>
        <w:rPr>
          <w:rFonts w:ascii="Calibri" w:eastAsia="Times New Roman" w:hAnsi="Calibri" w:cs="Times New Roman"/>
        </w:rPr>
        <w:t xml:space="preserve">While both TtW and jobactive are designed to move job seekers into work, TtW providers have a greater flexibility on how this is achieved. The objective of </w:t>
      </w:r>
      <w:r w:rsidRPr="00CC3ECE">
        <w:rPr>
          <w:rFonts w:ascii="Calibri" w:eastAsia="Times New Roman" w:hAnsi="Calibri" w:cs="Times New Roman"/>
        </w:rPr>
        <w:t xml:space="preserve">TtW is to </w:t>
      </w:r>
      <w:r>
        <w:rPr>
          <w:rFonts w:ascii="Calibri" w:eastAsia="Times New Roman" w:hAnsi="Calibri" w:cs="Times New Roman"/>
        </w:rPr>
        <w:t xml:space="preserve">enable providers more flexibility to work with young people who were primarily early school leavers to </w:t>
      </w:r>
      <w:r w:rsidRPr="00CC3ECE">
        <w:rPr>
          <w:rFonts w:ascii="Calibri" w:eastAsia="Times New Roman" w:hAnsi="Calibri" w:cs="Times New Roman"/>
        </w:rPr>
        <w:t>improve the</w:t>
      </w:r>
      <w:r>
        <w:rPr>
          <w:rFonts w:ascii="Calibri" w:eastAsia="Times New Roman" w:hAnsi="Calibri" w:cs="Times New Roman"/>
        </w:rPr>
        <w:t>ir</w:t>
      </w:r>
      <w:r w:rsidRPr="00CC3ECE">
        <w:rPr>
          <w:rFonts w:ascii="Calibri" w:eastAsia="Times New Roman" w:hAnsi="Calibri" w:cs="Times New Roman"/>
        </w:rPr>
        <w:t xml:space="preserve"> work-readiness</w:t>
      </w:r>
      <w:r>
        <w:rPr>
          <w:rFonts w:ascii="Calibri" w:eastAsia="Times New Roman" w:hAnsi="Calibri" w:cs="Times New Roman"/>
        </w:rPr>
        <w:t>,</w:t>
      </w:r>
      <w:r w:rsidRPr="00CC3ECE">
        <w:rPr>
          <w:rFonts w:ascii="Calibri" w:eastAsia="Times New Roman" w:hAnsi="Calibri" w:cs="Times New Roman"/>
        </w:rPr>
        <w:t xml:space="preserve"> </w:t>
      </w:r>
      <w:r>
        <w:rPr>
          <w:rFonts w:ascii="Calibri" w:eastAsia="Times New Roman" w:hAnsi="Calibri" w:cs="Times New Roman"/>
        </w:rPr>
        <w:t>through an</w:t>
      </w:r>
      <w:r w:rsidRPr="00CC3ECE">
        <w:rPr>
          <w:rFonts w:ascii="Calibri" w:eastAsia="Times New Roman" w:hAnsi="Calibri" w:cs="Times New Roman"/>
        </w:rPr>
        <w:t xml:space="preserve"> intensive 12-month pre-employment support service</w:t>
      </w:r>
      <w:r>
        <w:rPr>
          <w:rFonts w:ascii="Calibri" w:eastAsia="Times New Roman" w:hAnsi="Calibri" w:cs="Times New Roman"/>
        </w:rPr>
        <w:t>.</w:t>
      </w:r>
      <w:r w:rsidRPr="00CC3ECE">
        <w:rPr>
          <w:rFonts w:ascii="Calibri" w:eastAsia="Times New Roman" w:hAnsi="Calibri" w:cs="Times New Roman"/>
        </w:rPr>
        <w:t xml:space="preserve"> </w:t>
      </w:r>
      <w:r>
        <w:rPr>
          <w:rFonts w:ascii="Calibri" w:eastAsia="Times New Roman" w:hAnsi="Calibri" w:cs="Times New Roman"/>
        </w:rPr>
        <w:t>Providers are expected to place</w:t>
      </w:r>
      <w:r w:rsidRPr="00CC3ECE">
        <w:rPr>
          <w:rFonts w:ascii="Calibri" w:eastAsia="Times New Roman" w:hAnsi="Calibri" w:cs="Times New Roman"/>
        </w:rPr>
        <w:t xml:space="preserve"> participants </w:t>
      </w:r>
      <w:r>
        <w:rPr>
          <w:rFonts w:ascii="Calibri" w:eastAsia="Times New Roman" w:hAnsi="Calibri" w:cs="Times New Roman"/>
        </w:rPr>
        <w:t>in</w:t>
      </w:r>
      <w:r w:rsidRPr="00CC3ECE">
        <w:rPr>
          <w:rFonts w:ascii="Calibri" w:eastAsia="Times New Roman" w:hAnsi="Calibri" w:cs="Times New Roman"/>
        </w:rPr>
        <w:t xml:space="preserve"> 25 hours per week of activities, including attending appointments, education and training, employment, work experience placements and engagement with relevant local community services</w:t>
      </w:r>
      <w:r>
        <w:rPr>
          <w:rFonts w:ascii="Calibri" w:eastAsia="Times New Roman" w:hAnsi="Calibri" w:cs="Times New Roman"/>
        </w:rPr>
        <w:t>, to maximise their chances of getting a job.</w:t>
      </w:r>
      <w:r w:rsidRPr="00CC3ECE">
        <w:rPr>
          <w:rFonts w:ascii="Calibri" w:eastAsia="Times New Roman" w:hAnsi="Calibri" w:cs="Times New Roman"/>
        </w:rPr>
        <w:t xml:space="preserve"> </w:t>
      </w:r>
    </w:p>
    <w:p w14:paraId="76CA5EF1" w14:textId="77777777" w:rsidR="00CC4E3D" w:rsidRDefault="00CC4E3D" w:rsidP="00CC4E3D">
      <w:pPr>
        <w:rPr>
          <w:rFonts w:ascii="Calibri" w:eastAsia="Times New Roman" w:hAnsi="Calibri" w:cs="Times New Roman"/>
        </w:rPr>
      </w:pPr>
      <w:r>
        <w:rPr>
          <w:rFonts w:ascii="Calibri" w:eastAsia="Times New Roman" w:hAnsi="Calibri" w:cs="Times New Roman"/>
        </w:rPr>
        <w:t>By comparison</w:t>
      </w:r>
      <w:r w:rsidRPr="00CC3ECE">
        <w:rPr>
          <w:rFonts w:ascii="Calibri" w:eastAsia="Times New Roman" w:hAnsi="Calibri" w:cs="Times New Roman"/>
        </w:rPr>
        <w:t xml:space="preserve">, </w:t>
      </w:r>
      <w:r>
        <w:rPr>
          <w:rFonts w:ascii="Calibri" w:eastAsia="Times New Roman" w:hAnsi="Calibri" w:cs="Times New Roman"/>
        </w:rPr>
        <w:t xml:space="preserve">early school leavers in </w:t>
      </w:r>
      <w:r w:rsidRPr="00CC3ECE">
        <w:rPr>
          <w:rFonts w:ascii="Calibri" w:eastAsia="Times New Roman" w:hAnsi="Calibri" w:cs="Times New Roman"/>
        </w:rPr>
        <w:t>the jobactive matched inflow sample</w:t>
      </w:r>
      <w:r>
        <w:rPr>
          <w:rFonts w:ascii="Calibri" w:eastAsia="Times New Roman" w:hAnsi="Calibri" w:cs="Times New Roman"/>
        </w:rPr>
        <w:t>,</w:t>
      </w:r>
      <w:r w:rsidRPr="00CC3ECE">
        <w:rPr>
          <w:rFonts w:ascii="Calibri" w:eastAsia="Times New Roman" w:hAnsi="Calibri" w:cs="Times New Roman"/>
        </w:rPr>
        <w:t xml:space="preserve"> </w:t>
      </w:r>
      <w:r>
        <w:rPr>
          <w:rFonts w:ascii="Calibri" w:eastAsia="Times New Roman" w:hAnsi="Calibri" w:cs="Times New Roman"/>
        </w:rPr>
        <w:t xml:space="preserve">unless engaged in study to gain a Year 12 certificate or equivalent qualification, were expected to participate in other </w:t>
      </w:r>
      <w:r>
        <w:rPr>
          <w:rFonts w:ascii="Calibri" w:eastAsia="Times New Roman" w:hAnsi="Calibri" w:cs="Times New Roman"/>
        </w:rPr>
        <w:lastRenderedPageBreak/>
        <w:t>approved activities for 25 hours per week</w:t>
      </w:r>
      <w:r>
        <w:rPr>
          <w:rStyle w:val="FootnoteReference"/>
          <w:rFonts w:ascii="Calibri" w:eastAsia="Times New Roman" w:hAnsi="Calibri" w:cs="Times New Roman"/>
        </w:rPr>
        <w:footnoteReference w:id="23"/>
      </w:r>
      <w:r>
        <w:rPr>
          <w:rFonts w:ascii="Calibri" w:eastAsia="Times New Roman" w:hAnsi="Calibri" w:cs="Times New Roman"/>
        </w:rPr>
        <w:t xml:space="preserve"> , </w:t>
      </w:r>
      <w:r w:rsidRPr="00CC3ECE">
        <w:rPr>
          <w:rFonts w:ascii="Calibri" w:eastAsia="Times New Roman" w:hAnsi="Calibri" w:cs="Times New Roman"/>
        </w:rPr>
        <w:t>including job search (generally 20 job applications per month)</w:t>
      </w:r>
      <w:r>
        <w:rPr>
          <w:rFonts w:ascii="Calibri" w:eastAsia="Times New Roman" w:hAnsi="Calibri" w:cs="Times New Roman"/>
        </w:rPr>
        <w:t>.</w:t>
      </w:r>
    </w:p>
    <w:p w14:paraId="4CA943FA" w14:textId="77777777" w:rsidR="00CC4E3D" w:rsidRDefault="00CC4E3D" w:rsidP="00CC4E3D">
      <w:pPr>
        <w:keepNext/>
        <w:rPr>
          <w:rFonts w:ascii="Calibri" w:eastAsia="Times New Roman" w:hAnsi="Calibri" w:cs="Times New Roman"/>
        </w:rPr>
      </w:pPr>
      <w:r>
        <w:rPr>
          <w:rFonts w:ascii="Calibri" w:eastAsia="Times New Roman" w:hAnsi="Calibri" w:cs="Times New Roman"/>
        </w:rPr>
        <w:t>The analysis of activity placements focused on matched inflow samples for</w:t>
      </w:r>
      <w:r w:rsidRPr="0030755E">
        <w:rPr>
          <w:rFonts w:ascii="Calibri" w:eastAsia="Times New Roman" w:hAnsi="Calibri" w:cs="Times New Roman"/>
        </w:rPr>
        <w:t xml:space="preserve"> </w:t>
      </w:r>
      <w:r>
        <w:rPr>
          <w:rFonts w:ascii="Calibri" w:eastAsia="Times New Roman" w:hAnsi="Calibri" w:cs="Times New Roman"/>
        </w:rPr>
        <w:t>TtW</w:t>
      </w:r>
      <w:r w:rsidRPr="0030755E">
        <w:rPr>
          <w:rFonts w:ascii="Calibri" w:eastAsia="Times New Roman" w:hAnsi="Calibri" w:cs="Times New Roman"/>
        </w:rPr>
        <w:t xml:space="preserve"> and jobactive</w:t>
      </w:r>
      <w:r>
        <w:rPr>
          <w:rFonts w:ascii="Calibri" w:eastAsia="Times New Roman" w:hAnsi="Calibri" w:cs="Times New Roman"/>
        </w:rPr>
        <w:t xml:space="preserve"> who had commenced by the end of August 2016. Each participant was followed for 180 days from commencement (or until an exit is recorded). </w:t>
      </w:r>
    </w:p>
    <w:p w14:paraId="14A1B48D" w14:textId="77777777" w:rsidR="00CC4E3D" w:rsidRDefault="00CC4E3D" w:rsidP="00CC4E3D">
      <w:pPr>
        <w:rPr>
          <w:rFonts w:ascii="Calibri" w:eastAsia="Times New Roman" w:hAnsi="Calibri" w:cs="Times New Roman"/>
        </w:rPr>
      </w:pPr>
      <w:r>
        <w:t>Th</w:t>
      </w:r>
      <w:r w:rsidRPr="00266494">
        <w:t>e</w:t>
      </w:r>
      <w:r>
        <w:rPr>
          <w:b/>
        </w:rPr>
        <w:t xml:space="preserve"> </w:t>
      </w:r>
      <w:r>
        <w:t>proportion of placements in a confirmed activity</w:t>
      </w:r>
      <w:r>
        <w:rPr>
          <w:rFonts w:ascii="Calibri" w:eastAsia="Times New Roman" w:hAnsi="Calibri" w:cs="Times New Roman"/>
        </w:rPr>
        <w:t xml:space="preserve"> was higher for TtW participants — 45.8 per cent, compared with 18.9 per cent per participant for the jobactive comparison group during the study period (</w:t>
      </w:r>
      <w:r>
        <w:rPr>
          <w:rFonts w:ascii="Calibri" w:eastAsia="Times New Roman" w:hAnsi="Calibri" w:cs="Times New Roman"/>
          <w:b/>
        </w:rPr>
        <w:t>Figure 4.7</w:t>
      </w:r>
      <w:r>
        <w:rPr>
          <w:rFonts w:ascii="Calibri" w:eastAsia="Times New Roman" w:hAnsi="Calibri" w:cs="Times New Roman"/>
        </w:rPr>
        <w:t xml:space="preserve">). </w:t>
      </w:r>
    </w:p>
    <w:p w14:paraId="1A9839D3" w14:textId="24B47CA0" w:rsidR="00CC4E3D" w:rsidRPr="0050630F" w:rsidRDefault="00CC4E3D" w:rsidP="00FD4CA8">
      <w:pPr>
        <w:pStyle w:val="Caption"/>
      </w:pPr>
      <w:bookmarkStart w:id="378" w:name="_Toc535511478"/>
      <w:bookmarkStart w:id="379" w:name="_Toc535511538"/>
      <w:bookmarkStart w:id="380" w:name="_Toc535512765"/>
      <w:bookmarkStart w:id="381" w:name="_Toc535513401"/>
      <w:bookmarkStart w:id="382" w:name="_Toc23841477"/>
      <w:r>
        <w:t xml:space="preserve">Figure </w:t>
      </w:r>
      <w:r>
        <w:rPr>
          <w:noProof/>
        </w:rPr>
        <w:fldChar w:fldCharType="begin"/>
      </w:r>
      <w:r>
        <w:rPr>
          <w:noProof/>
        </w:rPr>
        <w:instrText xml:space="preserve"> STYLEREF 1 \s </w:instrText>
      </w:r>
      <w:r>
        <w:rPr>
          <w:noProof/>
        </w:rPr>
        <w:fldChar w:fldCharType="separate"/>
      </w:r>
      <w:r w:rsidR="00D84A2A">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7</w:t>
      </w:r>
      <w:r>
        <w:rPr>
          <w:noProof/>
        </w:rPr>
        <w:fldChar w:fldCharType="end"/>
      </w:r>
      <w:r>
        <w:tab/>
        <w:t>N</w:t>
      </w:r>
      <w:r w:rsidRPr="0050630F">
        <w:t xml:space="preserve">umber of activities </w:t>
      </w:r>
      <w:r>
        <w:t>per participant in the</w:t>
      </w:r>
      <w:r w:rsidRPr="0050630F">
        <w:t xml:space="preserve"> first 18</w:t>
      </w:r>
      <w:r>
        <w:t>0 </w:t>
      </w:r>
      <w:r w:rsidRPr="0050630F">
        <w:t>days* from commencement</w:t>
      </w:r>
      <w:bookmarkEnd w:id="378"/>
      <w:bookmarkEnd w:id="379"/>
      <w:bookmarkEnd w:id="380"/>
      <w:bookmarkEnd w:id="381"/>
      <w:bookmarkEnd w:id="382"/>
    </w:p>
    <w:p w14:paraId="5CEF1AC2" w14:textId="77777777" w:rsidR="00CC4E3D" w:rsidRDefault="00CC4E3D" w:rsidP="00CC4E3D">
      <w:pPr>
        <w:rPr>
          <w:noProof/>
          <w:lang w:eastAsia="en-AU"/>
        </w:rPr>
      </w:pPr>
      <w:r>
        <w:rPr>
          <w:noProof/>
          <w:lang w:eastAsia="en-AU"/>
        </w:rPr>
        <w:drawing>
          <wp:inline distT="0" distB="0" distL="0" distR="0" wp14:anchorId="258D3B3E" wp14:editId="36268CC5">
            <wp:extent cx="5402871" cy="2933700"/>
            <wp:effectExtent l="0" t="0" r="7620" b="0"/>
            <wp:docPr id="449" name="Picture 449" descr="Clustered column chart comparing the numbers of activity placements per participant in TtW and jobactive.&#10;This figure compares the percentages of TtW and jobactive participants who had engaged in 1, 2, 3, 4 and 5+ activities over their first 180 days in the service.&#10;It shows considerably higher percentages for TtW:&#10;0 activities — TtW 52.2%; jobactive 81.1%&#10;1 activity — TtW 29%; jobactive 14.5%&#10;2 activities — TtW 9.9%; jobactive 3.4%&#10;3 activities — TtW 3.7%; jobactive 0.6%&#10;4 activities — TtW 1.2%; jobactive 0.3%&#10;5+ activities — TtW 2.0%; jobactive 0.1%&#10;If the participant exited before 180 days, the activities recorded only apply to their days in employment servic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07965" cy="2936466"/>
                    </a:xfrm>
                    <a:prstGeom prst="rect">
                      <a:avLst/>
                    </a:prstGeom>
                    <a:noFill/>
                  </pic:spPr>
                </pic:pic>
              </a:graphicData>
            </a:graphic>
          </wp:inline>
        </w:drawing>
      </w:r>
    </w:p>
    <w:p w14:paraId="5BE26CC6" w14:textId="72AECDA4" w:rsidR="00CC4E3D" w:rsidRPr="00055794" w:rsidRDefault="00CC4E3D" w:rsidP="00CC4E3D">
      <w:pPr>
        <w:pStyle w:val="Note"/>
        <w:rPr>
          <w:szCs w:val="18"/>
        </w:rPr>
      </w:pPr>
      <w:r w:rsidRPr="00055794">
        <w:rPr>
          <w:szCs w:val="18"/>
        </w:rPr>
        <w:t xml:space="preserve">* </w:t>
      </w:r>
      <w:r>
        <w:t>I</w:t>
      </w:r>
      <w:r w:rsidRPr="000F6F27">
        <w:t xml:space="preserve">f </w:t>
      </w:r>
      <w:r>
        <w:t xml:space="preserve">the participant </w:t>
      </w:r>
      <w:r w:rsidRPr="000F6F27">
        <w:t>exited before 18</w:t>
      </w:r>
      <w:r>
        <w:t>0 </w:t>
      </w:r>
      <w:r w:rsidRPr="000F6F27">
        <w:t>days</w:t>
      </w:r>
      <w:r>
        <w:t>,</w:t>
      </w:r>
      <w:r w:rsidRPr="000F6F27">
        <w:t xml:space="preserve"> </w:t>
      </w:r>
      <w:r>
        <w:t xml:space="preserve">the </w:t>
      </w:r>
      <w:r w:rsidRPr="000F6F27">
        <w:t>activities</w:t>
      </w:r>
      <w:r>
        <w:t xml:space="preserve"> recorded</w:t>
      </w:r>
      <w:r w:rsidRPr="000F6F27">
        <w:t xml:space="preserve"> </w:t>
      </w:r>
      <w:r>
        <w:t>only apply to</w:t>
      </w:r>
      <w:r w:rsidRPr="000F6F27">
        <w:t xml:space="preserve"> </w:t>
      </w:r>
      <w:r>
        <w:t xml:space="preserve">their </w:t>
      </w:r>
      <w:r w:rsidRPr="000F6F27">
        <w:t xml:space="preserve">days in </w:t>
      </w:r>
      <w:r>
        <w:t xml:space="preserve">employment </w:t>
      </w:r>
      <w:r w:rsidRPr="000F6F27">
        <w:t>service</w:t>
      </w:r>
      <w:r>
        <w:t xml:space="preserve">s. </w:t>
      </w:r>
    </w:p>
    <w:p w14:paraId="1873E224" w14:textId="2C2D2278" w:rsidR="00CC4E3D" w:rsidRPr="005A1B8D" w:rsidRDefault="00CC4E3D" w:rsidP="00CC4E3D">
      <w:pPr>
        <w:pStyle w:val="Source"/>
        <w:rPr>
          <w:b/>
        </w:rPr>
      </w:pPr>
      <w:r w:rsidRPr="005A1B8D">
        <w:rPr>
          <w:b/>
        </w:rPr>
        <w:t xml:space="preserve">Source: Department of </w:t>
      </w:r>
      <w:r w:rsidR="00F50321" w:rsidRPr="005A1B8D">
        <w:rPr>
          <w:b/>
        </w:rPr>
        <w:t>Employment, Skills, Small and Family</w:t>
      </w:r>
      <w:r w:rsidRPr="005A1B8D">
        <w:rPr>
          <w:b/>
        </w:rPr>
        <w:t xml:space="preserve"> Business administrative data — matched inflow populations.</w:t>
      </w:r>
    </w:p>
    <w:p w14:paraId="30B73C5F" w14:textId="77777777" w:rsidR="00CC4E3D" w:rsidRDefault="00CC4E3D" w:rsidP="00CC4E3D">
      <w:pPr>
        <w:rPr>
          <w:rFonts w:ascii="Calibri" w:eastAsia="Times New Roman" w:hAnsi="Calibri" w:cs="Times New Roman"/>
        </w:rPr>
      </w:pPr>
      <w:r>
        <w:rPr>
          <w:rFonts w:ascii="Calibri" w:eastAsia="Times New Roman" w:hAnsi="Calibri" w:cs="Times New Roman"/>
        </w:rPr>
        <w:t xml:space="preserve">TtW participants also engaged in a greater number of activities over the study period. </w:t>
      </w:r>
      <w:r>
        <w:t>This was not unexpected given the intensive servicing in TtW and the greater focus by providers on getting TtW participants to undertake activities to improve their work readiness.</w:t>
      </w:r>
    </w:p>
    <w:p w14:paraId="0093D252" w14:textId="77777777" w:rsidR="00CC4E3D" w:rsidRPr="0030755E" w:rsidRDefault="00CC4E3D" w:rsidP="00CC4E3D">
      <w:pPr>
        <w:keepNext/>
        <w:rPr>
          <w:rFonts w:ascii="Calibri" w:eastAsia="Times New Roman" w:hAnsi="Calibri" w:cs="Times New Roman"/>
        </w:rPr>
      </w:pPr>
      <w:r>
        <w:rPr>
          <w:rFonts w:ascii="Calibri" w:eastAsia="Times New Roman" w:hAnsi="Calibri" w:cs="Times New Roman"/>
          <w:b/>
        </w:rPr>
        <w:t>Figure </w:t>
      </w:r>
      <w:r w:rsidRPr="00F14E93">
        <w:rPr>
          <w:rFonts w:ascii="Calibri" w:eastAsia="Times New Roman" w:hAnsi="Calibri" w:cs="Times New Roman"/>
          <w:b/>
        </w:rPr>
        <w:t>4.</w:t>
      </w:r>
      <w:r>
        <w:rPr>
          <w:rFonts w:ascii="Calibri" w:eastAsia="Times New Roman" w:hAnsi="Calibri" w:cs="Times New Roman"/>
          <w:b/>
        </w:rPr>
        <w:t>8 </w:t>
      </w:r>
      <w:r>
        <w:rPr>
          <w:rFonts w:ascii="Calibri" w:eastAsia="Times New Roman" w:hAnsi="Calibri" w:cs="Times New Roman"/>
        </w:rPr>
        <w:t>shows the distribution of time taken for participants undertaking an activity to record a confirmed placement in their first activity during the first 180 days from commencement.</w:t>
      </w:r>
      <w:r>
        <w:t xml:space="preserve"> Of the young people with a confirmed activity placement, </w:t>
      </w:r>
      <w:r>
        <w:rPr>
          <w:rFonts w:ascii="Calibri" w:eastAsia="Times New Roman" w:hAnsi="Calibri" w:cs="Times New Roman"/>
        </w:rPr>
        <w:t xml:space="preserve">participants in TtW engaged in their first activity </w:t>
      </w:r>
      <w:r>
        <w:rPr>
          <w:rFonts w:ascii="Calibri" w:eastAsia="Times New Roman" w:hAnsi="Calibri" w:cs="Times New Roman"/>
        </w:rPr>
        <w:lastRenderedPageBreak/>
        <w:t xml:space="preserve">sooner than the jobactive matched cohort (75 per cent </w:t>
      </w:r>
      <w:r w:rsidRPr="00A42638">
        <w:rPr>
          <w:rFonts w:ascii="Calibri" w:eastAsia="Times New Roman" w:hAnsi="Calibri" w:cs="Times New Roman"/>
        </w:rPr>
        <w:t>within the first 6</w:t>
      </w:r>
      <w:r>
        <w:rPr>
          <w:rFonts w:ascii="Calibri" w:eastAsia="Times New Roman" w:hAnsi="Calibri" w:cs="Times New Roman"/>
        </w:rPr>
        <w:t>0 </w:t>
      </w:r>
      <w:r w:rsidRPr="00A42638">
        <w:rPr>
          <w:rFonts w:ascii="Calibri" w:eastAsia="Times New Roman" w:hAnsi="Calibri" w:cs="Times New Roman"/>
        </w:rPr>
        <w:t>days</w:t>
      </w:r>
      <w:r>
        <w:rPr>
          <w:rFonts w:ascii="Calibri" w:eastAsia="Times New Roman" w:hAnsi="Calibri" w:cs="Times New Roman"/>
        </w:rPr>
        <w:t xml:space="preserve">, </w:t>
      </w:r>
      <w:r w:rsidRPr="00083699">
        <w:rPr>
          <w:rFonts w:ascii="Calibri" w:eastAsia="Times New Roman" w:hAnsi="Calibri" w:cs="Times New Roman"/>
        </w:rPr>
        <w:t>compared with 6</w:t>
      </w:r>
      <w:r>
        <w:rPr>
          <w:rFonts w:ascii="Calibri" w:eastAsia="Times New Roman" w:hAnsi="Calibri" w:cs="Times New Roman"/>
        </w:rPr>
        <w:t>2 </w:t>
      </w:r>
      <w:r w:rsidRPr="00083699">
        <w:rPr>
          <w:rFonts w:ascii="Calibri" w:eastAsia="Times New Roman" w:hAnsi="Calibri" w:cs="Times New Roman"/>
        </w:rPr>
        <w:t>per cent</w:t>
      </w:r>
      <w:r>
        <w:rPr>
          <w:rFonts w:ascii="Calibri" w:eastAsia="Times New Roman" w:hAnsi="Calibri" w:cs="Times New Roman"/>
        </w:rPr>
        <w:t>).</w:t>
      </w:r>
    </w:p>
    <w:p w14:paraId="41F8440B" w14:textId="2BC33643" w:rsidR="00CC4E3D" w:rsidRDefault="00CC4E3D" w:rsidP="00FD4CA8">
      <w:pPr>
        <w:pStyle w:val="Caption"/>
      </w:pPr>
      <w:bookmarkStart w:id="383" w:name="_Toc514172373"/>
      <w:bookmarkStart w:id="384" w:name="_Toc535511479"/>
      <w:bookmarkStart w:id="385" w:name="_Toc535511539"/>
      <w:bookmarkStart w:id="386" w:name="_Toc535512766"/>
      <w:bookmarkStart w:id="387" w:name="_Toc535513402"/>
      <w:bookmarkStart w:id="388" w:name="_Toc23841478"/>
      <w:bookmarkStart w:id="389" w:name="_Toc492976740"/>
      <w:bookmarkStart w:id="390" w:name="_Toc509402459"/>
      <w:r>
        <w:t xml:space="preserve">Figure </w:t>
      </w:r>
      <w:r>
        <w:rPr>
          <w:noProof/>
        </w:rPr>
        <w:fldChar w:fldCharType="begin"/>
      </w:r>
      <w:r>
        <w:rPr>
          <w:noProof/>
        </w:rPr>
        <w:instrText xml:space="preserve"> STYLEREF 1 \s </w:instrText>
      </w:r>
      <w:r>
        <w:rPr>
          <w:noProof/>
        </w:rPr>
        <w:fldChar w:fldCharType="separate"/>
      </w:r>
      <w:r w:rsidR="00D84A2A">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8</w:t>
      </w:r>
      <w:r>
        <w:rPr>
          <w:noProof/>
        </w:rPr>
        <w:fldChar w:fldCharType="end"/>
      </w:r>
      <w:r>
        <w:tab/>
        <w:t>Timing of fi</w:t>
      </w:r>
      <w:r w:rsidRPr="00610D95">
        <w:t>rst recorded</w:t>
      </w:r>
      <w:r>
        <w:t xml:space="preserve"> participant activity</w:t>
      </w:r>
      <w:bookmarkEnd w:id="383"/>
      <w:bookmarkEnd w:id="384"/>
      <w:bookmarkEnd w:id="385"/>
      <w:bookmarkEnd w:id="386"/>
      <w:bookmarkEnd w:id="387"/>
      <w:bookmarkEnd w:id="388"/>
      <w:r w:rsidDel="00425E45">
        <w:t xml:space="preserve"> </w:t>
      </w:r>
      <w:bookmarkEnd w:id="389"/>
      <w:bookmarkEnd w:id="390"/>
    </w:p>
    <w:p w14:paraId="6C5732EF" w14:textId="77777777" w:rsidR="00CC4E3D" w:rsidRPr="00DB4B3B" w:rsidRDefault="00CC4E3D" w:rsidP="00CC4E3D">
      <w:r w:rsidRPr="00873EE8">
        <w:rPr>
          <w:noProof/>
          <w:lang w:eastAsia="en-AU"/>
        </w:rPr>
        <w:drawing>
          <wp:inline distT="0" distB="0" distL="0" distR="0" wp14:anchorId="7FF333D6" wp14:editId="30188384">
            <wp:extent cx="5403600" cy="3045600"/>
            <wp:effectExtent l="0" t="0" r="6985" b="2540"/>
            <wp:docPr id="300" name="Picture 300" descr="Stacked column chart comparing the number of days from commencement to first activity placement for TtW and jobactive.&#10;This figure compares, in cumulative percentage terms, the percentages of TtW and jobactive participants who were placed in their first activity within 30 days, 60 days, 90 days and 180 days. It shows: &#10;within 30 days, 45.7% in jobactive and 54.6% in TtW&#10;within 60 days, 62.4% in jobactive and 75.4% in TtW&#10;within 90 days, 74.3% in jobactive and 86.7% in TtW&#10;within 180 days, 100% in jobactive and 100% in T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03600" cy="3045600"/>
                    </a:xfrm>
                    <a:prstGeom prst="rect">
                      <a:avLst/>
                    </a:prstGeom>
                    <a:noFill/>
                    <a:ln>
                      <a:noFill/>
                    </a:ln>
                  </pic:spPr>
                </pic:pic>
              </a:graphicData>
            </a:graphic>
          </wp:inline>
        </w:drawing>
      </w:r>
    </w:p>
    <w:p w14:paraId="6849F76E" w14:textId="4A32DA62" w:rsidR="00CC4E3D" w:rsidRPr="005A1B8D" w:rsidRDefault="00CC4E3D" w:rsidP="00CC4E3D">
      <w:pPr>
        <w:pStyle w:val="Source"/>
        <w:rPr>
          <w:b/>
        </w:rPr>
      </w:pPr>
      <w:r w:rsidRPr="005A1B8D">
        <w:rPr>
          <w:b/>
        </w:rPr>
        <w:t xml:space="preserve">Source: Department of </w:t>
      </w:r>
      <w:r w:rsidR="00F50321" w:rsidRPr="005A1B8D">
        <w:rPr>
          <w:b/>
        </w:rPr>
        <w:t>Employment, Skills, Small and Family</w:t>
      </w:r>
      <w:r w:rsidRPr="005A1B8D">
        <w:rPr>
          <w:b/>
        </w:rPr>
        <w:t xml:space="preserve"> Business administrative data — matched inflow populations.</w:t>
      </w:r>
    </w:p>
    <w:p w14:paraId="78A6137F" w14:textId="77777777" w:rsidR="00CC4E3D" w:rsidRDefault="00CC4E3D" w:rsidP="00CC4E3D">
      <w:r>
        <w:rPr>
          <w:rFonts w:ascii="Calibri" w:eastAsia="Times New Roman" w:hAnsi="Calibri" w:cs="Times New Roman"/>
        </w:rPr>
        <w:t xml:space="preserve">Both models allow for funding of participation in activities for early school leavers. While upfront administrative funding for jobactive is low, </w:t>
      </w:r>
      <w:r>
        <w:t>jobactive providers can access the Employment Fund to purchase goods and services to help participants overcome barriers to employment. This separate funding source is not available to TtW providers, as the higher up-front payment is expected to cover participation in approved activities. TtW providers can also use sustainability and bonus outcome payments achieved to help fund activities for participants.</w:t>
      </w:r>
    </w:p>
    <w:p w14:paraId="1646D57E" w14:textId="77777777" w:rsidR="00CC4E3D" w:rsidRPr="00FD4CA8" w:rsidRDefault="00CC4E3D" w:rsidP="001C25D9">
      <w:pPr>
        <w:pStyle w:val="Heading3"/>
        <w:numPr>
          <w:ilvl w:val="2"/>
          <w:numId w:val="4"/>
        </w:numPr>
        <w:spacing w:before="200"/>
        <w:rPr>
          <w:szCs w:val="24"/>
        </w:rPr>
      </w:pPr>
      <w:bookmarkStart w:id="391" w:name="_Toc535498909"/>
      <w:bookmarkStart w:id="392" w:name="_Toc23841389"/>
      <w:r w:rsidRPr="00FD4CA8">
        <w:rPr>
          <w:szCs w:val="24"/>
        </w:rPr>
        <w:t>TtW offers a wider range of options to meet activity requirements</w:t>
      </w:r>
      <w:bookmarkEnd w:id="391"/>
      <w:bookmarkEnd w:id="392"/>
    </w:p>
    <w:p w14:paraId="3678FB0C" w14:textId="15B1C824" w:rsidR="00CC4E3D" w:rsidRDefault="00CC4E3D" w:rsidP="00CC4E3D">
      <w:pPr>
        <w:rPr>
          <w:rFonts w:ascii="Calibri" w:eastAsia="Times New Roman" w:hAnsi="Calibri" w:cs="Times New Roman"/>
        </w:rPr>
      </w:pPr>
      <w:r>
        <w:rPr>
          <w:rFonts w:ascii="Calibri" w:eastAsia="Times New Roman" w:hAnsi="Calibri" w:cs="Times New Roman"/>
        </w:rPr>
        <w:t>While t</w:t>
      </w:r>
      <w:r w:rsidRPr="0030755E">
        <w:rPr>
          <w:rFonts w:ascii="Calibri" w:eastAsia="Times New Roman" w:hAnsi="Calibri" w:cs="Times New Roman"/>
        </w:rPr>
        <w:t xml:space="preserve">he aim of </w:t>
      </w:r>
      <w:r>
        <w:rPr>
          <w:rFonts w:ascii="Calibri" w:eastAsia="Times New Roman" w:hAnsi="Calibri" w:cs="Times New Roman"/>
        </w:rPr>
        <w:t>TtW</w:t>
      </w:r>
      <w:r w:rsidRPr="0030755E">
        <w:rPr>
          <w:rFonts w:ascii="Calibri" w:eastAsia="Times New Roman" w:hAnsi="Calibri" w:cs="Times New Roman"/>
        </w:rPr>
        <w:t xml:space="preserve"> is to increase employability</w:t>
      </w:r>
      <w:r>
        <w:rPr>
          <w:rFonts w:ascii="Calibri" w:eastAsia="Times New Roman" w:hAnsi="Calibri" w:cs="Times New Roman"/>
        </w:rPr>
        <w:t xml:space="preserve">, </w:t>
      </w:r>
      <w:r w:rsidRPr="0030755E">
        <w:rPr>
          <w:rFonts w:ascii="Calibri" w:eastAsia="Times New Roman" w:hAnsi="Calibri" w:cs="Times New Roman"/>
        </w:rPr>
        <w:t>employment outcome</w:t>
      </w:r>
      <w:r>
        <w:rPr>
          <w:rFonts w:ascii="Calibri" w:eastAsia="Times New Roman" w:hAnsi="Calibri" w:cs="Times New Roman"/>
        </w:rPr>
        <w:t xml:space="preserve">s are </w:t>
      </w:r>
      <w:r w:rsidRPr="0030755E">
        <w:rPr>
          <w:rFonts w:ascii="Calibri" w:eastAsia="Times New Roman" w:hAnsi="Calibri" w:cs="Times New Roman"/>
        </w:rPr>
        <w:t xml:space="preserve">not the </w:t>
      </w:r>
      <w:r>
        <w:rPr>
          <w:rFonts w:ascii="Calibri" w:eastAsia="Times New Roman" w:hAnsi="Calibri" w:cs="Times New Roman"/>
        </w:rPr>
        <w:t>only</w:t>
      </w:r>
      <w:r w:rsidRPr="0030755E">
        <w:rPr>
          <w:rFonts w:ascii="Calibri" w:eastAsia="Times New Roman" w:hAnsi="Calibri" w:cs="Times New Roman"/>
        </w:rPr>
        <w:t xml:space="preserve"> </w:t>
      </w:r>
      <w:r>
        <w:rPr>
          <w:rFonts w:ascii="Calibri" w:eastAsia="Times New Roman" w:hAnsi="Calibri" w:cs="Times New Roman"/>
        </w:rPr>
        <w:t xml:space="preserve">focus, TtW providers have more flexibility in the range of activities participants can participate in. In addition to paid employment, activities </w:t>
      </w:r>
      <w:r w:rsidRPr="0030755E">
        <w:rPr>
          <w:rFonts w:ascii="Calibri" w:eastAsia="Times New Roman" w:hAnsi="Calibri" w:cs="Times New Roman"/>
        </w:rPr>
        <w:t>include</w:t>
      </w:r>
      <w:r>
        <w:rPr>
          <w:rFonts w:ascii="Calibri" w:eastAsia="Times New Roman" w:hAnsi="Calibri" w:cs="Times New Roman"/>
        </w:rPr>
        <w:t xml:space="preserve">d a wider range of </w:t>
      </w:r>
      <w:r w:rsidRPr="0030755E">
        <w:rPr>
          <w:rFonts w:ascii="Calibri" w:eastAsia="Times New Roman" w:hAnsi="Calibri" w:cs="Times New Roman"/>
        </w:rPr>
        <w:t>education and training activities, non-vocational assistance (for issues such as substance use and homelessness)</w:t>
      </w:r>
      <w:r>
        <w:rPr>
          <w:rFonts w:ascii="Calibri" w:eastAsia="Times New Roman" w:hAnsi="Calibri" w:cs="Times New Roman"/>
        </w:rPr>
        <w:t>,</w:t>
      </w:r>
      <w:r w:rsidRPr="0030755E">
        <w:rPr>
          <w:rFonts w:ascii="Calibri" w:eastAsia="Times New Roman" w:hAnsi="Calibri" w:cs="Times New Roman"/>
        </w:rPr>
        <w:t xml:space="preserve"> and work-like activities such as volunteering </w:t>
      </w:r>
      <w:r>
        <w:rPr>
          <w:rFonts w:ascii="Calibri" w:eastAsia="Times New Roman" w:hAnsi="Calibri" w:cs="Times New Roman"/>
        </w:rPr>
        <w:t>and</w:t>
      </w:r>
      <w:r w:rsidRPr="0030755E">
        <w:rPr>
          <w:rFonts w:ascii="Calibri" w:eastAsia="Times New Roman" w:hAnsi="Calibri" w:cs="Times New Roman"/>
        </w:rPr>
        <w:t xml:space="preserve"> work experience.</w:t>
      </w:r>
      <w:r>
        <w:rPr>
          <w:rFonts w:ascii="Calibri" w:eastAsia="Times New Roman" w:hAnsi="Calibri" w:cs="Times New Roman"/>
        </w:rPr>
        <w:t xml:space="preserve"> The following analysis looks at the types of activities participants undertook in the TtW and jobactive matched inflow samples.</w:t>
      </w:r>
    </w:p>
    <w:p w14:paraId="5A43BEA5" w14:textId="77777777" w:rsidR="00CC4E3D" w:rsidRDefault="00CC4E3D" w:rsidP="00CC4E3D">
      <w:pPr>
        <w:rPr>
          <w:rFonts w:ascii="Calibri" w:eastAsia="Times New Roman" w:hAnsi="Calibri" w:cs="Times New Roman"/>
        </w:rPr>
      </w:pPr>
      <w:r>
        <w:rPr>
          <w:rFonts w:ascii="Calibri" w:eastAsia="Times New Roman" w:hAnsi="Calibri" w:cs="Times New Roman"/>
        </w:rPr>
        <w:t>More TtW participants we</w:t>
      </w:r>
      <w:r w:rsidRPr="00D511F5">
        <w:rPr>
          <w:rFonts w:ascii="Calibri" w:eastAsia="Times New Roman" w:hAnsi="Calibri" w:cs="Times New Roman"/>
        </w:rPr>
        <w:t>re placed in all</w:t>
      </w:r>
      <w:r>
        <w:rPr>
          <w:rFonts w:ascii="Calibri" w:eastAsia="Times New Roman" w:hAnsi="Calibri" w:cs="Times New Roman"/>
        </w:rPr>
        <w:t xml:space="preserve"> types of</w:t>
      </w:r>
      <w:r w:rsidRPr="00D511F5">
        <w:rPr>
          <w:rFonts w:ascii="Calibri" w:eastAsia="Times New Roman" w:hAnsi="Calibri" w:cs="Times New Roman"/>
        </w:rPr>
        <w:t xml:space="preserve"> activit</w:t>
      </w:r>
      <w:r>
        <w:rPr>
          <w:rFonts w:ascii="Calibri" w:eastAsia="Times New Roman" w:hAnsi="Calibri" w:cs="Times New Roman"/>
        </w:rPr>
        <w:t>ies</w:t>
      </w:r>
      <w:r w:rsidRPr="000402F4">
        <w:rPr>
          <w:rFonts w:ascii="Calibri" w:eastAsia="Times New Roman" w:hAnsi="Calibri" w:cs="Times New Roman"/>
        </w:rPr>
        <w:t>,</w:t>
      </w:r>
      <w:r>
        <w:rPr>
          <w:rFonts w:ascii="Calibri" w:eastAsia="Times New Roman" w:hAnsi="Calibri" w:cs="Times New Roman"/>
        </w:rPr>
        <w:t xml:space="preserve"> with the exception of Work for the Dole, which is not available in TtW. Work for the Dole activities are part of the Work for the Dole phase in jobactive and may be undertaken usually after 12 months in services (previously six months). </w:t>
      </w:r>
      <w:r>
        <w:rPr>
          <w:rFonts w:ascii="Calibri" w:eastAsia="Times New Roman" w:hAnsi="Calibri" w:cs="Times New Roman"/>
          <w:b/>
        </w:rPr>
        <w:t>Figure 4.9 </w:t>
      </w:r>
      <w:r>
        <w:rPr>
          <w:rFonts w:ascii="Calibri" w:eastAsia="Times New Roman" w:hAnsi="Calibri" w:cs="Times New Roman"/>
        </w:rPr>
        <w:t xml:space="preserve">shows that the distribution of placements across the types of activities differs between TtW and jobactive. Early school leavers in TtW were more likely, than those in the jobactive comparison group, to be placed in non-accredited education and training (i.e. preparatory education </w:t>
      </w:r>
      <w:r>
        <w:rPr>
          <w:rFonts w:ascii="Calibri" w:eastAsia="Times New Roman" w:hAnsi="Calibri" w:cs="Times New Roman"/>
        </w:rPr>
        <w:lastRenderedPageBreak/>
        <w:t>to address barriers before seeking work or further education) during the study period. Almost 44 per cent of activities undertaken by TtW participants were for non-accredited training and other preparatory education, compared to the jobactive comparison group (24 per cent)</w:t>
      </w:r>
      <w:r>
        <w:rPr>
          <w:rStyle w:val="FootnoteReference"/>
          <w:rFonts w:eastAsia="Times New Roman" w:cs="Times New Roman"/>
        </w:rPr>
        <w:footnoteReference w:id="24"/>
      </w:r>
      <w:r>
        <w:rPr>
          <w:rFonts w:ascii="Calibri" w:eastAsia="Times New Roman" w:hAnsi="Calibri" w:cs="Times New Roman"/>
        </w:rPr>
        <w:t>.</w:t>
      </w:r>
      <w:r w:rsidRPr="00E5769F">
        <w:rPr>
          <w:rFonts w:ascii="Calibri" w:eastAsia="Times New Roman" w:hAnsi="Calibri" w:cs="Times New Roman"/>
        </w:rPr>
        <w:t xml:space="preserve"> </w:t>
      </w:r>
    </w:p>
    <w:p w14:paraId="73F59E20" w14:textId="77777777" w:rsidR="00CC4E3D" w:rsidRDefault="00CC4E3D" w:rsidP="00CC4E3D">
      <w:pPr>
        <w:rPr>
          <w:rFonts w:ascii="Calibri" w:eastAsia="Times New Roman" w:hAnsi="Calibri" w:cs="Times New Roman"/>
        </w:rPr>
      </w:pPr>
      <w:r>
        <w:rPr>
          <w:rFonts w:ascii="Calibri" w:eastAsia="Times New Roman" w:hAnsi="Calibri" w:cs="Times New Roman"/>
        </w:rPr>
        <w:t xml:space="preserve">While participation in these activities does not qualify for an education outcome, this suggests that TtW providers focus on addressing barriers in the first six months of the 12 month service period to improve the work-readiness of participants. TtW providers can use their up-front payments as well as any bonus and sustainability outcome payments achieved to assist participants with the cost of undertaking these activities to meet their education and employment goals. </w:t>
      </w:r>
    </w:p>
    <w:p w14:paraId="30C017D4" w14:textId="77777777" w:rsidR="00CC4E3D" w:rsidRDefault="00CC4E3D" w:rsidP="00CC4E3D">
      <w:pPr>
        <w:rPr>
          <w:rFonts w:ascii="Calibri" w:eastAsia="Times New Roman" w:hAnsi="Calibri" w:cs="Times New Roman"/>
        </w:rPr>
      </w:pPr>
      <w:r>
        <w:rPr>
          <w:rFonts w:ascii="Calibri" w:eastAsia="Times New Roman" w:hAnsi="Calibri" w:cs="Times New Roman"/>
        </w:rPr>
        <w:t>Young people in the j</w:t>
      </w:r>
      <w:r w:rsidRPr="0030755E">
        <w:rPr>
          <w:rFonts w:ascii="Calibri" w:eastAsia="Times New Roman" w:hAnsi="Calibri" w:cs="Times New Roman"/>
        </w:rPr>
        <w:t>obactive</w:t>
      </w:r>
      <w:r>
        <w:rPr>
          <w:rFonts w:ascii="Calibri" w:eastAsia="Times New Roman" w:hAnsi="Calibri" w:cs="Times New Roman"/>
        </w:rPr>
        <w:t xml:space="preserve"> comparison group,</w:t>
      </w:r>
      <w:r w:rsidRPr="0030755E">
        <w:rPr>
          <w:rFonts w:ascii="Calibri" w:eastAsia="Times New Roman" w:hAnsi="Calibri" w:cs="Times New Roman"/>
        </w:rPr>
        <w:t xml:space="preserve"> </w:t>
      </w:r>
      <w:r>
        <w:rPr>
          <w:rFonts w:ascii="Calibri" w:eastAsia="Times New Roman" w:hAnsi="Calibri" w:cs="Times New Roman"/>
        </w:rPr>
        <w:t>while having a lower rate of participation in activities, were more likely to undertake</w:t>
      </w:r>
      <w:r w:rsidRPr="0030755E">
        <w:rPr>
          <w:rFonts w:ascii="Calibri" w:eastAsia="Times New Roman" w:hAnsi="Calibri" w:cs="Times New Roman"/>
        </w:rPr>
        <w:t xml:space="preserve"> accredited </w:t>
      </w:r>
      <w:r>
        <w:rPr>
          <w:rFonts w:ascii="Calibri" w:eastAsia="Times New Roman" w:hAnsi="Calibri" w:cs="Times New Roman"/>
        </w:rPr>
        <w:t xml:space="preserve">vocational education and </w:t>
      </w:r>
      <w:r w:rsidRPr="0030755E">
        <w:rPr>
          <w:rFonts w:ascii="Calibri" w:eastAsia="Times New Roman" w:hAnsi="Calibri" w:cs="Times New Roman"/>
        </w:rPr>
        <w:t>training</w:t>
      </w:r>
      <w:r>
        <w:rPr>
          <w:rFonts w:ascii="Calibri" w:eastAsia="Times New Roman" w:hAnsi="Calibri" w:cs="Times New Roman"/>
        </w:rPr>
        <w:t>. This aligns with education outcome payments in jobactive for young people completing further study being restricted to attaining a Year 12 or equivalent qualification.</w:t>
      </w:r>
      <w:r w:rsidDel="00353622">
        <w:rPr>
          <w:rFonts w:ascii="Calibri" w:eastAsia="Times New Roman" w:hAnsi="Calibri" w:cs="Times New Roman"/>
        </w:rPr>
        <w:t xml:space="preserve"> </w:t>
      </w:r>
      <w:r>
        <w:rPr>
          <w:rFonts w:ascii="Calibri" w:eastAsia="Times New Roman" w:hAnsi="Calibri" w:cs="Times New Roman"/>
        </w:rPr>
        <w:t>jobactive providers can also claim the cost of work-related accredited education and training activities for participants from the Employment Fund where there is a likelihood of securing a job. Young people in jobactive with recorded activities were also more likely to be participating in other government programs and part-time or casual employment.</w:t>
      </w:r>
    </w:p>
    <w:p w14:paraId="545EF090" w14:textId="417137D5" w:rsidR="00CC4E3D" w:rsidRDefault="00CC4E3D" w:rsidP="00FD4CA8">
      <w:pPr>
        <w:pStyle w:val="Caption"/>
      </w:pPr>
      <w:bookmarkStart w:id="393" w:name="_Toc514172375"/>
      <w:bookmarkStart w:id="394" w:name="_Toc492976742"/>
      <w:bookmarkStart w:id="395" w:name="_Toc509402461"/>
      <w:bookmarkStart w:id="396" w:name="_Toc535511480"/>
      <w:bookmarkStart w:id="397" w:name="_Toc535511540"/>
      <w:bookmarkStart w:id="398" w:name="_Toc535512767"/>
      <w:bookmarkStart w:id="399" w:name="_Toc535513403"/>
      <w:bookmarkStart w:id="400" w:name="_Toc23841479"/>
      <w:r>
        <w:lastRenderedPageBreak/>
        <w:t xml:space="preserve">Figure </w:t>
      </w:r>
      <w:r>
        <w:rPr>
          <w:noProof/>
        </w:rPr>
        <w:fldChar w:fldCharType="begin"/>
      </w:r>
      <w:r>
        <w:rPr>
          <w:noProof/>
        </w:rPr>
        <w:instrText xml:space="preserve"> STYLEREF 1 \s </w:instrText>
      </w:r>
      <w:r>
        <w:rPr>
          <w:noProof/>
        </w:rPr>
        <w:fldChar w:fldCharType="separate"/>
      </w:r>
      <w:r w:rsidR="00D84A2A">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9</w:t>
      </w:r>
      <w:r>
        <w:rPr>
          <w:noProof/>
        </w:rPr>
        <w:fldChar w:fldCharType="end"/>
      </w:r>
      <w:r>
        <w:tab/>
      </w:r>
      <w:r w:rsidRPr="00610D95">
        <w:t xml:space="preserve">Participation in </w:t>
      </w:r>
      <w:r>
        <w:t xml:space="preserve">different types* of </w:t>
      </w:r>
      <w:r w:rsidRPr="00610D95">
        <w:t>activities</w:t>
      </w:r>
      <w:r>
        <w:t>,</w:t>
      </w:r>
      <w:r w:rsidRPr="00610D95">
        <w:t xml:space="preserve"> </w:t>
      </w:r>
      <w:r>
        <w:t>comparing TtW and the jobactive</w:t>
      </w:r>
      <w:bookmarkEnd w:id="393"/>
      <w:bookmarkEnd w:id="394"/>
      <w:bookmarkEnd w:id="395"/>
      <w:r>
        <w:t xml:space="preserve"> comparison group</w:t>
      </w:r>
      <w:bookmarkEnd w:id="396"/>
      <w:bookmarkEnd w:id="397"/>
      <w:bookmarkEnd w:id="398"/>
      <w:bookmarkEnd w:id="399"/>
      <w:bookmarkEnd w:id="400"/>
    </w:p>
    <w:p w14:paraId="593FA844" w14:textId="77777777" w:rsidR="00CC4E3D" w:rsidRPr="0030755E" w:rsidRDefault="00CC4E3D" w:rsidP="005A1B8D">
      <w:pPr>
        <w:keepNext/>
        <w:keepLines/>
        <w:rPr>
          <w:rFonts w:eastAsia="Times New Roman"/>
        </w:rPr>
      </w:pPr>
      <w:r w:rsidRPr="00873EE8">
        <w:rPr>
          <w:rFonts w:eastAsia="Times New Roman"/>
          <w:noProof/>
          <w:lang w:eastAsia="en-AU"/>
        </w:rPr>
        <w:drawing>
          <wp:inline distT="0" distB="0" distL="0" distR="0" wp14:anchorId="377A32A6" wp14:editId="65F5E005">
            <wp:extent cx="5403600" cy="3045600"/>
            <wp:effectExtent l="0" t="0" r="6985" b="2540"/>
            <wp:docPr id="305" name="Picture 305" descr="Clustered bar chart comparing the distribution of participation in particular activity categories in TtW and jobactive.&#10;This figure compares the percentages of TtW and jobactive participants who were placed in different types of activities. The results were:&#10;non-accredited education and training (vocational) — TtW 43.5%; jobactive about 23.5%&#10;accredited education and training (vocational) — TtW 33.5%; jobactive about 48.9%&#10;non-vocational assistance — TtW 6.7%; jobactive 0.7%&#10;part time / casual paid employment — TtW 9.5%; jobactive 12.6%&#10;other government programs — TtW 3.7%; jobactive 7.4%&#10;interventions — TtW 1.4%; jobactive 1.0%&#10;voluntary work in community / non-profit sector — TtW about 1%; jobactive less than 1%&#10;National Work Experience Programme — TtW about 1%; jobactive less than 1%&#10;other activity — TtW ; jobactive both less than 1%&#10;Work for the Dole — TtW none; jobactive about 5.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03600" cy="3045600"/>
                    </a:xfrm>
                    <a:prstGeom prst="rect">
                      <a:avLst/>
                    </a:prstGeom>
                    <a:noFill/>
                    <a:ln>
                      <a:noFill/>
                    </a:ln>
                  </pic:spPr>
                </pic:pic>
              </a:graphicData>
            </a:graphic>
          </wp:inline>
        </w:drawing>
      </w:r>
    </w:p>
    <w:p w14:paraId="7A271E61" w14:textId="6C32E027" w:rsidR="00CC4E3D" w:rsidRDefault="00CC4E3D" w:rsidP="005A1B8D">
      <w:pPr>
        <w:pStyle w:val="Note"/>
        <w:keepNext/>
        <w:keepLines/>
        <w:rPr>
          <w:rFonts w:eastAsia="Times New Roman"/>
        </w:rPr>
      </w:pPr>
      <w:r w:rsidRPr="00700376">
        <w:rPr>
          <w:rFonts w:eastAsia="Times New Roman"/>
        </w:rPr>
        <w:t xml:space="preserve">* </w:t>
      </w:r>
      <w:r>
        <w:rPr>
          <w:rFonts w:eastAsia="Times New Roman"/>
        </w:rPr>
        <w:t>P</w:t>
      </w:r>
      <w:r w:rsidRPr="00700376">
        <w:rPr>
          <w:rFonts w:eastAsia="Times New Roman"/>
        </w:rPr>
        <w:t>articipants may be recorded in multiple activity types</w:t>
      </w:r>
      <w:r>
        <w:rPr>
          <w:rFonts w:eastAsia="Times New Roman"/>
        </w:rPr>
        <w:t>,</w:t>
      </w:r>
      <w:r w:rsidRPr="00700376">
        <w:rPr>
          <w:rFonts w:eastAsia="Times New Roman"/>
        </w:rPr>
        <w:t xml:space="preserve"> so percentages across activities types may not </w:t>
      </w:r>
      <w:r>
        <w:rPr>
          <w:rFonts w:eastAsia="Times New Roman"/>
        </w:rPr>
        <w:t xml:space="preserve">add up </w:t>
      </w:r>
      <w:r w:rsidRPr="00700376">
        <w:rPr>
          <w:rFonts w:eastAsia="Times New Roman"/>
        </w:rPr>
        <w:t>to 100.</w:t>
      </w:r>
    </w:p>
    <w:p w14:paraId="49C55BBC" w14:textId="77777777" w:rsidR="00CC4E3D" w:rsidRPr="00700376" w:rsidRDefault="00CC4E3D" w:rsidP="005A1B8D">
      <w:pPr>
        <w:pStyle w:val="Note"/>
        <w:ind w:left="0" w:firstLine="0"/>
        <w:rPr>
          <w:rFonts w:eastAsia="Times New Roman"/>
        </w:rPr>
      </w:pPr>
      <w:r>
        <w:rPr>
          <w:rFonts w:eastAsia="Times New Roman"/>
        </w:rPr>
        <w:t>Note: Interventions include programs that assist young people overcome barriers to finding and keeping a job from disability, injury, illness or other disadvantage.</w:t>
      </w:r>
    </w:p>
    <w:p w14:paraId="335D15BD" w14:textId="36C326C1" w:rsidR="00CC4E3D" w:rsidRPr="005A1B8D" w:rsidRDefault="00CC4E3D" w:rsidP="009B324F">
      <w:pPr>
        <w:pStyle w:val="Source"/>
        <w:keepNext/>
        <w:keepLines/>
        <w:rPr>
          <w:rFonts w:eastAsia="Times New Roman"/>
          <w:b/>
        </w:rPr>
      </w:pPr>
      <w:r w:rsidRPr="005A1B8D">
        <w:rPr>
          <w:rFonts w:eastAsia="Times New Roman"/>
          <w:b/>
        </w:rPr>
        <w:t xml:space="preserve">Source: Department of </w:t>
      </w:r>
      <w:r w:rsidR="00F50321" w:rsidRPr="005A1B8D">
        <w:rPr>
          <w:rFonts w:eastAsia="Times New Roman"/>
          <w:b/>
        </w:rPr>
        <w:t>Employment, Skills, Small and Family</w:t>
      </w:r>
      <w:r w:rsidRPr="005A1B8D">
        <w:rPr>
          <w:rFonts w:eastAsia="Times New Roman"/>
          <w:b/>
        </w:rPr>
        <w:t xml:space="preserve"> Business administrative data — matched inflow populations.</w:t>
      </w:r>
    </w:p>
    <w:p w14:paraId="1517B05B" w14:textId="77777777" w:rsidR="00CC4E3D" w:rsidRPr="00FD4CA8" w:rsidRDefault="00CC4E3D" w:rsidP="001C25D9">
      <w:pPr>
        <w:pStyle w:val="Heading3"/>
        <w:numPr>
          <w:ilvl w:val="2"/>
          <w:numId w:val="4"/>
        </w:numPr>
        <w:spacing w:before="200"/>
        <w:rPr>
          <w:rFonts w:eastAsia="Times New Roman"/>
          <w:szCs w:val="24"/>
        </w:rPr>
      </w:pPr>
      <w:bookmarkStart w:id="401" w:name="_Toc492976306"/>
      <w:bookmarkStart w:id="402" w:name="_Toc509402617"/>
      <w:bookmarkStart w:id="403" w:name="_Toc535498910"/>
      <w:bookmarkStart w:id="404" w:name="_Toc23841390"/>
      <w:r w:rsidRPr="00FD4CA8">
        <w:rPr>
          <w:rFonts w:eastAsia="Times New Roman"/>
          <w:szCs w:val="24"/>
        </w:rPr>
        <w:t>Three most important strategies TtW providers used to achieve job placements</w:t>
      </w:r>
      <w:bookmarkEnd w:id="401"/>
      <w:bookmarkEnd w:id="402"/>
      <w:bookmarkEnd w:id="403"/>
      <w:bookmarkEnd w:id="404"/>
    </w:p>
    <w:p w14:paraId="48D54B7B" w14:textId="77777777" w:rsidR="00CC4E3D" w:rsidRPr="00610D95" w:rsidRDefault="00CC4E3D" w:rsidP="00CC4E3D">
      <w:r>
        <w:rPr>
          <w:rFonts w:ascii="Calibri" w:eastAsia="Times New Roman" w:hAnsi="Calibri" w:cs="Times New Roman"/>
        </w:rPr>
        <w:t xml:space="preserve">In addition to placing participants in various activities to prepare them for work, TtW providers were asked to identify the three most important other strategies they used to achieve job placements. </w:t>
      </w:r>
      <w:r>
        <w:rPr>
          <w:rFonts w:ascii="Calibri" w:eastAsia="Times New Roman" w:hAnsi="Calibri" w:cs="Times New Roman"/>
          <w:b/>
        </w:rPr>
        <w:t>Figure </w:t>
      </w:r>
      <w:r w:rsidRPr="00610D95">
        <w:rPr>
          <w:rFonts w:ascii="Calibri" w:eastAsia="Times New Roman" w:hAnsi="Calibri" w:cs="Times New Roman"/>
          <w:b/>
        </w:rPr>
        <w:t>4.1</w:t>
      </w:r>
      <w:r>
        <w:rPr>
          <w:rFonts w:ascii="Calibri" w:eastAsia="Times New Roman" w:hAnsi="Calibri" w:cs="Times New Roman"/>
          <w:b/>
        </w:rPr>
        <w:t>0 </w:t>
      </w:r>
      <w:r w:rsidRPr="005C25FE">
        <w:rPr>
          <w:rFonts w:ascii="Calibri" w:eastAsia="Times New Roman" w:hAnsi="Calibri" w:cs="Times New Roman"/>
        </w:rPr>
        <w:t>shows</w:t>
      </w:r>
      <w:r>
        <w:rPr>
          <w:rFonts w:ascii="Calibri" w:eastAsia="Times New Roman" w:hAnsi="Calibri" w:cs="Times New Roman"/>
        </w:rPr>
        <w:t xml:space="preserve"> how the other strategies reported by providers ranked overall</w:t>
      </w:r>
      <w:r w:rsidRPr="005C25FE">
        <w:rPr>
          <w:rFonts w:ascii="Calibri" w:eastAsia="Times New Roman" w:hAnsi="Calibri" w:cs="Times New Roman"/>
        </w:rPr>
        <w:t>.</w:t>
      </w:r>
      <w:r>
        <w:rPr>
          <w:rFonts w:ascii="Calibri" w:eastAsia="Times New Roman" w:hAnsi="Calibri" w:cs="Times New Roman"/>
        </w:rPr>
        <w:t xml:space="preserve"> </w:t>
      </w:r>
    </w:p>
    <w:p w14:paraId="39BD7EE8" w14:textId="72D2EFF4" w:rsidR="00CC4E3D" w:rsidRPr="00610D95" w:rsidRDefault="00CC4E3D" w:rsidP="00FD4CA8">
      <w:pPr>
        <w:pStyle w:val="Caption"/>
        <w:rPr>
          <w:rFonts w:eastAsia="Times New Roman" w:cs="Times New Roman"/>
          <w:highlight w:val="yellow"/>
        </w:rPr>
      </w:pPr>
      <w:bookmarkStart w:id="405" w:name="_Toc514172376"/>
      <w:bookmarkStart w:id="406" w:name="_Toc535511481"/>
      <w:bookmarkStart w:id="407" w:name="_Toc535511541"/>
      <w:bookmarkStart w:id="408" w:name="_Toc535512768"/>
      <w:bookmarkStart w:id="409" w:name="_Toc535513404"/>
      <w:bookmarkStart w:id="410" w:name="_Toc23841480"/>
      <w:bookmarkStart w:id="411" w:name="_Toc492976743"/>
      <w:bookmarkStart w:id="412" w:name="_Toc509402462"/>
      <w:r>
        <w:lastRenderedPageBreak/>
        <w:t xml:space="preserve">Figure </w:t>
      </w:r>
      <w:r>
        <w:rPr>
          <w:noProof/>
        </w:rPr>
        <w:fldChar w:fldCharType="begin"/>
      </w:r>
      <w:r>
        <w:rPr>
          <w:noProof/>
        </w:rPr>
        <w:instrText xml:space="preserve"> STYLEREF 1 \s </w:instrText>
      </w:r>
      <w:r>
        <w:rPr>
          <w:noProof/>
        </w:rPr>
        <w:fldChar w:fldCharType="separate"/>
      </w:r>
      <w:r w:rsidR="00D84A2A">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10</w:t>
      </w:r>
      <w:r>
        <w:rPr>
          <w:noProof/>
        </w:rPr>
        <w:fldChar w:fldCharType="end"/>
      </w:r>
      <w:r>
        <w:tab/>
        <w:t>TtW provider views on the most important job placement strategies</w:t>
      </w:r>
      <w:bookmarkEnd w:id="405"/>
      <w:bookmarkEnd w:id="406"/>
      <w:bookmarkEnd w:id="407"/>
      <w:bookmarkEnd w:id="408"/>
      <w:bookmarkEnd w:id="409"/>
      <w:bookmarkEnd w:id="410"/>
      <w:r>
        <w:t xml:space="preserve"> </w:t>
      </w:r>
      <w:bookmarkEnd w:id="411"/>
      <w:bookmarkEnd w:id="412"/>
    </w:p>
    <w:p w14:paraId="35BA603A" w14:textId="77777777" w:rsidR="00CC4E3D" w:rsidRPr="00873EE8" w:rsidRDefault="00CC4E3D" w:rsidP="00CC4E3D">
      <w:pPr>
        <w:keepNext/>
      </w:pPr>
      <w:r w:rsidRPr="00686386">
        <w:rPr>
          <w:noProof/>
          <w:lang w:eastAsia="en-AU"/>
        </w:rPr>
        <w:drawing>
          <wp:inline distT="0" distB="0" distL="0" distR="0" wp14:anchorId="24A0183A" wp14:editId="2CCE3EF1">
            <wp:extent cx="4582800" cy="3020400"/>
            <wp:effectExtent l="0" t="0" r="8255" b="8890"/>
            <wp:docPr id="17" name="Picture 17" descr="Bar chart showing provider views from survey on which job placement strategies were the most important.&#10;This figure shows the percentages of TtW providers who reported that the following strategies were in their top three most important:&#10;Preparing participants for work — 74.0%&#10;Preparing participants for interviews — 45.0%&#10;Providing post-placement support — 40.3%&#10;Understanding employer needs — 39.5%&#10;Maintaining relationships with employers — 38.7%&#10;Promoting the skills of participants — 37.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82800" cy="3020400"/>
                    </a:xfrm>
                    <a:prstGeom prst="rect">
                      <a:avLst/>
                    </a:prstGeom>
                    <a:noFill/>
                    <a:ln>
                      <a:noFill/>
                    </a:ln>
                  </pic:spPr>
                </pic:pic>
              </a:graphicData>
            </a:graphic>
          </wp:inline>
        </w:drawing>
      </w:r>
    </w:p>
    <w:p w14:paraId="4A0A51A9" w14:textId="77777777" w:rsidR="00CC4E3D" w:rsidRPr="005A1B8D" w:rsidRDefault="00CC4E3D" w:rsidP="00CC4E3D">
      <w:pPr>
        <w:pStyle w:val="Source"/>
        <w:rPr>
          <w:rStyle w:val="SubtleEmphasis"/>
          <w:b/>
          <w:i w:val="0"/>
          <w:iCs w:val="0"/>
        </w:rPr>
      </w:pPr>
      <w:r w:rsidRPr="005A1B8D">
        <w:rPr>
          <w:rStyle w:val="SubtleEmphasis"/>
          <w:b/>
          <w:i w:val="0"/>
        </w:rPr>
        <w:t>Source: TtW Provider Survey (2016).</w:t>
      </w:r>
    </w:p>
    <w:p w14:paraId="08EB89E7" w14:textId="77777777" w:rsidR="00CC4E3D" w:rsidRPr="00FB321E" w:rsidRDefault="00CC4E3D" w:rsidP="00CC4E3D">
      <w:pPr>
        <w:rPr>
          <w:rFonts w:ascii="Calibri" w:eastAsia="Times New Roman" w:hAnsi="Calibri" w:cs="Times New Roman"/>
          <w:b/>
          <w:bCs/>
          <w:sz w:val="28"/>
          <w:szCs w:val="26"/>
        </w:rPr>
      </w:pPr>
      <w:bookmarkStart w:id="413" w:name="_Toc492976307"/>
      <w:r>
        <w:rPr>
          <w:rFonts w:ascii="Calibri" w:eastAsia="Times New Roman" w:hAnsi="Calibri" w:cs="Times New Roman"/>
        </w:rPr>
        <w:t xml:space="preserve">Preparing participants for work was used by 74 per cent of providers as a strategy to get job placements. The next two most commonly reported strategies were preparing participants for interviews and providing post-placement support. Understanding employer needs, maintaining relationships with employers and promoting the skills of participants were also identified as </w:t>
      </w:r>
      <w:r w:rsidRPr="00FB321E">
        <w:rPr>
          <w:rFonts w:ascii="Calibri" w:eastAsia="Times New Roman" w:hAnsi="Calibri" w:cs="Times New Roman"/>
        </w:rPr>
        <w:t>important strategies for placing young people in jobs</w:t>
      </w:r>
      <w:r w:rsidRPr="00FB321E">
        <w:rPr>
          <w:rFonts w:eastAsia="Times New Roman" w:cs="Times New Roman"/>
        </w:rPr>
        <w:t>.</w:t>
      </w:r>
    </w:p>
    <w:p w14:paraId="4F161DA9" w14:textId="77777777" w:rsidR="00CC4E3D" w:rsidRPr="001F4939" w:rsidRDefault="00CC4E3D" w:rsidP="001F4939">
      <w:pPr>
        <w:pStyle w:val="Heading2"/>
        <w:numPr>
          <w:ilvl w:val="1"/>
          <w:numId w:val="4"/>
        </w:numPr>
        <w:rPr>
          <w:rFonts w:eastAsia="Times New Roman" w:cs="Times New Roman"/>
        </w:rPr>
      </w:pPr>
      <w:bookmarkStart w:id="414" w:name="_Toc509402618"/>
      <w:bookmarkStart w:id="415" w:name="_Toc535498911"/>
      <w:bookmarkStart w:id="416" w:name="_Toc23841391"/>
      <w:r w:rsidRPr="001F4939">
        <w:t>Whether referred participants left before completing 12 months of services</w:t>
      </w:r>
      <w:bookmarkEnd w:id="413"/>
      <w:bookmarkEnd w:id="414"/>
      <w:bookmarkEnd w:id="415"/>
      <w:bookmarkEnd w:id="416"/>
    </w:p>
    <w:p w14:paraId="1E7CC5D2" w14:textId="77777777" w:rsidR="00CC4E3D" w:rsidRDefault="00CC4E3D" w:rsidP="00CC4E3D">
      <w:pPr>
        <w:rPr>
          <w:rFonts w:ascii="Calibri" w:eastAsia="Times New Roman" w:hAnsi="Calibri" w:cs="Times New Roman"/>
        </w:rPr>
      </w:pPr>
      <w:r>
        <w:rPr>
          <w:rFonts w:ascii="Calibri" w:eastAsia="Times New Roman" w:hAnsi="Calibri" w:cs="Times New Roman"/>
        </w:rPr>
        <w:t>Young people referred to TtW who left before completing 12 months of services can be categorised into two groups:</w:t>
      </w:r>
    </w:p>
    <w:p w14:paraId="33BDD292" w14:textId="77777777" w:rsidR="00CC4E3D" w:rsidRPr="006703FE" w:rsidRDefault="00CC4E3D" w:rsidP="00E803E7">
      <w:pPr>
        <w:pStyle w:val="ListBullet"/>
        <w:rPr>
          <w:rFonts w:eastAsia="Times New Roman"/>
        </w:rPr>
      </w:pPr>
      <w:r w:rsidRPr="006703FE">
        <w:rPr>
          <w:rFonts w:eastAsia="Times New Roman"/>
        </w:rPr>
        <w:t xml:space="preserve">exits </w:t>
      </w:r>
      <w:r>
        <w:rPr>
          <w:rFonts w:eastAsia="Times New Roman"/>
        </w:rPr>
        <w:t>before</w:t>
      </w:r>
      <w:r w:rsidRPr="006703FE">
        <w:rPr>
          <w:rFonts w:eastAsia="Times New Roman"/>
        </w:rPr>
        <w:t xml:space="preserve"> commencement (non-commencements)</w:t>
      </w:r>
    </w:p>
    <w:p w14:paraId="1443F73E" w14:textId="77777777" w:rsidR="00CC4E3D" w:rsidRDefault="00CC4E3D" w:rsidP="00E803E7">
      <w:pPr>
        <w:pStyle w:val="ListBullet"/>
        <w:rPr>
          <w:rFonts w:eastAsia="Times New Roman"/>
        </w:rPr>
      </w:pPr>
      <w:r w:rsidRPr="006703FE">
        <w:rPr>
          <w:rFonts w:eastAsia="Times New Roman"/>
        </w:rPr>
        <w:t>exits after commencement (exits from services)</w:t>
      </w:r>
      <w:r>
        <w:rPr>
          <w:rFonts w:eastAsia="Times New Roman"/>
        </w:rPr>
        <w:t>.</w:t>
      </w:r>
    </w:p>
    <w:p w14:paraId="0E70D4F3" w14:textId="77777777" w:rsidR="00CC4E3D" w:rsidRPr="00FD4CA8" w:rsidRDefault="00CC4E3D" w:rsidP="001C25D9">
      <w:pPr>
        <w:pStyle w:val="Heading3"/>
        <w:numPr>
          <w:ilvl w:val="2"/>
          <w:numId w:val="4"/>
        </w:numPr>
        <w:spacing w:before="200"/>
        <w:rPr>
          <w:rFonts w:eastAsia="Times New Roman"/>
          <w:szCs w:val="24"/>
        </w:rPr>
      </w:pPr>
      <w:bookmarkStart w:id="417" w:name="_Toc535498912"/>
      <w:bookmarkStart w:id="418" w:name="_Toc23841392"/>
      <w:r w:rsidRPr="00FD4CA8">
        <w:rPr>
          <w:rFonts w:eastAsia="Times New Roman"/>
          <w:szCs w:val="24"/>
        </w:rPr>
        <w:t>Non-commencements</w:t>
      </w:r>
      <w:bookmarkEnd w:id="417"/>
      <w:bookmarkEnd w:id="418"/>
      <w:r w:rsidRPr="00FD4CA8">
        <w:rPr>
          <w:rFonts w:eastAsia="Times New Roman"/>
          <w:szCs w:val="24"/>
        </w:rPr>
        <w:t xml:space="preserve"> </w:t>
      </w:r>
    </w:p>
    <w:p w14:paraId="19A63670" w14:textId="77777777" w:rsidR="00CC4E3D" w:rsidRDefault="00CC4E3D" w:rsidP="00CC4E3D">
      <w:pPr>
        <w:rPr>
          <w:rFonts w:ascii="Calibri" w:eastAsia="Times New Roman" w:hAnsi="Calibri" w:cs="Times New Roman"/>
        </w:rPr>
      </w:pPr>
      <w:r w:rsidRPr="00DA3A22">
        <w:rPr>
          <w:rFonts w:ascii="Calibri" w:eastAsia="Times New Roman" w:hAnsi="Calibri" w:cs="Times New Roman"/>
        </w:rPr>
        <w:t xml:space="preserve">To measure </w:t>
      </w:r>
      <w:r>
        <w:rPr>
          <w:rFonts w:ascii="Calibri" w:eastAsia="Times New Roman" w:hAnsi="Calibri" w:cs="Times New Roman"/>
        </w:rPr>
        <w:t>the rate of non-commencement,</w:t>
      </w:r>
      <w:r w:rsidRPr="00DA3A22">
        <w:rPr>
          <w:rFonts w:ascii="Calibri" w:eastAsia="Times New Roman" w:hAnsi="Calibri" w:cs="Times New Roman"/>
        </w:rPr>
        <w:t xml:space="preserve"> </w:t>
      </w:r>
      <w:r>
        <w:rPr>
          <w:rFonts w:ascii="Calibri" w:eastAsia="Times New Roman" w:hAnsi="Calibri" w:cs="Times New Roman"/>
        </w:rPr>
        <w:t xml:space="preserve">the evaluation examined </w:t>
      </w:r>
      <w:r w:rsidRPr="00DA3A22">
        <w:rPr>
          <w:rFonts w:ascii="Calibri" w:eastAsia="Times New Roman" w:hAnsi="Calibri" w:cs="Times New Roman"/>
        </w:rPr>
        <w:t xml:space="preserve">the </w:t>
      </w:r>
      <w:r>
        <w:rPr>
          <w:rFonts w:ascii="Calibri" w:eastAsia="Times New Roman" w:hAnsi="Calibri" w:cs="Times New Roman"/>
        </w:rPr>
        <w:t>proportion of referred participants who</w:t>
      </w:r>
      <w:r w:rsidRPr="00DA3A22">
        <w:rPr>
          <w:rFonts w:ascii="Calibri" w:eastAsia="Times New Roman" w:hAnsi="Calibri" w:cs="Times New Roman"/>
        </w:rPr>
        <w:t xml:space="preserve"> did</w:t>
      </w:r>
      <w:r>
        <w:rPr>
          <w:rFonts w:ascii="Calibri" w:eastAsia="Times New Roman" w:hAnsi="Calibri" w:cs="Times New Roman"/>
        </w:rPr>
        <w:t xml:space="preserve"> not commence within the first three</w:t>
      </w:r>
      <w:r w:rsidRPr="00DA3A22">
        <w:rPr>
          <w:rFonts w:ascii="Calibri" w:eastAsia="Times New Roman" w:hAnsi="Calibri" w:cs="Times New Roman"/>
        </w:rPr>
        <w:t xml:space="preserve"> months</w:t>
      </w:r>
      <w:r>
        <w:rPr>
          <w:rFonts w:ascii="Calibri" w:eastAsia="Times New Roman" w:hAnsi="Calibri" w:cs="Times New Roman"/>
        </w:rPr>
        <w:t xml:space="preserve"> after referral</w:t>
      </w:r>
      <w:r w:rsidRPr="00DA3A22">
        <w:rPr>
          <w:rFonts w:ascii="Calibri" w:eastAsia="Times New Roman" w:hAnsi="Calibri" w:cs="Times New Roman"/>
        </w:rPr>
        <w:t xml:space="preserve"> (</w:t>
      </w:r>
      <w:r>
        <w:rPr>
          <w:rFonts w:ascii="Calibri" w:eastAsia="Times New Roman" w:hAnsi="Calibri" w:cs="Times New Roman"/>
          <w:b/>
        </w:rPr>
        <w:t>Figure 4.11</w:t>
      </w:r>
      <w:r w:rsidRPr="00DA3A22">
        <w:rPr>
          <w:rFonts w:ascii="Calibri" w:eastAsia="Times New Roman" w:hAnsi="Calibri" w:cs="Times New Roman"/>
        </w:rPr>
        <w:t>).</w:t>
      </w:r>
    </w:p>
    <w:p w14:paraId="18831718" w14:textId="77777777" w:rsidR="00CC4E3D" w:rsidRDefault="00CC4E3D" w:rsidP="00CC4E3D">
      <w:pPr>
        <w:rPr>
          <w:rFonts w:ascii="Calibri" w:eastAsia="Times New Roman" w:hAnsi="Calibri" w:cs="Times New Roman"/>
        </w:rPr>
      </w:pPr>
      <w:r>
        <w:rPr>
          <w:rFonts w:ascii="Calibri" w:eastAsia="Times New Roman" w:hAnsi="Calibri" w:cs="Times New Roman"/>
        </w:rPr>
        <w:lastRenderedPageBreak/>
        <w:t xml:space="preserve">There are many reasons why potential participants do not </w:t>
      </w:r>
      <w:r w:rsidRPr="00EE313D">
        <w:rPr>
          <w:rFonts w:ascii="Calibri" w:eastAsia="Times New Roman" w:hAnsi="Calibri" w:cs="Times New Roman"/>
        </w:rPr>
        <w:t>commence</w:t>
      </w:r>
      <w:r>
        <w:rPr>
          <w:rFonts w:ascii="Calibri" w:eastAsia="Times New Roman" w:hAnsi="Calibri" w:cs="Times New Roman"/>
        </w:rPr>
        <w:t xml:space="preserve">, including having </w:t>
      </w:r>
      <w:r w:rsidRPr="00EE313D">
        <w:rPr>
          <w:rFonts w:ascii="Calibri" w:eastAsia="Times New Roman" w:hAnsi="Calibri" w:cs="Times New Roman"/>
        </w:rPr>
        <w:t>their claim for income support</w:t>
      </w:r>
      <w:r>
        <w:rPr>
          <w:rFonts w:ascii="Calibri" w:eastAsia="Times New Roman" w:hAnsi="Calibri" w:cs="Times New Roman"/>
        </w:rPr>
        <w:t xml:space="preserve"> rejected; withdrawing their claim; </w:t>
      </w:r>
      <w:r w:rsidRPr="00EE313D">
        <w:rPr>
          <w:rFonts w:ascii="Calibri" w:eastAsia="Times New Roman" w:hAnsi="Calibri" w:cs="Times New Roman"/>
        </w:rPr>
        <w:t>elect</w:t>
      </w:r>
      <w:r>
        <w:rPr>
          <w:rFonts w:ascii="Calibri" w:eastAsia="Times New Roman" w:hAnsi="Calibri" w:cs="Times New Roman"/>
        </w:rPr>
        <w:t>ing</w:t>
      </w:r>
      <w:r w:rsidRPr="00EE313D">
        <w:rPr>
          <w:rFonts w:ascii="Calibri" w:eastAsia="Times New Roman" w:hAnsi="Calibri" w:cs="Times New Roman"/>
        </w:rPr>
        <w:t xml:space="preserve"> to return to full-time study</w:t>
      </w:r>
      <w:r>
        <w:rPr>
          <w:rFonts w:ascii="Calibri" w:eastAsia="Times New Roman" w:hAnsi="Calibri" w:cs="Times New Roman"/>
        </w:rPr>
        <w:t>;</w:t>
      </w:r>
      <w:r w:rsidRPr="00EE313D">
        <w:rPr>
          <w:rFonts w:ascii="Calibri" w:eastAsia="Times New Roman" w:hAnsi="Calibri" w:cs="Times New Roman"/>
        </w:rPr>
        <w:t xml:space="preserve"> be</w:t>
      </w:r>
      <w:r>
        <w:rPr>
          <w:rFonts w:ascii="Calibri" w:eastAsia="Times New Roman" w:hAnsi="Calibri" w:cs="Times New Roman"/>
        </w:rPr>
        <w:t>ing</w:t>
      </w:r>
      <w:r w:rsidRPr="00EE313D">
        <w:rPr>
          <w:rFonts w:ascii="Calibri" w:eastAsia="Times New Roman" w:hAnsi="Calibri" w:cs="Times New Roman"/>
        </w:rPr>
        <w:t xml:space="preserve"> referred to a</w:t>
      </w:r>
      <w:r>
        <w:rPr>
          <w:rFonts w:ascii="Calibri" w:eastAsia="Times New Roman" w:hAnsi="Calibri" w:cs="Times New Roman"/>
        </w:rPr>
        <w:t>nother</w:t>
      </w:r>
      <w:r w:rsidRPr="00EE313D">
        <w:rPr>
          <w:rFonts w:ascii="Calibri" w:eastAsia="Times New Roman" w:hAnsi="Calibri" w:cs="Times New Roman"/>
        </w:rPr>
        <w:t xml:space="preserve"> </w:t>
      </w:r>
      <w:r>
        <w:rPr>
          <w:rFonts w:ascii="Calibri" w:eastAsia="Times New Roman" w:hAnsi="Calibri" w:cs="Times New Roman"/>
        </w:rPr>
        <w:t>service;</w:t>
      </w:r>
      <w:r>
        <w:rPr>
          <w:rStyle w:val="FootnoteReference"/>
          <w:rFonts w:ascii="Calibri" w:eastAsia="Times New Roman" w:hAnsi="Calibri" w:cs="Times New Roman"/>
        </w:rPr>
        <w:footnoteReference w:id="25"/>
      </w:r>
      <w:r w:rsidRPr="00EE313D">
        <w:rPr>
          <w:rFonts w:ascii="Calibri" w:eastAsia="Times New Roman" w:hAnsi="Calibri" w:cs="Times New Roman"/>
        </w:rPr>
        <w:t xml:space="preserve"> </w:t>
      </w:r>
      <w:r>
        <w:rPr>
          <w:rFonts w:ascii="Calibri" w:eastAsia="Times New Roman" w:hAnsi="Calibri" w:cs="Times New Roman"/>
        </w:rPr>
        <w:t>or</w:t>
      </w:r>
      <w:r w:rsidRPr="00EE313D">
        <w:rPr>
          <w:rFonts w:ascii="Calibri" w:eastAsia="Times New Roman" w:hAnsi="Calibri" w:cs="Times New Roman"/>
        </w:rPr>
        <w:t xml:space="preserve"> find</w:t>
      </w:r>
      <w:r>
        <w:rPr>
          <w:rFonts w:ascii="Calibri" w:eastAsia="Times New Roman" w:hAnsi="Calibri" w:cs="Times New Roman"/>
        </w:rPr>
        <w:t>ing</w:t>
      </w:r>
      <w:r w:rsidRPr="00EE313D">
        <w:rPr>
          <w:rFonts w:ascii="Calibri" w:eastAsia="Times New Roman" w:hAnsi="Calibri" w:cs="Times New Roman"/>
        </w:rPr>
        <w:t xml:space="preserve"> a job</w:t>
      </w:r>
      <w:r>
        <w:rPr>
          <w:rFonts w:ascii="Calibri" w:eastAsia="Times New Roman" w:hAnsi="Calibri" w:cs="Times New Roman"/>
        </w:rPr>
        <w:t>.</w:t>
      </w:r>
    </w:p>
    <w:p w14:paraId="7819B43B" w14:textId="548FC164" w:rsidR="00CC4E3D" w:rsidRPr="00DA3A22" w:rsidRDefault="00CC4E3D" w:rsidP="00FD4CA8">
      <w:pPr>
        <w:pStyle w:val="Caption"/>
        <w:rPr>
          <w:rFonts w:eastAsia="Times New Roman"/>
        </w:rPr>
      </w:pPr>
      <w:bookmarkStart w:id="419" w:name="_Toc514172377"/>
      <w:bookmarkStart w:id="420" w:name="_Toc492976744"/>
      <w:bookmarkStart w:id="421" w:name="_Toc509402463"/>
      <w:bookmarkStart w:id="422" w:name="_Toc535511482"/>
      <w:bookmarkStart w:id="423" w:name="_Toc535511542"/>
      <w:bookmarkStart w:id="424" w:name="_Toc535512769"/>
      <w:bookmarkStart w:id="425" w:name="_Toc535513405"/>
      <w:bookmarkStart w:id="426" w:name="_Toc23841481"/>
      <w:r>
        <w:t xml:space="preserve">Figure </w:t>
      </w:r>
      <w:r>
        <w:rPr>
          <w:noProof/>
        </w:rPr>
        <w:fldChar w:fldCharType="begin"/>
      </w:r>
      <w:r>
        <w:rPr>
          <w:noProof/>
        </w:rPr>
        <w:instrText xml:space="preserve"> STYLEREF 1 \s </w:instrText>
      </w:r>
      <w:r>
        <w:rPr>
          <w:noProof/>
        </w:rPr>
        <w:fldChar w:fldCharType="separate"/>
      </w:r>
      <w:r w:rsidR="00D84A2A">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11</w:t>
      </w:r>
      <w:r>
        <w:rPr>
          <w:noProof/>
        </w:rPr>
        <w:fldChar w:fldCharType="end"/>
      </w:r>
      <w:r>
        <w:tab/>
        <w:t>Percentage of r</w:t>
      </w:r>
      <w:r w:rsidRPr="006C6241">
        <w:t>eferr</w:t>
      </w:r>
      <w:r>
        <w:t>ed participants who did</w:t>
      </w:r>
      <w:r w:rsidRPr="006C6241">
        <w:t xml:space="preserve"> not commence</w:t>
      </w:r>
      <w:r>
        <w:t xml:space="preserve">, </w:t>
      </w:r>
      <w:r w:rsidRPr="00610D95">
        <w:t>by month</w:t>
      </w:r>
      <w:r>
        <w:t xml:space="preserve"> from referral, comparing TtW and jobactive</w:t>
      </w:r>
      <w:bookmarkEnd w:id="419"/>
      <w:bookmarkEnd w:id="420"/>
      <w:bookmarkEnd w:id="421"/>
      <w:bookmarkEnd w:id="422"/>
      <w:bookmarkEnd w:id="423"/>
      <w:bookmarkEnd w:id="424"/>
      <w:bookmarkEnd w:id="425"/>
      <w:bookmarkEnd w:id="426"/>
    </w:p>
    <w:p w14:paraId="0D242456" w14:textId="77777777" w:rsidR="00CC4E3D" w:rsidRPr="003B4865" w:rsidRDefault="00CC4E3D" w:rsidP="00CC4E3D">
      <w:pPr>
        <w:rPr>
          <w:rFonts w:eastAsia="Times New Roman" w:cs="Times New Roman"/>
        </w:rPr>
      </w:pPr>
      <w:r w:rsidRPr="00D05F65">
        <w:rPr>
          <w:noProof/>
          <w:lang w:eastAsia="en-AU"/>
        </w:rPr>
        <w:drawing>
          <wp:inline distT="0" distB="0" distL="0" distR="0" wp14:anchorId="7F515D2B" wp14:editId="6F702E9C">
            <wp:extent cx="5403600" cy="3045600"/>
            <wp:effectExtent l="0" t="0" r="6985" b="2540"/>
            <wp:docPr id="307" name="Picture 307" descr="Clustered column chart comparing percentages of exits before commencement in TtW and jobactive.&#10;This figure compares the percentages of young people referred to TtW and jobactive who did not commence in the first 3 months after referral. The results were:&#10;Month 1 — TtW 13.9%; jobactive 19.0%&#10;Month 2 — TtW 10.9%; jobactive 5.7%&#10;Month 3 — TtW 2.9%; jobactive 2.8%&#10;Month 3+ — TtW 3.0%; jobactive 5.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03600" cy="3045600"/>
                    </a:xfrm>
                    <a:prstGeom prst="rect">
                      <a:avLst/>
                    </a:prstGeom>
                    <a:noFill/>
                    <a:ln>
                      <a:noFill/>
                    </a:ln>
                  </pic:spPr>
                </pic:pic>
              </a:graphicData>
            </a:graphic>
          </wp:inline>
        </w:drawing>
      </w:r>
    </w:p>
    <w:p w14:paraId="3E92B61C" w14:textId="0ECEC3CB" w:rsidR="00CC4E3D" w:rsidRPr="005A1B8D" w:rsidRDefault="00CC4E3D" w:rsidP="00CC4E3D">
      <w:pPr>
        <w:pStyle w:val="Source"/>
        <w:rPr>
          <w:rFonts w:eastAsia="Times New Roman"/>
          <w:b/>
        </w:rPr>
      </w:pPr>
      <w:r w:rsidRPr="005A1B8D">
        <w:rPr>
          <w:rFonts w:eastAsia="Times New Roman"/>
          <w:b/>
        </w:rPr>
        <w:t xml:space="preserve">Source: Department of </w:t>
      </w:r>
      <w:r w:rsidR="00C63B89" w:rsidRPr="005A1B8D">
        <w:rPr>
          <w:rFonts w:eastAsia="Times New Roman"/>
          <w:b/>
        </w:rPr>
        <w:t>Employment, Skills, Small and Family</w:t>
      </w:r>
      <w:r w:rsidRPr="005A1B8D">
        <w:rPr>
          <w:rFonts w:eastAsia="Times New Roman"/>
          <w:b/>
        </w:rPr>
        <w:t xml:space="preserve"> Business administrative data — matched inflow populations.</w:t>
      </w:r>
    </w:p>
    <w:p w14:paraId="1D6112DC" w14:textId="77777777" w:rsidR="00CC4E3D" w:rsidRDefault="00CC4E3D" w:rsidP="00CC4E3D">
      <w:pPr>
        <w:rPr>
          <w:rFonts w:eastAsia="Times New Roman"/>
        </w:rPr>
      </w:pPr>
      <w:r w:rsidRPr="00A44151">
        <w:rPr>
          <w:rFonts w:eastAsia="Times New Roman"/>
        </w:rPr>
        <w:t>While</w:t>
      </w:r>
      <w:r>
        <w:rPr>
          <w:rFonts w:eastAsia="Times New Roman"/>
        </w:rPr>
        <w:t xml:space="preserve"> the</w:t>
      </w:r>
      <w:r w:rsidRPr="00A44151">
        <w:rPr>
          <w:rFonts w:eastAsia="Times New Roman"/>
        </w:rPr>
        <w:t xml:space="preserve"> </w:t>
      </w:r>
      <w:r>
        <w:rPr>
          <w:rFonts w:eastAsia="Times New Roman"/>
        </w:rPr>
        <w:t>differences between the non-commencement rates in</w:t>
      </w:r>
      <w:r w:rsidRPr="00A44151">
        <w:rPr>
          <w:rFonts w:eastAsia="Times New Roman"/>
        </w:rPr>
        <w:t xml:space="preserve"> </w:t>
      </w:r>
      <w:r>
        <w:rPr>
          <w:rFonts w:eastAsia="Times New Roman"/>
        </w:rPr>
        <w:t xml:space="preserve">the first two months after referral for TtW and jobactive were significant, there was </w:t>
      </w:r>
      <w:r w:rsidRPr="00A44151">
        <w:rPr>
          <w:rFonts w:eastAsia="Times New Roman"/>
        </w:rPr>
        <w:t xml:space="preserve">no </w:t>
      </w:r>
      <w:r>
        <w:rPr>
          <w:rFonts w:eastAsia="Times New Roman"/>
        </w:rPr>
        <w:t>meaningful</w:t>
      </w:r>
      <w:r w:rsidRPr="00A44151">
        <w:rPr>
          <w:rFonts w:eastAsia="Times New Roman"/>
        </w:rPr>
        <w:t xml:space="preserve"> difference between </w:t>
      </w:r>
      <w:r>
        <w:rPr>
          <w:rFonts w:eastAsia="Times New Roman"/>
        </w:rPr>
        <w:t xml:space="preserve">the </w:t>
      </w:r>
      <w:r w:rsidRPr="00A44151">
        <w:rPr>
          <w:rFonts w:eastAsia="Times New Roman"/>
        </w:rPr>
        <w:t xml:space="preserve">overall </w:t>
      </w:r>
      <w:r>
        <w:rPr>
          <w:rFonts w:eastAsia="Times New Roman"/>
        </w:rPr>
        <w:t>non</w:t>
      </w:r>
      <w:r>
        <w:rPr>
          <w:rFonts w:eastAsia="Times New Roman"/>
        </w:rPr>
        <w:noBreakHyphen/>
        <w:t xml:space="preserve">commencement rates in </w:t>
      </w:r>
      <w:r w:rsidRPr="00A44151">
        <w:rPr>
          <w:rFonts w:eastAsia="Times New Roman"/>
        </w:rPr>
        <w:t xml:space="preserve">TtW </w:t>
      </w:r>
      <w:r>
        <w:rPr>
          <w:rFonts w:eastAsia="Times New Roman"/>
        </w:rPr>
        <w:t xml:space="preserve">(27.5 per cent) </w:t>
      </w:r>
      <w:r w:rsidRPr="00A44151">
        <w:rPr>
          <w:rFonts w:eastAsia="Times New Roman"/>
        </w:rPr>
        <w:t>and jobactive</w:t>
      </w:r>
      <w:r>
        <w:rPr>
          <w:rFonts w:eastAsia="Times New Roman"/>
        </w:rPr>
        <w:t xml:space="preserve"> (27.6 per cent) at three months from referral to services. </w:t>
      </w:r>
    </w:p>
    <w:p w14:paraId="301D4EBA" w14:textId="77777777" w:rsidR="00CC4E3D" w:rsidRDefault="00CC4E3D" w:rsidP="00CC4E3D">
      <w:pPr>
        <w:rPr>
          <w:rFonts w:eastAsia="Times New Roman"/>
        </w:rPr>
      </w:pPr>
      <w:r>
        <w:rPr>
          <w:rFonts w:eastAsia="Times New Roman"/>
        </w:rPr>
        <w:t xml:space="preserve">Non-commencements for jobactive were predominantly recorded in the first month following referral, while TtW non-commencements were recorded mostly during the first two months. </w:t>
      </w:r>
      <w:r w:rsidRPr="00A44151">
        <w:rPr>
          <w:rFonts w:eastAsia="Times New Roman"/>
        </w:rPr>
        <w:t xml:space="preserve">The </w:t>
      </w:r>
      <w:r>
        <w:rPr>
          <w:rFonts w:eastAsia="Times New Roman"/>
        </w:rPr>
        <w:t xml:space="preserve">greater </w:t>
      </w:r>
      <w:r w:rsidRPr="00A44151">
        <w:rPr>
          <w:rFonts w:eastAsia="Times New Roman"/>
        </w:rPr>
        <w:t xml:space="preserve">lag in time </w:t>
      </w:r>
      <w:r>
        <w:rPr>
          <w:rFonts w:eastAsia="Times New Roman"/>
        </w:rPr>
        <w:t>for TtW non-commencements to be recorded</w:t>
      </w:r>
      <w:r w:rsidRPr="00A44151">
        <w:rPr>
          <w:rFonts w:eastAsia="Times New Roman"/>
        </w:rPr>
        <w:t xml:space="preserve"> reflect</w:t>
      </w:r>
      <w:r>
        <w:rPr>
          <w:rFonts w:eastAsia="Times New Roman"/>
        </w:rPr>
        <w:t>ed</w:t>
      </w:r>
      <w:r w:rsidRPr="00A44151">
        <w:rPr>
          <w:rFonts w:eastAsia="Times New Roman"/>
        </w:rPr>
        <w:t xml:space="preserve"> </w:t>
      </w:r>
      <w:r>
        <w:rPr>
          <w:rFonts w:eastAsia="Times New Roman"/>
        </w:rPr>
        <w:t>the</w:t>
      </w:r>
      <w:r w:rsidRPr="00A44151">
        <w:rPr>
          <w:rFonts w:eastAsia="Times New Roman"/>
        </w:rPr>
        <w:t xml:space="preserve"> </w:t>
      </w:r>
      <w:r>
        <w:rPr>
          <w:rFonts w:eastAsia="Times New Roman"/>
        </w:rPr>
        <w:t xml:space="preserve">greater flexibility TtW providers had to engage participants due to the </w:t>
      </w:r>
      <w:r>
        <w:t>different compliance arrangements</w:t>
      </w:r>
      <w:r>
        <w:rPr>
          <w:rStyle w:val="FootnoteReference"/>
        </w:rPr>
        <w:footnoteReference w:id="26"/>
      </w:r>
      <w:r>
        <w:t xml:space="preserve"> applying to individual appointments or activities</w:t>
      </w:r>
      <w:r w:rsidRPr="005C25FE">
        <w:t xml:space="preserve"> </w:t>
      </w:r>
      <w:r>
        <w:t>in TtW</w:t>
      </w:r>
      <w:r w:rsidRPr="00A44151">
        <w:rPr>
          <w:rFonts w:eastAsia="Times New Roman"/>
        </w:rPr>
        <w:t>.</w:t>
      </w:r>
    </w:p>
    <w:p w14:paraId="6F61F003" w14:textId="77777777" w:rsidR="00CC4E3D" w:rsidRDefault="00CC4E3D" w:rsidP="00CC4E3D">
      <w:pPr>
        <w:rPr>
          <w:rFonts w:eastAsia="Times New Roman" w:cs="Calibri"/>
          <w:color w:val="000000"/>
        </w:rPr>
      </w:pPr>
      <w:r>
        <w:rPr>
          <w:rFonts w:eastAsia="Times New Roman" w:cs="Calibri"/>
          <w:color w:val="000000"/>
        </w:rPr>
        <w:t>For m</w:t>
      </w:r>
      <w:r w:rsidRPr="00A44151">
        <w:rPr>
          <w:rFonts w:eastAsia="Times New Roman" w:cs="Calibri"/>
          <w:color w:val="000000"/>
        </w:rPr>
        <w:t xml:space="preserve">ost </w:t>
      </w:r>
      <w:r>
        <w:rPr>
          <w:rFonts w:eastAsia="Times New Roman" w:cs="Calibri"/>
          <w:color w:val="000000"/>
        </w:rPr>
        <w:t>young people</w:t>
      </w:r>
      <w:r>
        <w:rPr>
          <w:rFonts w:eastAsia="Times New Roman"/>
        </w:rPr>
        <w:t xml:space="preserve"> </w:t>
      </w:r>
      <w:r w:rsidRPr="00A44151">
        <w:rPr>
          <w:rFonts w:eastAsia="Times New Roman"/>
        </w:rPr>
        <w:t>registering for unemployment benefits with DHS</w:t>
      </w:r>
      <w:r>
        <w:rPr>
          <w:rFonts w:eastAsia="Times New Roman"/>
        </w:rPr>
        <w:t>, f</w:t>
      </w:r>
      <w:r w:rsidRPr="00A44151">
        <w:rPr>
          <w:rFonts w:eastAsia="Times New Roman" w:cs="Calibri"/>
          <w:color w:val="000000"/>
        </w:rPr>
        <w:t xml:space="preserve">ailure to engage </w:t>
      </w:r>
      <w:r>
        <w:rPr>
          <w:rFonts w:eastAsia="Times New Roman" w:cs="Calibri"/>
          <w:color w:val="000000"/>
        </w:rPr>
        <w:t xml:space="preserve">with their jobactive provider (attend an initial appointment without a valid reason recorded) </w:t>
      </w:r>
      <w:r w:rsidRPr="00A44151">
        <w:rPr>
          <w:rFonts w:eastAsia="Times New Roman" w:cs="Calibri"/>
          <w:color w:val="000000"/>
        </w:rPr>
        <w:t>during the first month w</w:t>
      </w:r>
      <w:r>
        <w:rPr>
          <w:rFonts w:eastAsia="Times New Roman" w:cs="Calibri"/>
          <w:color w:val="000000"/>
        </w:rPr>
        <w:t xml:space="preserve">ould </w:t>
      </w:r>
      <w:r w:rsidRPr="00A44151">
        <w:rPr>
          <w:rFonts w:eastAsia="Times New Roman" w:cs="Calibri"/>
          <w:color w:val="000000"/>
        </w:rPr>
        <w:t xml:space="preserve">normally result in </w:t>
      </w:r>
      <w:r>
        <w:rPr>
          <w:rFonts w:eastAsia="Times New Roman" w:cs="Calibri"/>
          <w:color w:val="000000"/>
        </w:rPr>
        <w:t xml:space="preserve">an automatic </w:t>
      </w:r>
      <w:r w:rsidRPr="00A44151">
        <w:rPr>
          <w:rFonts w:eastAsia="Times New Roman" w:cs="Calibri"/>
          <w:color w:val="000000"/>
        </w:rPr>
        <w:t xml:space="preserve">cancellation of their income support claim and exit </w:t>
      </w:r>
      <w:r w:rsidRPr="00A44151">
        <w:rPr>
          <w:rFonts w:eastAsia="Times New Roman" w:cs="Calibri"/>
          <w:color w:val="000000"/>
        </w:rPr>
        <w:lastRenderedPageBreak/>
        <w:t xml:space="preserve">from </w:t>
      </w:r>
      <w:r>
        <w:rPr>
          <w:rFonts w:eastAsia="Times New Roman" w:cs="Calibri"/>
          <w:color w:val="000000"/>
        </w:rPr>
        <w:t>employment services, unless they elect to continue in the service as a volunteer</w:t>
      </w:r>
      <w:r w:rsidRPr="00A44151">
        <w:rPr>
          <w:rFonts w:eastAsia="Times New Roman" w:cs="Calibri"/>
          <w:color w:val="000000"/>
        </w:rPr>
        <w:t>.</w:t>
      </w:r>
      <w:r>
        <w:rPr>
          <w:rFonts w:eastAsia="Times New Roman" w:cs="Calibri"/>
          <w:color w:val="000000"/>
        </w:rPr>
        <w:t xml:space="preserve"> Servicing in TtW remained the same regardless of the young person’s income support status.</w:t>
      </w:r>
    </w:p>
    <w:p w14:paraId="1B419702" w14:textId="77777777" w:rsidR="00CC4E3D" w:rsidRPr="00FD4CA8" w:rsidRDefault="00CC4E3D" w:rsidP="001C25D9">
      <w:pPr>
        <w:pStyle w:val="Heading3"/>
        <w:numPr>
          <w:ilvl w:val="2"/>
          <w:numId w:val="4"/>
        </w:numPr>
        <w:spacing w:before="200"/>
        <w:rPr>
          <w:rFonts w:eastAsia="Times New Roman"/>
          <w:szCs w:val="24"/>
        </w:rPr>
      </w:pPr>
      <w:bookmarkStart w:id="427" w:name="_Toc535498913"/>
      <w:bookmarkStart w:id="428" w:name="_Toc23841393"/>
      <w:r w:rsidRPr="00FD4CA8">
        <w:rPr>
          <w:rFonts w:eastAsia="Times New Roman"/>
          <w:szCs w:val="24"/>
        </w:rPr>
        <w:t xml:space="preserve">Exits from </w:t>
      </w:r>
      <w:r w:rsidRPr="00FD4CA8">
        <w:rPr>
          <w:szCs w:val="24"/>
        </w:rPr>
        <w:t>services</w:t>
      </w:r>
      <w:bookmarkEnd w:id="427"/>
      <w:bookmarkEnd w:id="428"/>
    </w:p>
    <w:p w14:paraId="3E4ADB34" w14:textId="77777777" w:rsidR="00CC4E3D" w:rsidRPr="002A7ADD" w:rsidRDefault="00CC4E3D" w:rsidP="00CC4E3D">
      <w:pPr>
        <w:rPr>
          <w:rFonts w:eastAsia="Times New Roman"/>
        </w:rPr>
      </w:pPr>
      <w:r w:rsidRPr="00A44151">
        <w:rPr>
          <w:rFonts w:eastAsia="Times New Roman"/>
        </w:rPr>
        <w:t>Exits</w:t>
      </w:r>
      <w:r>
        <w:rPr>
          <w:rFonts w:eastAsia="Times New Roman"/>
        </w:rPr>
        <w:t xml:space="preserve"> for non-employment reasons</w:t>
      </w:r>
      <w:r w:rsidRPr="00A44151">
        <w:rPr>
          <w:rFonts w:eastAsia="Times New Roman"/>
        </w:rPr>
        <w:t xml:space="preserve"> from TtW</w:t>
      </w:r>
      <w:r>
        <w:rPr>
          <w:rFonts w:eastAsia="Times New Roman"/>
        </w:rPr>
        <w:t xml:space="preserve"> after commencement, particularly in the early months, partly </w:t>
      </w:r>
      <w:r w:rsidRPr="00A44151">
        <w:rPr>
          <w:rFonts w:eastAsia="Times New Roman"/>
        </w:rPr>
        <w:t>reflect</w:t>
      </w:r>
      <w:r>
        <w:rPr>
          <w:rFonts w:eastAsia="Times New Roman"/>
        </w:rPr>
        <w:t xml:space="preserve">ed </w:t>
      </w:r>
      <w:r w:rsidRPr="00A44151">
        <w:rPr>
          <w:rFonts w:eastAsia="Times New Roman"/>
        </w:rPr>
        <w:t>the provider</w:t>
      </w:r>
      <w:r>
        <w:rPr>
          <w:rFonts w:eastAsia="Times New Roman"/>
        </w:rPr>
        <w:t>’</w:t>
      </w:r>
      <w:r w:rsidRPr="00A44151">
        <w:rPr>
          <w:rFonts w:eastAsia="Times New Roman"/>
        </w:rPr>
        <w:t xml:space="preserve">s ability to </w:t>
      </w:r>
      <w:r>
        <w:rPr>
          <w:rFonts w:eastAsia="Times New Roman"/>
        </w:rPr>
        <w:t xml:space="preserve">successfully </w:t>
      </w:r>
      <w:r w:rsidRPr="00A44151">
        <w:rPr>
          <w:rFonts w:eastAsia="Times New Roman"/>
        </w:rPr>
        <w:t>engage young people in the</w:t>
      </w:r>
      <w:r>
        <w:rPr>
          <w:rFonts w:eastAsia="Times New Roman"/>
        </w:rPr>
        <w:t xml:space="preserve"> service (</w:t>
      </w:r>
      <w:r>
        <w:rPr>
          <w:rFonts w:eastAsia="Times New Roman"/>
          <w:b/>
        </w:rPr>
        <w:t>Figure 4.</w:t>
      </w:r>
      <w:r w:rsidRPr="00D511F5">
        <w:rPr>
          <w:rFonts w:eastAsia="Times New Roman"/>
          <w:b/>
        </w:rPr>
        <w:t>1</w:t>
      </w:r>
      <w:r>
        <w:rPr>
          <w:rFonts w:eastAsia="Times New Roman"/>
          <w:b/>
        </w:rPr>
        <w:t>2</w:t>
      </w:r>
      <w:r>
        <w:rPr>
          <w:rFonts w:eastAsia="Times New Roman"/>
        </w:rPr>
        <w:t>)</w:t>
      </w:r>
      <w:bookmarkStart w:id="429" w:name="_Toc492976745"/>
      <w:r>
        <w:rPr>
          <w:rFonts w:eastAsia="Times New Roman"/>
        </w:rPr>
        <w:t xml:space="preserve">. </w:t>
      </w:r>
    </w:p>
    <w:p w14:paraId="58C82B90" w14:textId="707AE696" w:rsidR="00CC4E3D" w:rsidRPr="00A44151" w:rsidRDefault="00CC4E3D" w:rsidP="00FD4CA8">
      <w:pPr>
        <w:pStyle w:val="Caption"/>
        <w:rPr>
          <w:rFonts w:cs="Calibri"/>
          <w:color w:val="000000"/>
        </w:rPr>
      </w:pPr>
      <w:bookmarkStart w:id="430" w:name="_Toc514172378"/>
      <w:bookmarkStart w:id="431" w:name="_Toc535511483"/>
      <w:bookmarkStart w:id="432" w:name="_Toc535511543"/>
      <w:bookmarkStart w:id="433" w:name="_Toc535512770"/>
      <w:bookmarkStart w:id="434" w:name="_Toc535513406"/>
      <w:bookmarkStart w:id="435" w:name="_Toc23841482"/>
      <w:bookmarkStart w:id="436" w:name="_Toc509402464"/>
      <w:r>
        <w:t xml:space="preserve">Figure </w:t>
      </w:r>
      <w:r>
        <w:rPr>
          <w:noProof/>
        </w:rPr>
        <w:fldChar w:fldCharType="begin"/>
      </w:r>
      <w:r>
        <w:rPr>
          <w:noProof/>
        </w:rPr>
        <w:instrText xml:space="preserve"> STYLEREF 1 \s </w:instrText>
      </w:r>
      <w:r>
        <w:rPr>
          <w:noProof/>
        </w:rPr>
        <w:fldChar w:fldCharType="separate"/>
      </w:r>
      <w:r w:rsidR="00D84A2A">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12</w:t>
      </w:r>
      <w:r>
        <w:rPr>
          <w:noProof/>
        </w:rPr>
        <w:fldChar w:fldCharType="end"/>
      </w:r>
      <w:r>
        <w:tab/>
      </w:r>
      <w:r w:rsidRPr="00384DFF">
        <w:t>Percentage of commenced participants who exited, by month from commencement, comparing TtW and jobactive</w:t>
      </w:r>
      <w:bookmarkEnd w:id="430"/>
      <w:bookmarkEnd w:id="431"/>
      <w:bookmarkEnd w:id="432"/>
      <w:bookmarkEnd w:id="433"/>
      <w:bookmarkEnd w:id="434"/>
      <w:bookmarkEnd w:id="435"/>
      <w:r w:rsidRPr="00384DFF" w:rsidDel="00384DFF">
        <w:t xml:space="preserve"> </w:t>
      </w:r>
      <w:bookmarkEnd w:id="429"/>
      <w:bookmarkEnd w:id="436"/>
    </w:p>
    <w:p w14:paraId="123C0CB4" w14:textId="77777777" w:rsidR="00CC4E3D" w:rsidRDefault="00CC4E3D" w:rsidP="00CC4E3D">
      <w:r w:rsidRPr="00BE0CC7">
        <w:rPr>
          <w:noProof/>
          <w:lang w:eastAsia="en-AU"/>
        </w:rPr>
        <w:drawing>
          <wp:inline distT="0" distB="0" distL="0" distR="0" wp14:anchorId="3DB8F768" wp14:editId="7BF8176F">
            <wp:extent cx="5731510" cy="3261538"/>
            <wp:effectExtent l="0" t="0" r="2540" b="0"/>
            <wp:docPr id="14" name="Picture 14" descr="Clustered column chart comparing percentages of exits by month after commencement in TtW and jobactive.&#10;This figure compares the percentages of commenced TtW and jobactive participants who exited from the service in their first six months. The results were:&#10;Month 1 — TtW 7.4%; jobactive 16.3%&#10;Month 2 — TtW 10.4%; jobactive 10.3%&#10;Month 3 — TtW 9.0%; jobactive 8.4%&#10;Month 4 — TtW 6.9%; jobactive 6.5%&#10;Month 5 — TtW 6.0%; jobactive 5.2%&#10;Month 6 — TtW 5.2%; jobactive 5.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31510" cy="3261538"/>
                    </a:xfrm>
                    <a:prstGeom prst="rect">
                      <a:avLst/>
                    </a:prstGeom>
                    <a:noFill/>
                    <a:ln>
                      <a:noFill/>
                    </a:ln>
                  </pic:spPr>
                </pic:pic>
              </a:graphicData>
            </a:graphic>
          </wp:inline>
        </w:drawing>
      </w:r>
    </w:p>
    <w:p w14:paraId="24C0239E" w14:textId="67755B35" w:rsidR="00CC4E3D" w:rsidRPr="005A1B8D" w:rsidRDefault="00CC4E3D" w:rsidP="00CC4E3D">
      <w:pPr>
        <w:pStyle w:val="Source"/>
        <w:rPr>
          <w:rFonts w:eastAsia="Times New Roman"/>
          <w:b/>
        </w:rPr>
      </w:pPr>
      <w:r w:rsidRPr="005A1B8D">
        <w:rPr>
          <w:rFonts w:eastAsia="Times New Roman"/>
          <w:b/>
        </w:rPr>
        <w:t xml:space="preserve">Source: Department of </w:t>
      </w:r>
      <w:r w:rsidR="00C63B89" w:rsidRPr="005A1B8D">
        <w:rPr>
          <w:rFonts w:eastAsia="Times New Roman"/>
          <w:b/>
        </w:rPr>
        <w:t>Employment, Skills, Small and Family</w:t>
      </w:r>
      <w:r w:rsidRPr="005A1B8D">
        <w:rPr>
          <w:rFonts w:eastAsia="Times New Roman"/>
          <w:b/>
        </w:rPr>
        <w:t xml:space="preserve"> Business administrative data — matched inflow populations.</w:t>
      </w:r>
    </w:p>
    <w:p w14:paraId="7A233026" w14:textId="77777777" w:rsidR="00CC4E3D" w:rsidRDefault="00CC4E3D" w:rsidP="00CC4E3D">
      <w:pPr>
        <w:rPr>
          <w:rFonts w:eastAsia="Times New Roman"/>
        </w:rPr>
      </w:pPr>
      <w:r w:rsidRPr="00A44151">
        <w:rPr>
          <w:rFonts w:eastAsia="Times New Roman"/>
        </w:rPr>
        <w:t xml:space="preserve">During the first month after commencement, </w:t>
      </w:r>
      <w:r>
        <w:rPr>
          <w:rFonts w:eastAsia="Times New Roman"/>
        </w:rPr>
        <w:t>young people</w:t>
      </w:r>
      <w:r w:rsidRPr="00A44151">
        <w:rPr>
          <w:rFonts w:eastAsia="Times New Roman"/>
        </w:rPr>
        <w:t xml:space="preserve"> in jobactive ha</w:t>
      </w:r>
      <w:r>
        <w:rPr>
          <w:rFonts w:eastAsia="Times New Roman"/>
        </w:rPr>
        <w:t xml:space="preserve">d </w:t>
      </w:r>
      <w:r w:rsidRPr="00A44151">
        <w:rPr>
          <w:rFonts w:eastAsia="Times New Roman"/>
        </w:rPr>
        <w:t xml:space="preserve">an exit rate more than double </w:t>
      </w:r>
      <w:r>
        <w:rPr>
          <w:rFonts w:eastAsia="Times New Roman"/>
        </w:rPr>
        <w:t xml:space="preserve">that of the matched </w:t>
      </w:r>
      <w:r w:rsidRPr="00A44151">
        <w:rPr>
          <w:rFonts w:eastAsia="Times New Roman"/>
        </w:rPr>
        <w:t>TtW</w:t>
      </w:r>
      <w:r>
        <w:rPr>
          <w:rFonts w:eastAsia="Times New Roman"/>
        </w:rPr>
        <w:t xml:space="preserve"> group,</w:t>
      </w:r>
      <w:r w:rsidRPr="00A44151">
        <w:rPr>
          <w:rFonts w:eastAsia="Times New Roman"/>
        </w:rPr>
        <w:t xml:space="preserve"> but </w:t>
      </w:r>
      <w:r>
        <w:rPr>
          <w:rFonts w:eastAsia="Times New Roman"/>
        </w:rPr>
        <w:t xml:space="preserve">the </w:t>
      </w:r>
      <w:r w:rsidRPr="00A44151">
        <w:rPr>
          <w:rFonts w:eastAsia="Times New Roman"/>
        </w:rPr>
        <w:t>exit rates</w:t>
      </w:r>
      <w:r>
        <w:rPr>
          <w:rFonts w:eastAsia="Times New Roman"/>
        </w:rPr>
        <w:t xml:space="preserve"> for the two groups were similar</w:t>
      </w:r>
      <w:r w:rsidRPr="00A44151">
        <w:rPr>
          <w:rFonts w:eastAsia="Times New Roman"/>
        </w:rPr>
        <w:t xml:space="preserve"> over the next five months. </w:t>
      </w:r>
      <w:r>
        <w:rPr>
          <w:rFonts w:eastAsia="Times New Roman"/>
        </w:rPr>
        <w:t>Young people</w:t>
      </w:r>
      <w:r w:rsidRPr="00A44151">
        <w:rPr>
          <w:rFonts w:eastAsia="Times New Roman"/>
        </w:rPr>
        <w:t xml:space="preserve"> exit</w:t>
      </w:r>
      <w:r>
        <w:rPr>
          <w:rFonts w:eastAsia="Times New Roman"/>
        </w:rPr>
        <w:t>ed</w:t>
      </w:r>
      <w:r w:rsidRPr="00A44151">
        <w:rPr>
          <w:rFonts w:eastAsia="Times New Roman"/>
        </w:rPr>
        <w:t xml:space="preserve"> services during the early months for many reasons</w:t>
      </w:r>
      <w:r>
        <w:rPr>
          <w:rFonts w:eastAsia="Times New Roman"/>
        </w:rPr>
        <w:t>,</w:t>
      </w:r>
      <w:r w:rsidRPr="00A44151">
        <w:rPr>
          <w:rFonts w:eastAsia="Times New Roman"/>
        </w:rPr>
        <w:t xml:space="preserve"> including finding a job</w:t>
      </w:r>
      <w:r>
        <w:rPr>
          <w:rFonts w:eastAsia="Times New Roman"/>
        </w:rPr>
        <w:t>;</w:t>
      </w:r>
      <w:r w:rsidRPr="00A44151">
        <w:rPr>
          <w:rFonts w:eastAsia="Times New Roman"/>
        </w:rPr>
        <w:t xml:space="preserve"> </w:t>
      </w:r>
      <w:r>
        <w:rPr>
          <w:rFonts w:eastAsia="Times New Roman"/>
        </w:rPr>
        <w:t>starting</w:t>
      </w:r>
      <w:r w:rsidRPr="00A44151">
        <w:rPr>
          <w:rFonts w:eastAsia="Times New Roman"/>
        </w:rPr>
        <w:t xml:space="preserve"> full-time stud</w:t>
      </w:r>
      <w:r>
        <w:rPr>
          <w:rFonts w:eastAsia="Times New Roman"/>
        </w:rPr>
        <w:t>y;</w:t>
      </w:r>
      <w:r w:rsidRPr="00A44151">
        <w:rPr>
          <w:rFonts w:eastAsia="Times New Roman"/>
        </w:rPr>
        <w:t xml:space="preserve"> </w:t>
      </w:r>
      <w:r>
        <w:rPr>
          <w:rFonts w:eastAsia="Times New Roman"/>
        </w:rPr>
        <w:t xml:space="preserve">having their income support claim </w:t>
      </w:r>
      <w:r w:rsidRPr="00A44151">
        <w:rPr>
          <w:rFonts w:eastAsia="Times New Roman"/>
        </w:rPr>
        <w:t>reject</w:t>
      </w:r>
      <w:r>
        <w:rPr>
          <w:rFonts w:eastAsia="Times New Roman"/>
        </w:rPr>
        <w:t xml:space="preserve">ed; </w:t>
      </w:r>
      <w:r w:rsidRPr="00A44151">
        <w:rPr>
          <w:rFonts w:eastAsia="Times New Roman"/>
        </w:rPr>
        <w:t>withdraw</w:t>
      </w:r>
      <w:r>
        <w:rPr>
          <w:rFonts w:eastAsia="Times New Roman"/>
        </w:rPr>
        <w:t>ing</w:t>
      </w:r>
      <w:r w:rsidRPr="00A44151">
        <w:rPr>
          <w:rFonts w:eastAsia="Times New Roman"/>
        </w:rPr>
        <w:t xml:space="preserve"> their claim</w:t>
      </w:r>
      <w:r>
        <w:rPr>
          <w:rFonts w:eastAsia="Times New Roman"/>
        </w:rPr>
        <w:t>; and</w:t>
      </w:r>
      <w:r w:rsidRPr="00A44151">
        <w:rPr>
          <w:rFonts w:eastAsia="Times New Roman"/>
        </w:rPr>
        <w:t xml:space="preserve"> other changes in circumstances. </w:t>
      </w:r>
      <w:r>
        <w:rPr>
          <w:rFonts w:eastAsia="Times New Roman"/>
        </w:rPr>
        <w:t xml:space="preserve">Overall the exit rate over the first six months was higher for the jobactive comparison group (52 per cent) than for TtW (45 per cent), driven by the higher exit rate during the first month in services. </w:t>
      </w:r>
    </w:p>
    <w:p w14:paraId="32FB1425" w14:textId="77777777" w:rsidR="00CC4E3D" w:rsidRDefault="00CC4E3D" w:rsidP="00CC4E3D">
      <w:pPr>
        <w:rPr>
          <w:rFonts w:eastAsia="Times New Roman"/>
        </w:rPr>
      </w:pPr>
      <w:r>
        <w:rPr>
          <w:rFonts w:eastAsia="Times New Roman"/>
        </w:rPr>
        <w:t>The greater focus in TtW on individualised pathways for young people that combine education and training with paid work is likely to result in some attachment effect for TtW participants in the shorter term. The longer term outcomes for TtW participants will be examined in the final evaluation report.</w:t>
      </w:r>
    </w:p>
    <w:p w14:paraId="6540B079" w14:textId="77777777" w:rsidR="00CC4E3D" w:rsidRPr="00FD4CA8" w:rsidRDefault="00CC4E3D" w:rsidP="001C25D9">
      <w:pPr>
        <w:pStyle w:val="Heading3"/>
        <w:numPr>
          <w:ilvl w:val="2"/>
          <w:numId w:val="4"/>
        </w:numPr>
        <w:spacing w:before="200"/>
        <w:rPr>
          <w:rFonts w:eastAsia="Times New Roman"/>
          <w:szCs w:val="24"/>
        </w:rPr>
      </w:pPr>
      <w:bookmarkStart w:id="437" w:name="_Toc535498914"/>
      <w:bookmarkStart w:id="438" w:name="_Toc23841394"/>
      <w:bookmarkStart w:id="439" w:name="_Toc492976308"/>
      <w:bookmarkStart w:id="440" w:name="_Toc509402619"/>
      <w:r w:rsidRPr="00FD4CA8">
        <w:rPr>
          <w:rFonts w:eastAsia="Times New Roman"/>
          <w:szCs w:val="24"/>
        </w:rPr>
        <w:lastRenderedPageBreak/>
        <w:t>Reasons for not completing 12 months in TtW</w:t>
      </w:r>
      <w:bookmarkEnd w:id="437"/>
      <w:bookmarkEnd w:id="438"/>
      <w:r w:rsidRPr="00FD4CA8">
        <w:rPr>
          <w:rFonts w:eastAsia="Times New Roman"/>
          <w:szCs w:val="24"/>
        </w:rPr>
        <w:t xml:space="preserve"> </w:t>
      </w:r>
      <w:bookmarkEnd w:id="439"/>
      <w:bookmarkEnd w:id="440"/>
    </w:p>
    <w:p w14:paraId="7DBEF469" w14:textId="77777777" w:rsidR="00CC4E3D" w:rsidRPr="00D0320B" w:rsidRDefault="00CC4E3D" w:rsidP="00CC4E3D">
      <w:pPr>
        <w:keepNext/>
        <w:rPr>
          <w:rFonts w:eastAsia="Times New Roman"/>
        </w:rPr>
      </w:pPr>
      <w:r w:rsidRPr="00A44151">
        <w:rPr>
          <w:rFonts w:eastAsia="Times New Roman"/>
        </w:rPr>
        <w:t>Th</w:t>
      </w:r>
      <w:r>
        <w:rPr>
          <w:rFonts w:eastAsia="Times New Roman"/>
        </w:rPr>
        <w:t xml:space="preserve">is </w:t>
      </w:r>
      <w:r w:rsidRPr="00A44151">
        <w:rPr>
          <w:rFonts w:eastAsia="Times New Roman"/>
        </w:rPr>
        <w:t>section examine</w:t>
      </w:r>
      <w:r>
        <w:rPr>
          <w:rFonts w:eastAsia="Times New Roman"/>
        </w:rPr>
        <w:t>s</w:t>
      </w:r>
      <w:r w:rsidRPr="00A44151">
        <w:rPr>
          <w:rFonts w:eastAsia="Times New Roman"/>
        </w:rPr>
        <w:t xml:space="preserve"> the reasons why young people </w:t>
      </w:r>
      <w:r>
        <w:rPr>
          <w:rFonts w:eastAsia="Times New Roman"/>
        </w:rPr>
        <w:t xml:space="preserve">did not commence the services, or exited </w:t>
      </w:r>
      <w:r w:rsidRPr="00A44151">
        <w:rPr>
          <w:rFonts w:eastAsia="Times New Roman"/>
        </w:rPr>
        <w:t xml:space="preserve">after </w:t>
      </w:r>
      <w:r>
        <w:rPr>
          <w:rFonts w:eastAsia="Times New Roman"/>
        </w:rPr>
        <w:t>commencing</w:t>
      </w:r>
      <w:r w:rsidRPr="00A44151">
        <w:rPr>
          <w:rFonts w:eastAsia="Times New Roman"/>
        </w:rPr>
        <w:t>.</w:t>
      </w:r>
    </w:p>
    <w:p w14:paraId="21B353E9" w14:textId="77777777" w:rsidR="00CC4E3D" w:rsidRDefault="00CC4E3D" w:rsidP="00CC4E3D">
      <w:pPr>
        <w:keepNext/>
        <w:rPr>
          <w:rFonts w:eastAsia="Times New Roman"/>
        </w:rPr>
      </w:pPr>
      <w:r>
        <w:rPr>
          <w:rFonts w:eastAsia="Times New Roman"/>
        </w:rPr>
        <w:t>For young people who did commence, TtW referrals</w:t>
      </w:r>
      <w:r w:rsidRPr="00A44151">
        <w:rPr>
          <w:rFonts w:eastAsia="Times New Roman"/>
        </w:rPr>
        <w:t xml:space="preserve"> were </w:t>
      </w:r>
      <w:r>
        <w:rPr>
          <w:rFonts w:eastAsia="Times New Roman"/>
        </w:rPr>
        <w:t xml:space="preserve">much </w:t>
      </w:r>
      <w:r w:rsidRPr="00A44151">
        <w:rPr>
          <w:rFonts w:eastAsia="Times New Roman"/>
        </w:rPr>
        <w:t>more likely</w:t>
      </w:r>
      <w:r>
        <w:rPr>
          <w:rFonts w:eastAsia="Times New Roman"/>
        </w:rPr>
        <w:t xml:space="preserve"> than the matched group in jobactive</w:t>
      </w:r>
      <w:r w:rsidRPr="00A44151">
        <w:rPr>
          <w:rFonts w:eastAsia="Times New Roman"/>
        </w:rPr>
        <w:t xml:space="preserve"> to </w:t>
      </w:r>
      <w:r>
        <w:rPr>
          <w:rFonts w:eastAsia="Times New Roman"/>
        </w:rPr>
        <w:t>not</w:t>
      </w:r>
      <w:r w:rsidRPr="00A44151">
        <w:rPr>
          <w:rFonts w:eastAsia="Times New Roman"/>
        </w:rPr>
        <w:t xml:space="preserve"> commenc</w:t>
      </w:r>
      <w:r>
        <w:rPr>
          <w:rFonts w:eastAsia="Times New Roman"/>
        </w:rPr>
        <w:t>e</w:t>
      </w:r>
      <w:r w:rsidRPr="00A44151">
        <w:rPr>
          <w:rFonts w:eastAsia="Times New Roman"/>
        </w:rPr>
        <w:t xml:space="preserve"> services as a result of not being contactable (</w:t>
      </w:r>
      <w:r>
        <w:rPr>
          <w:rFonts w:eastAsia="Times New Roman"/>
          <w:b/>
        </w:rPr>
        <w:t>Figure 4.</w:t>
      </w:r>
      <w:r w:rsidRPr="00D511F5">
        <w:rPr>
          <w:rFonts w:eastAsia="Times New Roman"/>
          <w:b/>
        </w:rPr>
        <w:t>1</w:t>
      </w:r>
      <w:r>
        <w:rPr>
          <w:rFonts w:eastAsia="Times New Roman"/>
          <w:b/>
        </w:rPr>
        <w:t>3</w:t>
      </w:r>
      <w:r w:rsidRPr="00A44151">
        <w:rPr>
          <w:rFonts w:eastAsia="Times New Roman"/>
        </w:rPr>
        <w:t xml:space="preserve">). </w:t>
      </w:r>
      <w:r>
        <w:rPr>
          <w:rFonts w:eastAsia="Times New Roman"/>
        </w:rPr>
        <w:t>Young people, receiving an activity-tested income support payment,</w:t>
      </w:r>
      <w:r w:rsidRPr="00A44151">
        <w:rPr>
          <w:rFonts w:eastAsia="Times New Roman"/>
        </w:rPr>
        <w:t xml:space="preserve"> </w:t>
      </w:r>
      <w:r>
        <w:rPr>
          <w:rFonts w:eastAsia="Times New Roman"/>
        </w:rPr>
        <w:t xml:space="preserve">who failed to attend an initial appointment without a valid reason and did not commence were referred to jobactive by their TtW provider. </w:t>
      </w:r>
    </w:p>
    <w:p w14:paraId="77A6DD8B" w14:textId="60A3CDC0" w:rsidR="00CC4E3D" w:rsidRDefault="00CC4E3D" w:rsidP="00FD4CA8">
      <w:pPr>
        <w:pStyle w:val="Caption"/>
      </w:pPr>
      <w:bookmarkStart w:id="441" w:name="_Toc514172379"/>
      <w:bookmarkStart w:id="442" w:name="_Toc492976746"/>
      <w:bookmarkStart w:id="443" w:name="_Toc509402465"/>
      <w:bookmarkStart w:id="444" w:name="_Toc535511484"/>
      <w:bookmarkStart w:id="445" w:name="_Toc535511544"/>
      <w:bookmarkStart w:id="446" w:name="_Toc535512771"/>
      <w:bookmarkStart w:id="447" w:name="_Toc535513407"/>
      <w:bookmarkStart w:id="448" w:name="_Toc23841483"/>
      <w:r>
        <w:t xml:space="preserve">Figure </w:t>
      </w:r>
      <w:r>
        <w:rPr>
          <w:noProof/>
        </w:rPr>
        <w:fldChar w:fldCharType="begin"/>
      </w:r>
      <w:r>
        <w:rPr>
          <w:noProof/>
        </w:rPr>
        <w:instrText xml:space="preserve"> STYLEREF 1 \s </w:instrText>
      </w:r>
      <w:r>
        <w:rPr>
          <w:noProof/>
        </w:rPr>
        <w:fldChar w:fldCharType="separate"/>
      </w:r>
      <w:r w:rsidR="00D84A2A">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13</w:t>
      </w:r>
      <w:r>
        <w:rPr>
          <w:noProof/>
        </w:rPr>
        <w:fldChar w:fldCharType="end"/>
      </w:r>
      <w:r>
        <w:tab/>
      </w:r>
      <w:r w:rsidRPr="00610D95">
        <w:t xml:space="preserve">Reasons for </w:t>
      </w:r>
      <w:r>
        <w:t>non-commencement</w:t>
      </w:r>
      <w:r w:rsidRPr="00610D95">
        <w:t xml:space="preserve"> in </w:t>
      </w:r>
      <w:r>
        <w:t xml:space="preserve">the </w:t>
      </w:r>
      <w:r w:rsidRPr="00610D95">
        <w:t>first three months from referral</w:t>
      </w:r>
      <w:r>
        <w:t>,</w:t>
      </w:r>
      <w:r w:rsidRPr="00610D95">
        <w:t xml:space="preserve"> </w:t>
      </w:r>
      <w:r>
        <w:t>comparing TtW and the jobactive</w:t>
      </w:r>
      <w:bookmarkEnd w:id="441"/>
      <w:r>
        <w:t xml:space="preserve"> comparison group</w:t>
      </w:r>
      <w:bookmarkEnd w:id="442"/>
      <w:bookmarkEnd w:id="443"/>
      <w:bookmarkEnd w:id="444"/>
      <w:bookmarkEnd w:id="445"/>
      <w:bookmarkEnd w:id="446"/>
      <w:bookmarkEnd w:id="447"/>
      <w:bookmarkEnd w:id="448"/>
    </w:p>
    <w:p w14:paraId="578E1DC6" w14:textId="77777777" w:rsidR="00CC4E3D" w:rsidRPr="00D05F65" w:rsidRDefault="00CC4E3D" w:rsidP="00CC4E3D">
      <w:r>
        <w:rPr>
          <w:noProof/>
          <w:lang w:eastAsia="en-AU"/>
        </w:rPr>
        <w:drawing>
          <wp:inline distT="0" distB="0" distL="0" distR="0" wp14:anchorId="77A8088A" wp14:editId="045C82DC">
            <wp:extent cx="5731200" cy="2980800"/>
            <wp:effectExtent l="0" t="0" r="3175" b="0"/>
            <wp:docPr id="480" name="Picture 480" descr="Clustered bar chart comparing the recorded reasons for non-commencement in TtW and jobactive.&#10;This figure compares the recorded reasons for non-commencements in TtW and jobactive. The results (percentages are approximate) are:&#10;Work/study outcome — TtW 3%; jobactive 6%&#10;Auto exit — TtW &lt;1%; jobactive 1%&#10;Change of provider or site — TtW 13%; jobactive 15%&#10;No longer eligible — TtW &lt;1%; jobactive 34%&#10;Requested exit — TtW 9%; jobactive 3%&#10;Other — TtW 18%; jobactive &lt;1%&#10;Changed service — TtW 13%; jobactive 37%&#10;Not participating/Not contactable — TtW 43%; jobactive 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31200" cy="2980800"/>
                    </a:xfrm>
                    <a:prstGeom prst="rect">
                      <a:avLst/>
                    </a:prstGeom>
                    <a:noFill/>
                  </pic:spPr>
                </pic:pic>
              </a:graphicData>
            </a:graphic>
          </wp:inline>
        </w:drawing>
      </w:r>
    </w:p>
    <w:p w14:paraId="02190D93" w14:textId="5330E129" w:rsidR="00CC4E3D" w:rsidRPr="005A1B8D" w:rsidRDefault="00CC4E3D" w:rsidP="00CC4E3D">
      <w:pPr>
        <w:pStyle w:val="Source"/>
        <w:rPr>
          <w:rFonts w:eastAsia="Times New Roman"/>
          <w:b/>
        </w:rPr>
      </w:pPr>
      <w:r w:rsidRPr="005A1B8D">
        <w:rPr>
          <w:rFonts w:eastAsia="Times New Roman"/>
          <w:b/>
        </w:rPr>
        <w:t xml:space="preserve">Source: Department of </w:t>
      </w:r>
      <w:r w:rsidR="00C63B89" w:rsidRPr="005A1B8D">
        <w:rPr>
          <w:rFonts w:eastAsia="Times New Roman"/>
          <w:b/>
        </w:rPr>
        <w:t>Employment, Skills, Small and Family</w:t>
      </w:r>
      <w:r w:rsidRPr="005A1B8D">
        <w:rPr>
          <w:rFonts w:eastAsia="Times New Roman"/>
          <w:b/>
        </w:rPr>
        <w:t xml:space="preserve"> Business administrative data — matched </w:t>
      </w:r>
      <w:r w:rsidRPr="005A1B8D">
        <w:rPr>
          <w:b/>
        </w:rPr>
        <w:t>inflow</w:t>
      </w:r>
      <w:r w:rsidRPr="005A1B8D">
        <w:rPr>
          <w:rFonts w:eastAsia="Times New Roman"/>
          <w:b/>
        </w:rPr>
        <w:t xml:space="preserve"> populations.</w:t>
      </w:r>
    </w:p>
    <w:p w14:paraId="162A6F4F" w14:textId="77777777" w:rsidR="00CC4E3D" w:rsidRPr="00A44151" w:rsidRDefault="00CC4E3D" w:rsidP="00CC4E3D">
      <w:pPr>
        <w:rPr>
          <w:rFonts w:eastAsia="Times New Roman"/>
        </w:rPr>
      </w:pPr>
      <w:r>
        <w:rPr>
          <w:rFonts w:eastAsia="Times New Roman"/>
        </w:rPr>
        <w:t>J</w:t>
      </w:r>
      <w:r w:rsidRPr="00A44151">
        <w:rPr>
          <w:rFonts w:eastAsia="Times New Roman"/>
        </w:rPr>
        <w:t>obactive</w:t>
      </w:r>
      <w:r>
        <w:rPr>
          <w:rFonts w:eastAsia="Times New Roman"/>
        </w:rPr>
        <w:t xml:space="preserve"> referrals, on the other hand,</w:t>
      </w:r>
      <w:r w:rsidRPr="00A44151">
        <w:rPr>
          <w:rFonts w:eastAsia="Times New Roman"/>
        </w:rPr>
        <w:t xml:space="preserve"> ha</w:t>
      </w:r>
      <w:r>
        <w:rPr>
          <w:rFonts w:eastAsia="Times New Roman"/>
        </w:rPr>
        <w:t>d</w:t>
      </w:r>
      <w:r w:rsidRPr="00A44151">
        <w:rPr>
          <w:rFonts w:eastAsia="Times New Roman"/>
        </w:rPr>
        <w:t xml:space="preserve"> high rate</w:t>
      </w:r>
      <w:r>
        <w:rPr>
          <w:rFonts w:eastAsia="Times New Roman"/>
        </w:rPr>
        <w:t>s</w:t>
      </w:r>
      <w:r w:rsidRPr="00A44151">
        <w:rPr>
          <w:rFonts w:eastAsia="Times New Roman"/>
        </w:rPr>
        <w:t xml:space="preserve"> of </w:t>
      </w:r>
      <w:r>
        <w:rPr>
          <w:rFonts w:eastAsia="Times New Roman"/>
        </w:rPr>
        <w:t>non-commencements</w:t>
      </w:r>
      <w:r w:rsidRPr="00A44151">
        <w:rPr>
          <w:rFonts w:eastAsia="Times New Roman"/>
        </w:rPr>
        <w:t xml:space="preserve"> recorded</w:t>
      </w:r>
      <w:r>
        <w:rPr>
          <w:rFonts w:eastAsia="Times New Roman"/>
        </w:rPr>
        <w:t xml:space="preserve"> as ‘</w:t>
      </w:r>
      <w:r w:rsidRPr="00A44151">
        <w:rPr>
          <w:rFonts w:eastAsia="Times New Roman"/>
        </w:rPr>
        <w:t>no longer fully eligible participant for the program</w:t>
      </w:r>
      <w:r>
        <w:rPr>
          <w:rFonts w:eastAsia="Times New Roman"/>
        </w:rPr>
        <w:t>’</w:t>
      </w:r>
      <w:r w:rsidRPr="00A44151">
        <w:rPr>
          <w:rFonts w:eastAsia="Times New Roman"/>
        </w:rPr>
        <w:t xml:space="preserve"> </w:t>
      </w:r>
      <w:r>
        <w:rPr>
          <w:rFonts w:eastAsia="Times New Roman"/>
        </w:rPr>
        <w:t xml:space="preserve">or ‘changed service’ </w:t>
      </w:r>
      <w:r w:rsidRPr="00A44151">
        <w:rPr>
          <w:rFonts w:eastAsia="Times New Roman"/>
        </w:rPr>
        <w:t>in the first three months after referral</w:t>
      </w:r>
      <w:r>
        <w:rPr>
          <w:rFonts w:eastAsia="Times New Roman"/>
        </w:rPr>
        <w:t>. Many of these were</w:t>
      </w:r>
      <w:r w:rsidRPr="00A44151">
        <w:rPr>
          <w:rFonts w:eastAsia="Times New Roman"/>
        </w:rPr>
        <w:t xml:space="preserve"> likely </w:t>
      </w:r>
      <w:r>
        <w:rPr>
          <w:rFonts w:eastAsia="Times New Roman"/>
        </w:rPr>
        <w:t>to be cases where a young person’s</w:t>
      </w:r>
      <w:r w:rsidRPr="00A44151">
        <w:rPr>
          <w:rFonts w:eastAsia="Times New Roman"/>
        </w:rPr>
        <w:t xml:space="preserve"> application for income support </w:t>
      </w:r>
      <w:r>
        <w:rPr>
          <w:rFonts w:eastAsia="Times New Roman"/>
        </w:rPr>
        <w:t>wa</w:t>
      </w:r>
      <w:r w:rsidRPr="00A44151">
        <w:rPr>
          <w:rFonts w:eastAsia="Times New Roman"/>
        </w:rPr>
        <w:t xml:space="preserve">s declined or withdrawn after they were referred to an </w:t>
      </w:r>
      <w:r>
        <w:rPr>
          <w:rFonts w:eastAsia="Times New Roman"/>
        </w:rPr>
        <w:t>e</w:t>
      </w:r>
      <w:r w:rsidRPr="00A44151">
        <w:rPr>
          <w:rFonts w:eastAsia="Times New Roman"/>
        </w:rPr>
        <w:t xml:space="preserve">mployment </w:t>
      </w:r>
      <w:r>
        <w:rPr>
          <w:rFonts w:eastAsia="Times New Roman"/>
        </w:rPr>
        <w:t>s</w:t>
      </w:r>
      <w:r w:rsidRPr="00A44151">
        <w:rPr>
          <w:rFonts w:eastAsia="Times New Roman"/>
        </w:rPr>
        <w:t>ervice provider</w:t>
      </w:r>
      <w:r>
        <w:rPr>
          <w:rFonts w:eastAsia="Times New Roman"/>
        </w:rPr>
        <w:t xml:space="preserve">. </w:t>
      </w:r>
      <w:r w:rsidRPr="00A44151">
        <w:rPr>
          <w:rFonts w:eastAsia="Times New Roman"/>
        </w:rPr>
        <w:t>Unless they elect</w:t>
      </w:r>
      <w:r>
        <w:rPr>
          <w:rFonts w:eastAsia="Times New Roman"/>
        </w:rPr>
        <w:t>ed</w:t>
      </w:r>
      <w:r w:rsidRPr="00A44151">
        <w:rPr>
          <w:rFonts w:eastAsia="Times New Roman"/>
        </w:rPr>
        <w:t xml:space="preserve"> and </w:t>
      </w:r>
      <w:r>
        <w:rPr>
          <w:rFonts w:eastAsia="Times New Roman"/>
        </w:rPr>
        <w:t>we</w:t>
      </w:r>
      <w:r w:rsidRPr="00A44151">
        <w:rPr>
          <w:rFonts w:eastAsia="Times New Roman"/>
        </w:rPr>
        <w:t>re eligible to participate as a volunteer</w:t>
      </w:r>
      <w:r>
        <w:rPr>
          <w:rFonts w:eastAsia="Times New Roman"/>
        </w:rPr>
        <w:t>,</w:t>
      </w:r>
      <w:r w:rsidRPr="00A44151">
        <w:rPr>
          <w:rFonts w:eastAsia="Times New Roman"/>
        </w:rPr>
        <w:t xml:space="preserve"> these </w:t>
      </w:r>
      <w:r>
        <w:rPr>
          <w:rFonts w:eastAsia="Times New Roman"/>
        </w:rPr>
        <w:t>young people</w:t>
      </w:r>
      <w:r w:rsidRPr="00A44151">
        <w:rPr>
          <w:rFonts w:eastAsia="Times New Roman"/>
        </w:rPr>
        <w:t xml:space="preserve"> w</w:t>
      </w:r>
      <w:r>
        <w:rPr>
          <w:rFonts w:eastAsia="Times New Roman"/>
        </w:rPr>
        <w:t>ould not have</w:t>
      </w:r>
      <w:r w:rsidRPr="00A44151">
        <w:rPr>
          <w:rFonts w:eastAsia="Times New Roman"/>
        </w:rPr>
        <w:t xml:space="preserve"> </w:t>
      </w:r>
      <w:r>
        <w:rPr>
          <w:rFonts w:eastAsia="Times New Roman"/>
        </w:rPr>
        <w:t>stayed in</w:t>
      </w:r>
      <w:r w:rsidRPr="00A44151">
        <w:rPr>
          <w:rFonts w:eastAsia="Times New Roman"/>
        </w:rPr>
        <w:t xml:space="preserve"> jobactive. </w:t>
      </w:r>
      <w:r>
        <w:rPr>
          <w:rFonts w:eastAsia="Times New Roman"/>
        </w:rPr>
        <w:t>Others may have found a job or taken up full-time study</w:t>
      </w:r>
      <w:r w:rsidRPr="00A44151">
        <w:rPr>
          <w:rFonts w:eastAsia="Times New Roman"/>
        </w:rPr>
        <w:t>.</w:t>
      </w:r>
      <w:r>
        <w:rPr>
          <w:rFonts w:eastAsia="Times New Roman"/>
        </w:rPr>
        <w:t xml:space="preserve"> This possibly reflects a ‘referral effect’ whereby a greater proportion of jobactive job seekers found employment, commenced study or elected not to participate in the program.</w:t>
      </w:r>
    </w:p>
    <w:p w14:paraId="74FCF84C" w14:textId="77777777" w:rsidR="00CC4E3D" w:rsidRDefault="00CC4E3D" w:rsidP="00CC4E3D">
      <w:pPr>
        <w:rPr>
          <w:rFonts w:eastAsia="Times New Roman"/>
        </w:rPr>
      </w:pPr>
      <w:r>
        <w:rPr>
          <w:rFonts w:eastAsia="Times New Roman"/>
        </w:rPr>
        <w:lastRenderedPageBreak/>
        <w:t>For commenced participants, the d</w:t>
      </w:r>
      <w:r w:rsidRPr="00A44151">
        <w:rPr>
          <w:rFonts w:eastAsia="Times New Roman"/>
        </w:rPr>
        <w:t>ifferen</w:t>
      </w:r>
      <w:r>
        <w:rPr>
          <w:rFonts w:eastAsia="Times New Roman"/>
        </w:rPr>
        <w:t>ces between the TtW and jobactive</w:t>
      </w:r>
      <w:r w:rsidRPr="00A44151">
        <w:rPr>
          <w:rFonts w:eastAsia="Times New Roman"/>
        </w:rPr>
        <w:t xml:space="preserve"> service and funding models </w:t>
      </w:r>
      <w:r>
        <w:rPr>
          <w:rFonts w:eastAsia="Times New Roman"/>
        </w:rPr>
        <w:t xml:space="preserve">may </w:t>
      </w:r>
      <w:r w:rsidRPr="00A44151">
        <w:rPr>
          <w:rFonts w:eastAsia="Times New Roman"/>
        </w:rPr>
        <w:t xml:space="preserve">affect </w:t>
      </w:r>
      <w:r>
        <w:rPr>
          <w:rFonts w:eastAsia="Times New Roman"/>
        </w:rPr>
        <w:t xml:space="preserve">the timing of and reasons for </w:t>
      </w:r>
      <w:r w:rsidRPr="00A44151">
        <w:rPr>
          <w:rFonts w:eastAsia="Times New Roman"/>
        </w:rPr>
        <w:t>exit</w:t>
      </w:r>
      <w:r>
        <w:rPr>
          <w:rFonts w:eastAsia="Times New Roman"/>
        </w:rPr>
        <w:t>ing</w:t>
      </w:r>
      <w:r w:rsidRPr="00A44151">
        <w:rPr>
          <w:rFonts w:eastAsia="Times New Roman"/>
        </w:rPr>
        <w:t xml:space="preserve">. </w:t>
      </w:r>
      <w:r>
        <w:rPr>
          <w:rFonts w:eastAsia="Times New Roman"/>
        </w:rPr>
        <w:t>Analysis of</w:t>
      </w:r>
      <w:r w:rsidRPr="00A44151">
        <w:rPr>
          <w:rFonts w:eastAsia="Times New Roman"/>
        </w:rPr>
        <w:t xml:space="preserve"> exit reasons</w:t>
      </w:r>
      <w:r>
        <w:rPr>
          <w:rStyle w:val="FootnoteReference"/>
          <w:rFonts w:eastAsia="Times New Roman"/>
        </w:rPr>
        <w:footnoteReference w:id="27"/>
      </w:r>
      <w:r>
        <w:rPr>
          <w:rFonts w:eastAsia="Times New Roman"/>
        </w:rPr>
        <w:t xml:space="preserve"> in the matched samples shows </w:t>
      </w:r>
      <w:r w:rsidRPr="00A44151">
        <w:rPr>
          <w:rFonts w:eastAsia="Times New Roman"/>
        </w:rPr>
        <w:t xml:space="preserve">substantial differences between the </w:t>
      </w:r>
      <w:r>
        <w:rPr>
          <w:rFonts w:eastAsia="Times New Roman"/>
        </w:rPr>
        <w:t>two services</w:t>
      </w:r>
      <w:r w:rsidRPr="00A44151">
        <w:rPr>
          <w:rFonts w:eastAsia="Times New Roman"/>
        </w:rPr>
        <w:t xml:space="preserve">. </w:t>
      </w:r>
      <w:r>
        <w:rPr>
          <w:rFonts w:eastAsia="Times New Roman"/>
          <w:b/>
        </w:rPr>
        <w:t>Figure </w:t>
      </w:r>
      <w:r w:rsidRPr="00104C1F">
        <w:rPr>
          <w:rFonts w:eastAsia="Times New Roman"/>
          <w:b/>
        </w:rPr>
        <w:t>4.1</w:t>
      </w:r>
      <w:r>
        <w:rPr>
          <w:rFonts w:eastAsia="Times New Roman"/>
          <w:b/>
        </w:rPr>
        <w:t>4 </w:t>
      </w:r>
      <w:r w:rsidRPr="00A44151">
        <w:rPr>
          <w:rFonts w:eastAsia="Times New Roman"/>
        </w:rPr>
        <w:t>shows the main exit categories</w:t>
      </w:r>
      <w:r>
        <w:rPr>
          <w:rFonts w:eastAsia="Times New Roman"/>
        </w:rPr>
        <w:t xml:space="preserve"> for young people in TtW and the jobactive comparison group </w:t>
      </w:r>
      <w:r w:rsidRPr="00A44151">
        <w:rPr>
          <w:rFonts w:eastAsia="Times New Roman"/>
        </w:rPr>
        <w:t xml:space="preserve">over </w:t>
      </w:r>
      <w:r>
        <w:rPr>
          <w:rFonts w:eastAsia="Times New Roman"/>
        </w:rPr>
        <w:t>the six-month study period</w:t>
      </w:r>
      <w:r w:rsidRPr="00A44151">
        <w:rPr>
          <w:rFonts w:eastAsia="Times New Roman"/>
        </w:rPr>
        <w:t xml:space="preserve">. </w:t>
      </w:r>
    </w:p>
    <w:p w14:paraId="27CE8135" w14:textId="290E6F0F" w:rsidR="00CC4E3D" w:rsidRPr="00D7275E" w:rsidRDefault="00CC4E3D" w:rsidP="00FD4CA8">
      <w:pPr>
        <w:pStyle w:val="Caption"/>
      </w:pPr>
      <w:bookmarkStart w:id="449" w:name="_Toc514172380"/>
      <w:bookmarkStart w:id="450" w:name="_Toc492976747"/>
      <w:bookmarkStart w:id="451" w:name="_Toc509402466"/>
      <w:bookmarkStart w:id="452" w:name="_Toc535511485"/>
      <w:bookmarkStart w:id="453" w:name="_Toc535511545"/>
      <w:bookmarkStart w:id="454" w:name="_Toc535512772"/>
      <w:bookmarkStart w:id="455" w:name="_Toc535513408"/>
      <w:bookmarkStart w:id="456" w:name="_Toc23841484"/>
      <w:r>
        <w:t xml:space="preserve">Figure </w:t>
      </w:r>
      <w:r>
        <w:rPr>
          <w:noProof/>
        </w:rPr>
        <w:fldChar w:fldCharType="begin"/>
      </w:r>
      <w:r>
        <w:rPr>
          <w:noProof/>
        </w:rPr>
        <w:instrText xml:space="preserve"> STYLEREF 1 \s </w:instrText>
      </w:r>
      <w:r>
        <w:rPr>
          <w:noProof/>
        </w:rPr>
        <w:fldChar w:fldCharType="separate"/>
      </w:r>
      <w:r w:rsidR="00D84A2A">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14</w:t>
      </w:r>
      <w:r>
        <w:rPr>
          <w:noProof/>
        </w:rPr>
        <w:fldChar w:fldCharType="end"/>
      </w:r>
      <w:r>
        <w:tab/>
      </w:r>
      <w:r w:rsidRPr="00D7275E">
        <w:t>Reasons for exit during</w:t>
      </w:r>
      <w:r>
        <w:t xml:space="preserve"> the</w:t>
      </w:r>
      <w:r w:rsidRPr="00D7275E">
        <w:t xml:space="preserve"> first six months</w:t>
      </w:r>
      <w:r>
        <w:t>,</w:t>
      </w:r>
      <w:r w:rsidRPr="00D7275E">
        <w:t xml:space="preserve"> </w:t>
      </w:r>
      <w:r>
        <w:t>comparing TtW and the jobactive</w:t>
      </w:r>
      <w:bookmarkEnd w:id="449"/>
      <w:bookmarkEnd w:id="450"/>
      <w:bookmarkEnd w:id="451"/>
      <w:r>
        <w:t xml:space="preserve"> comparison group who commenced in services</w:t>
      </w:r>
      <w:bookmarkEnd w:id="452"/>
      <w:bookmarkEnd w:id="453"/>
      <w:bookmarkEnd w:id="454"/>
      <w:bookmarkEnd w:id="455"/>
      <w:bookmarkEnd w:id="456"/>
    </w:p>
    <w:p w14:paraId="383FA300" w14:textId="77777777" w:rsidR="00CC4E3D" w:rsidRPr="00A44151" w:rsidRDefault="00CC4E3D" w:rsidP="00CC4E3D">
      <w:pPr>
        <w:rPr>
          <w:rFonts w:eastAsia="Times New Roman"/>
        </w:rPr>
      </w:pPr>
      <w:r>
        <w:rPr>
          <w:rFonts w:eastAsia="Times New Roman"/>
          <w:noProof/>
          <w:lang w:eastAsia="en-AU"/>
        </w:rPr>
        <w:drawing>
          <wp:inline distT="0" distB="0" distL="0" distR="0" wp14:anchorId="6C14D49C" wp14:editId="762D68B1">
            <wp:extent cx="4950000" cy="3538800"/>
            <wp:effectExtent l="0" t="0" r="3175" b="5080"/>
            <wp:docPr id="478" name="Picture 478" descr="Clustered bar chart comparing the recorded reasons for exit in the first six months in TtW and jobactive.&#10;This figure compares the recorded reasons for exits after commencing from TtW and jobactive. The results (percentages are approximate) are:&#10;Work/study outcome — TtW 6.1%; jobactive 8.4%&#10;Auto exit — TtW &lt;1%; jobactive 2.3%&#10;Change of provider or site — TtW &lt;1%; jobactive 0%&#10;No longer eligible — TtW 0.9%; jobactive 54.5%&#10;Requested exit — TtW 9.5%; jobactive 3.1%&#10;Other — TtW 8.2%; jobactive &lt;1%&#10;Changed service — TtW 28.3%; jobactive 26.4%&#10;Not participating/Not contactable — TtW 46.3%; jobactive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950000" cy="3538800"/>
                    </a:xfrm>
                    <a:prstGeom prst="rect">
                      <a:avLst/>
                    </a:prstGeom>
                    <a:noFill/>
                  </pic:spPr>
                </pic:pic>
              </a:graphicData>
            </a:graphic>
          </wp:inline>
        </w:drawing>
      </w:r>
    </w:p>
    <w:p w14:paraId="7C5CFB2E" w14:textId="12216381" w:rsidR="00CC4E3D" w:rsidRPr="005A1B8D" w:rsidRDefault="00CC4E3D" w:rsidP="00CC4E3D">
      <w:pPr>
        <w:pStyle w:val="Source"/>
        <w:rPr>
          <w:rFonts w:eastAsia="Times New Roman"/>
          <w:b/>
        </w:rPr>
      </w:pPr>
      <w:r w:rsidRPr="005A1B8D">
        <w:rPr>
          <w:rFonts w:eastAsia="Times New Roman"/>
          <w:b/>
        </w:rPr>
        <w:t xml:space="preserve">Source: Department of </w:t>
      </w:r>
      <w:r w:rsidR="001D755D" w:rsidRPr="005A1B8D">
        <w:rPr>
          <w:rFonts w:eastAsia="Times New Roman"/>
          <w:b/>
        </w:rPr>
        <w:t>Employment, Skills, Small and Family</w:t>
      </w:r>
      <w:r w:rsidRPr="005A1B8D">
        <w:rPr>
          <w:rFonts w:eastAsia="Times New Roman"/>
          <w:b/>
        </w:rPr>
        <w:t xml:space="preserve"> Business administrative data — matched inflow populations.</w:t>
      </w:r>
    </w:p>
    <w:p w14:paraId="7640F65A" w14:textId="77777777" w:rsidR="00CC4E3D" w:rsidRDefault="00CC4E3D" w:rsidP="00CC4E3D">
      <w:pPr>
        <w:rPr>
          <w:rFonts w:eastAsia="Times New Roman"/>
        </w:rPr>
      </w:pPr>
      <w:r>
        <w:rPr>
          <w:rFonts w:eastAsia="Times New Roman"/>
        </w:rPr>
        <w:t xml:space="preserve">The main reason recorded for exiting TtW was ‘not participating/not contactable’, while ‘no longer eligible’ was the most likely reason for exiting jobactive. </w:t>
      </w:r>
      <w:r w:rsidRPr="00A44151">
        <w:rPr>
          <w:rFonts w:eastAsia="Times New Roman"/>
        </w:rPr>
        <w:t xml:space="preserve">In TtW, </w:t>
      </w:r>
      <w:r>
        <w:rPr>
          <w:rFonts w:eastAsia="Times New Roman"/>
        </w:rPr>
        <w:t>the different compliance arrangement meant young people were referred to jobactive and exited from TtW by their provider for not participating appropriately or were not contactable. Young people in jobactive not meeting their mutual obligation requirements, may have their income support payments suspended or cancelled and no longer be eligible for jobactive services (unless electing to continue as a volunteer for up to six months).</w:t>
      </w:r>
    </w:p>
    <w:p w14:paraId="3537DD12" w14:textId="77777777" w:rsidR="00CC4E3D" w:rsidRDefault="00CC4E3D" w:rsidP="00CC4E3D">
      <w:pPr>
        <w:rPr>
          <w:rFonts w:eastAsia="Times New Roman"/>
        </w:rPr>
      </w:pPr>
      <w:r w:rsidRPr="00A44151">
        <w:rPr>
          <w:rFonts w:eastAsia="Times New Roman"/>
        </w:rPr>
        <w:t xml:space="preserve">The other main reason recorded for exiting both </w:t>
      </w:r>
      <w:r>
        <w:rPr>
          <w:rFonts w:eastAsia="Times New Roman"/>
        </w:rPr>
        <w:t>TtW and jobactive</w:t>
      </w:r>
      <w:r w:rsidRPr="00A44151">
        <w:rPr>
          <w:rFonts w:eastAsia="Times New Roman"/>
        </w:rPr>
        <w:t xml:space="preserve"> was </w:t>
      </w:r>
      <w:r>
        <w:rPr>
          <w:rFonts w:eastAsia="Times New Roman"/>
        </w:rPr>
        <w:t>‘</w:t>
      </w:r>
      <w:r w:rsidRPr="00A44151">
        <w:rPr>
          <w:rFonts w:eastAsia="Times New Roman"/>
        </w:rPr>
        <w:t>changed services</w:t>
      </w:r>
      <w:r>
        <w:rPr>
          <w:rFonts w:eastAsia="Times New Roman"/>
        </w:rPr>
        <w:t>’</w:t>
      </w:r>
      <w:r w:rsidRPr="00A44151">
        <w:rPr>
          <w:rFonts w:eastAsia="Times New Roman"/>
        </w:rPr>
        <w:t>. Th</w:t>
      </w:r>
      <w:r>
        <w:rPr>
          <w:rFonts w:eastAsia="Times New Roman"/>
        </w:rPr>
        <w:t>e qualitative research</w:t>
      </w:r>
      <w:r w:rsidRPr="00A44151">
        <w:rPr>
          <w:rFonts w:eastAsia="Times New Roman"/>
        </w:rPr>
        <w:t xml:space="preserve"> </w:t>
      </w:r>
      <w:r>
        <w:rPr>
          <w:rFonts w:eastAsia="Times New Roman"/>
        </w:rPr>
        <w:t>found</w:t>
      </w:r>
      <w:r w:rsidRPr="00A44151">
        <w:rPr>
          <w:rFonts w:eastAsia="Times New Roman"/>
        </w:rPr>
        <w:t xml:space="preserve"> that both TtW and jobactive providers </w:t>
      </w:r>
      <w:r>
        <w:rPr>
          <w:rFonts w:eastAsia="Times New Roman"/>
        </w:rPr>
        <w:t xml:space="preserve">took an initial period to assess the </w:t>
      </w:r>
      <w:r>
        <w:rPr>
          <w:rFonts w:eastAsia="Times New Roman"/>
        </w:rPr>
        <w:lastRenderedPageBreak/>
        <w:t xml:space="preserve">needs and preferences of some job seekers before directing them back to DHS for assessment and referral for a more appropriate or preferred employment service including the Disability Employment Service (DES) </w:t>
      </w:r>
      <w:r w:rsidRPr="00A44151">
        <w:rPr>
          <w:rFonts w:eastAsia="Times New Roman"/>
        </w:rPr>
        <w:t>during the early months.</w:t>
      </w:r>
      <w:r>
        <w:rPr>
          <w:rFonts w:eastAsia="Times New Roman"/>
        </w:rPr>
        <w:t xml:space="preserve"> Many referrals to another service were between TtW and jobactive driven by factors such as participants locating to different region or a change in the participant’s circumstances. Referrals to DES were around one per cent of the exit reasons recorded.</w:t>
      </w:r>
    </w:p>
    <w:p w14:paraId="3B28D77A" w14:textId="77777777" w:rsidR="00CC4E3D" w:rsidRDefault="00CC4E3D" w:rsidP="00CC4E3D">
      <w:pPr>
        <w:rPr>
          <w:rFonts w:eastAsia="Times New Roman"/>
        </w:rPr>
      </w:pPr>
      <w:r w:rsidRPr="00A44151">
        <w:rPr>
          <w:rFonts w:eastAsia="Times New Roman"/>
        </w:rPr>
        <w:t xml:space="preserve">TtW participants </w:t>
      </w:r>
      <w:r>
        <w:rPr>
          <w:rFonts w:eastAsia="Times New Roman"/>
        </w:rPr>
        <w:t>we</w:t>
      </w:r>
      <w:r w:rsidRPr="00A44151">
        <w:rPr>
          <w:rFonts w:eastAsia="Times New Roman"/>
        </w:rPr>
        <w:t xml:space="preserve">re more likely </w:t>
      </w:r>
      <w:r>
        <w:rPr>
          <w:rFonts w:eastAsia="Times New Roman"/>
        </w:rPr>
        <w:t xml:space="preserve">than those in the jobactive comparison group </w:t>
      </w:r>
      <w:r w:rsidRPr="00A44151">
        <w:rPr>
          <w:rFonts w:eastAsia="Times New Roman"/>
        </w:rPr>
        <w:t xml:space="preserve">to </w:t>
      </w:r>
      <w:r>
        <w:rPr>
          <w:rFonts w:eastAsia="Times New Roman"/>
        </w:rPr>
        <w:t>‘</w:t>
      </w:r>
      <w:r w:rsidRPr="00A44151">
        <w:rPr>
          <w:rFonts w:eastAsia="Times New Roman"/>
        </w:rPr>
        <w:t>request to exit</w:t>
      </w:r>
      <w:r>
        <w:rPr>
          <w:rFonts w:eastAsia="Times New Roman"/>
        </w:rPr>
        <w:t>’,</w:t>
      </w:r>
      <w:r w:rsidRPr="00A44151">
        <w:rPr>
          <w:rFonts w:eastAsia="Times New Roman"/>
        </w:rPr>
        <w:t xml:space="preserve"> </w:t>
      </w:r>
      <w:r>
        <w:rPr>
          <w:rFonts w:eastAsia="Times New Roman"/>
        </w:rPr>
        <w:t>as TtW is not compulsory while jobactive is.</w:t>
      </w:r>
      <w:r>
        <w:rPr>
          <w:rStyle w:val="FootnoteReference"/>
          <w:rFonts w:eastAsia="Times New Roman"/>
        </w:rPr>
        <w:footnoteReference w:id="28"/>
      </w:r>
      <w:r w:rsidRPr="00A44151">
        <w:rPr>
          <w:rFonts w:eastAsia="Times New Roman"/>
        </w:rPr>
        <w:t xml:space="preserve"> </w:t>
      </w:r>
      <w:r>
        <w:rPr>
          <w:rFonts w:eastAsia="Times New Roman"/>
        </w:rPr>
        <w:t>TtW p</w:t>
      </w:r>
      <w:r w:rsidRPr="00A44151">
        <w:rPr>
          <w:rFonts w:eastAsia="Times New Roman"/>
        </w:rPr>
        <w:t xml:space="preserve">articipants </w:t>
      </w:r>
      <w:r w:rsidRPr="00AE415C">
        <w:rPr>
          <w:rFonts w:eastAsia="Times New Roman"/>
        </w:rPr>
        <w:t xml:space="preserve">with </w:t>
      </w:r>
      <w:r>
        <w:rPr>
          <w:rFonts w:eastAsia="Times New Roman"/>
        </w:rPr>
        <w:t>Mutual Obligation Requirements</w:t>
      </w:r>
      <w:r w:rsidRPr="00A44151">
        <w:rPr>
          <w:rFonts w:eastAsia="Times New Roman"/>
        </w:rPr>
        <w:t xml:space="preserve"> w</w:t>
      </w:r>
      <w:r>
        <w:rPr>
          <w:rFonts w:eastAsia="Times New Roman"/>
        </w:rPr>
        <w:t>ould</w:t>
      </w:r>
      <w:r w:rsidRPr="00A44151">
        <w:rPr>
          <w:rFonts w:eastAsia="Times New Roman"/>
        </w:rPr>
        <w:t xml:space="preserve"> be </w:t>
      </w:r>
      <w:r>
        <w:rPr>
          <w:rFonts w:eastAsia="Times New Roman"/>
        </w:rPr>
        <w:t xml:space="preserve">exited and </w:t>
      </w:r>
      <w:r w:rsidRPr="00A44151">
        <w:rPr>
          <w:rFonts w:eastAsia="Times New Roman"/>
        </w:rPr>
        <w:t>referred to jobactive</w:t>
      </w:r>
      <w:r>
        <w:rPr>
          <w:rFonts w:eastAsia="Times New Roman"/>
        </w:rPr>
        <w:t xml:space="preserve"> by their provider if they asked to exit,</w:t>
      </w:r>
      <w:r w:rsidRPr="00A44151">
        <w:rPr>
          <w:rFonts w:eastAsia="Times New Roman"/>
        </w:rPr>
        <w:t xml:space="preserve"> while a </w:t>
      </w:r>
      <w:r>
        <w:rPr>
          <w:rFonts w:eastAsia="Times New Roman"/>
        </w:rPr>
        <w:t>‘</w:t>
      </w:r>
      <w:r w:rsidRPr="00A44151">
        <w:rPr>
          <w:rFonts w:eastAsia="Times New Roman"/>
        </w:rPr>
        <w:t>request to exit</w:t>
      </w:r>
      <w:r>
        <w:rPr>
          <w:rFonts w:eastAsia="Times New Roman"/>
        </w:rPr>
        <w:t>’</w:t>
      </w:r>
      <w:r w:rsidRPr="00A44151">
        <w:rPr>
          <w:rFonts w:eastAsia="Times New Roman"/>
        </w:rPr>
        <w:t xml:space="preserve"> </w:t>
      </w:r>
      <w:r>
        <w:rPr>
          <w:rFonts w:eastAsia="Times New Roman"/>
        </w:rPr>
        <w:t xml:space="preserve">from </w:t>
      </w:r>
      <w:r w:rsidRPr="00A44151">
        <w:rPr>
          <w:rFonts w:eastAsia="Times New Roman"/>
        </w:rPr>
        <w:t>jobactive w</w:t>
      </w:r>
      <w:r>
        <w:rPr>
          <w:rFonts w:eastAsia="Times New Roman"/>
        </w:rPr>
        <w:t>ould</w:t>
      </w:r>
      <w:r w:rsidRPr="00A44151">
        <w:rPr>
          <w:rFonts w:eastAsia="Times New Roman"/>
        </w:rPr>
        <w:t xml:space="preserve"> </w:t>
      </w:r>
      <w:r>
        <w:rPr>
          <w:rFonts w:eastAsia="Times New Roman"/>
        </w:rPr>
        <w:t xml:space="preserve">usually </w:t>
      </w:r>
      <w:r w:rsidRPr="00A44151">
        <w:rPr>
          <w:rFonts w:eastAsia="Times New Roman"/>
        </w:rPr>
        <w:t xml:space="preserve">result in </w:t>
      </w:r>
      <w:r>
        <w:rPr>
          <w:rFonts w:eastAsia="Times New Roman"/>
        </w:rPr>
        <w:t xml:space="preserve">the </w:t>
      </w:r>
      <w:r w:rsidRPr="00A44151">
        <w:rPr>
          <w:rFonts w:eastAsia="Times New Roman"/>
        </w:rPr>
        <w:t>suspension or cance</w:t>
      </w:r>
      <w:r>
        <w:rPr>
          <w:rFonts w:eastAsia="Times New Roman"/>
        </w:rPr>
        <w:t>l</w:t>
      </w:r>
      <w:r w:rsidRPr="00A44151">
        <w:rPr>
          <w:rFonts w:eastAsia="Times New Roman"/>
        </w:rPr>
        <w:t>lation of income support payment</w:t>
      </w:r>
      <w:r>
        <w:rPr>
          <w:rFonts w:eastAsia="Times New Roman"/>
        </w:rPr>
        <w:t>s</w:t>
      </w:r>
      <w:r>
        <w:rPr>
          <w:rStyle w:val="FootnoteReference"/>
          <w:rFonts w:eastAsia="Times New Roman"/>
        </w:rPr>
        <w:footnoteReference w:id="29"/>
      </w:r>
      <w:r w:rsidRPr="00A44151">
        <w:rPr>
          <w:rFonts w:eastAsia="Times New Roman"/>
        </w:rPr>
        <w:t>.</w:t>
      </w:r>
    </w:p>
    <w:p w14:paraId="28DF384A" w14:textId="77777777" w:rsidR="00CC4E3D" w:rsidRDefault="00CC4E3D" w:rsidP="00CC4E3D">
      <w:pPr>
        <w:rPr>
          <w:rFonts w:eastAsia="Times New Roman"/>
        </w:rPr>
      </w:pPr>
      <w:r w:rsidRPr="008B4954">
        <w:rPr>
          <w:rFonts w:eastAsia="Times New Roman"/>
        </w:rPr>
        <w:t xml:space="preserve">The </w:t>
      </w:r>
      <w:r w:rsidRPr="00A44151">
        <w:rPr>
          <w:rFonts w:eastAsia="Times New Roman"/>
        </w:rPr>
        <w:t xml:space="preserve">intensive servicing </w:t>
      </w:r>
      <w:r>
        <w:rPr>
          <w:rFonts w:eastAsia="Times New Roman"/>
        </w:rPr>
        <w:t xml:space="preserve">and </w:t>
      </w:r>
      <w:r>
        <w:t xml:space="preserve">different compliance in relation to individual appointments or activities </w:t>
      </w:r>
      <w:r>
        <w:rPr>
          <w:rFonts w:eastAsia="Times New Roman"/>
        </w:rPr>
        <w:t>in</w:t>
      </w:r>
      <w:r w:rsidRPr="00A44151">
        <w:rPr>
          <w:rFonts w:eastAsia="Times New Roman"/>
        </w:rPr>
        <w:t xml:space="preserve"> T</w:t>
      </w:r>
      <w:r>
        <w:rPr>
          <w:rFonts w:eastAsia="Times New Roman"/>
        </w:rPr>
        <w:t xml:space="preserve">tW </w:t>
      </w:r>
      <w:r w:rsidRPr="00A44151">
        <w:rPr>
          <w:rFonts w:eastAsia="Times New Roman"/>
        </w:rPr>
        <w:t>ma</w:t>
      </w:r>
      <w:r>
        <w:rPr>
          <w:rFonts w:eastAsia="Times New Roman"/>
        </w:rPr>
        <w:t>d</w:t>
      </w:r>
      <w:r w:rsidRPr="00A44151">
        <w:rPr>
          <w:rFonts w:eastAsia="Times New Roman"/>
        </w:rPr>
        <w:t>e it difficult</w:t>
      </w:r>
      <w:r>
        <w:rPr>
          <w:rFonts w:eastAsia="Times New Roman"/>
        </w:rPr>
        <w:t xml:space="preserve"> for providers</w:t>
      </w:r>
      <w:r w:rsidRPr="00A44151">
        <w:rPr>
          <w:rFonts w:eastAsia="Times New Roman"/>
        </w:rPr>
        <w:t xml:space="preserve"> to </w:t>
      </w:r>
      <w:r>
        <w:rPr>
          <w:rFonts w:eastAsia="Times New Roman"/>
        </w:rPr>
        <w:t xml:space="preserve">initially </w:t>
      </w:r>
      <w:r w:rsidRPr="00A44151">
        <w:rPr>
          <w:rFonts w:eastAsia="Times New Roman"/>
        </w:rPr>
        <w:t xml:space="preserve">engage </w:t>
      </w:r>
      <w:r>
        <w:rPr>
          <w:rFonts w:eastAsia="Times New Roman"/>
        </w:rPr>
        <w:t xml:space="preserve">some young </w:t>
      </w:r>
      <w:r w:rsidRPr="00A44151">
        <w:rPr>
          <w:rFonts w:eastAsia="Times New Roman"/>
        </w:rPr>
        <w:t>people</w:t>
      </w:r>
      <w:r>
        <w:rPr>
          <w:rFonts w:eastAsia="Times New Roman"/>
        </w:rPr>
        <w:t>.</w:t>
      </w:r>
      <w:r w:rsidRPr="00A44151">
        <w:rPr>
          <w:rFonts w:eastAsia="Times New Roman"/>
        </w:rPr>
        <w:t xml:space="preserve"> </w:t>
      </w:r>
      <w:r>
        <w:rPr>
          <w:rFonts w:eastAsia="Times New Roman"/>
        </w:rPr>
        <w:t>Providers interviewed in the qualitative research reported that many participants</w:t>
      </w:r>
      <w:r w:rsidRPr="00A44151">
        <w:rPr>
          <w:rFonts w:eastAsia="Times New Roman"/>
        </w:rPr>
        <w:t xml:space="preserve"> </w:t>
      </w:r>
      <w:r>
        <w:rPr>
          <w:rFonts w:eastAsia="Times New Roman"/>
        </w:rPr>
        <w:t xml:space="preserve">initially </w:t>
      </w:r>
      <w:r w:rsidRPr="00A44151">
        <w:rPr>
          <w:rFonts w:eastAsia="Times New Roman"/>
        </w:rPr>
        <w:t>displayed a relatively high level of disengagement</w:t>
      </w:r>
      <w:r>
        <w:rPr>
          <w:rFonts w:eastAsia="Times New Roman"/>
        </w:rPr>
        <w:t xml:space="preserve"> and</w:t>
      </w:r>
      <w:r w:rsidRPr="00A44151">
        <w:rPr>
          <w:rFonts w:eastAsia="Times New Roman"/>
        </w:rPr>
        <w:t xml:space="preserve"> little knowledge of the TtW </w:t>
      </w:r>
      <w:r>
        <w:rPr>
          <w:rFonts w:eastAsia="Times New Roman"/>
        </w:rPr>
        <w:t xml:space="preserve">service. </w:t>
      </w:r>
      <w:r w:rsidRPr="00A44151">
        <w:rPr>
          <w:rFonts w:eastAsia="Times New Roman"/>
        </w:rPr>
        <w:t xml:space="preserve">Young people in </w:t>
      </w:r>
      <w:r>
        <w:rPr>
          <w:rFonts w:eastAsia="Times New Roman"/>
        </w:rPr>
        <w:t xml:space="preserve">the </w:t>
      </w:r>
      <w:r w:rsidRPr="00A44151">
        <w:rPr>
          <w:rFonts w:eastAsia="Times New Roman"/>
        </w:rPr>
        <w:t xml:space="preserve">focus groups </w:t>
      </w:r>
      <w:r>
        <w:rPr>
          <w:rFonts w:eastAsia="Times New Roman"/>
        </w:rPr>
        <w:t>reported</w:t>
      </w:r>
      <w:r w:rsidRPr="00A44151">
        <w:rPr>
          <w:rFonts w:eastAsia="Times New Roman"/>
        </w:rPr>
        <w:t xml:space="preserve"> </w:t>
      </w:r>
      <w:r>
        <w:rPr>
          <w:rFonts w:eastAsia="Times New Roman"/>
        </w:rPr>
        <w:t>that they had</w:t>
      </w:r>
      <w:r w:rsidRPr="00A44151">
        <w:rPr>
          <w:rFonts w:eastAsia="Times New Roman"/>
        </w:rPr>
        <w:t xml:space="preserve"> initial</w:t>
      </w:r>
      <w:r>
        <w:rPr>
          <w:rFonts w:eastAsia="Times New Roman"/>
        </w:rPr>
        <w:t>ly</w:t>
      </w:r>
      <w:r w:rsidRPr="00A44151">
        <w:rPr>
          <w:rFonts w:eastAsia="Times New Roman"/>
        </w:rPr>
        <w:t xml:space="preserve"> mistrust</w:t>
      </w:r>
      <w:r>
        <w:rPr>
          <w:rFonts w:eastAsia="Times New Roman"/>
        </w:rPr>
        <w:t>ed</w:t>
      </w:r>
      <w:r w:rsidRPr="00A44151">
        <w:rPr>
          <w:rFonts w:eastAsia="Times New Roman"/>
        </w:rPr>
        <w:t xml:space="preserve"> </w:t>
      </w:r>
      <w:r>
        <w:rPr>
          <w:rFonts w:eastAsia="Times New Roman"/>
        </w:rPr>
        <w:t xml:space="preserve">TtW </w:t>
      </w:r>
      <w:r w:rsidRPr="00A44151">
        <w:rPr>
          <w:rFonts w:eastAsia="Times New Roman"/>
        </w:rPr>
        <w:t>providers</w:t>
      </w:r>
      <w:r>
        <w:rPr>
          <w:rFonts w:eastAsia="Times New Roman"/>
        </w:rPr>
        <w:t xml:space="preserve"> but now </w:t>
      </w:r>
      <w:r w:rsidRPr="00A44151">
        <w:rPr>
          <w:rFonts w:eastAsia="Times New Roman"/>
        </w:rPr>
        <w:t>felt</w:t>
      </w:r>
      <w:r>
        <w:rPr>
          <w:rFonts w:eastAsia="Times New Roman"/>
        </w:rPr>
        <w:t xml:space="preserve"> that</w:t>
      </w:r>
      <w:r w:rsidRPr="00A44151">
        <w:rPr>
          <w:rFonts w:eastAsia="Times New Roman"/>
        </w:rPr>
        <w:t xml:space="preserve"> </w:t>
      </w:r>
      <w:r>
        <w:rPr>
          <w:rFonts w:eastAsia="Times New Roman"/>
        </w:rPr>
        <w:t xml:space="preserve">the </w:t>
      </w:r>
      <w:r w:rsidRPr="00A44151">
        <w:rPr>
          <w:rFonts w:eastAsia="Times New Roman"/>
        </w:rPr>
        <w:t>providers were helping them</w:t>
      </w:r>
      <w:r>
        <w:rPr>
          <w:rFonts w:eastAsia="Times New Roman"/>
        </w:rPr>
        <w:t xml:space="preserve"> </w:t>
      </w:r>
      <w:r w:rsidRPr="00A44151">
        <w:rPr>
          <w:rFonts w:eastAsia="Times New Roman"/>
        </w:rPr>
        <w:t>in any way they could to achieve their goals</w:t>
      </w:r>
      <w:r>
        <w:rPr>
          <w:rFonts w:eastAsia="Times New Roman"/>
        </w:rPr>
        <w:t>.</w:t>
      </w:r>
    </w:p>
    <w:p w14:paraId="167F47FA" w14:textId="77777777" w:rsidR="00CC4E3D" w:rsidRPr="00A44151" w:rsidRDefault="00CC4E3D" w:rsidP="00CC4E3D">
      <w:pPr>
        <w:rPr>
          <w:rFonts w:eastAsia="Times New Roman"/>
        </w:rPr>
      </w:pPr>
      <w:r w:rsidRPr="00A44151">
        <w:rPr>
          <w:rFonts w:eastAsia="Times New Roman"/>
        </w:rPr>
        <w:t xml:space="preserve">TtW providers generally indicated that they </w:t>
      </w:r>
      <w:r>
        <w:rPr>
          <w:rFonts w:eastAsia="Times New Roman"/>
        </w:rPr>
        <w:t xml:space="preserve">had </w:t>
      </w:r>
      <w:r w:rsidRPr="00A44151">
        <w:rPr>
          <w:rFonts w:eastAsia="Times New Roman"/>
        </w:rPr>
        <w:t xml:space="preserve">made a number of attempts to engage and to keep a participant in services before exiting them for not engaging appropriately. </w:t>
      </w:r>
    </w:p>
    <w:p w14:paraId="2BF8F42C" w14:textId="77777777" w:rsidR="00CC4E3D" w:rsidRPr="00266494" w:rsidRDefault="00CC4E3D" w:rsidP="00CC4E3D">
      <w:pPr>
        <w:pStyle w:val="Quotation"/>
      </w:pPr>
      <w:r w:rsidRPr="00266494">
        <w:t>Yeah, we</w:t>
      </w:r>
      <w:r>
        <w:t>’</w:t>
      </w:r>
      <w:r w:rsidRPr="00266494">
        <w:t>ve exited a few. So, we</w:t>
      </w:r>
      <w:r>
        <w:t>’</w:t>
      </w:r>
      <w:r w:rsidRPr="00266494">
        <w:t>ve exited a few in [Place] and [Place], just for just non-attendance at all, haven</w:t>
      </w:r>
      <w:r>
        <w:t>’</w:t>
      </w:r>
      <w:r w:rsidRPr="00266494">
        <w:t>t heard from them, just totally off the radar, that sort of thing.</w:t>
      </w:r>
      <w:r>
        <w:t xml:space="preserve"> </w:t>
      </w:r>
      <w:r w:rsidRPr="00266494">
        <w:t>That</w:t>
      </w:r>
      <w:r>
        <w:t>’</w:t>
      </w:r>
      <w:r w:rsidRPr="00266494">
        <w:t>s really the only time. If they</w:t>
      </w:r>
      <w:r>
        <w:t>’</w:t>
      </w:r>
      <w:r w:rsidRPr="00266494">
        <w:t>re not turning up to workshops or the job search hubs or appointments with me and we can</w:t>
      </w:r>
      <w:r>
        <w:t>’</w:t>
      </w:r>
      <w:r w:rsidRPr="00266494">
        <w:t>t get hold of them, things like that.</w:t>
      </w:r>
      <w:r>
        <w:t xml:space="preserve"> </w:t>
      </w:r>
      <w:r w:rsidRPr="00266494">
        <w:t>Well, we</w:t>
      </w:r>
      <w:r>
        <w:t>’</w:t>
      </w:r>
      <w:r w:rsidRPr="00266494">
        <w:t>ve tried.</w:t>
      </w:r>
      <w:r>
        <w:t xml:space="preserve"> </w:t>
      </w:r>
      <w:r w:rsidRPr="00266494">
        <w:t>And we are patient, we do try. And we do text, ring, send letters but there</w:t>
      </w:r>
      <w:r>
        <w:t>’</w:t>
      </w:r>
      <w:r w:rsidRPr="00266494">
        <w:t xml:space="preserve">s only so much you can do as well. And then we send out an exit letter. </w:t>
      </w:r>
    </w:p>
    <w:p w14:paraId="08BC183A" w14:textId="77777777" w:rsidR="00CC4E3D" w:rsidRPr="009232EE" w:rsidRDefault="00CC4E3D" w:rsidP="00CC4E3D">
      <w:pPr>
        <w:pStyle w:val="Quotation"/>
      </w:pPr>
      <w:r w:rsidRPr="009232EE">
        <w:t>(Provider Interview 17)</w:t>
      </w:r>
    </w:p>
    <w:p w14:paraId="32FA0D30" w14:textId="77777777" w:rsidR="00CC4E3D" w:rsidRDefault="00CC4E3D" w:rsidP="00CC4E3D">
      <w:pPr>
        <w:rPr>
          <w:rFonts w:eastAsia="Times New Roman"/>
        </w:rPr>
      </w:pPr>
      <w:bookmarkStart w:id="457" w:name="_Toc514172381"/>
      <w:bookmarkStart w:id="458" w:name="_Toc492976748"/>
      <w:bookmarkStart w:id="459" w:name="_Toc509402467"/>
      <w:r>
        <w:rPr>
          <w:rFonts w:eastAsia="Times New Roman"/>
        </w:rPr>
        <w:t>Further a</w:t>
      </w:r>
      <w:r w:rsidRPr="00A44151">
        <w:rPr>
          <w:rFonts w:eastAsia="Times New Roman"/>
        </w:rPr>
        <w:t xml:space="preserve">nalysis of </w:t>
      </w:r>
      <w:r>
        <w:rPr>
          <w:rFonts w:eastAsia="Times New Roman"/>
        </w:rPr>
        <w:t xml:space="preserve">the </w:t>
      </w:r>
      <w:r w:rsidRPr="00A44151">
        <w:rPr>
          <w:rFonts w:eastAsia="Times New Roman"/>
        </w:rPr>
        <w:t>main reasons for exiting</w:t>
      </w:r>
      <w:r>
        <w:rPr>
          <w:rFonts w:eastAsia="Times New Roman"/>
        </w:rPr>
        <w:t>,</w:t>
      </w:r>
      <w:r w:rsidRPr="00A44151">
        <w:rPr>
          <w:rFonts w:eastAsia="Times New Roman"/>
        </w:rPr>
        <w:t xml:space="preserve"> by month from commencement</w:t>
      </w:r>
      <w:r>
        <w:rPr>
          <w:rFonts w:eastAsia="Times New Roman"/>
        </w:rPr>
        <w:t>,</w:t>
      </w:r>
      <w:r w:rsidRPr="00A44151">
        <w:rPr>
          <w:rFonts w:eastAsia="Times New Roman"/>
        </w:rPr>
        <w:t xml:space="preserve"> show</w:t>
      </w:r>
      <w:r>
        <w:rPr>
          <w:rFonts w:eastAsia="Times New Roman"/>
        </w:rPr>
        <w:t>ed</w:t>
      </w:r>
      <w:r w:rsidRPr="00A44151">
        <w:rPr>
          <w:rFonts w:eastAsia="Times New Roman"/>
        </w:rPr>
        <w:t xml:space="preserve"> very different pattern</w:t>
      </w:r>
      <w:r>
        <w:rPr>
          <w:rFonts w:eastAsia="Times New Roman"/>
        </w:rPr>
        <w:t>s f</w:t>
      </w:r>
      <w:r w:rsidRPr="00A44151">
        <w:rPr>
          <w:rFonts w:eastAsia="Times New Roman"/>
        </w:rPr>
        <w:t xml:space="preserve">or </w:t>
      </w:r>
      <w:r>
        <w:rPr>
          <w:rFonts w:eastAsia="Times New Roman"/>
        </w:rPr>
        <w:t>the two</w:t>
      </w:r>
      <w:r w:rsidRPr="00A44151">
        <w:rPr>
          <w:rFonts w:eastAsia="Times New Roman"/>
        </w:rPr>
        <w:t xml:space="preserve"> </w:t>
      </w:r>
      <w:r>
        <w:rPr>
          <w:rFonts w:eastAsia="Times New Roman"/>
        </w:rPr>
        <w:t>services (</w:t>
      </w:r>
      <w:r>
        <w:rPr>
          <w:rFonts w:eastAsia="Times New Roman"/>
          <w:b/>
        </w:rPr>
        <w:t>Figure </w:t>
      </w:r>
      <w:r w:rsidRPr="003E2401">
        <w:rPr>
          <w:rFonts w:eastAsia="Times New Roman"/>
          <w:b/>
        </w:rPr>
        <w:t>4.1</w:t>
      </w:r>
      <w:r>
        <w:rPr>
          <w:rFonts w:eastAsia="Times New Roman"/>
          <w:b/>
        </w:rPr>
        <w:t>5 </w:t>
      </w:r>
      <w:r>
        <w:rPr>
          <w:rFonts w:eastAsia="Times New Roman"/>
        </w:rPr>
        <w:t xml:space="preserve">and </w:t>
      </w:r>
      <w:r>
        <w:rPr>
          <w:rFonts w:eastAsia="Times New Roman"/>
          <w:b/>
        </w:rPr>
        <w:t>Figure </w:t>
      </w:r>
      <w:r w:rsidRPr="003E2401">
        <w:rPr>
          <w:rFonts w:eastAsia="Times New Roman"/>
          <w:b/>
        </w:rPr>
        <w:t>4.16</w:t>
      </w:r>
      <w:r>
        <w:rPr>
          <w:rFonts w:eastAsia="Times New Roman"/>
        </w:rPr>
        <w:t>)</w:t>
      </w:r>
      <w:r w:rsidRPr="00A44151">
        <w:rPr>
          <w:rFonts w:eastAsia="Times New Roman"/>
        </w:rPr>
        <w:t xml:space="preserve">. </w:t>
      </w:r>
    </w:p>
    <w:p w14:paraId="3DD8B30B" w14:textId="25498E71" w:rsidR="00CC4E3D" w:rsidRDefault="00CC4E3D" w:rsidP="00FD4CA8">
      <w:pPr>
        <w:pStyle w:val="Caption"/>
        <w:rPr>
          <w:noProof/>
          <w:lang w:eastAsia="en-AU"/>
        </w:rPr>
      </w:pPr>
      <w:bookmarkStart w:id="460" w:name="_Toc535511486"/>
      <w:bookmarkStart w:id="461" w:name="_Toc535511546"/>
      <w:bookmarkStart w:id="462" w:name="_Toc535512773"/>
      <w:bookmarkStart w:id="463" w:name="_Toc535513409"/>
      <w:bookmarkStart w:id="464" w:name="_Toc23841485"/>
      <w:r>
        <w:lastRenderedPageBreak/>
        <w:t xml:space="preserve">Figure </w:t>
      </w:r>
      <w:r>
        <w:rPr>
          <w:noProof/>
        </w:rPr>
        <w:fldChar w:fldCharType="begin"/>
      </w:r>
      <w:r>
        <w:rPr>
          <w:noProof/>
        </w:rPr>
        <w:instrText xml:space="preserve"> STYLEREF 1 \s </w:instrText>
      </w:r>
      <w:r>
        <w:rPr>
          <w:noProof/>
        </w:rPr>
        <w:fldChar w:fldCharType="separate"/>
      </w:r>
      <w:r w:rsidR="00D84A2A">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15</w:t>
      </w:r>
      <w:r>
        <w:rPr>
          <w:noProof/>
        </w:rPr>
        <w:fldChar w:fldCharType="end"/>
      </w:r>
      <w:r>
        <w:tab/>
      </w:r>
      <w:r w:rsidRPr="00BC70FE">
        <w:t>Percentage of exits and breakdown of main reasons, by month from commencement — TtW</w:t>
      </w:r>
      <w:bookmarkEnd w:id="457"/>
      <w:bookmarkEnd w:id="458"/>
      <w:bookmarkEnd w:id="459"/>
      <w:bookmarkEnd w:id="460"/>
      <w:bookmarkEnd w:id="461"/>
      <w:bookmarkEnd w:id="462"/>
      <w:bookmarkEnd w:id="463"/>
      <w:bookmarkEnd w:id="464"/>
      <w:r w:rsidRPr="00D7275E">
        <w:rPr>
          <w:noProof/>
          <w:lang w:eastAsia="en-AU"/>
        </w:rPr>
        <w:t xml:space="preserve"> </w:t>
      </w:r>
    </w:p>
    <w:p w14:paraId="3D598736" w14:textId="77777777" w:rsidR="00CC4E3D" w:rsidRPr="007A139E" w:rsidRDefault="00CC4E3D" w:rsidP="00CC4E3D">
      <w:pPr>
        <w:rPr>
          <w:lang w:eastAsia="en-AU"/>
        </w:rPr>
      </w:pPr>
      <w:r>
        <w:rPr>
          <w:noProof/>
          <w:lang w:eastAsia="en-AU"/>
        </w:rPr>
        <w:drawing>
          <wp:inline distT="0" distB="0" distL="0" distR="0" wp14:anchorId="4716509A" wp14:editId="6A3CC85A">
            <wp:extent cx="5011420" cy="3176270"/>
            <wp:effectExtent l="0" t="0" r="0" b="5080"/>
            <wp:docPr id="451" name="Picture 451" descr="Clustered column chart showing the percentage of exits for each of the top three reasons in each of the first six months in TtW.&#10;This figure shows the main recorded reasons for exits from TtW in each of the first six months. The results were:&#10;Month 1 — not contactable 3.1%; changed service 7.0%; requested exit 2.4 %&#10;Month 2 — not contactable 9.0%; changed service 8.8%; requested exit 1.6%&#10;Month 3 — not contactable 9.6%; changed service 6.6%; requested exit 1.3%&#10;Month 4 — not contactable 9.3%; changed service 2.2%; requested exit 1.6%&#10;Month 5 — not contactable 8.1%; changed service 2.1%; requested exit 1.6%&#10;Month 6 — not contactable 7.2%; changed service 1.5%; requested exit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011420" cy="3176270"/>
                    </a:xfrm>
                    <a:prstGeom prst="rect">
                      <a:avLst/>
                    </a:prstGeom>
                    <a:noFill/>
                  </pic:spPr>
                </pic:pic>
              </a:graphicData>
            </a:graphic>
          </wp:inline>
        </w:drawing>
      </w:r>
    </w:p>
    <w:p w14:paraId="2EA4F0C5" w14:textId="6349AFDB" w:rsidR="00CC4E3D" w:rsidRPr="002719A8" w:rsidRDefault="00CC4E3D" w:rsidP="00CC4E3D">
      <w:pPr>
        <w:rPr>
          <w:b/>
          <w:sz w:val="18"/>
          <w:szCs w:val="18"/>
          <w:lang w:eastAsia="en-AU"/>
        </w:rPr>
      </w:pPr>
      <w:r w:rsidRPr="002719A8">
        <w:rPr>
          <w:rFonts w:eastAsia="Times New Roman"/>
          <w:b/>
          <w:sz w:val="18"/>
          <w:szCs w:val="18"/>
        </w:rPr>
        <w:t xml:space="preserve">Source: Department of </w:t>
      </w:r>
      <w:r w:rsidR="001D755D">
        <w:rPr>
          <w:rFonts w:eastAsia="Times New Roman"/>
          <w:b/>
          <w:sz w:val="18"/>
          <w:szCs w:val="18"/>
        </w:rPr>
        <w:t>Employment, Skills, Small and Family</w:t>
      </w:r>
      <w:r w:rsidRPr="002719A8">
        <w:rPr>
          <w:rFonts w:eastAsia="Times New Roman"/>
          <w:b/>
          <w:sz w:val="18"/>
          <w:szCs w:val="18"/>
        </w:rPr>
        <w:t xml:space="preserve"> Business administrative data — matched inflow populations.</w:t>
      </w:r>
    </w:p>
    <w:p w14:paraId="08B57A5B" w14:textId="77777777" w:rsidR="00CC4E3D" w:rsidRDefault="00CC4E3D" w:rsidP="00CC4E3D">
      <w:pPr>
        <w:rPr>
          <w:rFonts w:eastAsia="Times New Roman"/>
        </w:rPr>
      </w:pPr>
      <w:r>
        <w:rPr>
          <w:rFonts w:eastAsia="Times New Roman"/>
        </w:rPr>
        <w:t>Participants’</w:t>
      </w:r>
      <w:r w:rsidRPr="00A44151">
        <w:rPr>
          <w:rFonts w:eastAsia="Times New Roman"/>
        </w:rPr>
        <w:t xml:space="preserve"> first three months in TtW appear</w:t>
      </w:r>
      <w:r>
        <w:rPr>
          <w:rFonts w:eastAsia="Times New Roman"/>
        </w:rPr>
        <w:t>s</w:t>
      </w:r>
      <w:r w:rsidRPr="00A44151">
        <w:rPr>
          <w:rFonts w:eastAsia="Times New Roman"/>
        </w:rPr>
        <w:t xml:space="preserve"> to</w:t>
      </w:r>
      <w:r>
        <w:rPr>
          <w:rFonts w:eastAsia="Times New Roman"/>
        </w:rPr>
        <w:t xml:space="preserve"> have</w:t>
      </w:r>
      <w:r w:rsidRPr="00A44151">
        <w:rPr>
          <w:rFonts w:eastAsia="Times New Roman"/>
        </w:rPr>
        <w:t xml:space="preserve"> be</w:t>
      </w:r>
      <w:r>
        <w:rPr>
          <w:rFonts w:eastAsia="Times New Roman"/>
        </w:rPr>
        <w:t>en</w:t>
      </w:r>
      <w:r w:rsidRPr="00A44151">
        <w:rPr>
          <w:rFonts w:eastAsia="Times New Roman"/>
        </w:rPr>
        <w:t xml:space="preserve"> a settling</w:t>
      </w:r>
      <w:r>
        <w:rPr>
          <w:rFonts w:eastAsia="Times New Roman"/>
        </w:rPr>
        <w:t>-</w:t>
      </w:r>
      <w:r w:rsidRPr="00A44151">
        <w:rPr>
          <w:rFonts w:eastAsia="Times New Roman"/>
        </w:rPr>
        <w:t>in period</w:t>
      </w:r>
      <w:r>
        <w:rPr>
          <w:rFonts w:eastAsia="Times New Roman"/>
        </w:rPr>
        <w:t>.</w:t>
      </w:r>
      <w:r w:rsidRPr="00A44151">
        <w:rPr>
          <w:rFonts w:eastAsia="Times New Roman"/>
        </w:rPr>
        <w:t xml:space="preserve"> </w:t>
      </w:r>
      <w:r>
        <w:rPr>
          <w:rFonts w:eastAsia="Times New Roman"/>
        </w:rPr>
        <w:t>P</w:t>
      </w:r>
      <w:r w:rsidRPr="00A44151">
        <w:rPr>
          <w:rFonts w:eastAsia="Times New Roman"/>
        </w:rPr>
        <w:t>roviders report</w:t>
      </w:r>
      <w:r>
        <w:rPr>
          <w:rFonts w:eastAsia="Times New Roman"/>
        </w:rPr>
        <w:t>ed</w:t>
      </w:r>
      <w:r w:rsidRPr="00A44151">
        <w:rPr>
          <w:rFonts w:eastAsia="Times New Roman"/>
        </w:rPr>
        <w:t xml:space="preserve"> </w:t>
      </w:r>
      <w:r>
        <w:rPr>
          <w:rFonts w:eastAsia="Times New Roman"/>
        </w:rPr>
        <w:t xml:space="preserve">initially </w:t>
      </w:r>
      <w:r w:rsidRPr="00A44151">
        <w:rPr>
          <w:rFonts w:eastAsia="Times New Roman"/>
        </w:rPr>
        <w:t xml:space="preserve">spending a lot of time identifying </w:t>
      </w:r>
      <w:r>
        <w:rPr>
          <w:rFonts w:eastAsia="Times New Roman"/>
        </w:rPr>
        <w:t>participants’</w:t>
      </w:r>
      <w:r w:rsidRPr="00A44151">
        <w:rPr>
          <w:rFonts w:eastAsia="Times New Roman"/>
        </w:rPr>
        <w:t xml:space="preserve"> goals and needs and explaining how the </w:t>
      </w:r>
      <w:r>
        <w:rPr>
          <w:rFonts w:eastAsia="Times New Roman"/>
        </w:rPr>
        <w:t>service</w:t>
      </w:r>
      <w:r w:rsidRPr="00A44151">
        <w:rPr>
          <w:rFonts w:eastAsia="Times New Roman"/>
        </w:rPr>
        <w:t xml:space="preserve"> could </w:t>
      </w:r>
      <w:r>
        <w:rPr>
          <w:rFonts w:eastAsia="Times New Roman"/>
        </w:rPr>
        <w:t>help</w:t>
      </w:r>
      <w:r w:rsidRPr="00A44151">
        <w:rPr>
          <w:rFonts w:eastAsia="Times New Roman"/>
        </w:rPr>
        <w:t xml:space="preserve"> them get training and skills to achieve their goals.</w:t>
      </w:r>
      <w:r>
        <w:rPr>
          <w:rFonts w:eastAsia="Times New Roman"/>
        </w:rPr>
        <w:t xml:space="preserve"> Participants who did not engage appropriately and were not contactable after numerous attempts were progressively exited by providers after the first month as ‘not participating or not contactable’. </w:t>
      </w:r>
    </w:p>
    <w:p w14:paraId="35239ECB" w14:textId="77777777" w:rsidR="00CC4E3D" w:rsidRPr="00266494" w:rsidRDefault="00CC4E3D" w:rsidP="00CC4E3D">
      <w:pPr>
        <w:pStyle w:val="Quotation"/>
      </w:pPr>
      <w:r w:rsidRPr="00266494">
        <w:t>I agree</w:t>
      </w:r>
      <w:r>
        <w:t>,</w:t>
      </w:r>
      <w:r w:rsidRPr="00266494">
        <w:t xml:space="preserve"> and with teachers for me personally I didn</w:t>
      </w:r>
      <w:r>
        <w:t>’</w:t>
      </w:r>
      <w:r w:rsidRPr="00266494">
        <w:t>t feel like I could trust them with stuff that I wanted to tell the about what I wanted with my future.</w:t>
      </w:r>
      <w:r>
        <w:t xml:space="preserve"> </w:t>
      </w:r>
      <w:r w:rsidRPr="00266494">
        <w:t>But with the [Provider] I feel like I can tell these people my</w:t>
      </w:r>
      <w:r>
        <w:t xml:space="preserve"> — </w:t>
      </w:r>
      <w:r w:rsidRPr="00266494">
        <w:t>I know that they will help me in any way they can</w:t>
      </w:r>
      <w:r>
        <w:t>.</w:t>
      </w:r>
      <w:r w:rsidRPr="00266494">
        <w:t xml:space="preserve"> </w:t>
      </w:r>
    </w:p>
    <w:p w14:paraId="328FB241" w14:textId="77777777" w:rsidR="00CC4E3D" w:rsidRPr="00CF443F" w:rsidRDefault="00CC4E3D" w:rsidP="00CC4E3D">
      <w:pPr>
        <w:pStyle w:val="Quotation"/>
      </w:pPr>
      <w:r w:rsidRPr="00CF443F">
        <w:t>(Participant Focus Group 12)</w:t>
      </w:r>
    </w:p>
    <w:p w14:paraId="4DB63FA7" w14:textId="77777777" w:rsidR="00CC4E3D" w:rsidRPr="00CF443F" w:rsidRDefault="00CC4E3D" w:rsidP="00CC4E3D">
      <w:pPr>
        <w:pStyle w:val="Quotation"/>
      </w:pPr>
      <w:r w:rsidRPr="00266494">
        <w:t>We understand that the program is voluntary and that has its strengths because when you</w:t>
      </w:r>
      <w:r>
        <w:t>’</w:t>
      </w:r>
      <w:r w:rsidRPr="00266494">
        <w:t>re engaging with a young person they</w:t>
      </w:r>
      <w:r>
        <w:t>’</w:t>
      </w:r>
      <w:r w:rsidRPr="00266494">
        <w:t xml:space="preserve">re there because they want to </w:t>
      </w:r>
      <w:r w:rsidRPr="00CF443F">
        <w:t xml:space="preserve">be. </w:t>
      </w:r>
    </w:p>
    <w:p w14:paraId="63B4D3EA" w14:textId="77777777" w:rsidR="00CC4E3D" w:rsidRPr="00CF443F" w:rsidRDefault="00CC4E3D" w:rsidP="00CC4E3D">
      <w:pPr>
        <w:pStyle w:val="Quotation"/>
      </w:pPr>
      <w:r w:rsidRPr="00CF443F">
        <w:t>(Provider Interview 5)</w:t>
      </w:r>
    </w:p>
    <w:p w14:paraId="51539E00" w14:textId="77777777" w:rsidR="00CC4E3D" w:rsidRDefault="00CC4E3D" w:rsidP="00CC4E3D">
      <w:pPr>
        <w:rPr>
          <w:rFonts w:eastAsia="Times New Roman"/>
        </w:rPr>
      </w:pPr>
      <w:r>
        <w:rPr>
          <w:rFonts w:eastAsia="Times New Roman"/>
        </w:rPr>
        <w:t xml:space="preserve">Young people who were assessed as unsuitable for TtW were referred to another service </w:t>
      </w:r>
      <w:r w:rsidRPr="00A44151">
        <w:rPr>
          <w:rFonts w:eastAsia="Times New Roman"/>
        </w:rPr>
        <w:t>such as jobactive or Disability Employment Services</w:t>
      </w:r>
      <w:r>
        <w:rPr>
          <w:rFonts w:eastAsia="Times New Roman"/>
        </w:rPr>
        <w:t xml:space="preserve"> and this occurred mostly in the first three months. </w:t>
      </w:r>
    </w:p>
    <w:p w14:paraId="0FE1398C" w14:textId="6C3B5F3B" w:rsidR="00CC4E3D" w:rsidRDefault="00CC4E3D" w:rsidP="00FD4CA8">
      <w:pPr>
        <w:pStyle w:val="Caption"/>
      </w:pPr>
      <w:bookmarkStart w:id="465" w:name="_Toc514172382"/>
      <w:bookmarkStart w:id="466" w:name="_Toc492976749"/>
      <w:bookmarkStart w:id="467" w:name="_Toc509402468"/>
      <w:bookmarkStart w:id="468" w:name="_Toc535511487"/>
      <w:bookmarkStart w:id="469" w:name="_Toc535511547"/>
      <w:bookmarkStart w:id="470" w:name="_Toc535512774"/>
      <w:bookmarkStart w:id="471" w:name="_Toc535513410"/>
      <w:bookmarkStart w:id="472" w:name="_Toc23841486"/>
      <w:r>
        <w:lastRenderedPageBreak/>
        <w:t xml:space="preserve">Figure </w:t>
      </w:r>
      <w:r>
        <w:rPr>
          <w:noProof/>
        </w:rPr>
        <w:fldChar w:fldCharType="begin"/>
      </w:r>
      <w:r>
        <w:rPr>
          <w:noProof/>
        </w:rPr>
        <w:instrText xml:space="preserve"> STYLEREF 1 \s </w:instrText>
      </w:r>
      <w:r>
        <w:rPr>
          <w:noProof/>
        </w:rPr>
        <w:fldChar w:fldCharType="separate"/>
      </w:r>
      <w:r w:rsidR="00D84A2A">
        <w:rPr>
          <w:noProof/>
        </w:rPr>
        <w:t>4</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16</w:t>
      </w:r>
      <w:r>
        <w:rPr>
          <w:noProof/>
        </w:rPr>
        <w:fldChar w:fldCharType="end"/>
      </w:r>
      <w:r>
        <w:tab/>
      </w:r>
      <w:r w:rsidRPr="00384DFF">
        <w:t>Percentage of exits and breakdown of main reasons, by month from commencement</w:t>
      </w:r>
      <w:r>
        <w:t xml:space="preserve"> — </w:t>
      </w:r>
      <w:r w:rsidRPr="00AA27DD">
        <w:t>jobactive</w:t>
      </w:r>
      <w:bookmarkEnd w:id="465"/>
      <w:bookmarkEnd w:id="466"/>
      <w:bookmarkEnd w:id="467"/>
      <w:bookmarkEnd w:id="468"/>
      <w:bookmarkEnd w:id="469"/>
      <w:bookmarkEnd w:id="470"/>
      <w:bookmarkEnd w:id="471"/>
      <w:bookmarkEnd w:id="472"/>
    </w:p>
    <w:p w14:paraId="4E6977A4" w14:textId="77777777" w:rsidR="00CC4E3D" w:rsidRDefault="00CC4E3D" w:rsidP="00CC4E3D">
      <w:pPr>
        <w:rPr>
          <w:noProof/>
          <w:lang w:eastAsia="en-AU"/>
        </w:rPr>
      </w:pPr>
      <w:r w:rsidRPr="00636A9E">
        <w:rPr>
          <w:noProof/>
          <w:lang w:eastAsia="en-AU"/>
        </w:rPr>
        <w:drawing>
          <wp:inline distT="0" distB="0" distL="0" distR="0" wp14:anchorId="4542E1F8" wp14:editId="31E3BBB0">
            <wp:extent cx="5319423" cy="2990085"/>
            <wp:effectExtent l="0" t="0" r="0" b="1270"/>
            <wp:docPr id="476" name="Picture 476" descr="Clustered column chart showing the percentage of exits for each of the top three reasons in each of the first six months in jobactive.&#10;This figure shows the main recorded reasons for exits from jobactive in each of the first six months. The results were:&#10;Month 1 — no longer eligible 19.3%; changed service 8.7%; work/study outcome 2.4%&#10;Month 2 — no longer eligible 8.4%; changed service 8.1%; work/study outcome 1.8%&#10;Month 3 — no longer eligible 8.1%; changed service 4.5%; work/study outcome 1.6%&#10;Month 4 — no longer eligible 6.9%; changed service 2.5%; work/study outcome 1.3%&#10;Month 5 — no longer eligible 6.6%; changed service 1.6%; work/study outcome 0.7%&#10;Month 6 — no longer eligible 5.1%; changed service 1.1%; work/study outcome 0.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58742" cy="3012187"/>
                    </a:xfrm>
                    <a:prstGeom prst="rect">
                      <a:avLst/>
                    </a:prstGeom>
                    <a:noFill/>
                    <a:ln>
                      <a:noFill/>
                    </a:ln>
                  </pic:spPr>
                </pic:pic>
              </a:graphicData>
            </a:graphic>
          </wp:inline>
        </w:drawing>
      </w:r>
    </w:p>
    <w:p w14:paraId="3F1FA8DE" w14:textId="575CBA96" w:rsidR="00CC4E3D" w:rsidRPr="006F5035" w:rsidRDefault="00CC4E3D" w:rsidP="00CC4E3D">
      <w:pPr>
        <w:rPr>
          <w:b/>
          <w:sz w:val="18"/>
          <w:szCs w:val="18"/>
        </w:rPr>
      </w:pPr>
      <w:r w:rsidRPr="006F5035">
        <w:rPr>
          <w:rFonts w:eastAsia="Times New Roman"/>
          <w:b/>
          <w:sz w:val="18"/>
          <w:szCs w:val="18"/>
        </w:rPr>
        <w:t xml:space="preserve">Source: Department of </w:t>
      </w:r>
      <w:r w:rsidR="001D755D">
        <w:rPr>
          <w:rFonts w:eastAsia="Times New Roman"/>
          <w:b/>
          <w:sz w:val="18"/>
          <w:szCs w:val="18"/>
        </w:rPr>
        <w:t>Employment, Skills, Small and Family</w:t>
      </w:r>
      <w:r w:rsidRPr="006F5035">
        <w:rPr>
          <w:rFonts w:eastAsia="Times New Roman"/>
          <w:b/>
          <w:sz w:val="18"/>
          <w:szCs w:val="18"/>
        </w:rPr>
        <w:t xml:space="preserve"> Business administrative data — matched inflow populations.</w:t>
      </w:r>
    </w:p>
    <w:p w14:paraId="3C9E21C4" w14:textId="77777777" w:rsidR="00CC4E3D" w:rsidRPr="00A07BF6" w:rsidRDefault="00CC4E3D" w:rsidP="00CC4E3D">
      <w:pPr>
        <w:rPr>
          <w:rFonts w:ascii="Calibri" w:eastAsia="Times New Roman" w:hAnsi="Calibri" w:cs="Times New Roman"/>
        </w:rPr>
      </w:pPr>
      <w:r>
        <w:rPr>
          <w:rFonts w:eastAsia="Times New Roman"/>
        </w:rPr>
        <w:t>Most</w:t>
      </w:r>
      <w:r w:rsidRPr="000B2526">
        <w:rPr>
          <w:rFonts w:eastAsia="Times New Roman"/>
        </w:rPr>
        <w:t xml:space="preserve"> jobactive exits occurred in the first month</w:t>
      </w:r>
      <w:r>
        <w:rPr>
          <w:rFonts w:eastAsia="Times New Roman"/>
        </w:rPr>
        <w:t>, when</w:t>
      </w:r>
      <w:r w:rsidRPr="000B2526">
        <w:rPr>
          <w:rFonts w:eastAsia="Times New Roman"/>
        </w:rPr>
        <w:t xml:space="preserve"> </w:t>
      </w:r>
      <w:r>
        <w:rPr>
          <w:rFonts w:eastAsia="Times New Roman"/>
        </w:rPr>
        <w:t>around 20 per cent left the program as they were ‘</w:t>
      </w:r>
      <w:r w:rsidRPr="000B2526">
        <w:rPr>
          <w:rFonts w:eastAsia="Times New Roman"/>
        </w:rPr>
        <w:t>no longer eligible</w:t>
      </w:r>
      <w:r>
        <w:rPr>
          <w:rFonts w:eastAsia="Times New Roman"/>
        </w:rPr>
        <w:t>’.</w:t>
      </w:r>
      <w:r w:rsidRPr="000B2526">
        <w:rPr>
          <w:rFonts w:eastAsia="Times New Roman"/>
        </w:rPr>
        <w:t xml:space="preserve"> The category tended to be a catch</w:t>
      </w:r>
      <w:r>
        <w:rPr>
          <w:rFonts w:eastAsia="Times New Roman"/>
        </w:rPr>
        <w:t>-</w:t>
      </w:r>
      <w:r w:rsidRPr="000B2526">
        <w:rPr>
          <w:rFonts w:eastAsia="Times New Roman"/>
        </w:rPr>
        <w:t>all for young people fail</w:t>
      </w:r>
      <w:r>
        <w:rPr>
          <w:rFonts w:eastAsia="Times New Roman"/>
        </w:rPr>
        <w:t>ing</w:t>
      </w:r>
      <w:r w:rsidRPr="000B2526">
        <w:rPr>
          <w:rFonts w:eastAsia="Times New Roman"/>
        </w:rPr>
        <w:t xml:space="preserve"> to engage for many reasons</w:t>
      </w:r>
      <w:r>
        <w:rPr>
          <w:rFonts w:eastAsia="Times New Roman"/>
        </w:rPr>
        <w:t>,</w:t>
      </w:r>
      <w:r w:rsidRPr="000B2526">
        <w:rPr>
          <w:rFonts w:eastAsia="Times New Roman"/>
        </w:rPr>
        <w:t xml:space="preserve"> including an income support claim </w:t>
      </w:r>
      <w:r>
        <w:rPr>
          <w:rFonts w:eastAsia="Times New Roman"/>
        </w:rPr>
        <w:t xml:space="preserve">being </w:t>
      </w:r>
      <w:r w:rsidRPr="000B2526">
        <w:rPr>
          <w:rFonts w:eastAsia="Times New Roman"/>
        </w:rPr>
        <w:t xml:space="preserve">rejected or withdrawn; a change in circumstances; </w:t>
      </w:r>
      <w:r>
        <w:rPr>
          <w:rFonts w:eastAsia="Times New Roman"/>
        </w:rPr>
        <w:t>a return</w:t>
      </w:r>
      <w:r w:rsidRPr="000B2526">
        <w:rPr>
          <w:rFonts w:eastAsia="Times New Roman"/>
        </w:rPr>
        <w:t xml:space="preserve"> to full-time study</w:t>
      </w:r>
      <w:r>
        <w:rPr>
          <w:rFonts w:eastAsia="Times New Roman"/>
        </w:rPr>
        <w:t>;</w:t>
      </w:r>
      <w:r w:rsidRPr="000B2526">
        <w:rPr>
          <w:rFonts w:eastAsia="Times New Roman"/>
        </w:rPr>
        <w:t xml:space="preserve"> or </w:t>
      </w:r>
      <w:r>
        <w:rPr>
          <w:rFonts w:eastAsia="Times New Roman"/>
        </w:rPr>
        <w:t>finding</w:t>
      </w:r>
      <w:r w:rsidRPr="000B2526">
        <w:rPr>
          <w:rFonts w:eastAsia="Times New Roman"/>
        </w:rPr>
        <w:t xml:space="preserve"> a job</w:t>
      </w:r>
      <w:r>
        <w:rPr>
          <w:rFonts w:eastAsia="Times New Roman"/>
        </w:rPr>
        <w:t>.</w:t>
      </w:r>
      <w:r w:rsidRPr="00A07BF6">
        <w:rPr>
          <w:rFonts w:ascii="Calibri" w:eastAsia="Times New Roman" w:hAnsi="Calibri" w:cs="Times New Roman"/>
        </w:rPr>
        <w:t xml:space="preserve"> </w:t>
      </w:r>
      <w:r>
        <w:rPr>
          <w:rFonts w:eastAsia="Times New Roman"/>
          <w:b/>
        </w:rPr>
        <w:t>Figure </w:t>
      </w:r>
      <w:r w:rsidRPr="00A07BF6">
        <w:rPr>
          <w:rFonts w:eastAsia="Times New Roman"/>
          <w:b/>
        </w:rPr>
        <w:t>4.1</w:t>
      </w:r>
      <w:r>
        <w:rPr>
          <w:rFonts w:eastAsia="Times New Roman"/>
          <w:b/>
        </w:rPr>
        <w:t>6 </w:t>
      </w:r>
      <w:r w:rsidRPr="000B2526">
        <w:rPr>
          <w:rFonts w:eastAsia="Times New Roman"/>
        </w:rPr>
        <w:t>shows</w:t>
      </w:r>
      <w:r>
        <w:rPr>
          <w:rFonts w:eastAsia="Times New Roman"/>
        </w:rPr>
        <w:t xml:space="preserve"> that</w:t>
      </w:r>
      <w:r w:rsidRPr="000B2526">
        <w:rPr>
          <w:rFonts w:eastAsia="Times New Roman"/>
        </w:rPr>
        <w:t xml:space="preserve"> jobactive providers were </w:t>
      </w:r>
      <w:r>
        <w:rPr>
          <w:rFonts w:eastAsia="Times New Roman"/>
        </w:rPr>
        <w:t xml:space="preserve">also </w:t>
      </w:r>
      <w:r w:rsidRPr="000B2526">
        <w:rPr>
          <w:rFonts w:eastAsia="Times New Roman"/>
        </w:rPr>
        <w:t xml:space="preserve">more likely to refer </w:t>
      </w:r>
      <w:r>
        <w:rPr>
          <w:rFonts w:eastAsia="Times New Roman"/>
        </w:rPr>
        <w:t>young people</w:t>
      </w:r>
      <w:r w:rsidRPr="000B2526">
        <w:rPr>
          <w:rFonts w:eastAsia="Times New Roman"/>
        </w:rPr>
        <w:t xml:space="preserve"> to another employment service during the first </w:t>
      </w:r>
      <w:r>
        <w:rPr>
          <w:rFonts w:eastAsia="Times New Roman"/>
        </w:rPr>
        <w:t>two</w:t>
      </w:r>
      <w:r w:rsidRPr="000B2526">
        <w:rPr>
          <w:rFonts w:eastAsia="Times New Roman"/>
        </w:rPr>
        <w:t xml:space="preserve"> months after commencement.</w:t>
      </w:r>
      <w:r w:rsidRPr="00A07BF6">
        <w:rPr>
          <w:rFonts w:ascii="Calibri" w:eastAsia="Times New Roman" w:hAnsi="Calibri" w:cs="Times New Roman"/>
        </w:rPr>
        <w:t xml:space="preserve"> </w:t>
      </w:r>
    </w:p>
    <w:p w14:paraId="1982433B" w14:textId="77777777" w:rsidR="00CC4E3D" w:rsidRDefault="00CC4E3D" w:rsidP="00CC4E3D">
      <w:pPr>
        <w:rPr>
          <w:rFonts w:eastAsia="Times New Roman"/>
        </w:rPr>
      </w:pPr>
      <w:r>
        <w:rPr>
          <w:rFonts w:eastAsia="Times New Roman"/>
        </w:rPr>
        <w:t xml:space="preserve">The final evaluation report will examine the </w:t>
      </w:r>
      <w:r w:rsidRPr="00A44151">
        <w:rPr>
          <w:rFonts w:eastAsia="Times New Roman"/>
        </w:rPr>
        <w:t xml:space="preserve">characteristics </w:t>
      </w:r>
      <w:r>
        <w:rPr>
          <w:rFonts w:eastAsia="Times New Roman"/>
        </w:rPr>
        <w:t>of</w:t>
      </w:r>
      <w:r w:rsidRPr="00A44151">
        <w:rPr>
          <w:rFonts w:eastAsia="Times New Roman"/>
        </w:rPr>
        <w:t xml:space="preserve"> </w:t>
      </w:r>
      <w:r>
        <w:rPr>
          <w:rFonts w:eastAsia="Times New Roman"/>
        </w:rPr>
        <w:t>participants</w:t>
      </w:r>
      <w:r w:rsidRPr="00A44151">
        <w:rPr>
          <w:rFonts w:eastAsia="Times New Roman"/>
        </w:rPr>
        <w:t xml:space="preserve"> who exit</w:t>
      </w:r>
      <w:r>
        <w:rPr>
          <w:rFonts w:eastAsia="Times New Roman"/>
        </w:rPr>
        <w:t>ed</w:t>
      </w:r>
      <w:r w:rsidRPr="00A44151">
        <w:rPr>
          <w:rFonts w:eastAsia="Times New Roman"/>
        </w:rPr>
        <w:t xml:space="preserve"> over the full 1</w:t>
      </w:r>
      <w:r>
        <w:rPr>
          <w:rFonts w:eastAsia="Times New Roman"/>
        </w:rPr>
        <w:t>2 </w:t>
      </w:r>
      <w:r w:rsidRPr="00A44151">
        <w:rPr>
          <w:rFonts w:eastAsia="Times New Roman"/>
        </w:rPr>
        <w:t xml:space="preserve">months of the </w:t>
      </w:r>
      <w:r>
        <w:rPr>
          <w:rFonts w:eastAsia="Times New Roman"/>
        </w:rPr>
        <w:t xml:space="preserve">TtW </w:t>
      </w:r>
      <w:r w:rsidRPr="00A44151">
        <w:rPr>
          <w:rFonts w:eastAsia="Times New Roman"/>
        </w:rPr>
        <w:t>service.</w:t>
      </w:r>
    </w:p>
    <w:p w14:paraId="3559FEE8" w14:textId="77777777" w:rsidR="00CC4E3D" w:rsidRPr="00610D95" w:rsidRDefault="00CC4E3D" w:rsidP="001C25D9">
      <w:pPr>
        <w:pStyle w:val="Heading1"/>
        <w:keepNext w:val="0"/>
        <w:pageBreakBefore/>
        <w:numPr>
          <w:ilvl w:val="0"/>
          <w:numId w:val="4"/>
        </w:numPr>
        <w:spacing w:before="0" w:after="240"/>
        <w:ind w:left="431" w:hanging="431"/>
        <w:contextualSpacing/>
        <w:rPr>
          <w:rFonts w:eastAsia="Times New Roman"/>
        </w:rPr>
      </w:pPr>
      <w:bookmarkStart w:id="473" w:name="_Toc509402620"/>
      <w:bookmarkStart w:id="474" w:name="_Toc535498915"/>
      <w:bookmarkStart w:id="475" w:name="_Toc23841395"/>
      <w:r w:rsidRPr="00183225">
        <w:lastRenderedPageBreak/>
        <w:t xml:space="preserve">Early </w:t>
      </w:r>
      <w:r w:rsidRPr="00676009">
        <w:t>impacts</w:t>
      </w:r>
      <w:r w:rsidRPr="00183225">
        <w:t xml:space="preserve"> and outcomes achieved for Transition to Work participants</w:t>
      </w:r>
      <w:bookmarkEnd w:id="473"/>
      <w:bookmarkEnd w:id="474"/>
      <w:bookmarkEnd w:id="475"/>
    </w:p>
    <w:p w14:paraId="5894E744" w14:textId="77777777" w:rsidR="00CC4E3D" w:rsidRPr="001F4939" w:rsidRDefault="00CC4E3D" w:rsidP="001F4939">
      <w:pPr>
        <w:pStyle w:val="Heading2"/>
      </w:pPr>
      <w:bookmarkStart w:id="476" w:name="_Toc509402621"/>
      <w:bookmarkStart w:id="477" w:name="_Toc535498916"/>
      <w:bookmarkStart w:id="478" w:name="_Toc23841396"/>
      <w:r w:rsidRPr="001F4939">
        <w:t>Key findings</w:t>
      </w:r>
      <w:bookmarkEnd w:id="476"/>
      <w:bookmarkEnd w:id="477"/>
      <w:bookmarkEnd w:id="478"/>
    </w:p>
    <w:p w14:paraId="63790580" w14:textId="77777777" w:rsidR="00CC4E3D" w:rsidRPr="00122716" w:rsidRDefault="00CC4E3D" w:rsidP="00E803E7">
      <w:pPr>
        <w:pStyle w:val="ListBullet"/>
        <w:rPr>
          <w:rFonts w:ascii="Calibri" w:hAnsi="Calibri"/>
          <w:iCs/>
          <w:spacing w:val="5"/>
          <w:szCs w:val="20"/>
        </w:rPr>
      </w:pPr>
      <w:r w:rsidRPr="00122716">
        <w:t>At the end of March 201</w:t>
      </w:r>
      <w:r>
        <w:t>7 </w:t>
      </w:r>
      <w:r w:rsidRPr="00122716">
        <w:t xml:space="preserve">a total </w:t>
      </w:r>
      <w:r w:rsidRPr="00EC1AE7">
        <w:t>of 4</w:t>
      </w:r>
      <w:r w:rsidRPr="00B822AD">
        <w:t>71</w:t>
      </w:r>
      <w:r>
        <w:t>6 o</w:t>
      </w:r>
      <w:r w:rsidRPr="00122716">
        <w:t xml:space="preserve">utcomes </w:t>
      </w:r>
      <w:r>
        <w:t xml:space="preserve">had been </w:t>
      </w:r>
      <w:r w:rsidRPr="00122716">
        <w:t xml:space="preserve">achieved across the </w:t>
      </w:r>
      <w:r>
        <w:t xml:space="preserve">commenced </w:t>
      </w:r>
      <w:r w:rsidRPr="00122716">
        <w:t>TtW population</w:t>
      </w:r>
      <w:r>
        <w:t>,</w:t>
      </w:r>
      <w:r w:rsidRPr="00122716">
        <w:t xml:space="preserve"> of which 372</w:t>
      </w:r>
      <w:r>
        <w:t>9 </w:t>
      </w:r>
      <w:r w:rsidRPr="00122716">
        <w:t xml:space="preserve">were </w:t>
      </w:r>
      <w:r>
        <w:t>e</w:t>
      </w:r>
      <w:r w:rsidRPr="00122716">
        <w:t xml:space="preserve">mployment </w:t>
      </w:r>
      <w:r>
        <w:t>o</w:t>
      </w:r>
      <w:r w:rsidRPr="00122716">
        <w:t>utcomes.</w:t>
      </w:r>
    </w:p>
    <w:p w14:paraId="34D4EB9F" w14:textId="77777777" w:rsidR="00CC4E3D" w:rsidRPr="00F55632" w:rsidRDefault="00CC4E3D" w:rsidP="00E803E7">
      <w:pPr>
        <w:pStyle w:val="ListBullet"/>
        <w:rPr>
          <w:rFonts w:ascii="Calibri" w:hAnsi="Calibri"/>
          <w:iCs/>
          <w:spacing w:val="5"/>
          <w:szCs w:val="20"/>
        </w:rPr>
      </w:pPr>
      <w:r>
        <w:t>The higher rate of employment outcomes (79 per cent) than education and hybrid outcomes is likely to reflect the provider focus, as well as to have been driven by the length of the evaluation study period (six months from a participant’s referral to the service) and the 12-week minimum timeframe to achieve an employment outcome. Education outcomes, on the other hand, have a 26-week (or completion of studies) timeframe.</w:t>
      </w:r>
    </w:p>
    <w:p w14:paraId="676010B8" w14:textId="77777777" w:rsidR="00CC4E3D" w:rsidRPr="00F04965" w:rsidRDefault="00CC4E3D" w:rsidP="00E803E7">
      <w:pPr>
        <w:pStyle w:val="ListBullet"/>
      </w:pPr>
      <w:r w:rsidRPr="00610D95">
        <w:t xml:space="preserve">Almost </w:t>
      </w:r>
      <w:r>
        <w:t>39 </w:t>
      </w:r>
      <w:r w:rsidRPr="00610D95">
        <w:t>per cent of TtW p</w:t>
      </w:r>
      <w:r>
        <w:t>articipa</w:t>
      </w:r>
      <w:r w:rsidRPr="00610D95">
        <w:t>nts undert</w:t>
      </w:r>
      <w:r>
        <w:t>ook</w:t>
      </w:r>
      <w:r w:rsidRPr="00610D95">
        <w:t xml:space="preserve"> education and training activities</w:t>
      </w:r>
      <w:r>
        <w:t>,</w:t>
      </w:r>
      <w:r w:rsidRPr="00610D95">
        <w:t xml:space="preserve"> </w:t>
      </w:r>
      <w:r>
        <w:t xml:space="preserve">which accounted for 81 per cent of all activities during the study period. A Certificate III qualification, which can qualify for an education outcome, was the main type of education and training activity. </w:t>
      </w:r>
    </w:p>
    <w:p w14:paraId="6B6E5A80" w14:textId="77777777" w:rsidR="00CC4E3D" w:rsidRPr="00F04965" w:rsidRDefault="00CC4E3D" w:rsidP="00E803E7">
      <w:pPr>
        <w:pStyle w:val="ListBullet"/>
      </w:pPr>
      <w:r w:rsidRPr="00F04965">
        <w:t xml:space="preserve">TtW provider performance against quarterly allocated </w:t>
      </w:r>
      <w:r>
        <w:t>Outcome Performance Target</w:t>
      </w:r>
      <w:r w:rsidRPr="00F04965">
        <w:t xml:space="preserve">s improved with time in operation. </w:t>
      </w:r>
      <w:r>
        <w:t>More than</w:t>
      </w:r>
      <w:r w:rsidRPr="00F04965">
        <w:t xml:space="preserve"> 5</w:t>
      </w:r>
      <w:r>
        <w:t>0 </w:t>
      </w:r>
      <w:r w:rsidRPr="00F04965">
        <w:t xml:space="preserve">per cent of all contracts were meeting their </w:t>
      </w:r>
      <w:r>
        <w:t xml:space="preserve">quarterly </w:t>
      </w:r>
      <w:r w:rsidRPr="00F04965">
        <w:t xml:space="preserve">targets by the end of March 2017. </w:t>
      </w:r>
    </w:p>
    <w:p w14:paraId="0392E3C7" w14:textId="77777777" w:rsidR="00CC4E3D" w:rsidRPr="00F04965" w:rsidRDefault="00CC4E3D" w:rsidP="00E803E7">
      <w:pPr>
        <w:pStyle w:val="ListBullet"/>
      </w:pPr>
      <w:r>
        <w:t xml:space="preserve">The proportion of participants who reported earnings was similar in TtW to that in the matched jobactive sample after six months in the service, but it increased </w:t>
      </w:r>
      <w:r w:rsidRPr="0065530C">
        <w:t>over the study period</w:t>
      </w:r>
      <w:r>
        <w:t xml:space="preserve"> at a slightly faster rate in TtW.</w:t>
      </w:r>
    </w:p>
    <w:p w14:paraId="353905C3" w14:textId="77777777" w:rsidR="00CC4E3D" w:rsidRDefault="00CC4E3D" w:rsidP="00E803E7">
      <w:pPr>
        <w:pStyle w:val="ListBullet"/>
      </w:pPr>
      <w:r>
        <w:t>TtW participants had a higher labour market attachment rate (33 per cent) than participants in the jobactive comparison group (28 per cent). This measure seeks to capture the numbers of participants who have achieved an employment outcome and left income support, as well as those reporting earnings to DHS.</w:t>
      </w:r>
    </w:p>
    <w:p w14:paraId="679ED3B8" w14:textId="77777777" w:rsidR="00CC4E3D" w:rsidRPr="00F04965" w:rsidRDefault="00CC4E3D" w:rsidP="00E803E7">
      <w:pPr>
        <w:pStyle w:val="ListBullet"/>
      </w:pPr>
      <w:r>
        <w:t xml:space="preserve">The combined positive outcome measure, which included participants studying in education courses qualifying for an TtW outcome payment as well as the employment indicators, was higher for TtW participants (42 per cent) than for participants in the jobactive comparison group (33 per cent). </w:t>
      </w:r>
    </w:p>
    <w:p w14:paraId="532D176E" w14:textId="77777777" w:rsidR="00CC4E3D" w:rsidRPr="00BF4760" w:rsidRDefault="00CC4E3D" w:rsidP="00CC4E3D">
      <w:r>
        <w:rPr>
          <w:rFonts w:ascii="Calibri" w:hAnsi="Calibri"/>
        </w:rPr>
        <w:t xml:space="preserve">This chapter focuses on the early impacts of the TtW service. </w:t>
      </w:r>
      <w:r>
        <w:t xml:space="preserve">Levels of engagement and rates of progression towards an education qualification or an exit from income support into paid work are often hard to measure. The evaluation used a range of measures to provide an early indication. </w:t>
      </w:r>
    </w:p>
    <w:p w14:paraId="03E8ABC9" w14:textId="77777777" w:rsidR="00CC4E3D" w:rsidRPr="009E581D" w:rsidRDefault="00CC4E3D" w:rsidP="00CC4E3D">
      <w:r w:rsidRPr="003E2401">
        <w:rPr>
          <w:b/>
        </w:rPr>
        <w:t>Section 5.</w:t>
      </w:r>
      <w:r>
        <w:rPr>
          <w:b/>
        </w:rPr>
        <w:t>1 </w:t>
      </w:r>
      <w:r>
        <w:t xml:space="preserve">covers early perceptions of providers and participants recorded in qualitative fieldwork undertaken during October to December 2016. </w:t>
      </w:r>
      <w:r w:rsidRPr="00700376">
        <w:rPr>
          <w:b/>
        </w:rPr>
        <w:t>Section 5</w:t>
      </w:r>
      <w:r w:rsidRPr="00EB46A8">
        <w:rPr>
          <w:b/>
        </w:rPr>
        <w:t>.</w:t>
      </w:r>
      <w:r>
        <w:rPr>
          <w:b/>
        </w:rPr>
        <w:t>2 </w:t>
      </w:r>
      <w:r>
        <w:t xml:space="preserve">discusses Outcome Performance Targets and early progress towards those targets. </w:t>
      </w:r>
      <w:r w:rsidRPr="003E2401">
        <w:rPr>
          <w:b/>
        </w:rPr>
        <w:t>Section 5.</w:t>
      </w:r>
      <w:r>
        <w:rPr>
          <w:b/>
        </w:rPr>
        <w:t>3 </w:t>
      </w:r>
      <w:r>
        <w:t xml:space="preserve">looks at six core outcomes achieved during the first year of the TtW service. </w:t>
      </w:r>
      <w:r w:rsidRPr="00700376">
        <w:rPr>
          <w:b/>
        </w:rPr>
        <w:t>Section 5.</w:t>
      </w:r>
      <w:r>
        <w:rPr>
          <w:b/>
        </w:rPr>
        <w:t>4 </w:t>
      </w:r>
      <w:r>
        <w:t>deals with a number of additional measures constructed from administrative data for comparison with jobactive</w:t>
      </w:r>
      <w:r w:rsidRPr="005770EA">
        <w:t>.</w:t>
      </w:r>
      <w:r>
        <w:t xml:space="preserve"> These were designed to capture labour market attachment (which measures engagement in some paid employment) and education </w:t>
      </w:r>
      <w:r>
        <w:lastRenderedPageBreak/>
        <w:t xml:space="preserve">participation, recognising the variety of pathways in TtW to paid employment. Most of the analyses of outcomes are descriptive as the outcome payment structure in jobactive and TtW is different and not directly comparable. The evaluation used the TtW population and matched jobactive inflow populations described in </w:t>
      </w:r>
      <w:r w:rsidRPr="007A0811">
        <w:rPr>
          <w:b/>
        </w:rPr>
        <w:t>Section 2.3.2</w:t>
      </w:r>
      <w:r>
        <w:rPr>
          <w:b/>
        </w:rPr>
        <w:t xml:space="preserve"> </w:t>
      </w:r>
      <w:r w:rsidRPr="002F1324">
        <w:t xml:space="preserve">for comparisons </w:t>
      </w:r>
      <w:r>
        <w:t xml:space="preserve">where possible </w:t>
      </w:r>
      <w:r w:rsidRPr="002F1324">
        <w:t>between the programs</w:t>
      </w:r>
      <w:r w:rsidRPr="00D16CB8">
        <w:t>.</w:t>
      </w:r>
      <w:r>
        <w:t xml:space="preserve"> Where logistic regression analysis was undertaken, the results are summarised in </w:t>
      </w:r>
      <w:r w:rsidRPr="003664D7">
        <w:rPr>
          <w:b/>
        </w:rPr>
        <w:t xml:space="preserve">Appendix </w:t>
      </w:r>
      <w:r>
        <w:rPr>
          <w:b/>
        </w:rPr>
        <w:t>F</w:t>
      </w:r>
      <w:r w:rsidRPr="005C25FE">
        <w:rPr>
          <w:i/>
        </w:rPr>
        <w:t>.</w:t>
      </w:r>
      <w:r>
        <w:t xml:space="preserve"> </w:t>
      </w:r>
    </w:p>
    <w:p w14:paraId="1012E2D0" w14:textId="77777777" w:rsidR="00CC4E3D" w:rsidRPr="001F4939" w:rsidRDefault="00CC4E3D" w:rsidP="001F4939">
      <w:pPr>
        <w:pStyle w:val="Heading2"/>
        <w:numPr>
          <w:ilvl w:val="1"/>
          <w:numId w:val="4"/>
        </w:numPr>
      </w:pPr>
      <w:bookmarkStart w:id="479" w:name="_Toc535498917"/>
      <w:bookmarkStart w:id="480" w:name="_Toc23841397"/>
      <w:r w:rsidRPr="001F4939">
        <w:t>Early perceptions of the impacts of the TtW service</w:t>
      </w:r>
      <w:bookmarkEnd w:id="479"/>
      <w:bookmarkEnd w:id="480"/>
    </w:p>
    <w:p w14:paraId="3F940028" w14:textId="77777777" w:rsidR="00CC4E3D" w:rsidRDefault="00CC4E3D" w:rsidP="00CC4E3D">
      <w:pPr>
        <w:rPr>
          <w:rFonts w:ascii="Calibri" w:hAnsi="Calibri"/>
        </w:rPr>
      </w:pPr>
      <w:r>
        <w:t xml:space="preserve">While obtaining an education qualification or moving from income support into paid work represents the ultimate TtW outcome, the pathway for disadvantaged youth towards achieving their goals starts with their willingness to engage with the service. </w:t>
      </w:r>
      <w:r>
        <w:rPr>
          <w:rFonts w:ascii="Calibri" w:hAnsi="Calibri"/>
        </w:rPr>
        <w:t xml:space="preserve">Analysing providers’ perceptions of progress towards outcome targets and young people’s perceptions of progress towards their goals provides information on the early impacts of the TtW service. </w:t>
      </w:r>
    </w:p>
    <w:p w14:paraId="2BD6DA05" w14:textId="77777777" w:rsidR="00CC4E3D" w:rsidRDefault="00CC4E3D" w:rsidP="00CC4E3D">
      <w:r>
        <w:t>Young people spoke of ‘goal setting’ as a welcome component of TtW and as something they had not previously had the opportunity to consider or discuss. They also welcomed the tailored support the service offered.</w:t>
      </w:r>
    </w:p>
    <w:p w14:paraId="6C76C356" w14:textId="77777777" w:rsidR="00CC4E3D" w:rsidRDefault="00CC4E3D" w:rsidP="00CC4E3D">
      <w:pPr>
        <w:pStyle w:val="Quotation"/>
      </w:pPr>
      <w:r>
        <w:t>Just the help that there’s actually someone there to step you through it because I know a lot of us go through it and we don’t know where to start and where to go and what steps to take so I think that’s a big help.</w:t>
      </w:r>
    </w:p>
    <w:p w14:paraId="2330AC0F" w14:textId="77777777" w:rsidR="00CC4E3D" w:rsidRPr="00CF443F" w:rsidRDefault="00CC4E3D" w:rsidP="00CC4E3D">
      <w:pPr>
        <w:pStyle w:val="Quotation"/>
      </w:pPr>
      <w:r w:rsidRPr="00CF443F">
        <w:t>(Participant Focus Group 7)</w:t>
      </w:r>
    </w:p>
    <w:p w14:paraId="1D4591FE" w14:textId="77777777" w:rsidR="00CC4E3D" w:rsidRDefault="00CC4E3D" w:rsidP="00CC4E3D">
      <w:pPr>
        <w:pStyle w:val="Quotation"/>
      </w:pPr>
      <w:r w:rsidRPr="001C7957">
        <w:t>[Name]</w:t>
      </w:r>
      <w:r>
        <w:t>’</w:t>
      </w:r>
      <w:r w:rsidRPr="001C7957">
        <w:t>s given me a little bit more confidence in myself. She</w:t>
      </w:r>
      <w:r>
        <w:t>’</w:t>
      </w:r>
      <w:r w:rsidRPr="001C7957">
        <w:t>s sat there and spoke to me about a few things because I was going downhill, kind of thing, and she sort of brought me back up and made me feel confident again. So that</w:t>
      </w:r>
      <w:r>
        <w:t>’</w:t>
      </w:r>
      <w:r w:rsidRPr="001C7957">
        <w:t>s a good thing.</w:t>
      </w:r>
      <w:r w:rsidRPr="00130094">
        <w:t xml:space="preserve"> </w:t>
      </w:r>
    </w:p>
    <w:p w14:paraId="10FE8F40" w14:textId="77777777" w:rsidR="00CC4E3D" w:rsidRPr="00CF443F" w:rsidRDefault="00CC4E3D" w:rsidP="00CC4E3D">
      <w:pPr>
        <w:pStyle w:val="Quotation"/>
      </w:pPr>
      <w:r w:rsidRPr="00CF443F">
        <w:t>(Participant Focus Group 8)</w:t>
      </w:r>
    </w:p>
    <w:p w14:paraId="10CA32CA" w14:textId="77777777" w:rsidR="00CC4E3D" w:rsidRPr="008B76D7" w:rsidRDefault="00CC4E3D" w:rsidP="00CC4E3D">
      <w:r w:rsidRPr="008B76D7">
        <w:t>Provider</w:t>
      </w:r>
      <w:r>
        <w:t>s’ comments</w:t>
      </w:r>
      <w:r w:rsidRPr="008B76D7">
        <w:t xml:space="preserve"> focused </w:t>
      </w:r>
      <w:r>
        <w:t xml:space="preserve">more </w:t>
      </w:r>
      <w:r w:rsidRPr="008B76D7">
        <w:t xml:space="preserve">on </w:t>
      </w:r>
      <w:r>
        <w:t xml:space="preserve">the </w:t>
      </w:r>
      <w:r w:rsidRPr="008B76D7">
        <w:t>differ</w:t>
      </w:r>
      <w:r>
        <w:t>ing needs of</w:t>
      </w:r>
      <w:r w:rsidRPr="008B76D7">
        <w:t xml:space="preserve"> participants and </w:t>
      </w:r>
      <w:r>
        <w:t xml:space="preserve">on </w:t>
      </w:r>
      <w:r w:rsidRPr="008B76D7">
        <w:t>progress towards sustainable outcomes.</w:t>
      </w:r>
    </w:p>
    <w:p w14:paraId="380B2D20" w14:textId="77777777" w:rsidR="00CC4E3D" w:rsidRDefault="00CC4E3D" w:rsidP="00CC4E3D">
      <w:pPr>
        <w:pStyle w:val="Quotation"/>
      </w:pPr>
      <w:r>
        <w:t xml:space="preserve">They can actually start to see that I’m getting somewhere, little goals and consistent work every week on activities, I’m actually moving forward, I’m getting closer to getting into study or to getting a job and they’re meeting people and feeling better and themselves </w:t>
      </w:r>
    </w:p>
    <w:p w14:paraId="1FCEF1E1" w14:textId="77777777" w:rsidR="00CC4E3D" w:rsidRPr="00CF443F" w:rsidRDefault="00CC4E3D" w:rsidP="00CC4E3D">
      <w:pPr>
        <w:pStyle w:val="Quotation"/>
      </w:pPr>
      <w:r w:rsidRPr="00CF443F">
        <w:t>(Provider Focus Group 14)</w:t>
      </w:r>
    </w:p>
    <w:p w14:paraId="612202A1" w14:textId="77777777" w:rsidR="00CC4E3D" w:rsidRPr="002A7DCC" w:rsidRDefault="00CC4E3D" w:rsidP="00CC4E3D">
      <w:pPr>
        <w:pStyle w:val="Quotation"/>
        <w:rPr>
          <w:u w:val="single"/>
        </w:rPr>
      </w:pPr>
      <w:r>
        <w:t xml:space="preserve">With a boy the other week, he said, ‘I’ve not done anything. I did a week’s work experience and I did this and I did that.’ And then by the time we’d made up a two-page resume, and he went, ‘Oh, well I actually have done quite a bit.’ </w:t>
      </w:r>
    </w:p>
    <w:p w14:paraId="70CBB5AC" w14:textId="77777777" w:rsidR="00CC4E3D" w:rsidRPr="00CF443F" w:rsidRDefault="00CC4E3D" w:rsidP="00CC4E3D">
      <w:pPr>
        <w:pStyle w:val="Quotation"/>
      </w:pPr>
      <w:r w:rsidRPr="00CF443F">
        <w:t>(Provider Interview 10)</w:t>
      </w:r>
    </w:p>
    <w:p w14:paraId="520589DC" w14:textId="77777777" w:rsidR="00CC4E3D" w:rsidRPr="00610D95" w:rsidRDefault="00CC4E3D" w:rsidP="00CC4E3D">
      <w:r w:rsidRPr="008B76D7">
        <w:lastRenderedPageBreak/>
        <w:t xml:space="preserve">Providers and participants both </w:t>
      </w:r>
      <w:r>
        <w:t>said</w:t>
      </w:r>
      <w:r w:rsidRPr="008B76D7">
        <w:t xml:space="preserve"> </w:t>
      </w:r>
      <w:r>
        <w:t>that TtW provided the opportunity for early identification of</w:t>
      </w:r>
      <w:r w:rsidRPr="008B76D7">
        <w:t xml:space="preserve"> personal and financial </w:t>
      </w:r>
      <w:r>
        <w:t>problems. They noted that</w:t>
      </w:r>
      <w:r w:rsidRPr="008B76D7">
        <w:t xml:space="preserve"> timely assi</w:t>
      </w:r>
      <w:r>
        <w:t>stance was crucial to avoid participants fall</w:t>
      </w:r>
      <w:r w:rsidRPr="008B76D7">
        <w:t xml:space="preserve">ing into </w:t>
      </w:r>
      <w:r>
        <w:t xml:space="preserve">a </w:t>
      </w:r>
      <w:r w:rsidRPr="008B76D7">
        <w:t xml:space="preserve">downward cycle </w:t>
      </w:r>
      <w:r>
        <w:t xml:space="preserve">that </w:t>
      </w:r>
      <w:r w:rsidRPr="008B76D7">
        <w:t xml:space="preserve">disrupted </w:t>
      </w:r>
      <w:r>
        <w:t xml:space="preserve">their </w:t>
      </w:r>
      <w:r w:rsidRPr="008B76D7">
        <w:t>participation in education and employment.</w:t>
      </w:r>
      <w:r>
        <w:t xml:space="preserve"> </w:t>
      </w:r>
    </w:p>
    <w:p w14:paraId="398698DC" w14:textId="77777777" w:rsidR="00CC4E3D" w:rsidRPr="001F4939" w:rsidRDefault="00CC4E3D" w:rsidP="001F4939">
      <w:pPr>
        <w:pStyle w:val="Heading2"/>
        <w:numPr>
          <w:ilvl w:val="1"/>
          <w:numId w:val="4"/>
        </w:numPr>
      </w:pPr>
      <w:bookmarkStart w:id="481" w:name="_Toc535498918"/>
      <w:bookmarkStart w:id="482" w:name="_Toc23841398"/>
      <w:bookmarkStart w:id="483" w:name="_Toc509402622"/>
      <w:r w:rsidRPr="001F4939">
        <w:t>Outcome Performance Targets in TtW</w:t>
      </w:r>
      <w:bookmarkEnd w:id="481"/>
      <w:bookmarkEnd w:id="482"/>
    </w:p>
    <w:p w14:paraId="7BA304E3" w14:textId="77777777" w:rsidR="00CC4E3D" w:rsidRPr="00D30552" w:rsidRDefault="00CC4E3D" w:rsidP="00CC4E3D">
      <w:r>
        <w:t>Outcome Performance Targets are the benchmark for provider performance in TtW. The TtW service agreement requires providers to achieve a specified number of outcomes (excluding Youth Jobs PaTH internship outcomes and sustainability outcomes). This number is the provider’s annual Outcome Performance Target. The provider receives a bonus outcome payment of $3500 for every outcome achieved above the target. The annual target is distributed across the four quarters of the financial year. Providers’ performance is assessed each quarter against the quarterly allocation.</w:t>
      </w:r>
    </w:p>
    <w:p w14:paraId="37FF77EB" w14:textId="77777777" w:rsidR="00CC4E3D" w:rsidRPr="00FD4CA8" w:rsidRDefault="00CC4E3D" w:rsidP="001C25D9">
      <w:pPr>
        <w:pStyle w:val="Heading3"/>
        <w:numPr>
          <w:ilvl w:val="2"/>
          <w:numId w:val="4"/>
        </w:numPr>
        <w:spacing w:before="200"/>
        <w:rPr>
          <w:szCs w:val="24"/>
        </w:rPr>
      </w:pPr>
      <w:bookmarkStart w:id="484" w:name="_Toc535498919"/>
      <w:bookmarkStart w:id="485" w:name="_Toc23841399"/>
      <w:r w:rsidRPr="00FD4CA8">
        <w:rPr>
          <w:szCs w:val="24"/>
        </w:rPr>
        <w:t>Outcome Performance Targets progressively increased over the first year to reflect the time needed for providers to build their caseloads and achieve outcomes</w:t>
      </w:r>
      <w:bookmarkEnd w:id="484"/>
      <w:bookmarkEnd w:id="485"/>
    </w:p>
    <w:p w14:paraId="5EA84B29" w14:textId="77777777" w:rsidR="00CC4E3D" w:rsidRDefault="00CC4E3D" w:rsidP="00CC4E3D">
      <w:pPr>
        <w:rPr>
          <w:rFonts w:ascii="Calibri" w:hAnsi="Calibri"/>
        </w:rPr>
      </w:pPr>
      <w:r>
        <w:rPr>
          <w:rFonts w:ascii="Calibri" w:hAnsi="Calibri"/>
        </w:rPr>
        <w:t>The allocated annual Outcome Performance Targets were discounted quarterly over the first year of operation in line with the expectation that providers would have commenced 75, 85, 90 and 100 per cent of their Annual Funded Places by the end of each of the first four quarters of the 2016</w:t>
      </w:r>
      <w:r>
        <w:rPr>
          <w:rFonts w:ascii="Calibri" w:hAnsi="Calibri"/>
        </w:rPr>
        <w:noBreakHyphen/>
        <w:t xml:space="preserve">17 financial year as their caseload increased. </w:t>
      </w:r>
    </w:p>
    <w:p w14:paraId="79584719" w14:textId="77777777" w:rsidR="00CC4E3D" w:rsidRDefault="00CC4E3D" w:rsidP="00CC4E3D">
      <w:pPr>
        <w:rPr>
          <w:rFonts w:ascii="Calibri" w:hAnsi="Calibri"/>
        </w:rPr>
      </w:pPr>
      <w:r>
        <w:rPr>
          <w:rFonts w:ascii="Calibri" w:hAnsi="Calibri"/>
        </w:rPr>
        <w:t>N</w:t>
      </w:r>
      <w:r w:rsidRPr="00266494">
        <w:rPr>
          <w:rFonts w:ascii="Calibri" w:hAnsi="Calibri"/>
        </w:rPr>
        <w:t xml:space="preserve">o contracts </w:t>
      </w:r>
      <w:r>
        <w:rPr>
          <w:rFonts w:ascii="Calibri" w:hAnsi="Calibri"/>
        </w:rPr>
        <w:t>had</w:t>
      </w:r>
      <w:r w:rsidRPr="00266494">
        <w:rPr>
          <w:rFonts w:ascii="Calibri" w:hAnsi="Calibri"/>
        </w:rPr>
        <w:t xml:space="preserve"> </w:t>
      </w:r>
      <w:r>
        <w:rPr>
          <w:rFonts w:ascii="Calibri" w:hAnsi="Calibri"/>
        </w:rPr>
        <w:t>t</w:t>
      </w:r>
      <w:r w:rsidRPr="00266494">
        <w:rPr>
          <w:rFonts w:ascii="Calibri" w:hAnsi="Calibri"/>
        </w:rPr>
        <w:t>argets for the March quarter</w:t>
      </w:r>
      <w:r>
        <w:rPr>
          <w:rFonts w:ascii="Calibri" w:hAnsi="Calibri"/>
        </w:rPr>
        <w:t xml:space="preserve"> 2016,</w:t>
      </w:r>
      <w:r w:rsidRPr="00266494">
        <w:rPr>
          <w:rFonts w:ascii="Calibri" w:hAnsi="Calibri"/>
        </w:rPr>
        <w:t xml:space="preserve"> as the first </w:t>
      </w:r>
      <w:r>
        <w:rPr>
          <w:rFonts w:ascii="Calibri" w:hAnsi="Calibri"/>
        </w:rPr>
        <w:t>phase</w:t>
      </w:r>
      <w:r w:rsidRPr="00266494">
        <w:rPr>
          <w:rFonts w:ascii="Calibri" w:hAnsi="Calibri"/>
        </w:rPr>
        <w:t xml:space="preserve"> of TtW contracts did not </w:t>
      </w:r>
      <w:r>
        <w:rPr>
          <w:rFonts w:ascii="Calibri" w:hAnsi="Calibri"/>
        </w:rPr>
        <w:t>start</w:t>
      </w:r>
      <w:r w:rsidRPr="00266494">
        <w:rPr>
          <w:rFonts w:ascii="Calibri" w:hAnsi="Calibri"/>
        </w:rPr>
        <w:t xml:space="preserve"> until </w:t>
      </w:r>
      <w:r w:rsidRPr="008B4954">
        <w:rPr>
          <w:rFonts w:ascii="Calibri" w:hAnsi="Calibri"/>
        </w:rPr>
        <w:t>midway</w:t>
      </w:r>
      <w:r w:rsidRPr="00266494">
        <w:rPr>
          <w:rFonts w:ascii="Calibri" w:hAnsi="Calibri"/>
        </w:rPr>
        <w:t xml:space="preserve"> through this period. </w:t>
      </w:r>
      <w:r>
        <w:rPr>
          <w:rFonts w:ascii="Calibri" w:hAnsi="Calibri"/>
        </w:rPr>
        <w:t>The June quarter 2016 t</w:t>
      </w:r>
      <w:r w:rsidRPr="00266494">
        <w:rPr>
          <w:rFonts w:ascii="Calibri" w:hAnsi="Calibri"/>
        </w:rPr>
        <w:t xml:space="preserve">argets for the first </w:t>
      </w:r>
      <w:r>
        <w:rPr>
          <w:rFonts w:ascii="Calibri" w:hAnsi="Calibri"/>
        </w:rPr>
        <w:t>phase</w:t>
      </w:r>
      <w:r w:rsidRPr="00266494">
        <w:rPr>
          <w:rFonts w:ascii="Calibri" w:hAnsi="Calibri"/>
        </w:rPr>
        <w:t xml:space="preserve"> (February 2016</w:t>
      </w:r>
      <w:r>
        <w:rPr>
          <w:rFonts w:ascii="Calibri" w:hAnsi="Calibri"/>
        </w:rPr>
        <w:t>)</w:t>
      </w:r>
      <w:r w:rsidRPr="00266494">
        <w:rPr>
          <w:rFonts w:ascii="Calibri" w:hAnsi="Calibri"/>
        </w:rPr>
        <w:t xml:space="preserve"> contracts were very small</w:t>
      </w:r>
      <w:r>
        <w:rPr>
          <w:rFonts w:ascii="Calibri" w:hAnsi="Calibri"/>
        </w:rPr>
        <w:t>, while</w:t>
      </w:r>
      <w:r w:rsidRPr="00266494">
        <w:rPr>
          <w:rFonts w:ascii="Calibri" w:hAnsi="Calibri"/>
        </w:rPr>
        <w:t xml:space="preserve"> </w:t>
      </w:r>
      <w:r>
        <w:rPr>
          <w:rFonts w:ascii="Calibri" w:hAnsi="Calibri"/>
        </w:rPr>
        <w:t>contracts</w:t>
      </w:r>
      <w:r w:rsidRPr="00266494">
        <w:rPr>
          <w:rFonts w:ascii="Calibri" w:hAnsi="Calibri"/>
        </w:rPr>
        <w:t xml:space="preserve"> </w:t>
      </w:r>
      <w:r>
        <w:rPr>
          <w:rFonts w:ascii="Calibri" w:hAnsi="Calibri"/>
        </w:rPr>
        <w:t>that began</w:t>
      </w:r>
      <w:r w:rsidRPr="00266494">
        <w:rPr>
          <w:rFonts w:ascii="Calibri" w:hAnsi="Calibri"/>
        </w:rPr>
        <w:t xml:space="preserve"> </w:t>
      </w:r>
      <w:r>
        <w:rPr>
          <w:rFonts w:ascii="Calibri" w:hAnsi="Calibri"/>
        </w:rPr>
        <w:t>between</w:t>
      </w:r>
      <w:r w:rsidRPr="00266494">
        <w:rPr>
          <w:rFonts w:ascii="Calibri" w:hAnsi="Calibri"/>
        </w:rPr>
        <w:t xml:space="preserve"> March</w:t>
      </w:r>
      <w:r>
        <w:rPr>
          <w:rFonts w:ascii="Calibri" w:hAnsi="Calibri"/>
        </w:rPr>
        <w:t> </w:t>
      </w:r>
      <w:r w:rsidRPr="00266494">
        <w:rPr>
          <w:rFonts w:ascii="Calibri" w:hAnsi="Calibri"/>
        </w:rPr>
        <w:t>201</w:t>
      </w:r>
      <w:r>
        <w:rPr>
          <w:rFonts w:ascii="Calibri" w:hAnsi="Calibri"/>
        </w:rPr>
        <w:t xml:space="preserve">6 and </w:t>
      </w:r>
      <w:r w:rsidRPr="00266494">
        <w:rPr>
          <w:rFonts w:ascii="Calibri" w:hAnsi="Calibri"/>
        </w:rPr>
        <w:t>May</w:t>
      </w:r>
      <w:r>
        <w:rPr>
          <w:rFonts w:ascii="Calibri" w:hAnsi="Calibri"/>
        </w:rPr>
        <w:t> </w:t>
      </w:r>
      <w:r w:rsidRPr="00266494">
        <w:rPr>
          <w:rFonts w:ascii="Calibri" w:hAnsi="Calibri"/>
        </w:rPr>
        <w:t>201</w:t>
      </w:r>
      <w:r>
        <w:rPr>
          <w:rFonts w:ascii="Calibri" w:hAnsi="Calibri"/>
        </w:rPr>
        <w:t>6 </w:t>
      </w:r>
      <w:r w:rsidRPr="00266494">
        <w:rPr>
          <w:rFonts w:ascii="Calibri" w:hAnsi="Calibri"/>
        </w:rPr>
        <w:t xml:space="preserve">did not have </w:t>
      </w:r>
      <w:r>
        <w:rPr>
          <w:rFonts w:ascii="Calibri" w:hAnsi="Calibri"/>
        </w:rPr>
        <w:t>t</w:t>
      </w:r>
      <w:r w:rsidRPr="00266494">
        <w:rPr>
          <w:rFonts w:ascii="Calibri" w:hAnsi="Calibri"/>
        </w:rPr>
        <w:t>arget</w:t>
      </w:r>
      <w:r>
        <w:rPr>
          <w:rFonts w:ascii="Calibri" w:hAnsi="Calibri"/>
        </w:rPr>
        <w:t>s.</w:t>
      </w:r>
      <w:r w:rsidRPr="00266494">
        <w:rPr>
          <w:rFonts w:ascii="Calibri" w:hAnsi="Calibri"/>
        </w:rPr>
        <w:t xml:space="preserve"> </w:t>
      </w:r>
    </w:p>
    <w:p w14:paraId="4AAC76CD" w14:textId="0F5650DA" w:rsidR="00CC4E3D" w:rsidRDefault="00CC4E3D" w:rsidP="00CC4E3D">
      <w:pPr>
        <w:rPr>
          <w:rFonts w:ascii="Calibri" w:hAnsi="Calibri"/>
        </w:rPr>
      </w:pPr>
      <w:r w:rsidRPr="00266494">
        <w:rPr>
          <w:rFonts w:ascii="Calibri" w:hAnsi="Calibri"/>
        </w:rPr>
        <w:t xml:space="preserve">For the four quarters </w:t>
      </w:r>
      <w:r>
        <w:rPr>
          <w:rFonts w:ascii="Calibri" w:hAnsi="Calibri"/>
        </w:rPr>
        <w:t>of</w:t>
      </w:r>
      <w:r w:rsidRPr="00266494">
        <w:rPr>
          <w:rFonts w:ascii="Calibri" w:hAnsi="Calibri"/>
        </w:rPr>
        <w:t xml:space="preserve"> </w:t>
      </w:r>
      <w:r>
        <w:rPr>
          <w:rFonts w:ascii="Calibri" w:hAnsi="Calibri"/>
        </w:rPr>
        <w:t>f</w:t>
      </w:r>
      <w:r w:rsidRPr="00266494">
        <w:rPr>
          <w:rFonts w:ascii="Calibri" w:hAnsi="Calibri"/>
        </w:rPr>
        <w:t xml:space="preserve">inancial </w:t>
      </w:r>
      <w:r>
        <w:rPr>
          <w:rFonts w:ascii="Calibri" w:hAnsi="Calibri"/>
        </w:rPr>
        <w:t>y</w:t>
      </w:r>
      <w:r w:rsidRPr="00266494">
        <w:rPr>
          <w:rFonts w:ascii="Calibri" w:hAnsi="Calibri"/>
        </w:rPr>
        <w:t>ear 2016</w:t>
      </w:r>
      <w:r>
        <w:rPr>
          <w:rFonts w:ascii="Calibri" w:hAnsi="Calibri"/>
        </w:rPr>
        <w:t>–</w:t>
      </w:r>
      <w:r w:rsidRPr="00266494">
        <w:rPr>
          <w:rFonts w:ascii="Calibri" w:hAnsi="Calibri"/>
        </w:rPr>
        <w:t>1</w:t>
      </w:r>
      <w:r>
        <w:rPr>
          <w:rFonts w:ascii="Calibri" w:hAnsi="Calibri"/>
        </w:rPr>
        <w:t>7 </w:t>
      </w:r>
      <w:r w:rsidRPr="008B4954">
        <w:rPr>
          <w:rFonts w:ascii="Calibri" w:hAnsi="Calibri"/>
        </w:rPr>
        <w:t>(Year One),</w:t>
      </w:r>
      <w:r w:rsidRPr="00266494">
        <w:rPr>
          <w:rFonts w:ascii="Calibri" w:hAnsi="Calibri"/>
        </w:rPr>
        <w:t xml:space="preserve"> the quarterly discounted targets were adjusted further for contracts </w:t>
      </w:r>
      <w:r>
        <w:rPr>
          <w:rFonts w:ascii="Calibri" w:hAnsi="Calibri"/>
        </w:rPr>
        <w:t>with</w:t>
      </w:r>
      <w:r w:rsidRPr="00266494">
        <w:rPr>
          <w:rFonts w:ascii="Calibri" w:hAnsi="Calibri"/>
        </w:rPr>
        <w:t xml:space="preserve"> later start dates. </w:t>
      </w:r>
      <w:r>
        <w:rPr>
          <w:rFonts w:ascii="Calibri" w:hAnsi="Calibri"/>
        </w:rPr>
        <w:t>These quarterly adjustments allowed for an implementation phase and the minimum time required (12 weeks) to achieve an outcome</w:t>
      </w:r>
      <w:r w:rsidRPr="00266494">
        <w:rPr>
          <w:rFonts w:ascii="Calibri" w:hAnsi="Calibri"/>
        </w:rPr>
        <w:t xml:space="preserve">. </w:t>
      </w:r>
      <w:r>
        <w:rPr>
          <w:rFonts w:ascii="Calibri" w:hAnsi="Calibri"/>
        </w:rPr>
        <w:t>E</w:t>
      </w:r>
      <w:r w:rsidRPr="00266494">
        <w:rPr>
          <w:rFonts w:ascii="Calibri" w:hAnsi="Calibri"/>
        </w:rPr>
        <w:t>very contract in the first year of operation had a higher target set for each subsequent quarter</w:t>
      </w:r>
      <w:r>
        <w:rPr>
          <w:rFonts w:ascii="Calibri" w:hAnsi="Calibri"/>
        </w:rPr>
        <w:t>, and</w:t>
      </w:r>
      <w:r w:rsidRPr="00266494">
        <w:rPr>
          <w:rFonts w:ascii="Calibri" w:hAnsi="Calibri"/>
        </w:rPr>
        <w:t xml:space="preserve"> the annual </w:t>
      </w:r>
      <w:r>
        <w:rPr>
          <w:rFonts w:ascii="Calibri" w:hAnsi="Calibri"/>
        </w:rPr>
        <w:t>t</w:t>
      </w:r>
      <w:r w:rsidRPr="00266494">
        <w:rPr>
          <w:rFonts w:ascii="Calibri" w:hAnsi="Calibri"/>
        </w:rPr>
        <w:t xml:space="preserve">arget determined by the </w:t>
      </w:r>
      <w:r w:rsidR="00AC1C42">
        <w:rPr>
          <w:rFonts w:ascii="Calibri" w:hAnsi="Calibri"/>
        </w:rPr>
        <w:t>d</w:t>
      </w:r>
      <w:r w:rsidRPr="00266494">
        <w:rPr>
          <w:rFonts w:ascii="Calibri" w:hAnsi="Calibri"/>
        </w:rPr>
        <w:t>epartment appl</w:t>
      </w:r>
      <w:r>
        <w:rPr>
          <w:rFonts w:ascii="Calibri" w:hAnsi="Calibri"/>
        </w:rPr>
        <w:t>ied</w:t>
      </w:r>
      <w:r w:rsidRPr="00266494">
        <w:rPr>
          <w:rFonts w:ascii="Calibri" w:hAnsi="Calibri"/>
        </w:rPr>
        <w:t xml:space="preserve"> in full from Year Two.</w:t>
      </w:r>
      <w:r>
        <w:rPr>
          <w:rFonts w:ascii="Calibri" w:hAnsi="Calibri"/>
        </w:rPr>
        <w:t xml:space="preserve"> </w:t>
      </w:r>
    </w:p>
    <w:p w14:paraId="555685E4" w14:textId="7149E014" w:rsidR="00CC4E3D" w:rsidRDefault="00CC4E3D" w:rsidP="00CC4E3D">
      <w:pPr>
        <w:rPr>
          <w:rFonts w:ascii="Calibri" w:hAnsi="Calibri"/>
        </w:rPr>
      </w:pPr>
      <w:r>
        <w:rPr>
          <w:rFonts w:ascii="Calibri" w:hAnsi="Calibri"/>
        </w:rPr>
        <w:t xml:space="preserve">The Department reviews the targets for each provider regularly in line with labour market changes and local issues that affect the demand for TtW services. In exceptional cases, such as major structural adjustments in the local labour market, it will consider adjusting the target in as close to real time as possible. Where there is a lower than expected demand for services, the </w:t>
      </w:r>
      <w:r w:rsidR="00AC1C42">
        <w:rPr>
          <w:rFonts w:ascii="Calibri" w:hAnsi="Calibri"/>
        </w:rPr>
        <w:t>d</w:t>
      </w:r>
      <w:r>
        <w:rPr>
          <w:rFonts w:ascii="Calibri" w:hAnsi="Calibri"/>
        </w:rPr>
        <w:t xml:space="preserve">epartment may reduce the number of Annual Funded Places in an employment region, and hence the targets for the affected providers. </w:t>
      </w:r>
    </w:p>
    <w:p w14:paraId="735B597C" w14:textId="77777777" w:rsidR="00CC4E3D" w:rsidRPr="00FD4CA8" w:rsidRDefault="00CC4E3D" w:rsidP="001C25D9">
      <w:pPr>
        <w:pStyle w:val="Heading3"/>
        <w:numPr>
          <w:ilvl w:val="2"/>
          <w:numId w:val="4"/>
        </w:numPr>
        <w:spacing w:before="200"/>
        <w:rPr>
          <w:szCs w:val="24"/>
        </w:rPr>
      </w:pPr>
      <w:bookmarkStart w:id="486" w:name="_Toc535498920"/>
      <w:bookmarkStart w:id="487" w:name="_Toc23841400"/>
      <w:r w:rsidRPr="00FD4CA8">
        <w:rPr>
          <w:szCs w:val="24"/>
        </w:rPr>
        <w:t>Performance against targets improved over time in operation</w:t>
      </w:r>
      <w:bookmarkEnd w:id="486"/>
      <w:bookmarkEnd w:id="487"/>
    </w:p>
    <w:p w14:paraId="1284EC33" w14:textId="77777777" w:rsidR="00CC4E3D" w:rsidRDefault="00CC4E3D" w:rsidP="00CC4E3D">
      <w:pPr>
        <w:rPr>
          <w:rFonts w:ascii="Calibri" w:hAnsi="Calibri"/>
        </w:rPr>
      </w:pPr>
      <w:r w:rsidRPr="00266494">
        <w:rPr>
          <w:rFonts w:ascii="Calibri" w:hAnsi="Calibri"/>
        </w:rPr>
        <w:t xml:space="preserve">While it </w:t>
      </w:r>
      <w:r>
        <w:rPr>
          <w:rFonts w:ascii="Calibri" w:hAnsi="Calibri"/>
        </w:rPr>
        <w:t>wa</w:t>
      </w:r>
      <w:r w:rsidRPr="00266494">
        <w:rPr>
          <w:rFonts w:ascii="Calibri" w:hAnsi="Calibri"/>
        </w:rPr>
        <w:t xml:space="preserve">s possible to investigate the proportion of </w:t>
      </w:r>
      <w:r>
        <w:rPr>
          <w:rFonts w:ascii="Calibri" w:hAnsi="Calibri"/>
        </w:rPr>
        <w:t>t</w:t>
      </w:r>
      <w:r w:rsidRPr="00266494">
        <w:rPr>
          <w:rFonts w:ascii="Calibri" w:hAnsi="Calibri"/>
        </w:rPr>
        <w:t xml:space="preserve">argets achieved for each contract, </w:t>
      </w:r>
      <w:r>
        <w:rPr>
          <w:rFonts w:ascii="Calibri" w:hAnsi="Calibri"/>
        </w:rPr>
        <w:t>the level of reporting detail was limited.</w:t>
      </w:r>
      <w:r w:rsidRPr="00266494">
        <w:rPr>
          <w:rFonts w:ascii="Calibri" w:hAnsi="Calibri"/>
        </w:rPr>
        <w:t xml:space="preserve"> As a result, the </w:t>
      </w:r>
      <w:r>
        <w:rPr>
          <w:rFonts w:ascii="Calibri" w:hAnsi="Calibri"/>
        </w:rPr>
        <w:t>o</w:t>
      </w:r>
      <w:r w:rsidRPr="00266494">
        <w:rPr>
          <w:rFonts w:ascii="Calibri" w:hAnsi="Calibri"/>
        </w:rPr>
        <w:t>utcomes achieved</w:t>
      </w:r>
      <w:r>
        <w:rPr>
          <w:rStyle w:val="FootnoteReference"/>
          <w:rFonts w:ascii="Calibri" w:hAnsi="Calibri"/>
        </w:rPr>
        <w:footnoteReference w:id="30"/>
      </w:r>
      <w:r w:rsidRPr="00266494">
        <w:rPr>
          <w:rFonts w:ascii="Calibri" w:hAnsi="Calibri"/>
        </w:rPr>
        <w:t xml:space="preserve"> </w:t>
      </w:r>
      <w:r>
        <w:rPr>
          <w:rFonts w:ascii="Calibri" w:hAnsi="Calibri"/>
        </w:rPr>
        <w:t xml:space="preserve">for each quarter </w:t>
      </w:r>
      <w:r w:rsidRPr="00266494">
        <w:rPr>
          <w:rFonts w:ascii="Calibri" w:hAnsi="Calibri"/>
        </w:rPr>
        <w:t xml:space="preserve">up to </w:t>
      </w:r>
      <w:r w:rsidRPr="00266494">
        <w:rPr>
          <w:rFonts w:ascii="Calibri" w:hAnsi="Calibri"/>
        </w:rPr>
        <w:lastRenderedPageBreak/>
        <w:t>March</w:t>
      </w:r>
      <w:r>
        <w:rPr>
          <w:rFonts w:ascii="Calibri" w:hAnsi="Calibri"/>
        </w:rPr>
        <w:t> </w:t>
      </w:r>
      <w:r w:rsidRPr="00266494">
        <w:rPr>
          <w:rFonts w:ascii="Calibri" w:hAnsi="Calibri"/>
        </w:rPr>
        <w:t>201</w:t>
      </w:r>
      <w:r>
        <w:rPr>
          <w:rFonts w:ascii="Calibri" w:hAnsi="Calibri"/>
        </w:rPr>
        <w:t>7 we</w:t>
      </w:r>
      <w:r w:rsidRPr="00266494">
        <w:rPr>
          <w:rFonts w:ascii="Calibri" w:hAnsi="Calibri"/>
        </w:rPr>
        <w:t xml:space="preserve">re aggregated across contracts by reporting quarter and contract start month, and compared with the quarterly </w:t>
      </w:r>
      <w:r>
        <w:rPr>
          <w:rFonts w:ascii="Calibri" w:hAnsi="Calibri"/>
        </w:rPr>
        <w:t>t</w:t>
      </w:r>
      <w:r w:rsidRPr="00266494">
        <w:rPr>
          <w:rFonts w:ascii="Calibri" w:hAnsi="Calibri"/>
        </w:rPr>
        <w:t xml:space="preserve">argets applying to each contract. </w:t>
      </w:r>
    </w:p>
    <w:p w14:paraId="106627A3" w14:textId="77777777" w:rsidR="00CC4E3D" w:rsidRDefault="00CC4E3D" w:rsidP="00CC4E3D">
      <w:r>
        <w:rPr>
          <w:b/>
        </w:rPr>
        <w:t>Figure </w:t>
      </w:r>
      <w:r w:rsidRPr="00610D95">
        <w:rPr>
          <w:b/>
        </w:rPr>
        <w:t>5.</w:t>
      </w:r>
      <w:r>
        <w:rPr>
          <w:b/>
        </w:rPr>
        <w:t>1 </w:t>
      </w:r>
      <w:r>
        <w:t xml:space="preserve">summarises the proportion of contracts that achieved their targets, by operation start date and reporting quarter. While only the contracts that started in February 2016 had a June 2016 quarterly target, all contracts had targets for the remaining quarters. Over 45 per cent of TtW contracts across all implementation phases achieved or exceeded their outcome targets for the March quarter 2017. Providers receive ‘bonus’ outcome payments for every outcome achieved above their quarterly outcome targets. </w:t>
      </w:r>
    </w:p>
    <w:p w14:paraId="3A0B5A27" w14:textId="4357F881" w:rsidR="00CC4E3D" w:rsidRPr="002B5DE6" w:rsidRDefault="00CC4E3D" w:rsidP="00FD4CA8">
      <w:pPr>
        <w:pStyle w:val="Caption"/>
      </w:pPr>
      <w:bookmarkStart w:id="488" w:name="_Toc514172383"/>
      <w:bookmarkStart w:id="489" w:name="_Toc535511488"/>
      <w:bookmarkStart w:id="490" w:name="_Toc535511548"/>
      <w:bookmarkStart w:id="491" w:name="_Toc535512775"/>
      <w:bookmarkStart w:id="492" w:name="_Toc535513411"/>
      <w:bookmarkStart w:id="493" w:name="_Toc23841487"/>
      <w:r>
        <w:t xml:space="preserve">Figure </w:t>
      </w:r>
      <w:r>
        <w:rPr>
          <w:noProof/>
        </w:rPr>
        <w:fldChar w:fldCharType="begin"/>
      </w:r>
      <w:r>
        <w:rPr>
          <w:noProof/>
        </w:rPr>
        <w:instrText xml:space="preserve"> STYLEREF 1 \s </w:instrText>
      </w:r>
      <w:r>
        <w:rPr>
          <w:noProof/>
        </w:rPr>
        <w:fldChar w:fldCharType="separate"/>
      </w:r>
      <w:r w:rsidR="00D84A2A">
        <w:rPr>
          <w:noProof/>
        </w:rPr>
        <w:t>5</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1</w:t>
      </w:r>
      <w:r>
        <w:rPr>
          <w:noProof/>
        </w:rPr>
        <w:fldChar w:fldCharType="end"/>
      </w:r>
      <w:r>
        <w:tab/>
      </w:r>
      <w:r w:rsidRPr="002B5DE6">
        <w:t>Outcome performance</w:t>
      </w:r>
      <w:r>
        <w:t>,</w:t>
      </w:r>
      <w:r w:rsidRPr="002B5DE6">
        <w:t xml:space="preserve"> by contract start month and </w:t>
      </w:r>
      <w:r>
        <w:t>target</w:t>
      </w:r>
      <w:r w:rsidRPr="002B5DE6">
        <w:t xml:space="preserve"> quarter</w:t>
      </w:r>
      <w:bookmarkEnd w:id="488"/>
      <w:bookmarkEnd w:id="489"/>
      <w:bookmarkEnd w:id="490"/>
      <w:bookmarkEnd w:id="491"/>
      <w:bookmarkEnd w:id="492"/>
      <w:bookmarkEnd w:id="493"/>
    </w:p>
    <w:p w14:paraId="608E5E03" w14:textId="77777777" w:rsidR="00CC4E3D" w:rsidRPr="00886480" w:rsidRDefault="00CC4E3D" w:rsidP="00CC4E3D">
      <w:r w:rsidRPr="00D05F65">
        <w:rPr>
          <w:noProof/>
          <w:lang w:eastAsia="en-AU"/>
        </w:rPr>
        <w:drawing>
          <wp:inline distT="0" distB="0" distL="0" distR="0" wp14:anchorId="08A42B8D" wp14:editId="1D27872F">
            <wp:extent cx="5403600" cy="3045600"/>
            <wp:effectExtent l="0" t="0" r="6985" b="2540"/>
            <wp:docPr id="316" name="Picture 316" descr="Clustered column chart showing the percentages of contracts that achieved their quarterly targets, comparing contracts that started in February, March and April/May.&#10;This figure compares the outcome performance of contracts that started in February 2016, March 2016 and April/May 2016. &#10;Percentage of contracts that started in February 2016 that achieved their quarterly targets in (percentages are approximate):&#10;June quarter 2016 — 36% (only applies to contracts started in February 2016)&#10;September quarter 2016 — 18%&#10;December quarter 2016 — 64%&#10;March quarter 2017 — 45%&#10;&#10;Approximate percentage of contracts that started in March 2016 that achieved their quarterly targets in:&#10;September quarter 2016 — 48%&#10;December quarter 201655%&#10;March quarter 2017 — 58%&#10;&#10;Approximate percentage of contracts that started in April/May 2016 that achieved their quarterly targets in:&#10;September quarter 2016 — 39%&#10;December quarter 2016 — 55%&#10;March quarter 2017 — 5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03600" cy="3045600"/>
                    </a:xfrm>
                    <a:prstGeom prst="rect">
                      <a:avLst/>
                    </a:prstGeom>
                    <a:noFill/>
                    <a:ln>
                      <a:noFill/>
                    </a:ln>
                  </pic:spPr>
                </pic:pic>
              </a:graphicData>
            </a:graphic>
          </wp:inline>
        </w:drawing>
      </w:r>
    </w:p>
    <w:p w14:paraId="50B97CBE" w14:textId="3B3AF5E8" w:rsidR="00CC4E3D" w:rsidRPr="005A1B8D" w:rsidRDefault="00CC4E3D" w:rsidP="00CC4E3D">
      <w:pPr>
        <w:pStyle w:val="Source"/>
        <w:rPr>
          <w:b/>
          <w:lang w:eastAsia="en-AU"/>
        </w:rPr>
      </w:pPr>
      <w:r w:rsidRPr="005A1B8D">
        <w:rPr>
          <w:b/>
        </w:rPr>
        <w:t xml:space="preserve">Source: Department of </w:t>
      </w:r>
      <w:r w:rsidR="00B14721" w:rsidRPr="005A1B8D">
        <w:rPr>
          <w:b/>
        </w:rPr>
        <w:t>Employment, Skills, Small and Family</w:t>
      </w:r>
      <w:r w:rsidRPr="005A1B8D">
        <w:rPr>
          <w:b/>
        </w:rPr>
        <w:t xml:space="preserve"> Business administrative data — TtW inflow population.</w:t>
      </w:r>
    </w:p>
    <w:p w14:paraId="76F37530" w14:textId="77777777" w:rsidR="00CC4E3D" w:rsidRPr="00FD4CA8" w:rsidRDefault="00CC4E3D" w:rsidP="001C25D9">
      <w:pPr>
        <w:pStyle w:val="Heading3"/>
        <w:numPr>
          <w:ilvl w:val="2"/>
          <w:numId w:val="4"/>
        </w:numPr>
        <w:spacing w:before="200"/>
        <w:rPr>
          <w:szCs w:val="24"/>
        </w:rPr>
      </w:pPr>
      <w:bookmarkStart w:id="494" w:name="_Toc535498921"/>
      <w:bookmarkStart w:id="495" w:name="_Toc23841401"/>
      <w:r w:rsidRPr="00FD4CA8">
        <w:rPr>
          <w:szCs w:val="24"/>
        </w:rPr>
        <w:t>Around half of the providers were achieving their quarterly outcome targets after a year of operation</w:t>
      </w:r>
      <w:bookmarkEnd w:id="494"/>
      <w:bookmarkEnd w:id="495"/>
    </w:p>
    <w:p w14:paraId="74E3AF6A" w14:textId="77777777" w:rsidR="00CC4E3D" w:rsidRDefault="00CC4E3D" w:rsidP="00CC4E3D">
      <w:pPr>
        <w:rPr>
          <w:rFonts w:ascii="Calibri" w:hAnsi="Calibri"/>
        </w:rPr>
      </w:pPr>
      <w:r>
        <w:rPr>
          <w:rFonts w:ascii="Calibri" w:hAnsi="Calibri"/>
        </w:rPr>
        <w:t xml:space="preserve">While, as designed, the allocated targets climbed steadily each quarter over the first year of operation, the median outcomes achieved against the targets were trending upwards. Around half of the providers were meeting or exceeding their targets by March quarter 2017. </w:t>
      </w:r>
    </w:p>
    <w:p w14:paraId="5DCD74CF" w14:textId="77777777" w:rsidR="00CC4E3D" w:rsidRDefault="00CC4E3D" w:rsidP="00CC4E3D">
      <w:pPr>
        <w:rPr>
          <w:rFonts w:ascii="Calibri" w:hAnsi="Calibri"/>
        </w:rPr>
      </w:pPr>
      <w:r>
        <w:rPr>
          <w:rFonts w:ascii="Calibri" w:hAnsi="Calibri"/>
        </w:rPr>
        <w:t xml:space="preserve">This early analysis shows that, while some providers found it difficult to achieve outcomes during their first months of operation, their performance improved over time. </w:t>
      </w:r>
    </w:p>
    <w:p w14:paraId="2E071A6B" w14:textId="77777777" w:rsidR="00CC4E3D" w:rsidRDefault="00CC4E3D" w:rsidP="00CC4E3D">
      <w:pPr>
        <w:rPr>
          <w:rFonts w:ascii="Calibri" w:hAnsi="Calibri"/>
        </w:rPr>
      </w:pPr>
      <w:r>
        <w:rPr>
          <w:rFonts w:ascii="Calibri" w:hAnsi="Calibri"/>
        </w:rPr>
        <w:t xml:space="preserve">Factors contributing to the initially low rate of achievement probably included: the minimum time period to achieve an outcome (12 weeks); inexperience with departmental procedures and online environments such as </w:t>
      </w:r>
      <w:r w:rsidRPr="0065530C">
        <w:rPr>
          <w:rFonts w:ascii="Calibri" w:hAnsi="Calibri"/>
        </w:rPr>
        <w:t>ESS</w:t>
      </w:r>
      <w:r>
        <w:rPr>
          <w:rFonts w:ascii="Calibri" w:hAnsi="Calibri"/>
        </w:rPr>
        <w:t xml:space="preserve"> </w:t>
      </w:r>
      <w:r w:rsidRPr="0065530C">
        <w:rPr>
          <w:rFonts w:ascii="Calibri" w:hAnsi="Calibri"/>
        </w:rPr>
        <w:t>Web</w:t>
      </w:r>
      <w:r>
        <w:rPr>
          <w:rFonts w:ascii="Calibri" w:hAnsi="Calibri"/>
        </w:rPr>
        <w:t>: and steep early learning curves in efficiently and effectively recruiting, engaging and providing services to a cohort of often disengaged early school leavers.</w:t>
      </w:r>
    </w:p>
    <w:p w14:paraId="618D3FF4" w14:textId="77777777" w:rsidR="00CC4E3D" w:rsidRPr="00FD4CA8" w:rsidRDefault="00CC4E3D" w:rsidP="001C25D9">
      <w:pPr>
        <w:pStyle w:val="Heading3"/>
        <w:numPr>
          <w:ilvl w:val="2"/>
          <w:numId w:val="4"/>
        </w:numPr>
        <w:spacing w:before="200"/>
        <w:rPr>
          <w:szCs w:val="24"/>
        </w:rPr>
      </w:pPr>
      <w:bookmarkStart w:id="496" w:name="_Toc535498922"/>
      <w:bookmarkStart w:id="497" w:name="_Toc23841402"/>
      <w:r w:rsidRPr="00FD4CA8">
        <w:rPr>
          <w:szCs w:val="24"/>
        </w:rPr>
        <w:lastRenderedPageBreak/>
        <w:t>TtW-only providers performed similarly to providers delivering both TtW and jobactive</w:t>
      </w:r>
      <w:bookmarkEnd w:id="496"/>
      <w:bookmarkEnd w:id="497"/>
    </w:p>
    <w:p w14:paraId="02DB5F9E" w14:textId="77777777" w:rsidR="00CC4E3D" w:rsidRDefault="00CC4E3D" w:rsidP="00CC4E3D">
      <w:pPr>
        <w:rPr>
          <w:rFonts w:ascii="Calibri" w:hAnsi="Calibri" w:cs="Times New Roman"/>
        </w:rPr>
      </w:pPr>
      <w:r>
        <w:rPr>
          <w:rFonts w:ascii="Calibri" w:hAnsi="Calibri"/>
        </w:rPr>
        <w:t xml:space="preserve">TtW providers who also delivered services under jobactive may have had a slight advantage in the early stages of TtW, as they were familiar with departmental procedures, contracts and online environments and would already have established internal infrastructure for managing departmental requirements. </w:t>
      </w:r>
    </w:p>
    <w:p w14:paraId="34EFDA0F" w14:textId="77777777" w:rsidR="00CC4E3D" w:rsidRPr="00B22ACF" w:rsidRDefault="00CC4E3D" w:rsidP="00CC4E3D">
      <w:pPr>
        <w:rPr>
          <w:rFonts w:ascii="Calibri" w:hAnsi="Calibri"/>
        </w:rPr>
      </w:pPr>
      <w:r>
        <w:rPr>
          <w:rFonts w:ascii="Calibri" w:hAnsi="Calibri"/>
        </w:rPr>
        <w:t xml:space="preserve">While there was some variability between the outcome performances of these two groups of providers during the early months of operation, any advantage that TtW providers who also delivered jobactive may have had was not being reflected in outcomes by the end of March 2017. Outcome performance over the first year of TtW was more closely related to how long the provider had been operating under TtW. </w:t>
      </w:r>
    </w:p>
    <w:p w14:paraId="708D4AFD" w14:textId="296E2F41" w:rsidR="00CC4E3D" w:rsidRPr="001F4939" w:rsidRDefault="00CC4E3D" w:rsidP="001F4939">
      <w:pPr>
        <w:pStyle w:val="Heading2"/>
        <w:numPr>
          <w:ilvl w:val="1"/>
          <w:numId w:val="4"/>
        </w:numPr>
      </w:pPr>
      <w:bookmarkStart w:id="498" w:name="_Toc535498923"/>
      <w:bookmarkStart w:id="499" w:name="_Toc23841403"/>
      <w:r w:rsidRPr="001F4939">
        <w:t>Education and employment participation qualifying for an outcome</w:t>
      </w:r>
      <w:bookmarkEnd w:id="483"/>
      <w:bookmarkEnd w:id="498"/>
      <w:bookmarkEnd w:id="499"/>
    </w:p>
    <w:p w14:paraId="7782BF12" w14:textId="77777777" w:rsidR="00CC4E3D" w:rsidRDefault="00CC4E3D" w:rsidP="00CC4E3D">
      <w:pPr>
        <w:rPr>
          <w:rFonts w:ascii="Calibri" w:hAnsi="Calibri"/>
        </w:rPr>
      </w:pPr>
      <w:r>
        <w:rPr>
          <w:rFonts w:ascii="Calibri" w:hAnsi="Calibri"/>
        </w:rPr>
        <w:t xml:space="preserve">This section outlines the TtW education and employment outcomes and details the level of participation of TtW participants in education and employment activities that qualified for an outcome during </w:t>
      </w:r>
      <w:r w:rsidRPr="00474F26">
        <w:rPr>
          <w:rFonts w:ascii="Calibri" w:hAnsi="Calibri"/>
        </w:rPr>
        <w:t>the study period</w:t>
      </w:r>
      <w:r>
        <w:rPr>
          <w:rFonts w:ascii="Calibri" w:hAnsi="Calibri"/>
        </w:rPr>
        <w:t>. Many of the results were not directly compared with the matched jobactive sample, as o</w:t>
      </w:r>
      <w:r w:rsidRPr="00D93FF9">
        <w:rPr>
          <w:rFonts w:ascii="Calibri" w:hAnsi="Calibri"/>
        </w:rPr>
        <w:t xml:space="preserve">utcomes </w:t>
      </w:r>
      <w:r>
        <w:rPr>
          <w:rFonts w:ascii="Calibri" w:hAnsi="Calibri"/>
        </w:rPr>
        <w:t>in</w:t>
      </w:r>
      <w:r w:rsidRPr="00D93FF9">
        <w:rPr>
          <w:rFonts w:ascii="Calibri" w:hAnsi="Calibri"/>
        </w:rPr>
        <w:t xml:space="preserve"> TtW are complex and do not align with jobactive outcome categories in most </w:t>
      </w:r>
      <w:r w:rsidRPr="00C26144">
        <w:rPr>
          <w:rFonts w:ascii="Calibri" w:hAnsi="Calibri"/>
        </w:rPr>
        <w:t xml:space="preserve">cases. Equivalent new entrants into jobactive </w:t>
      </w:r>
      <w:r>
        <w:rPr>
          <w:rFonts w:ascii="Calibri" w:hAnsi="Calibri"/>
        </w:rPr>
        <w:t>commencing</w:t>
      </w:r>
      <w:r w:rsidRPr="00C26144">
        <w:rPr>
          <w:rFonts w:ascii="Calibri" w:hAnsi="Calibri"/>
        </w:rPr>
        <w:t xml:space="preserve"> as early school leavers with Mutual Obligation Requirements </w:t>
      </w:r>
      <w:r>
        <w:rPr>
          <w:rFonts w:ascii="Calibri" w:hAnsi="Calibri"/>
        </w:rPr>
        <w:t>must undertake up to 20 job searches per month if they are not undertaking approved paid work and/or study for 25 hours per week.</w:t>
      </w:r>
    </w:p>
    <w:p w14:paraId="6DE91CC8" w14:textId="77777777" w:rsidR="00CC4E3D" w:rsidRDefault="00CC4E3D" w:rsidP="00CC4E3D">
      <w:pPr>
        <w:rPr>
          <w:rFonts w:ascii="Calibri" w:hAnsi="Calibri"/>
        </w:rPr>
      </w:pPr>
      <w:r>
        <w:rPr>
          <w:rFonts w:ascii="Calibri" w:hAnsi="Calibri"/>
        </w:rPr>
        <w:t>O</w:t>
      </w:r>
      <w:r w:rsidRPr="00D93FF9">
        <w:rPr>
          <w:rFonts w:ascii="Calibri" w:hAnsi="Calibri"/>
        </w:rPr>
        <w:t xml:space="preserve">utcomes between the two </w:t>
      </w:r>
      <w:r>
        <w:rPr>
          <w:rFonts w:ascii="Calibri" w:hAnsi="Calibri"/>
        </w:rPr>
        <w:t>service</w:t>
      </w:r>
      <w:r w:rsidRPr="00D93FF9">
        <w:rPr>
          <w:rFonts w:ascii="Calibri" w:hAnsi="Calibri"/>
        </w:rPr>
        <w:t xml:space="preserve">s are </w:t>
      </w:r>
      <w:r>
        <w:rPr>
          <w:rFonts w:ascii="Calibri" w:hAnsi="Calibri"/>
        </w:rPr>
        <w:t xml:space="preserve">therefore </w:t>
      </w:r>
      <w:r w:rsidRPr="00D93FF9">
        <w:rPr>
          <w:rFonts w:ascii="Calibri" w:hAnsi="Calibri"/>
        </w:rPr>
        <w:t xml:space="preserve">limited to </w:t>
      </w:r>
      <w:r>
        <w:rPr>
          <w:rFonts w:ascii="Calibri" w:hAnsi="Calibri"/>
        </w:rPr>
        <w:t>employment</w:t>
      </w:r>
      <w:r w:rsidRPr="00D93FF9">
        <w:rPr>
          <w:rFonts w:ascii="Calibri" w:hAnsi="Calibri"/>
        </w:rPr>
        <w:t xml:space="preserve"> outcomes </w:t>
      </w:r>
      <w:r w:rsidRPr="008B4954">
        <w:rPr>
          <w:rFonts w:ascii="Calibri" w:hAnsi="Calibri"/>
        </w:rPr>
        <w:t xml:space="preserve">for </w:t>
      </w:r>
      <w:r>
        <w:rPr>
          <w:rFonts w:ascii="Calibri" w:hAnsi="Calibri"/>
        </w:rPr>
        <w:t>early school leavers</w:t>
      </w:r>
      <w:r w:rsidRPr="00D93FF9">
        <w:rPr>
          <w:rFonts w:ascii="Calibri" w:hAnsi="Calibri"/>
        </w:rPr>
        <w:t xml:space="preserve"> in </w:t>
      </w:r>
      <w:r>
        <w:rPr>
          <w:rFonts w:ascii="Calibri" w:hAnsi="Calibri"/>
        </w:rPr>
        <w:t>TtW only</w:t>
      </w:r>
      <w:r w:rsidRPr="00D93FF9">
        <w:rPr>
          <w:rFonts w:ascii="Calibri" w:hAnsi="Calibri"/>
        </w:rPr>
        <w:t xml:space="preserve"> and education participation or attainment outcome</w:t>
      </w:r>
      <w:r>
        <w:rPr>
          <w:rFonts w:ascii="Calibri" w:hAnsi="Calibri"/>
        </w:rPr>
        <w:t>s</w:t>
      </w:r>
      <w:r w:rsidRPr="00D93FF9">
        <w:rPr>
          <w:rFonts w:ascii="Calibri" w:hAnsi="Calibri"/>
        </w:rPr>
        <w:t xml:space="preserve"> in both </w:t>
      </w:r>
      <w:r>
        <w:rPr>
          <w:rFonts w:ascii="Calibri" w:hAnsi="Calibri"/>
        </w:rPr>
        <w:t>service</w:t>
      </w:r>
      <w:r w:rsidRPr="00D93FF9">
        <w:rPr>
          <w:rFonts w:ascii="Calibri" w:hAnsi="Calibri"/>
        </w:rPr>
        <w:t xml:space="preserve">s. </w:t>
      </w:r>
    </w:p>
    <w:p w14:paraId="23021F9E" w14:textId="77777777" w:rsidR="00CC4E3D" w:rsidRDefault="00CC4E3D" w:rsidP="00CC4E3D">
      <w:pPr>
        <w:rPr>
          <w:rFonts w:ascii="Calibri" w:hAnsi="Calibri"/>
        </w:rPr>
      </w:pPr>
      <w:r>
        <w:rPr>
          <w:rFonts w:ascii="Calibri" w:hAnsi="Calibri"/>
        </w:rPr>
        <w:t>Education outcome payments are paid to jobactive providers where job seekers participate for six months in a qualifying education course or for attainment of Year 12 or Certificate III or above. Courses must be at least 12 weeks and completed within six months. Courses less than 12 weeks which lead to employment within eight weeks of course completion and lead to a four week employment outcome are also eligible for an education outcome payment in jobactive but not TtW. Hybrid outcomes (combining paid work and study for 25 hours per week) are payable in TtW but are not available in jobactive.</w:t>
      </w:r>
    </w:p>
    <w:p w14:paraId="2383A6B9" w14:textId="77777777" w:rsidR="00CC4E3D" w:rsidRPr="008A7174" w:rsidRDefault="00CC4E3D" w:rsidP="00CC4E3D">
      <w:pPr>
        <w:rPr>
          <w:rFonts w:ascii="Calibri" w:hAnsi="Calibri"/>
        </w:rPr>
      </w:pPr>
      <w:r w:rsidRPr="00D93FF9">
        <w:rPr>
          <w:rFonts w:ascii="Calibri" w:hAnsi="Calibri"/>
        </w:rPr>
        <w:t>Education</w:t>
      </w:r>
      <w:r>
        <w:rPr>
          <w:rFonts w:ascii="Calibri" w:hAnsi="Calibri"/>
        </w:rPr>
        <w:t xml:space="preserve"> outcomes achieved for selected courses of study for the TtW and jobactive matched populations are discussed briefly in </w:t>
      </w:r>
      <w:r w:rsidRPr="00700376">
        <w:rPr>
          <w:rFonts w:ascii="Calibri" w:hAnsi="Calibri"/>
          <w:b/>
        </w:rPr>
        <w:t>Section 5.</w:t>
      </w:r>
      <w:r>
        <w:rPr>
          <w:rFonts w:ascii="Calibri" w:hAnsi="Calibri"/>
          <w:b/>
        </w:rPr>
        <w:t>3</w:t>
      </w:r>
      <w:r w:rsidRPr="00700376">
        <w:rPr>
          <w:rFonts w:ascii="Calibri" w:hAnsi="Calibri"/>
          <w:b/>
        </w:rPr>
        <w:t>.</w:t>
      </w:r>
      <w:r>
        <w:rPr>
          <w:rFonts w:ascii="Calibri" w:hAnsi="Calibri"/>
          <w:b/>
        </w:rPr>
        <w:t>4</w:t>
      </w:r>
      <w:r w:rsidRPr="00AC2A23">
        <w:rPr>
          <w:rFonts w:ascii="Calibri" w:hAnsi="Calibri"/>
        </w:rPr>
        <w:t>.</w:t>
      </w:r>
    </w:p>
    <w:p w14:paraId="0C9FD523" w14:textId="77777777" w:rsidR="00CC4E3D" w:rsidRPr="00FD4CA8" w:rsidRDefault="00CC4E3D" w:rsidP="001C25D9">
      <w:pPr>
        <w:pStyle w:val="Heading3"/>
        <w:numPr>
          <w:ilvl w:val="2"/>
          <w:numId w:val="4"/>
        </w:numPr>
        <w:spacing w:before="200"/>
        <w:rPr>
          <w:szCs w:val="24"/>
        </w:rPr>
      </w:pPr>
      <w:bookmarkStart w:id="500" w:name="_Toc535498924"/>
      <w:bookmarkStart w:id="501" w:name="_Toc23841404"/>
      <w:r w:rsidRPr="00FD4CA8">
        <w:rPr>
          <w:szCs w:val="24"/>
        </w:rPr>
        <w:t>Core outcomes in TtW</w:t>
      </w:r>
      <w:bookmarkEnd w:id="500"/>
      <w:bookmarkEnd w:id="501"/>
    </w:p>
    <w:p w14:paraId="6AC04F97" w14:textId="77777777" w:rsidR="00CC4E3D" w:rsidRDefault="00CC4E3D" w:rsidP="00CC4E3D">
      <w:pPr>
        <w:keepNext/>
        <w:rPr>
          <w:rFonts w:ascii="Calibri" w:hAnsi="Calibri"/>
        </w:rPr>
      </w:pPr>
      <w:r>
        <w:rPr>
          <w:rFonts w:ascii="Calibri" w:hAnsi="Calibri"/>
          <w:b/>
        </w:rPr>
        <w:t>Figure </w:t>
      </w:r>
      <w:r w:rsidRPr="00B23B4E">
        <w:rPr>
          <w:rFonts w:ascii="Calibri" w:hAnsi="Calibri"/>
          <w:b/>
        </w:rPr>
        <w:t>5.</w:t>
      </w:r>
      <w:r>
        <w:rPr>
          <w:rFonts w:ascii="Calibri" w:hAnsi="Calibri"/>
          <w:b/>
        </w:rPr>
        <w:t>2 </w:t>
      </w:r>
      <w:r>
        <w:rPr>
          <w:rFonts w:ascii="Calibri" w:hAnsi="Calibri"/>
        </w:rPr>
        <w:t xml:space="preserve">shows the six core types of TtW outcomes across employment, education and a combination of the two (hybrid), and their tracking paths to an outcome. </w:t>
      </w:r>
    </w:p>
    <w:p w14:paraId="6EBA56AE" w14:textId="22433BD0" w:rsidR="00CC4E3D" w:rsidRDefault="00CC4E3D" w:rsidP="00CC4E3D">
      <w:pPr>
        <w:keepNext/>
      </w:pPr>
      <w:r>
        <w:t xml:space="preserve">It is important to note that qualifying outcomes achieved in TtW are not all paid outcomes. TtW providers receive an up-front payment per quarter and, with this, are expected to achieve a certain </w:t>
      </w:r>
      <w:r>
        <w:lastRenderedPageBreak/>
        <w:t xml:space="preserve">number of employment (12-week), education (attainment or participation) or hybrid (12-week) outcomes. This is their quarterly Outcome Performance Target. </w:t>
      </w:r>
    </w:p>
    <w:p w14:paraId="7D9C3097" w14:textId="540CAE57" w:rsidR="00CC4E3D" w:rsidRDefault="00BC70FE" w:rsidP="00FD4CA8">
      <w:pPr>
        <w:pStyle w:val="Caption"/>
      </w:pPr>
      <w:bookmarkStart w:id="502" w:name="_Toc23841488"/>
      <w:bookmarkStart w:id="503" w:name="_Toc535511489"/>
      <w:bookmarkStart w:id="504" w:name="_Toc535511549"/>
      <w:bookmarkStart w:id="505" w:name="_Toc535512776"/>
      <w:bookmarkStart w:id="506" w:name="_Toc535513412"/>
      <w:r>
        <w:rPr>
          <w:rFonts w:ascii="Calibri" w:hAnsi="Calibri"/>
          <w:b w:val="0"/>
          <w:noProof/>
          <w:lang w:eastAsia="en-AU"/>
        </w:rPr>
        <w:drawing>
          <wp:anchor distT="0" distB="0" distL="114300" distR="114300" simplePos="0" relativeHeight="251664384" behindDoc="0" locked="0" layoutInCell="1" allowOverlap="1" wp14:anchorId="101092B8" wp14:editId="166504CB">
            <wp:simplePos x="0" y="0"/>
            <wp:positionH relativeFrom="column">
              <wp:posOffset>523875</wp:posOffset>
            </wp:positionH>
            <wp:positionV relativeFrom="paragraph">
              <wp:posOffset>229235</wp:posOffset>
            </wp:positionV>
            <wp:extent cx="5353685" cy="4001135"/>
            <wp:effectExtent l="0" t="0" r="0" b="0"/>
            <wp:wrapNone/>
            <wp:docPr id="450" name="Picture 450" descr="Diagrammatic representation of TTW outcome types. [Details in text behi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53685" cy="4001135"/>
                    </a:xfrm>
                    <a:prstGeom prst="rect">
                      <a:avLst/>
                    </a:prstGeom>
                    <a:noFill/>
                  </pic:spPr>
                </pic:pic>
              </a:graphicData>
            </a:graphic>
          </wp:anchor>
        </w:drawing>
      </w:r>
      <w:r w:rsidR="00CC4E3D">
        <w:t xml:space="preserve">Figure </w:t>
      </w:r>
      <w:r w:rsidR="00CC4E3D">
        <w:rPr>
          <w:noProof/>
        </w:rPr>
        <w:fldChar w:fldCharType="begin"/>
      </w:r>
      <w:r w:rsidR="00CC4E3D">
        <w:rPr>
          <w:noProof/>
        </w:rPr>
        <w:instrText xml:space="preserve"> STYLEREF 1 \s </w:instrText>
      </w:r>
      <w:r w:rsidR="00CC4E3D">
        <w:rPr>
          <w:noProof/>
        </w:rPr>
        <w:fldChar w:fldCharType="separate"/>
      </w:r>
      <w:r w:rsidR="00D84A2A">
        <w:rPr>
          <w:noProof/>
        </w:rPr>
        <w:t>5</w:t>
      </w:r>
      <w:r w:rsidR="00CC4E3D">
        <w:rPr>
          <w:noProof/>
        </w:rPr>
        <w:fldChar w:fldCharType="end"/>
      </w:r>
      <w:r w:rsidR="00CC4E3D">
        <w:t>.</w:t>
      </w:r>
      <w:r w:rsidR="00CC4E3D">
        <w:rPr>
          <w:noProof/>
        </w:rPr>
        <w:fldChar w:fldCharType="begin"/>
      </w:r>
      <w:r w:rsidR="00CC4E3D">
        <w:rPr>
          <w:noProof/>
        </w:rPr>
        <w:instrText xml:space="preserve"> SEQ Figure \* ARABIC \s 1 </w:instrText>
      </w:r>
      <w:r w:rsidR="00CC4E3D">
        <w:rPr>
          <w:noProof/>
        </w:rPr>
        <w:fldChar w:fldCharType="separate"/>
      </w:r>
      <w:r w:rsidR="00D84A2A">
        <w:rPr>
          <w:noProof/>
        </w:rPr>
        <w:t>2</w:t>
      </w:r>
      <w:r w:rsidR="00CC4E3D">
        <w:rPr>
          <w:noProof/>
        </w:rPr>
        <w:fldChar w:fldCharType="end"/>
      </w:r>
      <w:r w:rsidR="00CC4E3D">
        <w:tab/>
      </w:r>
      <w:r w:rsidR="00CC4E3D" w:rsidRPr="00BC70FE">
        <w:t>Core outcome categories</w:t>
      </w:r>
      <w:bookmarkEnd w:id="502"/>
      <w:r w:rsidR="00CC4E3D">
        <w:t xml:space="preserve"> </w:t>
      </w:r>
      <w:bookmarkEnd w:id="503"/>
      <w:bookmarkEnd w:id="504"/>
      <w:bookmarkEnd w:id="505"/>
      <w:bookmarkEnd w:id="506"/>
    </w:p>
    <w:p w14:paraId="0E56B5DC" w14:textId="74BB6488" w:rsidR="00BC70FE" w:rsidRPr="00BC70FE" w:rsidRDefault="00BC70FE" w:rsidP="00376321">
      <w:pPr>
        <w:spacing w:after="480"/>
        <w:rPr>
          <w:color w:val="FFFFFF" w:themeColor="background1"/>
          <w:sz w:val="16"/>
          <w:szCs w:val="16"/>
        </w:rPr>
      </w:pPr>
      <w:r w:rsidRPr="00BC70FE">
        <w:rPr>
          <w:color w:val="FFFFFF" w:themeColor="background1"/>
          <w:sz w:val="16"/>
          <w:szCs w:val="16"/>
        </w:rPr>
        <w:t>Depiction of the six core outcome categories, how they track to completion over time and whether they count towards quarterly targets.</w:t>
      </w:r>
    </w:p>
    <w:p w14:paraId="2F8B7491" w14:textId="303B5672" w:rsidR="00BC70FE" w:rsidRPr="00BC70FE" w:rsidRDefault="00BC70FE" w:rsidP="00BC70FE">
      <w:pPr>
        <w:rPr>
          <w:color w:val="FFFFFF" w:themeColor="background1"/>
          <w:sz w:val="16"/>
          <w:szCs w:val="16"/>
        </w:rPr>
      </w:pPr>
      <w:r w:rsidRPr="00BC70FE">
        <w:rPr>
          <w:color w:val="FFFFFF" w:themeColor="background1"/>
          <w:sz w:val="16"/>
          <w:szCs w:val="16"/>
        </w:rPr>
        <w:t>This figure shows six core outcome categories:</w:t>
      </w:r>
    </w:p>
    <w:p w14:paraId="1403A8A2" w14:textId="77777777" w:rsidR="00BC70FE" w:rsidRPr="00BC70FE" w:rsidRDefault="00BC70FE" w:rsidP="00BC70FE">
      <w:pPr>
        <w:pStyle w:val="ListParagraph"/>
        <w:numPr>
          <w:ilvl w:val="0"/>
          <w:numId w:val="18"/>
        </w:numPr>
        <w:spacing w:after="160" w:line="259" w:lineRule="auto"/>
        <w:rPr>
          <w:color w:val="FFFFFF" w:themeColor="background1"/>
          <w:sz w:val="16"/>
          <w:szCs w:val="16"/>
        </w:rPr>
      </w:pPr>
      <w:r w:rsidRPr="00BC70FE">
        <w:rPr>
          <w:color w:val="FFFFFF" w:themeColor="background1"/>
          <w:sz w:val="16"/>
          <w:szCs w:val="16"/>
        </w:rPr>
        <w:t>12-week employment outcome (cumulative fortnights)</w:t>
      </w:r>
    </w:p>
    <w:p w14:paraId="6B690D0A" w14:textId="77777777" w:rsidR="00BC70FE" w:rsidRPr="00BC70FE" w:rsidRDefault="00BC70FE" w:rsidP="00BC70FE">
      <w:pPr>
        <w:pStyle w:val="ListParagraph"/>
        <w:numPr>
          <w:ilvl w:val="0"/>
          <w:numId w:val="18"/>
        </w:numPr>
        <w:spacing w:after="160" w:line="259" w:lineRule="auto"/>
        <w:rPr>
          <w:color w:val="FFFFFF" w:themeColor="background1"/>
          <w:sz w:val="16"/>
          <w:szCs w:val="16"/>
        </w:rPr>
      </w:pPr>
      <w:r w:rsidRPr="00BC70FE">
        <w:rPr>
          <w:color w:val="FFFFFF" w:themeColor="background1"/>
          <w:sz w:val="16"/>
          <w:szCs w:val="16"/>
        </w:rPr>
        <w:t>12-week hybrid outcome (consecutive fortnights)</w:t>
      </w:r>
    </w:p>
    <w:p w14:paraId="38262FB2" w14:textId="77777777" w:rsidR="00BC70FE" w:rsidRPr="00BC70FE" w:rsidRDefault="00BC70FE" w:rsidP="00BC70FE">
      <w:pPr>
        <w:pStyle w:val="ListParagraph"/>
        <w:numPr>
          <w:ilvl w:val="0"/>
          <w:numId w:val="18"/>
        </w:numPr>
        <w:spacing w:after="160" w:line="259" w:lineRule="auto"/>
        <w:rPr>
          <w:color w:val="FFFFFF" w:themeColor="background1"/>
          <w:sz w:val="16"/>
          <w:szCs w:val="16"/>
        </w:rPr>
      </w:pPr>
      <w:r w:rsidRPr="00BC70FE">
        <w:rPr>
          <w:color w:val="FFFFFF" w:themeColor="background1"/>
          <w:sz w:val="16"/>
          <w:szCs w:val="16"/>
        </w:rPr>
        <w:t>26-week education outcome (participation)</w:t>
      </w:r>
    </w:p>
    <w:p w14:paraId="2C008B45" w14:textId="77777777" w:rsidR="00BC70FE" w:rsidRPr="00BC70FE" w:rsidRDefault="00BC70FE" w:rsidP="00BC70FE">
      <w:pPr>
        <w:pStyle w:val="ListParagraph"/>
        <w:numPr>
          <w:ilvl w:val="0"/>
          <w:numId w:val="18"/>
        </w:numPr>
        <w:spacing w:after="160" w:line="259" w:lineRule="auto"/>
        <w:rPr>
          <w:color w:val="FFFFFF" w:themeColor="background1"/>
          <w:sz w:val="16"/>
          <w:szCs w:val="16"/>
        </w:rPr>
      </w:pPr>
      <w:r w:rsidRPr="00BC70FE">
        <w:rPr>
          <w:color w:val="FFFFFF" w:themeColor="background1"/>
          <w:sz w:val="16"/>
          <w:szCs w:val="16"/>
        </w:rPr>
        <w:t>Education outcome (achievement — claimed on completion of course)</w:t>
      </w:r>
    </w:p>
    <w:p w14:paraId="2BEB941C" w14:textId="60062E8F" w:rsidR="00BC70FE" w:rsidRPr="00BC70FE" w:rsidRDefault="00BC70FE" w:rsidP="00BC70FE">
      <w:pPr>
        <w:pStyle w:val="ListParagraph"/>
        <w:numPr>
          <w:ilvl w:val="0"/>
          <w:numId w:val="18"/>
        </w:numPr>
        <w:spacing w:after="160" w:line="259" w:lineRule="auto"/>
        <w:rPr>
          <w:color w:val="FFFFFF" w:themeColor="background1"/>
          <w:sz w:val="16"/>
          <w:szCs w:val="16"/>
        </w:rPr>
      </w:pPr>
      <w:r w:rsidRPr="00BC70FE">
        <w:rPr>
          <w:color w:val="FFFFFF" w:themeColor="background1"/>
          <w:sz w:val="16"/>
          <w:szCs w:val="16"/>
        </w:rPr>
        <w:t>26-week sustainability outcome (employment) (7 consecutive fortnights)</w:t>
      </w:r>
    </w:p>
    <w:p w14:paraId="079DB8F0" w14:textId="77777777" w:rsidR="00BC70FE" w:rsidRPr="00BC70FE" w:rsidRDefault="00BC70FE" w:rsidP="00BC70FE">
      <w:pPr>
        <w:pStyle w:val="ListParagraph"/>
        <w:numPr>
          <w:ilvl w:val="0"/>
          <w:numId w:val="18"/>
        </w:numPr>
        <w:spacing w:after="160" w:line="259" w:lineRule="auto"/>
        <w:rPr>
          <w:color w:val="FFFFFF" w:themeColor="background1"/>
          <w:sz w:val="16"/>
          <w:szCs w:val="16"/>
        </w:rPr>
      </w:pPr>
      <w:r w:rsidRPr="00BC70FE">
        <w:rPr>
          <w:color w:val="FFFFFF" w:themeColor="background1"/>
          <w:sz w:val="16"/>
          <w:szCs w:val="16"/>
        </w:rPr>
        <w:t>26-week sustainability outcome (hybrid) (7 consecutive fortnights)</w:t>
      </w:r>
    </w:p>
    <w:p w14:paraId="48CC7C98" w14:textId="77777777" w:rsidR="00BC70FE" w:rsidRPr="00BC70FE" w:rsidRDefault="00BC70FE" w:rsidP="00BC70FE">
      <w:pPr>
        <w:rPr>
          <w:color w:val="FFFFFF" w:themeColor="background1"/>
          <w:sz w:val="16"/>
          <w:szCs w:val="16"/>
        </w:rPr>
      </w:pPr>
      <w:r w:rsidRPr="00BC70FE">
        <w:rPr>
          <w:color w:val="FFFFFF" w:themeColor="background1"/>
          <w:sz w:val="16"/>
          <w:szCs w:val="16"/>
        </w:rPr>
        <w:t>Categories 1, 2, 3, 5 and 6 are time-based outcomes.</w:t>
      </w:r>
    </w:p>
    <w:p w14:paraId="67D4AFE7" w14:textId="77777777" w:rsidR="00BC70FE" w:rsidRPr="00BC70FE" w:rsidRDefault="00BC70FE" w:rsidP="00BC70FE">
      <w:pPr>
        <w:rPr>
          <w:color w:val="FFFFFF" w:themeColor="background1"/>
          <w:sz w:val="16"/>
          <w:szCs w:val="16"/>
        </w:rPr>
      </w:pPr>
      <w:r w:rsidRPr="00BC70FE">
        <w:rPr>
          <w:color w:val="FFFFFF" w:themeColor="background1"/>
          <w:sz w:val="16"/>
          <w:szCs w:val="16"/>
        </w:rPr>
        <w:t>Category 4 is a non-time-based outcome.</w:t>
      </w:r>
    </w:p>
    <w:p w14:paraId="656D2534" w14:textId="77777777" w:rsidR="00BC70FE" w:rsidRPr="00BC70FE" w:rsidRDefault="00BC70FE" w:rsidP="00BC70FE">
      <w:pPr>
        <w:rPr>
          <w:color w:val="FFFFFF" w:themeColor="background1"/>
          <w:sz w:val="16"/>
          <w:szCs w:val="16"/>
        </w:rPr>
      </w:pPr>
      <w:r w:rsidRPr="00BC70FE">
        <w:rPr>
          <w:color w:val="FFFFFF" w:themeColor="background1"/>
          <w:sz w:val="16"/>
          <w:szCs w:val="16"/>
        </w:rPr>
        <w:t>Categories 1, 2, 3 and 4 count towards the quarterly outcome target.</w:t>
      </w:r>
    </w:p>
    <w:p w14:paraId="71768D3C" w14:textId="27393880" w:rsidR="00BC70FE" w:rsidRPr="00BC70FE" w:rsidRDefault="00BC70FE" w:rsidP="00F44ADC">
      <w:pPr>
        <w:spacing w:after="2400"/>
      </w:pPr>
      <w:r w:rsidRPr="00BC70FE">
        <w:rPr>
          <w:color w:val="FFFFFF" w:themeColor="background1"/>
          <w:sz w:val="16"/>
          <w:szCs w:val="16"/>
        </w:rPr>
        <w:t>Categories 5 and 6 are paid outcomes but do not count towards the quarterly outcome target.</w:t>
      </w:r>
    </w:p>
    <w:p w14:paraId="498EA7A6" w14:textId="70957DFD" w:rsidR="00CC4E3D" w:rsidRDefault="00CC4E3D" w:rsidP="00CC4E3D">
      <w:r w:rsidRPr="00700376">
        <w:rPr>
          <w:b/>
        </w:rPr>
        <w:t>Outcomes 1</w:t>
      </w:r>
      <w:r>
        <w:rPr>
          <w:b/>
        </w:rPr>
        <w:t>–4 </w:t>
      </w:r>
      <w:r>
        <w:t xml:space="preserve">(in </w:t>
      </w:r>
      <w:r>
        <w:rPr>
          <w:b/>
        </w:rPr>
        <w:t>Figure </w:t>
      </w:r>
      <w:r w:rsidRPr="004A78C8">
        <w:rPr>
          <w:b/>
        </w:rPr>
        <w:t>5.</w:t>
      </w:r>
      <w:r>
        <w:rPr>
          <w:b/>
        </w:rPr>
        <w:t>2</w:t>
      </w:r>
      <w:r>
        <w:t xml:space="preserve">) After the provider has met their quarterly Outcome Performance Target, they can claim a bonus payment of $3500 for each additional outcome. </w:t>
      </w:r>
    </w:p>
    <w:p w14:paraId="00C259FC" w14:textId="77777777" w:rsidR="00CC4E3D" w:rsidRDefault="00CC4E3D" w:rsidP="00CC4E3D">
      <w:r w:rsidRPr="00700376">
        <w:rPr>
          <w:b/>
        </w:rPr>
        <w:t xml:space="preserve">Outcomes </w:t>
      </w:r>
      <w:r>
        <w:rPr>
          <w:b/>
        </w:rPr>
        <w:t>5 and 6 </w:t>
      </w:r>
      <w:r>
        <w:t xml:space="preserve">(in </w:t>
      </w:r>
      <w:r>
        <w:rPr>
          <w:b/>
        </w:rPr>
        <w:t>Figure </w:t>
      </w:r>
      <w:r w:rsidRPr="004A78C8">
        <w:rPr>
          <w:b/>
        </w:rPr>
        <w:t>5.</w:t>
      </w:r>
      <w:r>
        <w:rPr>
          <w:b/>
        </w:rPr>
        <w:t>2</w:t>
      </w:r>
      <w:r>
        <w:t>) The provider can claim a sustainability outcome payment of $3500 for each of these outcomes, regardless of whether they have met their quarterly or annual target.</w:t>
      </w:r>
    </w:p>
    <w:p w14:paraId="3B02C162" w14:textId="77777777" w:rsidR="00CC4E3D" w:rsidRDefault="00CC4E3D" w:rsidP="00CC4E3D">
      <w:pPr>
        <w:keepNext/>
      </w:pPr>
      <w:r>
        <w:rPr>
          <w:rFonts w:ascii="Calibri" w:hAnsi="Calibri"/>
        </w:rPr>
        <w:t xml:space="preserve">Detailed outcome definitions are in </w:t>
      </w:r>
      <w:r>
        <w:rPr>
          <w:rFonts w:ascii="Calibri" w:hAnsi="Calibri"/>
          <w:b/>
        </w:rPr>
        <w:t>Appendix D.</w:t>
      </w:r>
    </w:p>
    <w:p w14:paraId="67127A93" w14:textId="3B4C33F8" w:rsidR="00CC4E3D" w:rsidRPr="00307EFD" w:rsidRDefault="00CC4E3D" w:rsidP="00307EFD">
      <w:r>
        <w:rPr>
          <w:rFonts w:ascii="Calibri" w:hAnsi="Calibri"/>
        </w:rPr>
        <w:t xml:space="preserve">This analysis of the six core TtW outcomes looks at the period from when the service started until the end of March 2017. </w:t>
      </w:r>
      <w:r>
        <w:rPr>
          <w:b/>
        </w:rPr>
        <w:t>Table </w:t>
      </w:r>
      <w:r w:rsidRPr="00DB4350">
        <w:rPr>
          <w:b/>
        </w:rPr>
        <w:t>5.</w:t>
      </w:r>
      <w:r>
        <w:rPr>
          <w:b/>
        </w:rPr>
        <w:t>1 </w:t>
      </w:r>
      <w:r>
        <w:t>breaks down the e</w:t>
      </w:r>
      <w:r w:rsidRPr="00DB4350">
        <w:t xml:space="preserve">mployment, </w:t>
      </w:r>
      <w:r>
        <w:t>e</w:t>
      </w:r>
      <w:r w:rsidRPr="00DB4350">
        <w:t xml:space="preserve">ducation and </w:t>
      </w:r>
      <w:r>
        <w:t>h</w:t>
      </w:r>
      <w:r w:rsidRPr="00DB4350">
        <w:t>ybrid outcomes</w:t>
      </w:r>
      <w:r>
        <w:t xml:space="preserve"> achieved</w:t>
      </w:r>
      <w:r w:rsidRPr="00DB4350">
        <w:t xml:space="preserve"> </w:t>
      </w:r>
      <w:r>
        <w:t xml:space="preserve">by number </w:t>
      </w:r>
      <w:r w:rsidRPr="00DB4350">
        <w:t>and as a percentage of the total outcomes</w:t>
      </w:r>
      <w:r>
        <w:t xml:space="preserve"> achieved over this period</w:t>
      </w:r>
      <w:r w:rsidRPr="00DB4350">
        <w:t>.</w:t>
      </w:r>
    </w:p>
    <w:p w14:paraId="4AF53723" w14:textId="56168C89" w:rsidR="00CC4E3D" w:rsidRDefault="00CC4E3D" w:rsidP="00FD4CA8">
      <w:pPr>
        <w:pStyle w:val="Caption"/>
      </w:pPr>
      <w:bookmarkStart w:id="507" w:name="_Toc535511490"/>
      <w:bookmarkStart w:id="508" w:name="_Toc535511550"/>
      <w:bookmarkStart w:id="509" w:name="_Toc535512777"/>
      <w:bookmarkStart w:id="510" w:name="_Toc535513413"/>
      <w:bookmarkStart w:id="511" w:name="_Toc23841442"/>
      <w:r>
        <w:lastRenderedPageBreak/>
        <w:t xml:space="preserve">Table </w:t>
      </w:r>
      <w:r>
        <w:rPr>
          <w:noProof/>
        </w:rPr>
        <w:fldChar w:fldCharType="begin"/>
      </w:r>
      <w:r>
        <w:rPr>
          <w:noProof/>
        </w:rPr>
        <w:instrText xml:space="preserve"> STYLEREF 1 \s </w:instrText>
      </w:r>
      <w:r>
        <w:rPr>
          <w:noProof/>
        </w:rPr>
        <w:fldChar w:fldCharType="separate"/>
      </w:r>
      <w:r w:rsidR="00D84A2A">
        <w:rPr>
          <w:noProof/>
        </w:rPr>
        <w:t>5</w:t>
      </w:r>
      <w:r>
        <w:rPr>
          <w:noProof/>
        </w:rPr>
        <w:fldChar w:fldCharType="end"/>
      </w:r>
      <w:r>
        <w:t>.</w:t>
      </w:r>
      <w:r>
        <w:rPr>
          <w:noProof/>
        </w:rPr>
        <w:fldChar w:fldCharType="begin"/>
      </w:r>
      <w:r>
        <w:rPr>
          <w:noProof/>
        </w:rPr>
        <w:instrText xml:space="preserve"> SEQ Table \* ARABIC \s 1 </w:instrText>
      </w:r>
      <w:r>
        <w:rPr>
          <w:noProof/>
        </w:rPr>
        <w:fldChar w:fldCharType="separate"/>
      </w:r>
      <w:r w:rsidR="00D84A2A">
        <w:rPr>
          <w:noProof/>
        </w:rPr>
        <w:t>1</w:t>
      </w:r>
      <w:r>
        <w:rPr>
          <w:noProof/>
        </w:rPr>
        <w:fldChar w:fldCharType="end"/>
      </w:r>
      <w:r>
        <w:tab/>
        <w:t>Breakdown of o</w:t>
      </w:r>
      <w:r w:rsidRPr="00B71A86">
        <w:t>utcomes achieved</w:t>
      </w:r>
      <w:r>
        <w:t>,</w:t>
      </w:r>
      <w:r w:rsidRPr="00B71A86">
        <w:t xml:space="preserve"> by outcome type</w:t>
      </w:r>
      <w:bookmarkEnd w:id="507"/>
      <w:bookmarkEnd w:id="508"/>
      <w:bookmarkEnd w:id="509"/>
      <w:bookmarkEnd w:id="510"/>
      <w:bookmarkEnd w:id="511"/>
      <w:r w:rsidRPr="00B71A86">
        <w:t xml:space="preserve"> </w:t>
      </w:r>
    </w:p>
    <w:tbl>
      <w:tblPr>
        <w:tblStyle w:val="JobsTable"/>
        <w:tblW w:w="5000" w:type="pct"/>
        <w:tblBorders>
          <w:bottom w:val="none" w:sz="0" w:space="0" w:color="auto"/>
        </w:tblBorders>
        <w:tblLook w:val="04A0" w:firstRow="1" w:lastRow="0" w:firstColumn="1" w:lastColumn="0" w:noHBand="0" w:noVBand="1"/>
        <w:tblDescription w:val="The total number of employment outcomes was 3729, or 79.1% of total outcomes. This breaks down as 2774 (58.8%) 12-week outcomes, and 995 (20.3%) 26-week sustainability outcomes. &#10;The total number of hybrid outcomes was 31, or 0.7% of total outcomes. This breaks down as 29 (0.6%) 12-week outcomes and 2 (0%) 26-week sustainability outcomes.&#10;The total number of education outcomes (participation or attainment) was 956, or 20.3% of total outcomes.&#10;The total number of outcomes was 4716.&#10;"/>
      </w:tblPr>
      <w:tblGrid>
        <w:gridCol w:w="4203"/>
        <w:gridCol w:w="2411"/>
        <w:gridCol w:w="2412"/>
      </w:tblGrid>
      <w:tr w:rsidR="00CC4E3D" w:rsidRPr="00205968" w14:paraId="298CD581" w14:textId="77777777" w:rsidTr="005A1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3C511C79" w14:textId="77777777" w:rsidR="00CC4E3D" w:rsidRPr="00205968" w:rsidRDefault="00CC4E3D" w:rsidP="005A1B8D">
            <w:pPr>
              <w:keepNext/>
              <w:keepLines/>
              <w:spacing w:before="60" w:after="60"/>
              <w:rPr>
                <w:b/>
                <w:bCs/>
                <w:sz w:val="20"/>
                <w:szCs w:val="20"/>
              </w:rPr>
            </w:pPr>
            <w:r w:rsidRPr="00205968">
              <w:rPr>
                <w:b/>
                <w:bCs/>
                <w:sz w:val="20"/>
                <w:szCs w:val="20"/>
              </w:rPr>
              <w:t>TtW outcome type</w:t>
            </w:r>
          </w:p>
        </w:tc>
        <w:tc>
          <w:tcPr>
            <w:tcW w:w="2411" w:type="dxa"/>
            <w:vAlign w:val="center"/>
            <w:hideMark/>
          </w:tcPr>
          <w:p w14:paraId="0EBE10DF" w14:textId="77777777" w:rsidR="00CC4E3D" w:rsidRPr="00205968" w:rsidRDefault="00CC4E3D" w:rsidP="005A1B8D">
            <w:pPr>
              <w:keepNext/>
              <w:keepLines/>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205968">
              <w:rPr>
                <w:b/>
                <w:bCs/>
                <w:sz w:val="20"/>
                <w:szCs w:val="20"/>
              </w:rPr>
              <w:t>Number of outcomes</w:t>
            </w:r>
          </w:p>
        </w:tc>
        <w:tc>
          <w:tcPr>
            <w:tcW w:w="2412" w:type="dxa"/>
            <w:vAlign w:val="center"/>
          </w:tcPr>
          <w:p w14:paraId="2C99F65B" w14:textId="77777777" w:rsidR="00CC4E3D" w:rsidRPr="00205968" w:rsidRDefault="00CC4E3D" w:rsidP="005A1B8D">
            <w:pPr>
              <w:keepNext/>
              <w:keepLines/>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205968">
              <w:rPr>
                <w:b/>
                <w:bCs/>
                <w:sz w:val="20"/>
                <w:szCs w:val="20"/>
              </w:rPr>
              <w:t>Proportion of total outcomes (%)</w:t>
            </w:r>
          </w:p>
        </w:tc>
      </w:tr>
      <w:tr w:rsidR="00CC4E3D" w:rsidRPr="00205968" w14:paraId="3AE8FBE7" w14:textId="77777777" w:rsidTr="005A1B8D">
        <w:tc>
          <w:tcPr>
            <w:cnfStyle w:val="001000000000" w:firstRow="0" w:lastRow="0" w:firstColumn="1" w:lastColumn="0" w:oddVBand="0" w:evenVBand="0" w:oddHBand="0" w:evenHBand="0" w:firstRowFirstColumn="0" w:firstRowLastColumn="0" w:lastRowFirstColumn="0" w:lastRowLastColumn="0"/>
            <w:tcW w:w="0" w:type="auto"/>
            <w:hideMark/>
          </w:tcPr>
          <w:p w14:paraId="1AE7848A" w14:textId="77777777" w:rsidR="00CC4E3D" w:rsidRPr="00205968" w:rsidRDefault="00CC4E3D" w:rsidP="005A1B8D">
            <w:pPr>
              <w:keepNext/>
              <w:keepLines/>
              <w:spacing w:before="60" w:after="60"/>
              <w:rPr>
                <w:sz w:val="20"/>
                <w:szCs w:val="20"/>
              </w:rPr>
            </w:pPr>
            <w:r w:rsidRPr="00205968">
              <w:rPr>
                <w:sz w:val="20"/>
                <w:szCs w:val="20"/>
              </w:rPr>
              <w:t xml:space="preserve">Employment outcome </w:t>
            </w:r>
          </w:p>
        </w:tc>
        <w:tc>
          <w:tcPr>
            <w:tcW w:w="2411" w:type="dxa"/>
            <w:vAlign w:val="center"/>
            <w:hideMark/>
          </w:tcPr>
          <w:p w14:paraId="3ED47155" w14:textId="2716C54C" w:rsidR="00CC4E3D" w:rsidRPr="00205968" w:rsidRDefault="00CC4E3D"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3</w:t>
            </w:r>
            <w:r w:rsidR="00C2653A">
              <w:rPr>
                <w:sz w:val="20"/>
                <w:szCs w:val="20"/>
              </w:rPr>
              <w:t>,</w:t>
            </w:r>
            <w:r w:rsidRPr="00205968">
              <w:rPr>
                <w:sz w:val="20"/>
                <w:szCs w:val="20"/>
              </w:rPr>
              <w:t>729</w:t>
            </w:r>
          </w:p>
        </w:tc>
        <w:tc>
          <w:tcPr>
            <w:tcW w:w="2412" w:type="dxa"/>
            <w:vAlign w:val="center"/>
          </w:tcPr>
          <w:p w14:paraId="770CA37D" w14:textId="77777777" w:rsidR="00CC4E3D" w:rsidRPr="00205968" w:rsidRDefault="00CC4E3D"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79.1</w:t>
            </w:r>
          </w:p>
        </w:tc>
      </w:tr>
      <w:tr w:rsidR="00CC4E3D" w:rsidRPr="00205968" w14:paraId="05742DD6" w14:textId="77777777" w:rsidTr="005A1B8D">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2"/>
          </w:tcPr>
          <w:p w14:paraId="1714B2C0" w14:textId="77777777" w:rsidR="00CC4E3D" w:rsidRPr="00205968" w:rsidRDefault="00CC4E3D" w:rsidP="005A1B8D">
            <w:pPr>
              <w:keepNext/>
              <w:keepLines/>
              <w:spacing w:before="60" w:after="60"/>
              <w:jc w:val="right"/>
              <w:rPr>
                <w:sz w:val="20"/>
                <w:szCs w:val="20"/>
              </w:rPr>
            </w:pPr>
            <w:r w:rsidRPr="00205968">
              <w:rPr>
                <w:sz w:val="20"/>
                <w:szCs w:val="20"/>
              </w:rPr>
              <w:t>12-week</w:t>
            </w:r>
          </w:p>
        </w:tc>
        <w:tc>
          <w:tcPr>
            <w:tcW w:w="2411" w:type="dxa"/>
            <w:shd w:val="clear" w:color="auto" w:fill="F2F2F2" w:themeFill="background2"/>
            <w:vAlign w:val="center"/>
          </w:tcPr>
          <w:p w14:paraId="101A1D76" w14:textId="329459A9" w:rsidR="00CC4E3D" w:rsidRPr="00205968" w:rsidRDefault="00CC4E3D"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2</w:t>
            </w:r>
            <w:r w:rsidR="00C2653A">
              <w:rPr>
                <w:sz w:val="20"/>
                <w:szCs w:val="20"/>
              </w:rPr>
              <w:t>,</w:t>
            </w:r>
            <w:r w:rsidRPr="00205968">
              <w:rPr>
                <w:sz w:val="20"/>
                <w:szCs w:val="20"/>
              </w:rPr>
              <w:t>774</w:t>
            </w:r>
          </w:p>
        </w:tc>
        <w:tc>
          <w:tcPr>
            <w:tcW w:w="2412" w:type="dxa"/>
            <w:shd w:val="clear" w:color="auto" w:fill="F2F2F2" w:themeFill="background2"/>
            <w:vAlign w:val="center"/>
          </w:tcPr>
          <w:p w14:paraId="54E8E3B3" w14:textId="77777777" w:rsidR="00CC4E3D" w:rsidRPr="00205968" w:rsidRDefault="00CC4E3D"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58.8</w:t>
            </w:r>
          </w:p>
        </w:tc>
      </w:tr>
      <w:tr w:rsidR="00CC4E3D" w:rsidRPr="00205968" w14:paraId="7AE3CD03" w14:textId="77777777" w:rsidTr="005A1B8D">
        <w:tc>
          <w:tcPr>
            <w:cnfStyle w:val="001000000000" w:firstRow="0" w:lastRow="0" w:firstColumn="1" w:lastColumn="0" w:oddVBand="0" w:evenVBand="0" w:oddHBand="0" w:evenHBand="0" w:firstRowFirstColumn="0" w:firstRowLastColumn="0" w:lastRowFirstColumn="0" w:lastRowLastColumn="0"/>
            <w:tcW w:w="0" w:type="auto"/>
          </w:tcPr>
          <w:p w14:paraId="550F1C1E" w14:textId="77777777" w:rsidR="00CC4E3D" w:rsidRPr="00205968" w:rsidRDefault="00CC4E3D" w:rsidP="005A1B8D">
            <w:pPr>
              <w:keepNext/>
              <w:keepLines/>
              <w:spacing w:before="60" w:after="60"/>
              <w:jc w:val="right"/>
              <w:rPr>
                <w:sz w:val="20"/>
                <w:szCs w:val="20"/>
              </w:rPr>
            </w:pPr>
            <w:r w:rsidRPr="00205968">
              <w:rPr>
                <w:sz w:val="20"/>
                <w:szCs w:val="20"/>
              </w:rPr>
              <w:t>26-week sustainability</w:t>
            </w:r>
          </w:p>
        </w:tc>
        <w:tc>
          <w:tcPr>
            <w:tcW w:w="2411" w:type="dxa"/>
            <w:vAlign w:val="center"/>
          </w:tcPr>
          <w:p w14:paraId="3FB69FA3" w14:textId="77777777" w:rsidR="00CC4E3D" w:rsidRPr="00205968" w:rsidRDefault="00CC4E3D"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955</w:t>
            </w:r>
          </w:p>
        </w:tc>
        <w:tc>
          <w:tcPr>
            <w:tcW w:w="2412" w:type="dxa"/>
            <w:vAlign w:val="center"/>
          </w:tcPr>
          <w:p w14:paraId="5C1709E7" w14:textId="77777777" w:rsidR="00CC4E3D" w:rsidRPr="00205968" w:rsidRDefault="00CC4E3D"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20.3</w:t>
            </w:r>
          </w:p>
        </w:tc>
      </w:tr>
      <w:tr w:rsidR="00CC4E3D" w:rsidRPr="00205968" w14:paraId="4B10700B" w14:textId="77777777" w:rsidTr="005A1B8D">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2"/>
            <w:hideMark/>
          </w:tcPr>
          <w:p w14:paraId="103CF417" w14:textId="77777777" w:rsidR="00CC4E3D" w:rsidRPr="00205968" w:rsidRDefault="00CC4E3D" w:rsidP="005A1B8D">
            <w:pPr>
              <w:keepNext/>
              <w:keepLines/>
              <w:spacing w:before="60" w:after="60"/>
              <w:rPr>
                <w:sz w:val="20"/>
                <w:szCs w:val="20"/>
              </w:rPr>
            </w:pPr>
            <w:r w:rsidRPr="00205968">
              <w:rPr>
                <w:sz w:val="20"/>
                <w:szCs w:val="20"/>
              </w:rPr>
              <w:t xml:space="preserve">Hybrid outcome </w:t>
            </w:r>
          </w:p>
        </w:tc>
        <w:tc>
          <w:tcPr>
            <w:tcW w:w="2411" w:type="dxa"/>
            <w:shd w:val="clear" w:color="auto" w:fill="F2F2F2" w:themeFill="background2"/>
            <w:vAlign w:val="center"/>
            <w:hideMark/>
          </w:tcPr>
          <w:p w14:paraId="0D6CBD8C" w14:textId="77777777" w:rsidR="00CC4E3D" w:rsidRPr="00205968" w:rsidRDefault="00CC4E3D"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31</w:t>
            </w:r>
          </w:p>
        </w:tc>
        <w:tc>
          <w:tcPr>
            <w:tcW w:w="2412" w:type="dxa"/>
            <w:shd w:val="clear" w:color="auto" w:fill="F2F2F2" w:themeFill="background2"/>
            <w:vAlign w:val="center"/>
          </w:tcPr>
          <w:p w14:paraId="1FB05743" w14:textId="77777777" w:rsidR="00CC4E3D" w:rsidRPr="00205968" w:rsidRDefault="00CC4E3D"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0.7</w:t>
            </w:r>
          </w:p>
        </w:tc>
      </w:tr>
      <w:tr w:rsidR="00CC4E3D" w:rsidRPr="00205968" w14:paraId="1DCDB4B8" w14:textId="77777777" w:rsidTr="005A1B8D">
        <w:tc>
          <w:tcPr>
            <w:cnfStyle w:val="001000000000" w:firstRow="0" w:lastRow="0" w:firstColumn="1" w:lastColumn="0" w:oddVBand="0" w:evenVBand="0" w:oddHBand="0" w:evenHBand="0" w:firstRowFirstColumn="0" w:firstRowLastColumn="0" w:lastRowFirstColumn="0" w:lastRowLastColumn="0"/>
            <w:tcW w:w="0" w:type="auto"/>
          </w:tcPr>
          <w:p w14:paraId="50A73382" w14:textId="77777777" w:rsidR="00CC4E3D" w:rsidRPr="00205968" w:rsidRDefault="00CC4E3D" w:rsidP="005A1B8D">
            <w:pPr>
              <w:keepNext/>
              <w:keepLines/>
              <w:spacing w:before="60" w:after="60"/>
              <w:jc w:val="right"/>
              <w:rPr>
                <w:sz w:val="20"/>
                <w:szCs w:val="20"/>
              </w:rPr>
            </w:pPr>
            <w:r w:rsidRPr="00205968">
              <w:rPr>
                <w:sz w:val="20"/>
                <w:szCs w:val="20"/>
              </w:rPr>
              <w:t>12-week</w:t>
            </w:r>
          </w:p>
        </w:tc>
        <w:tc>
          <w:tcPr>
            <w:tcW w:w="2411" w:type="dxa"/>
            <w:vAlign w:val="center"/>
          </w:tcPr>
          <w:p w14:paraId="396FD014" w14:textId="77777777" w:rsidR="00CC4E3D" w:rsidRPr="00205968" w:rsidRDefault="00CC4E3D"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29</w:t>
            </w:r>
          </w:p>
        </w:tc>
        <w:tc>
          <w:tcPr>
            <w:tcW w:w="2412" w:type="dxa"/>
            <w:vAlign w:val="center"/>
          </w:tcPr>
          <w:p w14:paraId="118E5E8B" w14:textId="77777777" w:rsidR="00CC4E3D" w:rsidRPr="00205968" w:rsidRDefault="00CC4E3D"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0.6</w:t>
            </w:r>
          </w:p>
        </w:tc>
      </w:tr>
      <w:tr w:rsidR="00CC4E3D" w:rsidRPr="00205968" w14:paraId="1E6D1D11" w14:textId="77777777" w:rsidTr="005A1B8D">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2"/>
          </w:tcPr>
          <w:p w14:paraId="779AAF7D" w14:textId="77777777" w:rsidR="00CC4E3D" w:rsidRPr="00205968" w:rsidRDefault="00CC4E3D" w:rsidP="005A1B8D">
            <w:pPr>
              <w:keepNext/>
              <w:keepLines/>
              <w:spacing w:before="60" w:after="60"/>
              <w:jc w:val="right"/>
              <w:rPr>
                <w:sz w:val="20"/>
                <w:szCs w:val="20"/>
              </w:rPr>
            </w:pPr>
            <w:r w:rsidRPr="00205968">
              <w:rPr>
                <w:sz w:val="20"/>
                <w:szCs w:val="20"/>
              </w:rPr>
              <w:t>26-week sustainability</w:t>
            </w:r>
          </w:p>
        </w:tc>
        <w:tc>
          <w:tcPr>
            <w:tcW w:w="2411" w:type="dxa"/>
            <w:shd w:val="clear" w:color="auto" w:fill="F2F2F2" w:themeFill="background2"/>
            <w:vAlign w:val="center"/>
          </w:tcPr>
          <w:p w14:paraId="044B348B" w14:textId="77777777" w:rsidR="00CC4E3D" w:rsidRPr="00205968" w:rsidRDefault="00CC4E3D"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2</w:t>
            </w:r>
          </w:p>
        </w:tc>
        <w:tc>
          <w:tcPr>
            <w:tcW w:w="2412" w:type="dxa"/>
            <w:shd w:val="clear" w:color="auto" w:fill="F2F2F2" w:themeFill="background2"/>
            <w:vAlign w:val="center"/>
          </w:tcPr>
          <w:p w14:paraId="542B5BC9" w14:textId="77777777" w:rsidR="00CC4E3D" w:rsidRPr="00205968" w:rsidRDefault="00CC4E3D"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0.0</w:t>
            </w:r>
          </w:p>
        </w:tc>
      </w:tr>
      <w:tr w:rsidR="00CC4E3D" w:rsidRPr="00205968" w14:paraId="32CF52BC" w14:textId="77777777" w:rsidTr="005A1B8D">
        <w:tc>
          <w:tcPr>
            <w:cnfStyle w:val="001000000000" w:firstRow="0" w:lastRow="0" w:firstColumn="1" w:lastColumn="0" w:oddVBand="0" w:evenVBand="0" w:oddHBand="0" w:evenHBand="0" w:firstRowFirstColumn="0" w:firstRowLastColumn="0" w:lastRowFirstColumn="0" w:lastRowLastColumn="0"/>
            <w:tcW w:w="0" w:type="auto"/>
            <w:hideMark/>
          </w:tcPr>
          <w:p w14:paraId="5B00CFFE" w14:textId="77777777" w:rsidR="00CC4E3D" w:rsidRPr="00205968" w:rsidRDefault="00CC4E3D" w:rsidP="005A1B8D">
            <w:pPr>
              <w:keepNext/>
              <w:keepLines/>
              <w:spacing w:before="60" w:after="60"/>
              <w:rPr>
                <w:sz w:val="20"/>
                <w:szCs w:val="20"/>
              </w:rPr>
            </w:pPr>
            <w:r w:rsidRPr="00205968">
              <w:rPr>
                <w:sz w:val="20"/>
                <w:szCs w:val="20"/>
              </w:rPr>
              <w:t xml:space="preserve">Education outcome (participation or attainment) </w:t>
            </w:r>
          </w:p>
        </w:tc>
        <w:tc>
          <w:tcPr>
            <w:tcW w:w="2411" w:type="dxa"/>
            <w:vAlign w:val="center"/>
            <w:hideMark/>
          </w:tcPr>
          <w:p w14:paraId="493833AA" w14:textId="77777777" w:rsidR="00CC4E3D" w:rsidRPr="00205968" w:rsidRDefault="00CC4E3D"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956</w:t>
            </w:r>
          </w:p>
        </w:tc>
        <w:tc>
          <w:tcPr>
            <w:tcW w:w="2412" w:type="dxa"/>
            <w:vAlign w:val="center"/>
          </w:tcPr>
          <w:p w14:paraId="0C22EC49" w14:textId="77777777" w:rsidR="00CC4E3D" w:rsidRPr="00205968" w:rsidRDefault="00CC4E3D"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20.3</w:t>
            </w:r>
          </w:p>
        </w:tc>
      </w:tr>
      <w:tr w:rsidR="00CC4E3D" w:rsidRPr="00205968" w14:paraId="5D6C5E91" w14:textId="77777777" w:rsidTr="005A1B8D">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F2F2F2" w:themeFill="background2"/>
            <w:hideMark/>
          </w:tcPr>
          <w:p w14:paraId="56A5C233" w14:textId="77777777" w:rsidR="00CC4E3D" w:rsidRPr="00205968" w:rsidRDefault="00CC4E3D" w:rsidP="005A1B8D">
            <w:pPr>
              <w:keepNext/>
              <w:keepLines/>
              <w:spacing w:before="60" w:after="60"/>
              <w:rPr>
                <w:sz w:val="20"/>
                <w:szCs w:val="20"/>
              </w:rPr>
            </w:pPr>
            <w:r w:rsidRPr="00205968">
              <w:rPr>
                <w:sz w:val="20"/>
                <w:szCs w:val="20"/>
              </w:rPr>
              <w:t>Total outcomes</w:t>
            </w:r>
          </w:p>
        </w:tc>
        <w:tc>
          <w:tcPr>
            <w:tcW w:w="2411" w:type="dxa"/>
            <w:tcBorders>
              <w:bottom w:val="single" w:sz="4" w:space="0" w:color="auto"/>
            </w:tcBorders>
            <w:shd w:val="clear" w:color="auto" w:fill="F2F2F2" w:themeFill="background2"/>
            <w:noWrap/>
            <w:vAlign w:val="center"/>
            <w:hideMark/>
          </w:tcPr>
          <w:p w14:paraId="3017F871" w14:textId="1A05EFF5" w:rsidR="00CC4E3D" w:rsidRPr="00205968" w:rsidRDefault="00CC4E3D"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4</w:t>
            </w:r>
            <w:r w:rsidR="00C2653A">
              <w:rPr>
                <w:sz w:val="20"/>
                <w:szCs w:val="20"/>
              </w:rPr>
              <w:t>,</w:t>
            </w:r>
            <w:r w:rsidRPr="00205968">
              <w:rPr>
                <w:sz w:val="20"/>
                <w:szCs w:val="20"/>
              </w:rPr>
              <w:t>716</w:t>
            </w:r>
          </w:p>
        </w:tc>
        <w:tc>
          <w:tcPr>
            <w:tcW w:w="2412" w:type="dxa"/>
            <w:tcBorders>
              <w:bottom w:val="single" w:sz="4" w:space="0" w:color="auto"/>
            </w:tcBorders>
            <w:shd w:val="clear" w:color="auto" w:fill="F2F2F2" w:themeFill="background2"/>
            <w:vAlign w:val="center"/>
          </w:tcPr>
          <w:p w14:paraId="22A2DFB1" w14:textId="77777777" w:rsidR="00CC4E3D" w:rsidRPr="00205968" w:rsidRDefault="00CC4E3D" w:rsidP="005A1B8D">
            <w:pPr>
              <w:keepNext/>
              <w:keepLines/>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100.0</w:t>
            </w:r>
          </w:p>
        </w:tc>
      </w:tr>
    </w:tbl>
    <w:p w14:paraId="2174D5A4" w14:textId="7F3CB288" w:rsidR="00CC4E3D" w:rsidRPr="005A1B8D" w:rsidRDefault="00CC4E3D" w:rsidP="009B324F">
      <w:pPr>
        <w:pStyle w:val="Source"/>
        <w:keepNext/>
        <w:keepLines/>
        <w:rPr>
          <w:b/>
        </w:rPr>
      </w:pPr>
      <w:r w:rsidRPr="005A1B8D">
        <w:rPr>
          <w:b/>
        </w:rPr>
        <w:t xml:space="preserve">Source: Department of </w:t>
      </w:r>
      <w:r w:rsidR="00C2653A" w:rsidRPr="005A1B8D">
        <w:rPr>
          <w:b/>
        </w:rPr>
        <w:t>Employment, Skills, Small and Family</w:t>
      </w:r>
      <w:r w:rsidRPr="005A1B8D">
        <w:rPr>
          <w:b/>
        </w:rPr>
        <w:t xml:space="preserve"> Business administrative data — TtW inflow population.</w:t>
      </w:r>
    </w:p>
    <w:p w14:paraId="1A34BCD0" w14:textId="77777777" w:rsidR="00CC4E3D" w:rsidRPr="00FD4CA8" w:rsidRDefault="00CC4E3D" w:rsidP="001C25D9">
      <w:pPr>
        <w:pStyle w:val="Heading3"/>
        <w:numPr>
          <w:ilvl w:val="2"/>
          <w:numId w:val="4"/>
        </w:numPr>
        <w:spacing w:before="200"/>
        <w:rPr>
          <w:szCs w:val="24"/>
        </w:rPr>
      </w:pPr>
      <w:bookmarkStart w:id="512" w:name="_Toc535498925"/>
      <w:bookmarkStart w:id="513" w:name="_Toc23841405"/>
      <w:r w:rsidRPr="00FD4CA8">
        <w:rPr>
          <w:szCs w:val="24"/>
        </w:rPr>
        <w:t>There were almost four times as many employment outcomes as education outcomes</w:t>
      </w:r>
      <w:bookmarkEnd w:id="512"/>
      <w:bookmarkEnd w:id="513"/>
      <w:r w:rsidRPr="00FD4CA8">
        <w:rPr>
          <w:szCs w:val="24"/>
        </w:rPr>
        <w:t xml:space="preserve"> </w:t>
      </w:r>
    </w:p>
    <w:p w14:paraId="743C2EEF" w14:textId="77777777" w:rsidR="00CC4E3D" w:rsidRDefault="00CC4E3D" w:rsidP="00CC4E3D">
      <w:r>
        <w:t xml:space="preserve">By the end of March 2017, a total </w:t>
      </w:r>
      <w:r w:rsidRPr="00365A37">
        <w:t xml:space="preserve">of </w:t>
      </w:r>
      <w:r w:rsidRPr="005C25FE">
        <w:t>471</w:t>
      </w:r>
      <w:r>
        <w:t xml:space="preserve">6 outcomes had been achieved across the TtW population, of which </w:t>
      </w:r>
      <w:r w:rsidRPr="005C25FE">
        <w:t>372</w:t>
      </w:r>
      <w:r>
        <w:t xml:space="preserve">9 were employment outcomes (12 and 26 week). A full breakdown of employment, education and hybrid outcomes by quarter is in </w:t>
      </w:r>
      <w:r>
        <w:rPr>
          <w:b/>
        </w:rPr>
        <w:t>Appendix D</w:t>
      </w:r>
      <w:r w:rsidRPr="005229C2">
        <w:rPr>
          <w:i/>
        </w:rPr>
        <w:t>.</w:t>
      </w:r>
      <w:r>
        <w:t xml:space="preserve"> </w:t>
      </w:r>
    </w:p>
    <w:p w14:paraId="43E16994" w14:textId="77777777" w:rsidR="00CC4E3D" w:rsidRDefault="00CC4E3D" w:rsidP="00CC4E3D">
      <w:r w:rsidRPr="00051276">
        <w:t>The higher rate of employment outcomes (79 per cent) than education and hybrid outcomes is likely to reflect the provider focus, as well as to have been driven by the length of the evaluation study period (six months from a participant’s referral to the service) and the 12-week minimum timeframe to achieve an employment outcome. Education outcomes, on the other hand, have a 26-week (or c</w:t>
      </w:r>
      <w:r>
        <w:t xml:space="preserve">ompletion of studies) timeframe. Qualitative research found placing young people in education in order to obtain an education outcome was considered to be the secondary focus for providers after all avenues of employment were already exhausted. </w:t>
      </w:r>
      <w:r>
        <w:rPr>
          <w:rStyle w:val="FootnoteReference"/>
        </w:rPr>
        <w:footnoteReference w:id="31"/>
      </w:r>
      <w:r>
        <w:t xml:space="preserve"> </w:t>
      </w:r>
    </w:p>
    <w:p w14:paraId="399C3C31" w14:textId="77777777" w:rsidR="00CC4E3D" w:rsidRPr="00FD4CA8" w:rsidRDefault="00CC4E3D" w:rsidP="001C25D9">
      <w:pPr>
        <w:pStyle w:val="Heading3"/>
        <w:numPr>
          <w:ilvl w:val="2"/>
          <w:numId w:val="4"/>
        </w:numPr>
        <w:spacing w:before="200"/>
        <w:rPr>
          <w:szCs w:val="24"/>
        </w:rPr>
      </w:pPr>
      <w:bookmarkStart w:id="514" w:name="_Toc509402623"/>
      <w:bookmarkStart w:id="515" w:name="_Toc535498926"/>
      <w:bookmarkStart w:id="516" w:name="_Toc23841406"/>
      <w:r w:rsidRPr="00FD4CA8">
        <w:rPr>
          <w:szCs w:val="24"/>
        </w:rPr>
        <w:t>A third of education and training activity placements counted towards education outcome</w:t>
      </w:r>
      <w:bookmarkEnd w:id="514"/>
      <w:r w:rsidRPr="00FD4CA8">
        <w:rPr>
          <w:szCs w:val="24"/>
        </w:rPr>
        <w:t>s</w:t>
      </w:r>
      <w:bookmarkEnd w:id="515"/>
      <w:bookmarkEnd w:id="516"/>
    </w:p>
    <w:p w14:paraId="39BDED15" w14:textId="77777777" w:rsidR="00CC4E3D" w:rsidRDefault="00CC4E3D" w:rsidP="00CC4E3D">
      <w:pPr>
        <w:keepNext/>
      </w:pPr>
      <w:r>
        <w:t>Education and training activities available to TW participants are categorised into three types:</w:t>
      </w:r>
    </w:p>
    <w:p w14:paraId="463D0AD5" w14:textId="77777777" w:rsidR="00CC4E3D" w:rsidRDefault="00CC4E3D" w:rsidP="00E803E7">
      <w:pPr>
        <w:pStyle w:val="ListBullet"/>
      </w:pPr>
      <w:r>
        <w:t>accredited education and training</w:t>
      </w:r>
    </w:p>
    <w:p w14:paraId="2ED55CCE" w14:textId="77777777" w:rsidR="00CC4E3D" w:rsidRDefault="00CC4E3D" w:rsidP="00E803E7">
      <w:pPr>
        <w:pStyle w:val="ListBullet"/>
      </w:pPr>
      <w:r>
        <w:t>non-accredited education and training</w:t>
      </w:r>
    </w:p>
    <w:p w14:paraId="4A5612FE" w14:textId="77777777" w:rsidR="00CC4E3D" w:rsidRDefault="00CC4E3D" w:rsidP="00E803E7">
      <w:pPr>
        <w:pStyle w:val="ListBullet"/>
      </w:pPr>
      <w:r>
        <w:t>other government programs.</w:t>
      </w:r>
    </w:p>
    <w:p w14:paraId="6323710A" w14:textId="77777777" w:rsidR="00CC4E3D" w:rsidRDefault="00CC4E3D" w:rsidP="00CC4E3D">
      <w:r>
        <w:t xml:space="preserve">A full list of activities, including education and training activities that qualify for an education outcome, is in </w:t>
      </w:r>
      <w:r w:rsidRPr="0014462E">
        <w:rPr>
          <w:b/>
        </w:rPr>
        <w:t>Appendix E</w:t>
      </w:r>
      <w:r>
        <w:t xml:space="preserve">. </w:t>
      </w:r>
    </w:p>
    <w:p w14:paraId="61B47382" w14:textId="77777777" w:rsidR="00CC4E3D" w:rsidRPr="00474F26" w:rsidRDefault="00CC4E3D" w:rsidP="00CC4E3D">
      <w:r>
        <w:lastRenderedPageBreak/>
        <w:t xml:space="preserve">The figures in </w:t>
      </w:r>
      <w:r>
        <w:rPr>
          <w:b/>
        </w:rPr>
        <w:t>Table </w:t>
      </w:r>
      <w:r w:rsidRPr="003E2401">
        <w:rPr>
          <w:b/>
        </w:rPr>
        <w:t>5.</w:t>
      </w:r>
      <w:r>
        <w:rPr>
          <w:b/>
        </w:rPr>
        <w:t>2 </w:t>
      </w:r>
      <w:r>
        <w:t xml:space="preserve">reflect the total numbers of education and training </w:t>
      </w:r>
      <w:r w:rsidRPr="005C25FE">
        <w:t>activities</w:t>
      </w:r>
      <w:r>
        <w:t xml:space="preserve"> recorded during </w:t>
      </w:r>
      <w:r w:rsidRPr="00474F26">
        <w:t xml:space="preserve">the study period. However, many may not have been completed by the end of this period. </w:t>
      </w:r>
      <w:r>
        <w:t>S</w:t>
      </w:r>
      <w:r w:rsidRPr="00474F26">
        <w:t xml:space="preserve">ome participants undertook multiple activities, others may not have had their activities recorded, and a small number </w:t>
      </w:r>
      <w:r>
        <w:t>who</w:t>
      </w:r>
      <w:r w:rsidRPr="00474F26">
        <w:t xml:space="preserve"> exited TtW because they became full-time students </w:t>
      </w:r>
      <w:r>
        <w:t xml:space="preserve">may </w:t>
      </w:r>
      <w:r w:rsidRPr="00474F26">
        <w:t xml:space="preserve">still </w:t>
      </w:r>
      <w:r>
        <w:t xml:space="preserve">have been </w:t>
      </w:r>
      <w:r w:rsidRPr="00474F26">
        <w:t xml:space="preserve">tracking to an education outcome. </w:t>
      </w:r>
    </w:p>
    <w:p w14:paraId="62C02B20" w14:textId="77777777" w:rsidR="00CC4E3D" w:rsidRDefault="00CC4E3D" w:rsidP="00CC4E3D">
      <w:r w:rsidRPr="00474F26">
        <w:t xml:space="preserve">Education and training </w:t>
      </w:r>
      <w:r w:rsidRPr="006F203D">
        <w:t>accounted for 81 per cent of all activity placements during the study period. Almost 39 per cent (or 5646 participants) of all TtW participants were placed</w:t>
      </w:r>
      <w:r>
        <w:t xml:space="preserve"> in at least one </w:t>
      </w:r>
      <w:r w:rsidRPr="00610D95">
        <w:t xml:space="preserve">education </w:t>
      </w:r>
      <w:r>
        <w:t>or</w:t>
      </w:r>
      <w:r w:rsidRPr="00610D95">
        <w:t xml:space="preserve"> training </w:t>
      </w:r>
      <w:r>
        <w:t xml:space="preserve">activity. </w:t>
      </w:r>
      <w:r>
        <w:rPr>
          <w:b/>
        </w:rPr>
        <w:t>Table </w:t>
      </w:r>
      <w:r w:rsidRPr="008E1FC6">
        <w:rPr>
          <w:b/>
        </w:rPr>
        <w:t>5.</w:t>
      </w:r>
      <w:r>
        <w:rPr>
          <w:b/>
        </w:rPr>
        <w:t>2 </w:t>
      </w:r>
      <w:r>
        <w:t>shows that this group</w:t>
      </w:r>
      <w:r w:rsidRPr="002329CE">
        <w:t xml:space="preserve"> undertook a total of </w:t>
      </w:r>
      <w:r w:rsidRPr="005C25FE">
        <w:t>902</w:t>
      </w:r>
      <w:r>
        <w:t>7 </w:t>
      </w:r>
      <w:r w:rsidRPr="002329CE">
        <w:t>education or training activities in the study period</w:t>
      </w:r>
      <w:r>
        <w:t>,</w:t>
      </w:r>
      <w:r w:rsidRPr="002329CE">
        <w:t xml:space="preserve"> of which </w:t>
      </w:r>
      <w:r w:rsidRPr="005C25FE">
        <w:t>305</w:t>
      </w:r>
      <w:r>
        <w:t xml:space="preserve">3 (or 34 per cent) qualified for an education outcome. </w:t>
      </w:r>
    </w:p>
    <w:p w14:paraId="01434FDB" w14:textId="4F5D7B1B" w:rsidR="00CC4E3D" w:rsidRDefault="00CC4E3D" w:rsidP="00FD4CA8">
      <w:pPr>
        <w:pStyle w:val="Caption"/>
      </w:pPr>
      <w:bookmarkStart w:id="517" w:name="_Toc509402984"/>
      <w:bookmarkStart w:id="518" w:name="_Toc535511491"/>
      <w:bookmarkStart w:id="519" w:name="_Toc535511551"/>
      <w:bookmarkStart w:id="520" w:name="_Toc535512778"/>
      <w:bookmarkStart w:id="521" w:name="_Toc535513414"/>
      <w:bookmarkStart w:id="522" w:name="_Toc23841443"/>
      <w:r>
        <w:t xml:space="preserve">Table </w:t>
      </w:r>
      <w:r>
        <w:rPr>
          <w:noProof/>
        </w:rPr>
        <w:fldChar w:fldCharType="begin"/>
      </w:r>
      <w:r>
        <w:rPr>
          <w:noProof/>
        </w:rPr>
        <w:instrText xml:space="preserve"> STYLEREF 1 \s </w:instrText>
      </w:r>
      <w:r>
        <w:rPr>
          <w:noProof/>
        </w:rPr>
        <w:fldChar w:fldCharType="separate"/>
      </w:r>
      <w:r w:rsidR="00D84A2A">
        <w:rPr>
          <w:noProof/>
        </w:rPr>
        <w:t>5</w:t>
      </w:r>
      <w:r>
        <w:rPr>
          <w:noProof/>
        </w:rPr>
        <w:fldChar w:fldCharType="end"/>
      </w:r>
      <w:r>
        <w:t>.</w:t>
      </w:r>
      <w:r>
        <w:rPr>
          <w:noProof/>
        </w:rPr>
        <w:fldChar w:fldCharType="begin"/>
      </w:r>
      <w:r>
        <w:rPr>
          <w:noProof/>
        </w:rPr>
        <w:instrText xml:space="preserve"> SEQ Table \* ARABIC \s 1 </w:instrText>
      </w:r>
      <w:r>
        <w:rPr>
          <w:noProof/>
        </w:rPr>
        <w:fldChar w:fldCharType="separate"/>
      </w:r>
      <w:r w:rsidR="00D84A2A">
        <w:rPr>
          <w:noProof/>
        </w:rPr>
        <w:t>2</w:t>
      </w:r>
      <w:r>
        <w:rPr>
          <w:noProof/>
        </w:rPr>
        <w:fldChar w:fldCharType="end"/>
      </w:r>
      <w:r>
        <w:tab/>
        <w:t>Partic</w:t>
      </w:r>
      <w:r w:rsidRPr="00841D3F">
        <w:t>ipation in education</w:t>
      </w:r>
      <w:r>
        <w:t xml:space="preserve"> and training</w:t>
      </w:r>
      <w:r w:rsidRPr="00841D3F">
        <w:t xml:space="preserve"> </w:t>
      </w:r>
      <w:r>
        <w:t>in the</w:t>
      </w:r>
      <w:r w:rsidRPr="00841D3F">
        <w:t xml:space="preserve"> </w:t>
      </w:r>
      <w:r>
        <w:t xml:space="preserve">first </w:t>
      </w:r>
      <w:r w:rsidRPr="00841D3F">
        <w:t>18</w:t>
      </w:r>
      <w:r>
        <w:t>0 </w:t>
      </w:r>
      <w:r w:rsidRPr="00841D3F">
        <w:t>days after commencement</w:t>
      </w:r>
      <w:bookmarkEnd w:id="517"/>
      <w:bookmarkEnd w:id="518"/>
      <w:bookmarkEnd w:id="519"/>
      <w:bookmarkEnd w:id="520"/>
      <w:bookmarkEnd w:id="521"/>
      <w:bookmarkEnd w:id="522"/>
    </w:p>
    <w:tbl>
      <w:tblPr>
        <w:tblStyle w:val="JobsTable"/>
        <w:tblW w:w="8613" w:type="dxa"/>
        <w:tblBorders>
          <w:bottom w:val="none" w:sz="0" w:space="0" w:color="auto"/>
        </w:tblBorders>
        <w:tblLook w:val="04A0" w:firstRow="1" w:lastRow="0" w:firstColumn="1" w:lastColumn="0" w:noHBand="0" w:noVBand="1"/>
        <w:tblDescription w:val="Out of a total of 14,590 participants, 5646 engaged in education and training activities in the first 180 days. Of these, 3053 were education and training activities that qualified for an education outcome.&#10;Out of a total of 11,124 activity placements in the first 180 days, 9027 were education and training activities. Of these, 3053 were education and training activities that qualified for an education outcome.&#10;"/>
      </w:tblPr>
      <w:tblGrid>
        <w:gridCol w:w="3969"/>
        <w:gridCol w:w="1832"/>
        <w:gridCol w:w="2812"/>
      </w:tblGrid>
      <w:tr w:rsidR="00CC4E3D" w:rsidRPr="00307EFD" w14:paraId="1C64310D" w14:textId="77777777" w:rsidTr="005A1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9" w:type="dxa"/>
          </w:tcPr>
          <w:p w14:paraId="0E5B4740" w14:textId="41B377E4" w:rsidR="00CC4E3D" w:rsidRPr="00205968" w:rsidRDefault="007B46C9" w:rsidP="00307EFD">
            <w:pPr>
              <w:spacing w:before="60" w:after="60"/>
              <w:rPr>
                <w:b/>
                <w:bCs/>
                <w:sz w:val="20"/>
                <w:szCs w:val="20"/>
              </w:rPr>
            </w:pPr>
            <w:r>
              <w:rPr>
                <w:b/>
                <w:bCs/>
                <w:color w:val="0070C0"/>
                <w:sz w:val="20"/>
                <w:szCs w:val="20"/>
              </w:rPr>
              <w:t>—</w:t>
            </w:r>
          </w:p>
        </w:tc>
        <w:tc>
          <w:tcPr>
            <w:tcW w:w="0" w:type="auto"/>
            <w:vAlign w:val="center"/>
          </w:tcPr>
          <w:p w14:paraId="5EC908B0" w14:textId="77777777" w:rsidR="00CC4E3D" w:rsidRPr="00205968" w:rsidRDefault="00CC4E3D" w:rsidP="00307EFD">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205968">
              <w:rPr>
                <w:b/>
                <w:bCs/>
                <w:sz w:val="20"/>
                <w:szCs w:val="20"/>
              </w:rPr>
              <w:t>Participants</w:t>
            </w:r>
          </w:p>
        </w:tc>
        <w:tc>
          <w:tcPr>
            <w:tcW w:w="0" w:type="auto"/>
            <w:vAlign w:val="center"/>
          </w:tcPr>
          <w:p w14:paraId="615F343F" w14:textId="77777777" w:rsidR="00CC4E3D" w:rsidRPr="00205968" w:rsidRDefault="00CC4E3D" w:rsidP="00307EFD">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205968">
              <w:rPr>
                <w:b/>
                <w:bCs/>
                <w:sz w:val="20"/>
                <w:szCs w:val="20"/>
              </w:rPr>
              <w:t>Activity placements</w:t>
            </w:r>
          </w:p>
        </w:tc>
      </w:tr>
      <w:tr w:rsidR="00CC4E3D" w:rsidRPr="00307EFD" w14:paraId="0EA55F11" w14:textId="77777777" w:rsidTr="005A1B8D">
        <w:tc>
          <w:tcPr>
            <w:cnfStyle w:val="001000000000" w:firstRow="0" w:lastRow="0" w:firstColumn="1" w:lastColumn="0" w:oddVBand="0" w:evenVBand="0" w:oddHBand="0" w:evenHBand="0" w:firstRowFirstColumn="0" w:firstRowLastColumn="0" w:lastRowFirstColumn="0" w:lastRowLastColumn="0"/>
            <w:tcW w:w="3969" w:type="dxa"/>
          </w:tcPr>
          <w:p w14:paraId="4ABA833C" w14:textId="77777777" w:rsidR="00CC4E3D" w:rsidRPr="00205968" w:rsidRDefault="00CC4E3D" w:rsidP="00307EFD">
            <w:pPr>
              <w:spacing w:before="60" w:after="60"/>
              <w:rPr>
                <w:sz w:val="20"/>
                <w:szCs w:val="20"/>
              </w:rPr>
            </w:pPr>
            <w:r w:rsidRPr="00205968">
              <w:rPr>
                <w:sz w:val="20"/>
                <w:szCs w:val="20"/>
              </w:rPr>
              <w:t>Total</w:t>
            </w:r>
          </w:p>
        </w:tc>
        <w:tc>
          <w:tcPr>
            <w:tcW w:w="0" w:type="auto"/>
            <w:vAlign w:val="center"/>
          </w:tcPr>
          <w:p w14:paraId="70496185" w14:textId="77777777" w:rsidR="00CC4E3D" w:rsidRPr="00205968"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14,590</w:t>
            </w:r>
          </w:p>
        </w:tc>
        <w:tc>
          <w:tcPr>
            <w:tcW w:w="0" w:type="auto"/>
            <w:vAlign w:val="center"/>
          </w:tcPr>
          <w:p w14:paraId="4A2F2B85" w14:textId="77777777" w:rsidR="00CC4E3D" w:rsidRPr="00205968"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11,124</w:t>
            </w:r>
          </w:p>
        </w:tc>
      </w:tr>
      <w:tr w:rsidR="00CC4E3D" w:rsidRPr="00307EFD" w14:paraId="0F06A260" w14:textId="77777777" w:rsidTr="005A1B8D">
        <w:tc>
          <w:tcPr>
            <w:cnfStyle w:val="001000000000" w:firstRow="0" w:lastRow="0" w:firstColumn="1" w:lastColumn="0" w:oddVBand="0" w:evenVBand="0" w:oddHBand="0" w:evenHBand="0" w:firstRowFirstColumn="0" w:firstRowLastColumn="0" w:lastRowFirstColumn="0" w:lastRowLastColumn="0"/>
            <w:tcW w:w="3969" w:type="dxa"/>
            <w:shd w:val="clear" w:color="auto" w:fill="F2F2F2" w:themeFill="background2"/>
          </w:tcPr>
          <w:p w14:paraId="793CC92B" w14:textId="77777777" w:rsidR="00CC4E3D" w:rsidRPr="00205968" w:rsidRDefault="00CC4E3D" w:rsidP="00307EFD">
            <w:pPr>
              <w:spacing w:before="60" w:after="60"/>
              <w:rPr>
                <w:sz w:val="20"/>
                <w:szCs w:val="20"/>
              </w:rPr>
            </w:pPr>
            <w:r w:rsidRPr="00205968">
              <w:rPr>
                <w:sz w:val="20"/>
                <w:szCs w:val="20"/>
              </w:rPr>
              <w:t>Education and training activities</w:t>
            </w:r>
          </w:p>
        </w:tc>
        <w:tc>
          <w:tcPr>
            <w:tcW w:w="0" w:type="auto"/>
            <w:shd w:val="clear" w:color="auto" w:fill="F2F2F2" w:themeFill="background2"/>
            <w:vAlign w:val="center"/>
          </w:tcPr>
          <w:p w14:paraId="2BFE6717" w14:textId="77777777" w:rsidR="00CC4E3D" w:rsidRPr="00205968"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5,646</w:t>
            </w:r>
          </w:p>
        </w:tc>
        <w:tc>
          <w:tcPr>
            <w:tcW w:w="0" w:type="auto"/>
            <w:shd w:val="clear" w:color="auto" w:fill="F2F2F2" w:themeFill="background2"/>
            <w:vAlign w:val="center"/>
          </w:tcPr>
          <w:p w14:paraId="59C5A98E" w14:textId="77777777" w:rsidR="00CC4E3D" w:rsidRPr="00205968"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9,027</w:t>
            </w:r>
          </w:p>
        </w:tc>
      </w:tr>
      <w:tr w:rsidR="00CC4E3D" w:rsidRPr="00307EFD" w14:paraId="6937B552" w14:textId="77777777" w:rsidTr="005A1B8D">
        <w:tc>
          <w:tcPr>
            <w:cnfStyle w:val="001000000000" w:firstRow="0" w:lastRow="0" w:firstColumn="1" w:lastColumn="0" w:oddVBand="0" w:evenVBand="0" w:oddHBand="0" w:evenHBand="0" w:firstRowFirstColumn="0" w:firstRowLastColumn="0" w:lastRowFirstColumn="0" w:lastRowLastColumn="0"/>
            <w:tcW w:w="3969" w:type="dxa"/>
            <w:tcBorders>
              <w:bottom w:val="single" w:sz="4" w:space="0" w:color="auto"/>
            </w:tcBorders>
          </w:tcPr>
          <w:p w14:paraId="0C900509" w14:textId="77777777" w:rsidR="00CC4E3D" w:rsidRPr="00205968" w:rsidRDefault="00CC4E3D" w:rsidP="00307EFD">
            <w:pPr>
              <w:spacing w:before="60" w:after="60"/>
              <w:rPr>
                <w:sz w:val="20"/>
                <w:szCs w:val="20"/>
              </w:rPr>
            </w:pPr>
            <w:r w:rsidRPr="00205968">
              <w:rPr>
                <w:sz w:val="20"/>
                <w:szCs w:val="20"/>
              </w:rPr>
              <w:t>Education and training activities qualifying for education outcome</w:t>
            </w:r>
          </w:p>
        </w:tc>
        <w:tc>
          <w:tcPr>
            <w:tcW w:w="0" w:type="auto"/>
            <w:tcBorders>
              <w:bottom w:val="single" w:sz="4" w:space="0" w:color="auto"/>
            </w:tcBorders>
            <w:vAlign w:val="center"/>
          </w:tcPr>
          <w:p w14:paraId="0C1DDAAD" w14:textId="77777777" w:rsidR="00CC4E3D" w:rsidRPr="00205968"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3,053</w:t>
            </w:r>
          </w:p>
        </w:tc>
        <w:tc>
          <w:tcPr>
            <w:tcW w:w="0" w:type="auto"/>
            <w:tcBorders>
              <w:bottom w:val="single" w:sz="4" w:space="0" w:color="auto"/>
            </w:tcBorders>
            <w:vAlign w:val="center"/>
          </w:tcPr>
          <w:p w14:paraId="705ADF5C" w14:textId="77777777" w:rsidR="00CC4E3D" w:rsidRPr="00205968"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3,053</w:t>
            </w:r>
          </w:p>
        </w:tc>
      </w:tr>
    </w:tbl>
    <w:p w14:paraId="1933F005" w14:textId="77777777" w:rsidR="00CC4E3D" w:rsidRPr="00700376" w:rsidRDefault="00CC4E3D" w:rsidP="00CC4E3D">
      <w:pPr>
        <w:pStyle w:val="Note"/>
      </w:pPr>
      <w:r w:rsidRPr="00700376">
        <w:t>More detailed information on education</w:t>
      </w:r>
      <w:r>
        <w:t xml:space="preserve"> and </w:t>
      </w:r>
      <w:r w:rsidRPr="00700376">
        <w:t>training and other activit</w:t>
      </w:r>
      <w:r>
        <w:t>ies</w:t>
      </w:r>
      <w:r w:rsidRPr="00700376">
        <w:t xml:space="preserve"> is </w:t>
      </w:r>
      <w:r w:rsidRPr="00365A37">
        <w:t>in</w:t>
      </w:r>
      <w:r w:rsidRPr="00700376">
        <w:t xml:space="preserve"> </w:t>
      </w:r>
      <w:r w:rsidRPr="005A1B8D">
        <w:rPr>
          <w:b/>
        </w:rPr>
        <w:t>Appendix E</w:t>
      </w:r>
      <w:r w:rsidRPr="00700376">
        <w:rPr>
          <w:i/>
        </w:rPr>
        <w:t>.</w:t>
      </w:r>
    </w:p>
    <w:p w14:paraId="788BB280" w14:textId="3EF9F56F" w:rsidR="00CC4E3D" w:rsidRPr="005A1B8D" w:rsidRDefault="00CC4E3D" w:rsidP="00CC4E3D">
      <w:pPr>
        <w:pStyle w:val="Source"/>
        <w:rPr>
          <w:b/>
        </w:rPr>
      </w:pPr>
      <w:r w:rsidRPr="005A1B8D">
        <w:rPr>
          <w:b/>
        </w:rPr>
        <w:t xml:space="preserve">Source: Department of </w:t>
      </w:r>
      <w:r w:rsidR="00C2653A" w:rsidRPr="005A1B8D">
        <w:rPr>
          <w:b/>
        </w:rPr>
        <w:t>Employment, Skills, Small and Family</w:t>
      </w:r>
      <w:r w:rsidRPr="005A1B8D">
        <w:rPr>
          <w:b/>
        </w:rPr>
        <w:t xml:space="preserve"> Business administrative data — TtW inflow population.</w:t>
      </w:r>
    </w:p>
    <w:p w14:paraId="224BCBAB" w14:textId="77777777" w:rsidR="00CC4E3D" w:rsidRDefault="00CC4E3D" w:rsidP="00CC4E3D">
      <w:pPr>
        <w:rPr>
          <w:rFonts w:ascii="Calibri" w:hAnsi="Calibri"/>
        </w:rPr>
      </w:pPr>
      <w:r>
        <w:t xml:space="preserve">A further </w:t>
      </w:r>
      <w:r w:rsidRPr="005C25FE">
        <w:t>597</w:t>
      </w:r>
      <w:r>
        <w:t>4 </w:t>
      </w:r>
      <w:r w:rsidRPr="002329CE">
        <w:t xml:space="preserve">education or training activity placements did not qualify for an </w:t>
      </w:r>
      <w:r>
        <w:t>e</w:t>
      </w:r>
      <w:r w:rsidRPr="002329CE">
        <w:t xml:space="preserve">ducation </w:t>
      </w:r>
      <w:r>
        <w:t>o</w:t>
      </w:r>
      <w:r w:rsidRPr="002329CE">
        <w:t>utcome</w:t>
      </w:r>
      <w:r>
        <w:t>. These comprised</w:t>
      </w:r>
      <w:r w:rsidRPr="002329CE">
        <w:t xml:space="preserve"> </w:t>
      </w:r>
      <w:r w:rsidRPr="005C25FE">
        <w:t>490</w:t>
      </w:r>
      <w:r>
        <w:t>3 </w:t>
      </w:r>
      <w:r w:rsidRPr="002329CE">
        <w:t xml:space="preserve">non-accredited education and training </w:t>
      </w:r>
      <w:r>
        <w:t>placements</w:t>
      </w:r>
      <w:r w:rsidRPr="002329CE">
        <w:t xml:space="preserve"> primarily related to employability skills and pre-employment training</w:t>
      </w:r>
      <w:r>
        <w:t>,</w:t>
      </w:r>
      <w:r w:rsidRPr="002329CE">
        <w:t xml:space="preserve"> and </w:t>
      </w:r>
      <w:r w:rsidRPr="005C25FE">
        <w:rPr>
          <w:rFonts w:ascii="Calibri" w:hAnsi="Calibri"/>
        </w:rPr>
        <w:t>107</w:t>
      </w:r>
      <w:r>
        <w:rPr>
          <w:rFonts w:ascii="Calibri" w:hAnsi="Calibri"/>
        </w:rPr>
        <w:t>1 placements in</w:t>
      </w:r>
      <w:r w:rsidRPr="00FC0C23">
        <w:rPr>
          <w:rFonts w:ascii="Calibri" w:hAnsi="Calibri"/>
        </w:rPr>
        <w:t xml:space="preserve"> </w:t>
      </w:r>
      <w:r>
        <w:rPr>
          <w:rFonts w:ascii="Calibri" w:hAnsi="Calibri"/>
        </w:rPr>
        <w:t>other government education and training programs and other accredited education and training courses.</w:t>
      </w:r>
      <w:r>
        <w:t xml:space="preserve"> </w:t>
      </w:r>
      <w:r>
        <w:rPr>
          <w:rFonts w:ascii="Calibri" w:hAnsi="Calibri"/>
        </w:rPr>
        <w:t xml:space="preserve">The latter included, for example, Certificate I and Certificate II courses that participants may have needed to complete before enrolling in courses that qualify for an education outcome (see </w:t>
      </w:r>
      <w:r>
        <w:rPr>
          <w:rFonts w:ascii="Calibri" w:hAnsi="Calibri"/>
          <w:b/>
        </w:rPr>
        <w:t>Appendix E</w:t>
      </w:r>
      <w:r>
        <w:rPr>
          <w:rFonts w:ascii="Calibri" w:hAnsi="Calibri"/>
        </w:rPr>
        <w:t xml:space="preserve"> for details on courses qualifying for an education outcome). </w:t>
      </w:r>
      <w:r>
        <w:t>Other non</w:t>
      </w:r>
      <w:r>
        <w:noBreakHyphen/>
        <w:t>qualifying education and training activities may have been undertaken, combined with part</w:t>
      </w:r>
      <w:r>
        <w:noBreakHyphen/>
        <w:t xml:space="preserve">time or casual work, as a pathway to a job placement. </w:t>
      </w:r>
    </w:p>
    <w:p w14:paraId="50D119A4" w14:textId="3D177067" w:rsidR="00CC4E3D" w:rsidRDefault="00CC4E3D" w:rsidP="00FD4CA8">
      <w:pPr>
        <w:pStyle w:val="Caption"/>
      </w:pPr>
      <w:bookmarkStart w:id="523" w:name="_Toc509402470"/>
      <w:bookmarkStart w:id="524" w:name="_Toc514172385"/>
      <w:bookmarkStart w:id="525" w:name="_Toc535511492"/>
      <w:bookmarkStart w:id="526" w:name="_Toc535511552"/>
      <w:bookmarkStart w:id="527" w:name="_Toc535512779"/>
      <w:bookmarkStart w:id="528" w:name="_Toc535513415"/>
      <w:bookmarkStart w:id="529" w:name="_Toc23841489"/>
      <w:r>
        <w:lastRenderedPageBreak/>
        <w:t xml:space="preserve">Figure </w:t>
      </w:r>
      <w:r>
        <w:rPr>
          <w:noProof/>
        </w:rPr>
        <w:fldChar w:fldCharType="begin"/>
      </w:r>
      <w:r>
        <w:rPr>
          <w:noProof/>
        </w:rPr>
        <w:instrText xml:space="preserve"> STYLEREF 1 \s </w:instrText>
      </w:r>
      <w:r>
        <w:rPr>
          <w:noProof/>
        </w:rPr>
        <w:fldChar w:fldCharType="separate"/>
      </w:r>
      <w:r w:rsidR="00D84A2A">
        <w:rPr>
          <w:noProof/>
        </w:rPr>
        <w:t>5</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3</w:t>
      </w:r>
      <w:r>
        <w:rPr>
          <w:noProof/>
        </w:rPr>
        <w:fldChar w:fldCharType="end"/>
      </w:r>
      <w:r>
        <w:tab/>
        <w:t>Percentages of e</w:t>
      </w:r>
      <w:r w:rsidRPr="00610D95">
        <w:t>ducation and</w:t>
      </w:r>
      <w:r>
        <w:t xml:space="preserve"> training</w:t>
      </w:r>
      <w:r w:rsidRPr="00610D95">
        <w:t xml:space="preserve"> </w:t>
      </w:r>
      <w:r>
        <w:t xml:space="preserve">placements that qualified for an education outcome, by </w:t>
      </w:r>
      <w:bookmarkEnd w:id="523"/>
      <w:r>
        <w:t>activity type</w:t>
      </w:r>
      <w:bookmarkEnd w:id="524"/>
      <w:bookmarkEnd w:id="525"/>
      <w:bookmarkEnd w:id="526"/>
      <w:bookmarkEnd w:id="527"/>
      <w:bookmarkEnd w:id="528"/>
      <w:bookmarkEnd w:id="529"/>
    </w:p>
    <w:p w14:paraId="00D17D1A" w14:textId="77777777" w:rsidR="00CC4E3D" w:rsidRPr="00776499" w:rsidRDefault="00CC4E3D" w:rsidP="00CC4E3D">
      <w:r w:rsidRPr="00776499">
        <w:rPr>
          <w:noProof/>
          <w:lang w:eastAsia="en-AU"/>
        </w:rPr>
        <w:drawing>
          <wp:inline distT="0" distB="0" distL="0" distR="0" wp14:anchorId="5460CAD1" wp14:editId="205184C7">
            <wp:extent cx="4582800" cy="3042000"/>
            <wp:effectExtent l="0" t="0" r="8255" b="6350"/>
            <wp:docPr id="21" name="Picture 21" descr="Bar chart showing the percentage of each education and training placement subtype that qualified for an outcome.&#10;This figure breaks down by subtype the education and training placements that qualified for education outcomes. The subtypes and their percentage shares of the total number of placements were:&#10;Certificate III: 49.7%&#10;Skills for Education and Employment: 8.9%&#10;Secondary school: 5.2%&#10;Diploma: 5.0%&#10;Certificate IV: 4.2%&#10;Adult Migrant English Programme: 0.5%&#10;Certificate III — LLN: 0.3%&#10;Bachelor degree: 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82800" cy="3042000"/>
                    </a:xfrm>
                    <a:prstGeom prst="rect">
                      <a:avLst/>
                    </a:prstGeom>
                    <a:noFill/>
                    <a:ln>
                      <a:noFill/>
                    </a:ln>
                  </pic:spPr>
                </pic:pic>
              </a:graphicData>
            </a:graphic>
          </wp:inline>
        </w:drawing>
      </w:r>
    </w:p>
    <w:p w14:paraId="7FB8FDB9" w14:textId="1C3D4480" w:rsidR="00CC4E3D" w:rsidRPr="005A1B8D" w:rsidRDefault="00CC4E3D" w:rsidP="00CC4E3D">
      <w:pPr>
        <w:pStyle w:val="Source"/>
        <w:rPr>
          <w:b/>
          <w:lang w:eastAsia="en-AU"/>
        </w:rPr>
      </w:pPr>
      <w:r w:rsidRPr="005A1B8D">
        <w:rPr>
          <w:b/>
        </w:rPr>
        <w:t xml:space="preserve">Source: Department of </w:t>
      </w:r>
      <w:r w:rsidR="00C2653A" w:rsidRPr="005A1B8D">
        <w:rPr>
          <w:b/>
        </w:rPr>
        <w:t>Employment, Skills, Small and Family</w:t>
      </w:r>
      <w:r w:rsidRPr="005A1B8D">
        <w:rPr>
          <w:b/>
        </w:rPr>
        <w:t xml:space="preserve"> Business administrative data — TtW inflow population.</w:t>
      </w:r>
    </w:p>
    <w:p w14:paraId="76EA93A6" w14:textId="77777777" w:rsidR="00CC4E3D" w:rsidRDefault="00CC4E3D" w:rsidP="00CC4E3D">
      <w:r>
        <w:rPr>
          <w:b/>
        </w:rPr>
        <w:t>Figure </w:t>
      </w:r>
      <w:r w:rsidRPr="003C12A9">
        <w:rPr>
          <w:b/>
        </w:rPr>
        <w:t>5.</w:t>
      </w:r>
      <w:r>
        <w:rPr>
          <w:b/>
        </w:rPr>
        <w:t>3 </w:t>
      </w:r>
      <w:r>
        <w:t>shows the breakdown of subtypes of accredited e</w:t>
      </w:r>
      <w:r w:rsidRPr="00610D95">
        <w:t>ducation and trainin</w:t>
      </w:r>
      <w:r>
        <w:t>g and other government program activity placements</w:t>
      </w:r>
      <w:r w:rsidDel="00E47333">
        <w:t xml:space="preserve"> </w:t>
      </w:r>
      <w:r>
        <w:t xml:space="preserve">during the </w:t>
      </w:r>
      <w:r w:rsidRPr="00474F26">
        <w:t>study period that</w:t>
      </w:r>
      <w:r>
        <w:t xml:space="preserve"> qualified for an education outcome. Almost half of these placements were Certificate III qualifications.</w:t>
      </w:r>
    </w:p>
    <w:p w14:paraId="202F2CD6" w14:textId="77777777" w:rsidR="00CC4E3D" w:rsidRDefault="00CC4E3D" w:rsidP="00CC4E3D">
      <w:r>
        <w:t xml:space="preserve">An analysis of the education outcomes (participation and attainment) for the matched TtW and jobactive populations during the study period was undertaken. The findings show that participants in the jobactive comparison group achieved around five per cent of the number of educational outcomes (participation and attainment) achieved by TtW over the period. This indicates that TtW providers focused on engaging young people, who needed or wanted further education and training, in courses as soon as possible after they commenced and supporting them to achieve an outcome. </w:t>
      </w:r>
    </w:p>
    <w:p w14:paraId="4CD7C603" w14:textId="77777777" w:rsidR="00CC4E3D" w:rsidRDefault="00CC4E3D" w:rsidP="00CC4E3D">
      <w:r>
        <w:t xml:space="preserve">Based on the types of activities undertaken, the distribution of outcomes between education and employment was expected to change when the TtW service had been operating for longer, giving providers more time to achieve the longer term educational outcomes. Approximately 54 per cent of participants with at least one confirmed placement in an education or training activity in the study period participated in one that qualified for an education outcome. </w:t>
      </w:r>
    </w:p>
    <w:p w14:paraId="0CD44ABE" w14:textId="77777777" w:rsidR="00CC4E3D" w:rsidRPr="00FD4CA8" w:rsidRDefault="00CC4E3D" w:rsidP="001C25D9">
      <w:pPr>
        <w:pStyle w:val="Heading3"/>
        <w:numPr>
          <w:ilvl w:val="2"/>
          <w:numId w:val="4"/>
        </w:numPr>
        <w:spacing w:before="200"/>
        <w:rPr>
          <w:szCs w:val="24"/>
        </w:rPr>
      </w:pPr>
      <w:bookmarkStart w:id="530" w:name="_Toc535498927"/>
      <w:bookmarkStart w:id="531" w:name="_Toc23841407"/>
      <w:r w:rsidRPr="00FD4CA8">
        <w:rPr>
          <w:szCs w:val="24"/>
        </w:rPr>
        <w:t>There were relatively few hybrid outcomes</w:t>
      </w:r>
      <w:bookmarkEnd w:id="530"/>
      <w:bookmarkEnd w:id="531"/>
    </w:p>
    <w:p w14:paraId="474412D8" w14:textId="77777777" w:rsidR="00CC4E3D" w:rsidRDefault="00CC4E3D" w:rsidP="00CC4E3D">
      <w:r>
        <w:t xml:space="preserve">The low rates of </w:t>
      </w:r>
      <w:r w:rsidRPr="006F203D">
        <w:t xml:space="preserve">hybrid outcomes (see </w:t>
      </w:r>
      <w:r w:rsidRPr="006F203D">
        <w:rPr>
          <w:b/>
        </w:rPr>
        <w:t>Table 5.1</w:t>
      </w:r>
      <w:r w:rsidRPr="006F203D">
        <w:t>) over the first year of the TtW service may reflect the difficulty associated with combining work and study for an average of 25 hours per week for the 12 </w:t>
      </w:r>
      <w:r>
        <w:t xml:space="preserve">weeks </w:t>
      </w:r>
      <w:r w:rsidRPr="006F203D">
        <w:t xml:space="preserve">and </w:t>
      </w:r>
      <w:r>
        <w:t xml:space="preserve">26 weeks </w:t>
      </w:r>
      <w:r w:rsidRPr="006F203D">
        <w:t>consecutive</w:t>
      </w:r>
      <w:r>
        <w:t xml:space="preserve">ly to claim this type of outcome. Many young people who combined work and study often had breaks in their work (possibly because of exams or assignments or irregular patterns associated with casual work). </w:t>
      </w:r>
    </w:p>
    <w:p w14:paraId="1993CEAC" w14:textId="77777777" w:rsidR="00CC4E3D" w:rsidRDefault="00CC4E3D" w:rsidP="00CC4E3D">
      <w:r>
        <w:lastRenderedPageBreak/>
        <w:t>An employment outcome, on the other hand, could comprise multiple periods of at least four weeks when the participant’s basic rate of income support was reduced by at least 60 per cent.</w:t>
      </w:r>
      <w:r>
        <w:rPr>
          <w:vertAlign w:val="superscript"/>
        </w:rPr>
        <w:footnoteReference w:id="32"/>
      </w:r>
      <w:r>
        <w:t xml:space="preserve"> The 12 or 26 weeks of work did not have to be consecutive, as long as the last seven fortnights of a 26 week outcome are consecutive.</w:t>
      </w:r>
    </w:p>
    <w:p w14:paraId="566C6D08" w14:textId="77777777" w:rsidR="00CC4E3D" w:rsidRDefault="00CC4E3D" w:rsidP="00CC4E3D">
      <w:r>
        <w:t>While apprenticeships and traineeships were eligible for an employment outcome, providers initially highlighted the difficulties young people in these positions had in earning enough to achieve the 60 per cent reduction in income support required for an employment outcome. From 1 July 2017, providers who placed young people in apprenticeships and traineeships combining 25 hours of education and employment each week over 12 consecutive weeks were eligible for a hybrid outcome. This change is expected to lead to an increase in this category. In the qualitative research, some participants in the focus groups expressed resistance to further education and a preference to focus instead on getting a job and earning money. This factor may limit the number of hybrid outcomes.</w:t>
      </w:r>
      <w:r w:rsidDel="00823D71">
        <w:t xml:space="preserve"> </w:t>
      </w:r>
      <w:bookmarkStart w:id="532" w:name="_Toc509402629"/>
    </w:p>
    <w:p w14:paraId="189FAFDD" w14:textId="77777777" w:rsidR="00CC4E3D" w:rsidRPr="001F4939" w:rsidRDefault="00CC4E3D" w:rsidP="001F4939">
      <w:pPr>
        <w:pStyle w:val="Heading2"/>
        <w:numPr>
          <w:ilvl w:val="1"/>
          <w:numId w:val="4"/>
        </w:numPr>
      </w:pPr>
      <w:bookmarkStart w:id="533" w:name="_Toc535498928"/>
      <w:bookmarkStart w:id="534" w:name="_Toc23841408"/>
      <w:r w:rsidRPr="001F4939">
        <w:t>Labour market and education outcome measures</w:t>
      </w:r>
      <w:bookmarkEnd w:id="532"/>
      <w:bookmarkEnd w:id="533"/>
      <w:bookmarkEnd w:id="534"/>
    </w:p>
    <w:p w14:paraId="412A709A" w14:textId="77777777" w:rsidR="00CC4E3D" w:rsidRDefault="00CC4E3D" w:rsidP="00CC4E3D">
      <w:pPr>
        <w:rPr>
          <w:rFonts w:ascii="Calibri" w:hAnsi="Calibri"/>
        </w:rPr>
      </w:pPr>
      <w:r>
        <w:rPr>
          <w:rFonts w:cstheme="minorHAnsi"/>
        </w:rPr>
        <w:t>While TtW</w:t>
      </w:r>
      <w:r w:rsidRPr="004D13C2">
        <w:rPr>
          <w:rFonts w:cstheme="minorHAnsi"/>
        </w:rPr>
        <w:t xml:space="preserve"> is a targeted</w:t>
      </w:r>
      <w:r>
        <w:rPr>
          <w:rFonts w:cstheme="minorHAnsi"/>
        </w:rPr>
        <w:t xml:space="preserve"> service that includes</w:t>
      </w:r>
      <w:r w:rsidRPr="004D13C2">
        <w:rPr>
          <w:rFonts w:cstheme="minorHAnsi"/>
        </w:rPr>
        <w:t xml:space="preserve"> education and training</w:t>
      </w:r>
      <w:r>
        <w:rPr>
          <w:rFonts w:cstheme="minorHAnsi"/>
        </w:rPr>
        <w:t>,</w:t>
      </w:r>
      <w:r w:rsidRPr="004D13C2">
        <w:rPr>
          <w:rFonts w:cstheme="minorHAnsi"/>
        </w:rPr>
        <w:t xml:space="preserve"> personal development</w:t>
      </w:r>
      <w:r>
        <w:rPr>
          <w:rFonts w:cstheme="minorHAnsi"/>
        </w:rPr>
        <w:t xml:space="preserve">, improvement of </w:t>
      </w:r>
      <w:r w:rsidRPr="004D13C2">
        <w:rPr>
          <w:rFonts w:cstheme="minorHAnsi"/>
        </w:rPr>
        <w:t>soft skills</w:t>
      </w:r>
      <w:r>
        <w:rPr>
          <w:rFonts w:cstheme="minorHAnsi"/>
        </w:rPr>
        <w:t>,</w:t>
      </w:r>
      <w:r w:rsidRPr="004D13C2">
        <w:rPr>
          <w:rFonts w:cstheme="minorHAnsi"/>
        </w:rPr>
        <w:t xml:space="preserve"> </w:t>
      </w:r>
      <w:r>
        <w:rPr>
          <w:rFonts w:cstheme="minorHAnsi"/>
        </w:rPr>
        <w:t xml:space="preserve">and </w:t>
      </w:r>
      <w:r w:rsidRPr="004D13C2">
        <w:rPr>
          <w:rFonts w:cstheme="minorHAnsi"/>
        </w:rPr>
        <w:t>work or work-like activities</w:t>
      </w:r>
      <w:r>
        <w:rPr>
          <w:rFonts w:ascii="Calibri" w:hAnsi="Calibri"/>
        </w:rPr>
        <w:t xml:space="preserve"> designed to increase employability, employment outcomes and earnings are the ultimate indicators of participants’ successful transition to work. If participants do not find work, do not move off income support, or are not tracking towards an employment, hybrid or education outcome at the end of 12 months in TtW, they will be referred to jobactive if eligible. </w:t>
      </w:r>
    </w:p>
    <w:p w14:paraId="142E8A15" w14:textId="77777777" w:rsidR="00CC4E3D" w:rsidRDefault="00CC4E3D" w:rsidP="00CC4E3D">
      <w:pPr>
        <w:rPr>
          <w:rFonts w:ascii="Calibri" w:hAnsi="Calibri"/>
        </w:rPr>
      </w:pPr>
      <w:r>
        <w:rPr>
          <w:rFonts w:ascii="Calibri" w:hAnsi="Calibri"/>
        </w:rPr>
        <w:t xml:space="preserve">The evaluation used a range of indicators based on administrative data to identify whether TtW participants were engaged in paid employment and to provide a comparison with jobactive. Two composite measures, comprising multiple indicators, were constructed to capture the various approaches used in TtW to transition participants towards employment. </w:t>
      </w:r>
    </w:p>
    <w:p w14:paraId="5873FBB4" w14:textId="77777777" w:rsidR="00CC4E3D" w:rsidRDefault="00CC4E3D" w:rsidP="00CC4E3D">
      <w:pPr>
        <w:keepNext/>
      </w:pPr>
      <w:r>
        <w:t xml:space="preserve">The three main measures discussed are: </w:t>
      </w:r>
    </w:p>
    <w:p w14:paraId="748C0B71" w14:textId="77777777" w:rsidR="00CC4E3D" w:rsidRDefault="00CC4E3D" w:rsidP="00E803E7">
      <w:pPr>
        <w:pStyle w:val="ListBullet"/>
      </w:pPr>
      <w:r>
        <w:t>a simple primary measure of the proportion of participants reporting earnings to DHS</w:t>
      </w:r>
    </w:p>
    <w:p w14:paraId="3B9FF333" w14:textId="77777777" w:rsidR="00CC4E3D" w:rsidRDefault="00CC4E3D" w:rsidP="00E803E7">
      <w:pPr>
        <w:pStyle w:val="ListBullet"/>
      </w:pPr>
      <w:r>
        <w:t xml:space="preserve">a composite measure of labour market attachment </w:t>
      </w:r>
    </w:p>
    <w:p w14:paraId="0241BCD4" w14:textId="77777777" w:rsidR="00CC4E3D" w:rsidRDefault="00CC4E3D" w:rsidP="00E803E7">
      <w:pPr>
        <w:pStyle w:val="ListBullet"/>
      </w:pPr>
      <w:r>
        <w:t xml:space="preserve">a composite measure, the positive outcome measure, incorporating an education outcome indicator with labour market attachment. </w:t>
      </w:r>
    </w:p>
    <w:p w14:paraId="2EF5C791" w14:textId="77777777" w:rsidR="00CC4E3D" w:rsidRDefault="00CC4E3D" w:rsidP="00CC4E3D">
      <w:r w:rsidRPr="00BD695C">
        <w:t>Labour market attachment is a widely used term with few formal definitions. For this report</w:t>
      </w:r>
      <w:r>
        <w:t>,</w:t>
      </w:r>
      <w:r w:rsidRPr="00BD695C">
        <w:t xml:space="preserve"> labour market attachment means </w:t>
      </w:r>
      <w:r>
        <w:t>‘</w:t>
      </w:r>
      <w:r w:rsidRPr="00BD695C">
        <w:t>working or providing services in the labour market for remuneration, on a full-time, part-time, seasonal or temporary basis, either as an employee or in self-employment</w:t>
      </w:r>
      <w:r>
        <w:t>’.</w:t>
      </w:r>
      <w:r>
        <w:rPr>
          <w:rStyle w:val="EndnoteReference"/>
        </w:rPr>
        <w:endnoteReference w:id="38"/>
      </w:r>
      <w:r w:rsidRPr="00DA7793" w:rsidDel="00E85446">
        <w:rPr>
          <w:sz w:val="18"/>
          <w:vertAlign w:val="superscript"/>
        </w:rPr>
        <w:t xml:space="preserve"> </w:t>
      </w:r>
    </w:p>
    <w:p w14:paraId="25F5C226" w14:textId="77777777" w:rsidR="00CC4E3D" w:rsidRPr="003C74BD" w:rsidRDefault="00CC4E3D" w:rsidP="00CC4E3D">
      <w:r>
        <w:lastRenderedPageBreak/>
        <w:t xml:space="preserve">Comparisons with jobactive are made using the matched inflow sample described in </w:t>
      </w:r>
      <w:r w:rsidRPr="00E85446">
        <w:rPr>
          <w:b/>
        </w:rPr>
        <w:t>Section 2.3.3</w:t>
      </w:r>
      <w:r>
        <w:t>.</w:t>
      </w:r>
      <w:r w:rsidRPr="004D5D2D">
        <w:t xml:space="preserve"> </w:t>
      </w:r>
      <w:r>
        <w:t xml:space="preserve">The summarised results are in </w:t>
      </w:r>
      <w:r>
        <w:rPr>
          <w:b/>
        </w:rPr>
        <w:t>Table </w:t>
      </w:r>
      <w:r w:rsidRPr="004D5D2D">
        <w:rPr>
          <w:b/>
        </w:rPr>
        <w:t>5.</w:t>
      </w:r>
      <w:r>
        <w:rPr>
          <w:b/>
        </w:rPr>
        <w:t>3</w:t>
      </w:r>
      <w:r>
        <w:t xml:space="preserve">. Further details regarding other indicators and analyses are in </w:t>
      </w:r>
      <w:r>
        <w:rPr>
          <w:b/>
        </w:rPr>
        <w:t xml:space="preserve">Appendix F </w:t>
      </w:r>
      <w:r w:rsidRPr="005A1B8D">
        <w:t>and</w:t>
      </w:r>
      <w:r>
        <w:rPr>
          <w:b/>
        </w:rPr>
        <w:t xml:space="preserve"> Appendix H</w:t>
      </w:r>
      <w:r w:rsidRPr="005C25FE">
        <w:t>.</w:t>
      </w:r>
      <w:r>
        <w:rPr>
          <w:b/>
        </w:rPr>
        <w:t xml:space="preserve"> </w:t>
      </w:r>
    </w:p>
    <w:p w14:paraId="6025E652" w14:textId="112BB395" w:rsidR="00CC4E3D" w:rsidRPr="004D5D2D" w:rsidRDefault="00CC4E3D" w:rsidP="00FD4CA8">
      <w:pPr>
        <w:pStyle w:val="Caption"/>
      </w:pPr>
      <w:bookmarkStart w:id="535" w:name="_Toc509402986"/>
      <w:bookmarkStart w:id="536" w:name="_Toc535511493"/>
      <w:bookmarkStart w:id="537" w:name="_Toc535511553"/>
      <w:bookmarkStart w:id="538" w:name="_Toc535512780"/>
      <w:bookmarkStart w:id="539" w:name="_Toc535513416"/>
      <w:bookmarkStart w:id="540" w:name="_Toc23841444"/>
      <w:r>
        <w:t xml:space="preserve">Table </w:t>
      </w:r>
      <w:r>
        <w:rPr>
          <w:noProof/>
        </w:rPr>
        <w:fldChar w:fldCharType="begin"/>
      </w:r>
      <w:r>
        <w:rPr>
          <w:noProof/>
        </w:rPr>
        <w:instrText xml:space="preserve"> STYLEREF 1 \s </w:instrText>
      </w:r>
      <w:r>
        <w:rPr>
          <w:noProof/>
        </w:rPr>
        <w:fldChar w:fldCharType="separate"/>
      </w:r>
      <w:r w:rsidR="00D84A2A">
        <w:rPr>
          <w:noProof/>
        </w:rPr>
        <w:t>5</w:t>
      </w:r>
      <w:r>
        <w:rPr>
          <w:noProof/>
        </w:rPr>
        <w:fldChar w:fldCharType="end"/>
      </w:r>
      <w:r>
        <w:t>.</w:t>
      </w:r>
      <w:r>
        <w:rPr>
          <w:noProof/>
        </w:rPr>
        <w:fldChar w:fldCharType="begin"/>
      </w:r>
      <w:r>
        <w:rPr>
          <w:noProof/>
        </w:rPr>
        <w:instrText xml:space="preserve"> SEQ Table \* ARABIC \s 1 </w:instrText>
      </w:r>
      <w:r>
        <w:rPr>
          <w:noProof/>
        </w:rPr>
        <w:fldChar w:fldCharType="separate"/>
      </w:r>
      <w:r w:rsidR="00D84A2A">
        <w:rPr>
          <w:noProof/>
        </w:rPr>
        <w:t>3</w:t>
      </w:r>
      <w:r>
        <w:rPr>
          <w:noProof/>
        </w:rPr>
        <w:fldChar w:fldCharType="end"/>
      </w:r>
      <w:r>
        <w:tab/>
        <w:t>O</w:t>
      </w:r>
      <w:r w:rsidRPr="00B71A86">
        <w:t>utcome</w:t>
      </w:r>
      <w:r>
        <w:t xml:space="preserve"> measures</w:t>
      </w:r>
      <w:r w:rsidRPr="00B71A86">
        <w:t xml:space="preserve"> </w:t>
      </w:r>
      <w:bookmarkEnd w:id="535"/>
      <w:r>
        <w:t>achieved, by month of participation, comparing TtW and jobactive</w:t>
      </w:r>
      <w:bookmarkEnd w:id="536"/>
      <w:bookmarkEnd w:id="537"/>
      <w:bookmarkEnd w:id="538"/>
      <w:bookmarkEnd w:id="539"/>
      <w:bookmarkEnd w:id="540"/>
      <w:r>
        <w:t xml:space="preserve"> </w:t>
      </w:r>
    </w:p>
    <w:tbl>
      <w:tblPr>
        <w:tblStyle w:val="JobsTable"/>
        <w:tblW w:w="8613" w:type="dxa"/>
        <w:tblBorders>
          <w:bottom w:val="none" w:sz="0" w:space="0" w:color="auto"/>
        </w:tblBorders>
        <w:tblLayout w:type="fixed"/>
        <w:tblLook w:val="04A0" w:firstRow="1" w:lastRow="0" w:firstColumn="1" w:lastColumn="0" w:noHBand="0" w:noVBand="1"/>
        <w:tblDescription w:val="The percentages who reported earnings to DHS were: &#10;in month 1 TtW 13.73%, and jobactive 14.58%&#10;in month 2 TtW 16.95%, and jobactive 17.47%&#10;in month 3 TtW 19.16%, and jobactive 19.40%&#10;in month 4 TtW 20.90%, and jobactive 21.11%&#10;in month 5 TtW 22.05%, and jobactive 22.24%&#10;in month 6 TtW 22.93%, and jobactive 23.18%&#10;The percentages who had labour market attachment were:&#10;in month 1 TtW 18.76%, and jobactive 18.36%&#10;in month 2 TtW 22.36%, and jobactive 20.67%&#10;in month 3 TtW 25.61%, and jobactive 22.89%&#10;in month 4 TtW 28.47%, and jobactive 24.85%&#10;in month 5 TtW 30.95%, and jobactive 26.75%&#10;in month 6 TtW 32.81%, and jobactive 28.17%&#10;The percentages who had a positive outcome measures were:&#10;in month 1 TtW 23.21%, and jobactive 21.18%&#10;in month 2 TtW 30.58%, and jobactive 24.88%&#10;in month 3 TtW 35.58%, and jobactive 27.46%&#10;in month 4 TtW 39.27%, and jobactive 29.65%&#10;in month 5 TtW 41.60%, and jobactive 31.59%&#10;in month 6 TtW 42.45%, and jobactive 32.87%&#10;"/>
      </w:tblPr>
      <w:tblGrid>
        <w:gridCol w:w="1276"/>
        <w:gridCol w:w="1222"/>
        <w:gridCol w:w="1223"/>
        <w:gridCol w:w="1223"/>
        <w:gridCol w:w="1223"/>
        <w:gridCol w:w="1223"/>
        <w:gridCol w:w="1223"/>
      </w:tblGrid>
      <w:tr w:rsidR="00CC4E3D" w:rsidRPr="00307EFD" w14:paraId="4336ADDB" w14:textId="77777777" w:rsidTr="005A1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6" w:type="dxa"/>
            <w:noWrap/>
            <w:vAlign w:val="center"/>
          </w:tcPr>
          <w:p w14:paraId="2901D2AC" w14:textId="77777777" w:rsidR="00CC4E3D" w:rsidRPr="00307EFD" w:rsidRDefault="00CC4E3D" w:rsidP="00307EFD">
            <w:pPr>
              <w:spacing w:before="60" w:after="60"/>
              <w:jc w:val="center"/>
              <w:rPr>
                <w:b/>
                <w:bCs/>
                <w:sz w:val="20"/>
                <w:szCs w:val="20"/>
              </w:rPr>
            </w:pPr>
            <w:r w:rsidRPr="00307EFD">
              <w:rPr>
                <w:b/>
                <w:bCs/>
                <w:sz w:val="20"/>
                <w:szCs w:val="20"/>
              </w:rPr>
              <w:t>Month from participant’s commence-ment</w:t>
            </w:r>
          </w:p>
        </w:tc>
        <w:tc>
          <w:tcPr>
            <w:tcW w:w="1222" w:type="dxa"/>
            <w:noWrap/>
            <w:vAlign w:val="center"/>
          </w:tcPr>
          <w:p w14:paraId="45FBE621" w14:textId="2A4C3A78" w:rsidR="00CC4E3D" w:rsidRPr="00307EFD" w:rsidRDefault="00CC4E3D" w:rsidP="00307EFD">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307EFD">
              <w:rPr>
                <w:b/>
                <w:bCs/>
                <w:sz w:val="20"/>
                <w:szCs w:val="20"/>
              </w:rPr>
              <w:t>Reported earnings to DHS</w:t>
            </w:r>
          </w:p>
          <w:p w14:paraId="6BB84B10" w14:textId="77777777" w:rsidR="00CC4E3D" w:rsidRPr="00307EFD" w:rsidRDefault="00CC4E3D" w:rsidP="00307EFD">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307EFD">
              <w:rPr>
                <w:b/>
                <w:bCs/>
                <w:sz w:val="20"/>
                <w:szCs w:val="20"/>
              </w:rPr>
              <w:t>TTW (%)</w:t>
            </w:r>
          </w:p>
        </w:tc>
        <w:tc>
          <w:tcPr>
            <w:tcW w:w="1223" w:type="dxa"/>
            <w:noWrap/>
            <w:vAlign w:val="center"/>
          </w:tcPr>
          <w:p w14:paraId="1824A52B" w14:textId="77777777" w:rsidR="00CC4E3D" w:rsidRPr="00307EFD" w:rsidRDefault="00CC4E3D" w:rsidP="00307EFD">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307EFD">
              <w:rPr>
                <w:b/>
                <w:bCs/>
                <w:sz w:val="20"/>
                <w:szCs w:val="20"/>
              </w:rPr>
              <w:t>Reported earnings to DHS</w:t>
            </w:r>
          </w:p>
          <w:p w14:paraId="50E11BF1" w14:textId="77777777" w:rsidR="00CC4E3D" w:rsidRPr="00307EFD" w:rsidRDefault="00CC4E3D" w:rsidP="00307EFD">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307EFD">
              <w:rPr>
                <w:b/>
                <w:bCs/>
                <w:sz w:val="20"/>
                <w:szCs w:val="20"/>
              </w:rPr>
              <w:t>Jobactive (%)</w:t>
            </w:r>
          </w:p>
        </w:tc>
        <w:tc>
          <w:tcPr>
            <w:tcW w:w="1223" w:type="dxa"/>
            <w:noWrap/>
            <w:vAlign w:val="center"/>
          </w:tcPr>
          <w:p w14:paraId="66F9C4AA" w14:textId="496BCA83" w:rsidR="00CC4E3D" w:rsidRPr="00307EFD" w:rsidRDefault="00CC4E3D" w:rsidP="00307EFD">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307EFD">
              <w:rPr>
                <w:b/>
                <w:bCs/>
                <w:sz w:val="20"/>
                <w:szCs w:val="20"/>
              </w:rPr>
              <w:t>Labour market attachment</w:t>
            </w:r>
          </w:p>
          <w:p w14:paraId="16FA9EFA" w14:textId="77777777" w:rsidR="00CC4E3D" w:rsidRPr="00307EFD" w:rsidRDefault="00CC4E3D" w:rsidP="00307EFD">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307EFD">
              <w:rPr>
                <w:b/>
                <w:bCs/>
                <w:sz w:val="20"/>
                <w:szCs w:val="20"/>
              </w:rPr>
              <w:t>TTW (%)</w:t>
            </w:r>
          </w:p>
        </w:tc>
        <w:tc>
          <w:tcPr>
            <w:tcW w:w="1223" w:type="dxa"/>
            <w:noWrap/>
            <w:vAlign w:val="center"/>
          </w:tcPr>
          <w:p w14:paraId="27B1A1E8" w14:textId="4744D0EA" w:rsidR="00CC4E3D" w:rsidRPr="00307EFD" w:rsidRDefault="00CC4E3D" w:rsidP="00307EFD">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307EFD">
              <w:rPr>
                <w:b/>
                <w:bCs/>
                <w:sz w:val="20"/>
                <w:szCs w:val="20"/>
              </w:rPr>
              <w:t>Labour market attachment</w:t>
            </w:r>
          </w:p>
          <w:p w14:paraId="649D06E3" w14:textId="77777777" w:rsidR="00CC4E3D" w:rsidRPr="00307EFD" w:rsidRDefault="00CC4E3D" w:rsidP="00307EFD">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307EFD">
              <w:rPr>
                <w:b/>
                <w:bCs/>
                <w:sz w:val="20"/>
                <w:szCs w:val="20"/>
              </w:rPr>
              <w:t>jobactive (%)</w:t>
            </w:r>
          </w:p>
        </w:tc>
        <w:tc>
          <w:tcPr>
            <w:tcW w:w="1223" w:type="dxa"/>
            <w:noWrap/>
            <w:vAlign w:val="center"/>
          </w:tcPr>
          <w:p w14:paraId="771E28D9" w14:textId="360F8C3B" w:rsidR="00CC4E3D" w:rsidRPr="00307EFD" w:rsidRDefault="00CC4E3D" w:rsidP="00307EFD">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307EFD">
              <w:rPr>
                <w:b/>
                <w:bCs/>
                <w:sz w:val="20"/>
                <w:szCs w:val="20"/>
              </w:rPr>
              <w:t>Positive outcome measure</w:t>
            </w:r>
          </w:p>
          <w:p w14:paraId="5B120CBC" w14:textId="77777777" w:rsidR="00CC4E3D" w:rsidRPr="00307EFD" w:rsidRDefault="00CC4E3D" w:rsidP="00307EFD">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307EFD">
              <w:rPr>
                <w:b/>
                <w:bCs/>
                <w:sz w:val="20"/>
                <w:szCs w:val="20"/>
              </w:rPr>
              <w:t>TTW (%)</w:t>
            </w:r>
          </w:p>
        </w:tc>
        <w:tc>
          <w:tcPr>
            <w:tcW w:w="1223" w:type="dxa"/>
            <w:noWrap/>
            <w:vAlign w:val="center"/>
          </w:tcPr>
          <w:p w14:paraId="5E7F6488" w14:textId="0D838A81" w:rsidR="00CC4E3D" w:rsidRPr="00307EFD" w:rsidRDefault="00CC4E3D" w:rsidP="00307EFD">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307EFD">
              <w:rPr>
                <w:b/>
                <w:bCs/>
                <w:sz w:val="20"/>
                <w:szCs w:val="20"/>
              </w:rPr>
              <w:t>Positive outcome measure</w:t>
            </w:r>
          </w:p>
          <w:p w14:paraId="5840A63F" w14:textId="77777777" w:rsidR="00CC4E3D" w:rsidRPr="00307EFD" w:rsidRDefault="00CC4E3D" w:rsidP="00307EFD">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307EFD">
              <w:rPr>
                <w:b/>
                <w:bCs/>
                <w:sz w:val="20"/>
                <w:szCs w:val="20"/>
              </w:rPr>
              <w:t>jobactive (%)</w:t>
            </w:r>
          </w:p>
        </w:tc>
      </w:tr>
      <w:tr w:rsidR="00CC4E3D" w:rsidRPr="00307EFD" w14:paraId="468172FF" w14:textId="77777777" w:rsidTr="005A1B8D">
        <w:tc>
          <w:tcPr>
            <w:cnfStyle w:val="001000000000" w:firstRow="0" w:lastRow="0" w:firstColumn="1" w:lastColumn="0" w:oddVBand="0" w:evenVBand="0" w:oddHBand="0" w:evenHBand="0" w:firstRowFirstColumn="0" w:firstRowLastColumn="0" w:lastRowFirstColumn="0" w:lastRowLastColumn="0"/>
            <w:tcW w:w="1276" w:type="dxa"/>
            <w:noWrap/>
            <w:hideMark/>
          </w:tcPr>
          <w:p w14:paraId="23B884C6" w14:textId="77777777" w:rsidR="00CC4E3D" w:rsidRPr="00307EFD" w:rsidRDefault="00CC4E3D" w:rsidP="00307EFD">
            <w:pPr>
              <w:spacing w:before="60" w:after="60"/>
              <w:rPr>
                <w:sz w:val="20"/>
                <w:szCs w:val="20"/>
              </w:rPr>
            </w:pPr>
            <w:r w:rsidRPr="00307EFD">
              <w:rPr>
                <w:sz w:val="20"/>
                <w:szCs w:val="20"/>
              </w:rPr>
              <w:t>Month 1</w:t>
            </w:r>
          </w:p>
        </w:tc>
        <w:tc>
          <w:tcPr>
            <w:tcW w:w="1222" w:type="dxa"/>
            <w:noWrap/>
            <w:vAlign w:val="center"/>
            <w:hideMark/>
          </w:tcPr>
          <w:p w14:paraId="78CA6E14"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13.73</w:t>
            </w:r>
          </w:p>
        </w:tc>
        <w:tc>
          <w:tcPr>
            <w:tcW w:w="1223" w:type="dxa"/>
            <w:noWrap/>
            <w:vAlign w:val="center"/>
            <w:hideMark/>
          </w:tcPr>
          <w:p w14:paraId="08EDE06B"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14.58</w:t>
            </w:r>
          </w:p>
        </w:tc>
        <w:tc>
          <w:tcPr>
            <w:tcW w:w="1223" w:type="dxa"/>
            <w:noWrap/>
            <w:vAlign w:val="center"/>
            <w:hideMark/>
          </w:tcPr>
          <w:p w14:paraId="28C712C2"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18.76</w:t>
            </w:r>
          </w:p>
        </w:tc>
        <w:tc>
          <w:tcPr>
            <w:tcW w:w="1223" w:type="dxa"/>
            <w:noWrap/>
            <w:vAlign w:val="center"/>
            <w:hideMark/>
          </w:tcPr>
          <w:p w14:paraId="7827648E"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18.36</w:t>
            </w:r>
          </w:p>
        </w:tc>
        <w:tc>
          <w:tcPr>
            <w:tcW w:w="1223" w:type="dxa"/>
            <w:noWrap/>
            <w:vAlign w:val="center"/>
            <w:hideMark/>
          </w:tcPr>
          <w:p w14:paraId="1A4991C0"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23.21</w:t>
            </w:r>
          </w:p>
        </w:tc>
        <w:tc>
          <w:tcPr>
            <w:tcW w:w="1223" w:type="dxa"/>
            <w:noWrap/>
            <w:vAlign w:val="center"/>
            <w:hideMark/>
          </w:tcPr>
          <w:p w14:paraId="13693776"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21.18</w:t>
            </w:r>
          </w:p>
        </w:tc>
      </w:tr>
      <w:tr w:rsidR="00CC4E3D" w:rsidRPr="00307EFD" w14:paraId="196CAA28" w14:textId="77777777" w:rsidTr="005A1B8D">
        <w:tc>
          <w:tcPr>
            <w:cnfStyle w:val="001000000000" w:firstRow="0" w:lastRow="0" w:firstColumn="1" w:lastColumn="0" w:oddVBand="0" w:evenVBand="0" w:oddHBand="0" w:evenHBand="0" w:firstRowFirstColumn="0" w:firstRowLastColumn="0" w:lastRowFirstColumn="0" w:lastRowLastColumn="0"/>
            <w:tcW w:w="1276" w:type="dxa"/>
            <w:shd w:val="clear" w:color="auto" w:fill="F2F2F2" w:themeFill="background2"/>
            <w:noWrap/>
            <w:hideMark/>
          </w:tcPr>
          <w:p w14:paraId="6F258543" w14:textId="77777777" w:rsidR="00CC4E3D" w:rsidRPr="00307EFD" w:rsidRDefault="00CC4E3D" w:rsidP="00307EFD">
            <w:pPr>
              <w:spacing w:before="60" w:after="60"/>
              <w:rPr>
                <w:sz w:val="20"/>
                <w:szCs w:val="20"/>
              </w:rPr>
            </w:pPr>
            <w:r w:rsidRPr="00307EFD">
              <w:rPr>
                <w:sz w:val="20"/>
                <w:szCs w:val="20"/>
              </w:rPr>
              <w:t>Month 2</w:t>
            </w:r>
          </w:p>
        </w:tc>
        <w:tc>
          <w:tcPr>
            <w:tcW w:w="1222" w:type="dxa"/>
            <w:shd w:val="clear" w:color="auto" w:fill="F2F2F2" w:themeFill="background2"/>
            <w:noWrap/>
            <w:vAlign w:val="center"/>
            <w:hideMark/>
          </w:tcPr>
          <w:p w14:paraId="0D76595F"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16.95</w:t>
            </w:r>
          </w:p>
        </w:tc>
        <w:tc>
          <w:tcPr>
            <w:tcW w:w="1223" w:type="dxa"/>
            <w:shd w:val="clear" w:color="auto" w:fill="F2F2F2" w:themeFill="background2"/>
            <w:noWrap/>
            <w:vAlign w:val="center"/>
            <w:hideMark/>
          </w:tcPr>
          <w:p w14:paraId="104F5912"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17.47</w:t>
            </w:r>
          </w:p>
        </w:tc>
        <w:tc>
          <w:tcPr>
            <w:tcW w:w="1223" w:type="dxa"/>
            <w:shd w:val="clear" w:color="auto" w:fill="F2F2F2" w:themeFill="background2"/>
            <w:noWrap/>
            <w:vAlign w:val="center"/>
            <w:hideMark/>
          </w:tcPr>
          <w:p w14:paraId="4F18CCEC"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22.36</w:t>
            </w:r>
          </w:p>
        </w:tc>
        <w:tc>
          <w:tcPr>
            <w:tcW w:w="1223" w:type="dxa"/>
            <w:shd w:val="clear" w:color="auto" w:fill="F2F2F2" w:themeFill="background2"/>
            <w:noWrap/>
            <w:vAlign w:val="center"/>
            <w:hideMark/>
          </w:tcPr>
          <w:p w14:paraId="057A5B38"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20.67</w:t>
            </w:r>
          </w:p>
        </w:tc>
        <w:tc>
          <w:tcPr>
            <w:tcW w:w="1223" w:type="dxa"/>
            <w:shd w:val="clear" w:color="auto" w:fill="F2F2F2" w:themeFill="background2"/>
            <w:noWrap/>
            <w:vAlign w:val="center"/>
            <w:hideMark/>
          </w:tcPr>
          <w:p w14:paraId="420A32E2"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30.58</w:t>
            </w:r>
          </w:p>
        </w:tc>
        <w:tc>
          <w:tcPr>
            <w:tcW w:w="1223" w:type="dxa"/>
            <w:shd w:val="clear" w:color="auto" w:fill="F2F2F2" w:themeFill="background2"/>
            <w:noWrap/>
            <w:vAlign w:val="center"/>
            <w:hideMark/>
          </w:tcPr>
          <w:p w14:paraId="1C4EE324"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24.88</w:t>
            </w:r>
          </w:p>
        </w:tc>
      </w:tr>
      <w:tr w:rsidR="00CC4E3D" w:rsidRPr="00307EFD" w14:paraId="67A186F5" w14:textId="77777777" w:rsidTr="005A1B8D">
        <w:tc>
          <w:tcPr>
            <w:cnfStyle w:val="001000000000" w:firstRow="0" w:lastRow="0" w:firstColumn="1" w:lastColumn="0" w:oddVBand="0" w:evenVBand="0" w:oddHBand="0" w:evenHBand="0" w:firstRowFirstColumn="0" w:firstRowLastColumn="0" w:lastRowFirstColumn="0" w:lastRowLastColumn="0"/>
            <w:tcW w:w="1276" w:type="dxa"/>
            <w:noWrap/>
            <w:hideMark/>
          </w:tcPr>
          <w:p w14:paraId="78C87E58" w14:textId="77777777" w:rsidR="00CC4E3D" w:rsidRPr="00307EFD" w:rsidRDefault="00CC4E3D" w:rsidP="00307EFD">
            <w:pPr>
              <w:spacing w:before="60" w:after="60"/>
              <w:rPr>
                <w:sz w:val="20"/>
                <w:szCs w:val="20"/>
              </w:rPr>
            </w:pPr>
            <w:r w:rsidRPr="00307EFD">
              <w:rPr>
                <w:sz w:val="20"/>
                <w:szCs w:val="20"/>
              </w:rPr>
              <w:t>Month 3</w:t>
            </w:r>
          </w:p>
        </w:tc>
        <w:tc>
          <w:tcPr>
            <w:tcW w:w="1222" w:type="dxa"/>
            <w:noWrap/>
            <w:vAlign w:val="center"/>
            <w:hideMark/>
          </w:tcPr>
          <w:p w14:paraId="3EA3F08D"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19.16</w:t>
            </w:r>
          </w:p>
        </w:tc>
        <w:tc>
          <w:tcPr>
            <w:tcW w:w="1223" w:type="dxa"/>
            <w:noWrap/>
            <w:vAlign w:val="center"/>
            <w:hideMark/>
          </w:tcPr>
          <w:p w14:paraId="3250315B"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19.40</w:t>
            </w:r>
          </w:p>
        </w:tc>
        <w:tc>
          <w:tcPr>
            <w:tcW w:w="1223" w:type="dxa"/>
            <w:noWrap/>
            <w:vAlign w:val="center"/>
            <w:hideMark/>
          </w:tcPr>
          <w:p w14:paraId="49824B9F"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25.61</w:t>
            </w:r>
          </w:p>
        </w:tc>
        <w:tc>
          <w:tcPr>
            <w:tcW w:w="1223" w:type="dxa"/>
            <w:noWrap/>
            <w:vAlign w:val="center"/>
            <w:hideMark/>
          </w:tcPr>
          <w:p w14:paraId="269BEB41"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22.89</w:t>
            </w:r>
          </w:p>
        </w:tc>
        <w:tc>
          <w:tcPr>
            <w:tcW w:w="1223" w:type="dxa"/>
            <w:noWrap/>
            <w:vAlign w:val="center"/>
            <w:hideMark/>
          </w:tcPr>
          <w:p w14:paraId="469CE3F2"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35.58</w:t>
            </w:r>
          </w:p>
        </w:tc>
        <w:tc>
          <w:tcPr>
            <w:tcW w:w="1223" w:type="dxa"/>
            <w:noWrap/>
            <w:vAlign w:val="center"/>
            <w:hideMark/>
          </w:tcPr>
          <w:p w14:paraId="0BE191C2"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27.46</w:t>
            </w:r>
          </w:p>
        </w:tc>
      </w:tr>
      <w:tr w:rsidR="00CC4E3D" w:rsidRPr="00307EFD" w14:paraId="45ED5336" w14:textId="77777777" w:rsidTr="005A1B8D">
        <w:tc>
          <w:tcPr>
            <w:cnfStyle w:val="001000000000" w:firstRow="0" w:lastRow="0" w:firstColumn="1" w:lastColumn="0" w:oddVBand="0" w:evenVBand="0" w:oddHBand="0" w:evenHBand="0" w:firstRowFirstColumn="0" w:firstRowLastColumn="0" w:lastRowFirstColumn="0" w:lastRowLastColumn="0"/>
            <w:tcW w:w="1276" w:type="dxa"/>
            <w:shd w:val="clear" w:color="auto" w:fill="F2F2F2" w:themeFill="background2"/>
            <w:noWrap/>
            <w:hideMark/>
          </w:tcPr>
          <w:p w14:paraId="3AC349C8" w14:textId="77777777" w:rsidR="00CC4E3D" w:rsidRPr="00307EFD" w:rsidRDefault="00CC4E3D" w:rsidP="00307EFD">
            <w:pPr>
              <w:spacing w:before="60" w:after="60"/>
              <w:rPr>
                <w:sz w:val="20"/>
                <w:szCs w:val="20"/>
              </w:rPr>
            </w:pPr>
            <w:r w:rsidRPr="00307EFD">
              <w:rPr>
                <w:sz w:val="20"/>
                <w:szCs w:val="20"/>
              </w:rPr>
              <w:t>Month 4</w:t>
            </w:r>
          </w:p>
        </w:tc>
        <w:tc>
          <w:tcPr>
            <w:tcW w:w="1222" w:type="dxa"/>
            <w:shd w:val="clear" w:color="auto" w:fill="F2F2F2" w:themeFill="background2"/>
            <w:noWrap/>
            <w:vAlign w:val="center"/>
            <w:hideMark/>
          </w:tcPr>
          <w:p w14:paraId="70F26342"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20.90</w:t>
            </w:r>
          </w:p>
        </w:tc>
        <w:tc>
          <w:tcPr>
            <w:tcW w:w="1223" w:type="dxa"/>
            <w:shd w:val="clear" w:color="auto" w:fill="F2F2F2" w:themeFill="background2"/>
            <w:noWrap/>
            <w:vAlign w:val="center"/>
            <w:hideMark/>
          </w:tcPr>
          <w:p w14:paraId="1DD6C082"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21.11</w:t>
            </w:r>
          </w:p>
        </w:tc>
        <w:tc>
          <w:tcPr>
            <w:tcW w:w="1223" w:type="dxa"/>
            <w:shd w:val="clear" w:color="auto" w:fill="F2F2F2" w:themeFill="background2"/>
            <w:noWrap/>
            <w:vAlign w:val="center"/>
            <w:hideMark/>
          </w:tcPr>
          <w:p w14:paraId="52A3F37F"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28.47</w:t>
            </w:r>
          </w:p>
        </w:tc>
        <w:tc>
          <w:tcPr>
            <w:tcW w:w="1223" w:type="dxa"/>
            <w:shd w:val="clear" w:color="auto" w:fill="F2F2F2" w:themeFill="background2"/>
            <w:noWrap/>
            <w:vAlign w:val="center"/>
            <w:hideMark/>
          </w:tcPr>
          <w:p w14:paraId="76C138C8"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24.85</w:t>
            </w:r>
          </w:p>
        </w:tc>
        <w:tc>
          <w:tcPr>
            <w:tcW w:w="1223" w:type="dxa"/>
            <w:shd w:val="clear" w:color="auto" w:fill="F2F2F2" w:themeFill="background2"/>
            <w:noWrap/>
            <w:vAlign w:val="center"/>
            <w:hideMark/>
          </w:tcPr>
          <w:p w14:paraId="6DAC5534"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39.27</w:t>
            </w:r>
          </w:p>
        </w:tc>
        <w:tc>
          <w:tcPr>
            <w:tcW w:w="1223" w:type="dxa"/>
            <w:shd w:val="clear" w:color="auto" w:fill="F2F2F2" w:themeFill="background2"/>
            <w:noWrap/>
            <w:vAlign w:val="center"/>
            <w:hideMark/>
          </w:tcPr>
          <w:p w14:paraId="074D922C"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29.65</w:t>
            </w:r>
          </w:p>
        </w:tc>
      </w:tr>
      <w:tr w:rsidR="00CC4E3D" w:rsidRPr="00307EFD" w14:paraId="4D8F0592" w14:textId="77777777" w:rsidTr="005A1B8D">
        <w:tc>
          <w:tcPr>
            <w:cnfStyle w:val="001000000000" w:firstRow="0" w:lastRow="0" w:firstColumn="1" w:lastColumn="0" w:oddVBand="0" w:evenVBand="0" w:oddHBand="0" w:evenHBand="0" w:firstRowFirstColumn="0" w:firstRowLastColumn="0" w:lastRowFirstColumn="0" w:lastRowLastColumn="0"/>
            <w:tcW w:w="1276" w:type="dxa"/>
            <w:noWrap/>
            <w:hideMark/>
          </w:tcPr>
          <w:p w14:paraId="3C9E256B" w14:textId="77777777" w:rsidR="00CC4E3D" w:rsidRPr="00307EFD" w:rsidRDefault="00CC4E3D" w:rsidP="00307EFD">
            <w:pPr>
              <w:spacing w:before="60" w:after="60"/>
              <w:rPr>
                <w:sz w:val="20"/>
                <w:szCs w:val="20"/>
              </w:rPr>
            </w:pPr>
            <w:r w:rsidRPr="00307EFD">
              <w:rPr>
                <w:sz w:val="20"/>
                <w:szCs w:val="20"/>
              </w:rPr>
              <w:t>Month 5</w:t>
            </w:r>
          </w:p>
        </w:tc>
        <w:tc>
          <w:tcPr>
            <w:tcW w:w="1222" w:type="dxa"/>
            <w:noWrap/>
            <w:vAlign w:val="center"/>
            <w:hideMark/>
          </w:tcPr>
          <w:p w14:paraId="1A0E5BCE"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22.05</w:t>
            </w:r>
          </w:p>
        </w:tc>
        <w:tc>
          <w:tcPr>
            <w:tcW w:w="1223" w:type="dxa"/>
            <w:noWrap/>
            <w:vAlign w:val="center"/>
            <w:hideMark/>
          </w:tcPr>
          <w:p w14:paraId="33E4B0D3"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22.24</w:t>
            </w:r>
          </w:p>
        </w:tc>
        <w:tc>
          <w:tcPr>
            <w:tcW w:w="1223" w:type="dxa"/>
            <w:noWrap/>
            <w:vAlign w:val="center"/>
            <w:hideMark/>
          </w:tcPr>
          <w:p w14:paraId="676050F6"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30.95</w:t>
            </w:r>
          </w:p>
        </w:tc>
        <w:tc>
          <w:tcPr>
            <w:tcW w:w="1223" w:type="dxa"/>
            <w:noWrap/>
            <w:vAlign w:val="center"/>
            <w:hideMark/>
          </w:tcPr>
          <w:p w14:paraId="750EE40D"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26.75</w:t>
            </w:r>
          </w:p>
        </w:tc>
        <w:tc>
          <w:tcPr>
            <w:tcW w:w="1223" w:type="dxa"/>
            <w:noWrap/>
            <w:vAlign w:val="center"/>
            <w:hideMark/>
          </w:tcPr>
          <w:p w14:paraId="574FBC22"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41.60</w:t>
            </w:r>
          </w:p>
        </w:tc>
        <w:tc>
          <w:tcPr>
            <w:tcW w:w="1223" w:type="dxa"/>
            <w:noWrap/>
            <w:vAlign w:val="center"/>
            <w:hideMark/>
          </w:tcPr>
          <w:p w14:paraId="28F15678"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31.59</w:t>
            </w:r>
          </w:p>
        </w:tc>
      </w:tr>
      <w:tr w:rsidR="00CC4E3D" w:rsidRPr="00307EFD" w14:paraId="7B0F2B1E" w14:textId="77777777" w:rsidTr="005A1B8D">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auto"/>
            </w:tcBorders>
            <w:shd w:val="clear" w:color="auto" w:fill="F2F2F2" w:themeFill="background1" w:themeFillShade="F2"/>
            <w:noWrap/>
            <w:hideMark/>
          </w:tcPr>
          <w:p w14:paraId="02D592ED" w14:textId="77777777" w:rsidR="00CC4E3D" w:rsidRPr="00307EFD" w:rsidRDefault="00CC4E3D" w:rsidP="00307EFD">
            <w:pPr>
              <w:spacing w:before="60" w:after="60"/>
              <w:rPr>
                <w:sz w:val="20"/>
                <w:szCs w:val="20"/>
              </w:rPr>
            </w:pPr>
            <w:r w:rsidRPr="00307EFD">
              <w:rPr>
                <w:sz w:val="20"/>
                <w:szCs w:val="20"/>
              </w:rPr>
              <w:t>Month 6</w:t>
            </w:r>
          </w:p>
        </w:tc>
        <w:tc>
          <w:tcPr>
            <w:tcW w:w="1222" w:type="dxa"/>
            <w:tcBorders>
              <w:bottom w:val="single" w:sz="4" w:space="0" w:color="auto"/>
            </w:tcBorders>
            <w:shd w:val="clear" w:color="auto" w:fill="F2F2F2" w:themeFill="background1" w:themeFillShade="F2"/>
            <w:noWrap/>
            <w:vAlign w:val="center"/>
            <w:hideMark/>
          </w:tcPr>
          <w:p w14:paraId="56723C41"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22.93</w:t>
            </w:r>
          </w:p>
        </w:tc>
        <w:tc>
          <w:tcPr>
            <w:tcW w:w="1223" w:type="dxa"/>
            <w:tcBorders>
              <w:bottom w:val="single" w:sz="4" w:space="0" w:color="auto"/>
            </w:tcBorders>
            <w:shd w:val="clear" w:color="auto" w:fill="F2F2F2" w:themeFill="background1" w:themeFillShade="F2"/>
            <w:noWrap/>
            <w:vAlign w:val="center"/>
            <w:hideMark/>
          </w:tcPr>
          <w:p w14:paraId="777E5F41"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23.18</w:t>
            </w:r>
          </w:p>
        </w:tc>
        <w:tc>
          <w:tcPr>
            <w:tcW w:w="1223" w:type="dxa"/>
            <w:tcBorders>
              <w:bottom w:val="single" w:sz="4" w:space="0" w:color="auto"/>
            </w:tcBorders>
            <w:shd w:val="clear" w:color="auto" w:fill="F2F2F2" w:themeFill="background1" w:themeFillShade="F2"/>
            <w:noWrap/>
            <w:vAlign w:val="center"/>
            <w:hideMark/>
          </w:tcPr>
          <w:p w14:paraId="4619490F"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32.81</w:t>
            </w:r>
          </w:p>
        </w:tc>
        <w:tc>
          <w:tcPr>
            <w:tcW w:w="1223" w:type="dxa"/>
            <w:tcBorders>
              <w:bottom w:val="single" w:sz="4" w:space="0" w:color="auto"/>
            </w:tcBorders>
            <w:shd w:val="clear" w:color="auto" w:fill="F2F2F2" w:themeFill="background1" w:themeFillShade="F2"/>
            <w:vAlign w:val="center"/>
            <w:hideMark/>
          </w:tcPr>
          <w:p w14:paraId="53149572"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28.17</w:t>
            </w:r>
          </w:p>
        </w:tc>
        <w:tc>
          <w:tcPr>
            <w:tcW w:w="1223" w:type="dxa"/>
            <w:tcBorders>
              <w:bottom w:val="single" w:sz="4" w:space="0" w:color="auto"/>
            </w:tcBorders>
            <w:shd w:val="clear" w:color="auto" w:fill="F2F2F2" w:themeFill="background1" w:themeFillShade="F2"/>
            <w:noWrap/>
            <w:vAlign w:val="center"/>
            <w:hideMark/>
          </w:tcPr>
          <w:p w14:paraId="57B61DD0"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42.45</w:t>
            </w:r>
          </w:p>
        </w:tc>
        <w:tc>
          <w:tcPr>
            <w:tcW w:w="1223" w:type="dxa"/>
            <w:tcBorders>
              <w:bottom w:val="single" w:sz="4" w:space="0" w:color="auto"/>
            </w:tcBorders>
            <w:shd w:val="clear" w:color="auto" w:fill="F2F2F2" w:themeFill="background1" w:themeFillShade="F2"/>
            <w:noWrap/>
            <w:vAlign w:val="center"/>
            <w:hideMark/>
          </w:tcPr>
          <w:p w14:paraId="00A2A7E2" w14:textId="77777777" w:rsidR="00CC4E3D" w:rsidRPr="00307EFD"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307EFD">
              <w:rPr>
                <w:sz w:val="20"/>
                <w:szCs w:val="20"/>
              </w:rPr>
              <w:t>32.87</w:t>
            </w:r>
          </w:p>
        </w:tc>
      </w:tr>
    </w:tbl>
    <w:p w14:paraId="0FF60993" w14:textId="30CE3069" w:rsidR="00CC4E3D" w:rsidRPr="005A1B8D" w:rsidRDefault="00CC4E3D" w:rsidP="00CC4E3D">
      <w:pPr>
        <w:pStyle w:val="Source"/>
        <w:rPr>
          <w:rFonts w:eastAsia="Times New Roman"/>
          <w:b/>
        </w:rPr>
      </w:pPr>
      <w:r w:rsidRPr="005A1B8D">
        <w:rPr>
          <w:rFonts w:eastAsia="Times New Roman"/>
          <w:b/>
        </w:rPr>
        <w:t xml:space="preserve">Source: Department of </w:t>
      </w:r>
      <w:r w:rsidR="00C2653A" w:rsidRPr="005A1B8D">
        <w:rPr>
          <w:rFonts w:eastAsia="Times New Roman"/>
          <w:b/>
        </w:rPr>
        <w:t>Employment, Skills, Small and Family</w:t>
      </w:r>
      <w:r w:rsidRPr="005A1B8D">
        <w:rPr>
          <w:rFonts w:eastAsia="Times New Roman"/>
          <w:b/>
        </w:rPr>
        <w:t xml:space="preserve"> Business </w:t>
      </w:r>
      <w:r w:rsidRPr="005A1B8D">
        <w:rPr>
          <w:b/>
        </w:rPr>
        <w:t>administrative</w:t>
      </w:r>
      <w:r w:rsidRPr="005A1B8D">
        <w:rPr>
          <w:rFonts w:eastAsia="Times New Roman"/>
          <w:b/>
        </w:rPr>
        <w:t xml:space="preserve"> data (matched inflow populations in the first six months); DHS administrative data (RED).</w:t>
      </w:r>
    </w:p>
    <w:p w14:paraId="6CDA0C2A" w14:textId="77777777" w:rsidR="00CC4E3D" w:rsidRPr="00FD4CA8" w:rsidRDefault="00CC4E3D" w:rsidP="001C25D9">
      <w:pPr>
        <w:pStyle w:val="Heading3"/>
        <w:numPr>
          <w:ilvl w:val="2"/>
          <w:numId w:val="4"/>
        </w:numPr>
        <w:spacing w:before="200"/>
        <w:rPr>
          <w:szCs w:val="24"/>
        </w:rPr>
      </w:pPr>
      <w:bookmarkStart w:id="541" w:name="_Toc509402630"/>
      <w:bookmarkStart w:id="542" w:name="_Toc535498929"/>
      <w:bookmarkStart w:id="543" w:name="_Toc23841409"/>
      <w:r w:rsidRPr="00FD4CA8">
        <w:rPr>
          <w:szCs w:val="24"/>
        </w:rPr>
        <w:t>Similar proportions of TtW and jobactive participants reported earnings</w:t>
      </w:r>
      <w:bookmarkEnd w:id="541"/>
      <w:bookmarkEnd w:id="542"/>
      <w:bookmarkEnd w:id="543"/>
    </w:p>
    <w:p w14:paraId="04119734" w14:textId="7695CBB8" w:rsidR="00CC4E3D" w:rsidRPr="00446F9A" w:rsidRDefault="00CC4E3D" w:rsidP="00CC4E3D">
      <w:pPr>
        <w:rPr>
          <w:rFonts w:ascii="Calibri" w:hAnsi="Calibri"/>
        </w:rPr>
      </w:pPr>
      <w:r>
        <w:rPr>
          <w:rFonts w:ascii="Calibri" w:hAnsi="Calibri"/>
        </w:rPr>
        <w:t>The evaluation tracked the proportion of participants reporting earnings to DHS over the six months after their referral to TtW or jobactive (</w:t>
      </w:r>
      <w:r>
        <w:rPr>
          <w:rFonts w:ascii="Calibri" w:hAnsi="Calibri"/>
          <w:b/>
        </w:rPr>
        <w:t>Table </w:t>
      </w:r>
      <w:r w:rsidRPr="002844F3">
        <w:rPr>
          <w:rFonts w:ascii="Calibri" w:hAnsi="Calibri"/>
          <w:b/>
        </w:rPr>
        <w:t>5.</w:t>
      </w:r>
      <w:r>
        <w:rPr>
          <w:rFonts w:ascii="Calibri" w:hAnsi="Calibri"/>
          <w:b/>
        </w:rPr>
        <w:t>3</w:t>
      </w:r>
      <w:r>
        <w:rPr>
          <w:rFonts w:ascii="Calibri" w:hAnsi="Calibri"/>
        </w:rPr>
        <w:t xml:space="preserve">). The cumulative proportions of participants reporting earnings were similar for the TtW and jobactive matched samples over most of the six-month study period. While a higher proportion of the jobactive matched sample initially reported earnings, the TtW group had a slightly higher rate increase over six months </w:t>
      </w:r>
      <w:r w:rsidRPr="00D153B8">
        <w:rPr>
          <w:rFonts w:ascii="Calibri" w:hAnsi="Calibri"/>
          <w:b/>
        </w:rPr>
        <w:t>(</w:t>
      </w:r>
      <w:r>
        <w:rPr>
          <w:rFonts w:ascii="Calibri" w:hAnsi="Calibri"/>
          <w:b/>
        </w:rPr>
        <w:t>Figure </w:t>
      </w:r>
      <w:r w:rsidRPr="00D153B8">
        <w:rPr>
          <w:rFonts w:ascii="Calibri" w:hAnsi="Calibri"/>
          <w:b/>
        </w:rPr>
        <w:t>5.</w:t>
      </w:r>
      <w:r>
        <w:rPr>
          <w:rFonts w:ascii="Calibri" w:hAnsi="Calibri"/>
          <w:b/>
        </w:rPr>
        <w:t>4</w:t>
      </w:r>
      <w:r w:rsidRPr="00D153B8">
        <w:rPr>
          <w:rFonts w:ascii="Calibri" w:hAnsi="Calibri"/>
          <w:b/>
        </w:rPr>
        <w:t>)</w:t>
      </w:r>
      <w:r w:rsidRPr="00D153B8">
        <w:rPr>
          <w:rFonts w:ascii="Calibri" w:hAnsi="Calibri"/>
        </w:rPr>
        <w:t xml:space="preserve">. </w:t>
      </w:r>
    </w:p>
    <w:p w14:paraId="31E267C1" w14:textId="77777777" w:rsidR="00CC4E3D" w:rsidRPr="00700376" w:rsidRDefault="00CC4E3D" w:rsidP="00CC4E3D">
      <w:pPr>
        <w:rPr>
          <w:rFonts w:ascii="Calibri" w:hAnsi="Calibri"/>
          <w:b/>
        </w:rPr>
      </w:pPr>
      <w:r>
        <w:rPr>
          <w:rFonts w:ascii="Calibri" w:hAnsi="Calibri"/>
        </w:rPr>
        <w:t xml:space="preserve">The results of additional analyses regarding the amounts of participant earnings and income support status are in </w:t>
      </w:r>
      <w:r>
        <w:rPr>
          <w:rFonts w:ascii="Calibri" w:hAnsi="Calibri"/>
          <w:b/>
        </w:rPr>
        <w:t xml:space="preserve">Appendix H. </w:t>
      </w:r>
      <w:r w:rsidRPr="00AA0266">
        <w:rPr>
          <w:rFonts w:ascii="Calibri" w:hAnsi="Calibri"/>
        </w:rPr>
        <w:t>Th</w:t>
      </w:r>
      <w:r>
        <w:rPr>
          <w:rFonts w:ascii="Calibri" w:hAnsi="Calibri"/>
        </w:rPr>
        <w:t>ese results</w:t>
      </w:r>
      <w:r w:rsidRPr="005503BA">
        <w:rPr>
          <w:rFonts w:ascii="Calibri" w:hAnsi="Calibri"/>
        </w:rPr>
        <w:t xml:space="preserve"> indicate</w:t>
      </w:r>
      <w:r>
        <w:rPr>
          <w:rFonts w:ascii="Calibri" w:hAnsi="Calibri"/>
        </w:rPr>
        <w:t xml:space="preserve"> that TtW participants exited income support at a slightly lower rate than the jobactive matched sample over the study period. This may be attributable to the higher level of engagement of TtW participants in education and training activities, which may have restricted their earnings for at least their first few months in TtW (often described as an ‘attachment effect’). </w:t>
      </w:r>
    </w:p>
    <w:p w14:paraId="55B323FD" w14:textId="7101B93A" w:rsidR="00CC4E3D" w:rsidRPr="005C25FE" w:rsidRDefault="00CC4E3D" w:rsidP="00FD4CA8">
      <w:pPr>
        <w:pStyle w:val="Caption"/>
      </w:pPr>
      <w:bookmarkStart w:id="544" w:name="_Toc509402473"/>
      <w:bookmarkStart w:id="545" w:name="_Toc514172386"/>
      <w:bookmarkStart w:id="546" w:name="_Toc535511494"/>
      <w:bookmarkStart w:id="547" w:name="_Toc535511554"/>
      <w:bookmarkStart w:id="548" w:name="_Toc535512781"/>
      <w:bookmarkStart w:id="549" w:name="_Toc535513417"/>
      <w:bookmarkStart w:id="550" w:name="_Toc23841490"/>
      <w:r>
        <w:lastRenderedPageBreak/>
        <w:t xml:space="preserve">Figure </w:t>
      </w:r>
      <w:r>
        <w:rPr>
          <w:noProof/>
        </w:rPr>
        <w:fldChar w:fldCharType="begin"/>
      </w:r>
      <w:r>
        <w:rPr>
          <w:noProof/>
        </w:rPr>
        <w:instrText xml:space="preserve"> STYLEREF 1 \s </w:instrText>
      </w:r>
      <w:r>
        <w:rPr>
          <w:noProof/>
        </w:rPr>
        <w:fldChar w:fldCharType="separate"/>
      </w:r>
      <w:r w:rsidR="00D84A2A">
        <w:rPr>
          <w:noProof/>
        </w:rPr>
        <w:t>5</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4</w:t>
      </w:r>
      <w:r>
        <w:rPr>
          <w:noProof/>
        </w:rPr>
        <w:fldChar w:fldCharType="end"/>
      </w:r>
      <w:r w:rsidRPr="005C25FE">
        <w:tab/>
      </w:r>
      <w:r w:rsidRPr="00EC1AE7">
        <w:t>C</w:t>
      </w:r>
      <w:r w:rsidRPr="005C25FE">
        <w:t xml:space="preserve">hange in </w:t>
      </w:r>
      <w:r>
        <w:t>percentage of</w:t>
      </w:r>
      <w:r w:rsidRPr="00EC1AE7">
        <w:t xml:space="preserve"> </w:t>
      </w:r>
      <w:r>
        <w:t xml:space="preserve">commenced </w:t>
      </w:r>
      <w:r w:rsidRPr="005C25FE">
        <w:t xml:space="preserve">participants </w:t>
      </w:r>
      <w:r w:rsidRPr="00EC1AE7">
        <w:t xml:space="preserve">who </w:t>
      </w:r>
      <w:r w:rsidRPr="005C25FE">
        <w:t>report</w:t>
      </w:r>
      <w:r w:rsidRPr="00EC1AE7">
        <w:t>ed</w:t>
      </w:r>
      <w:r w:rsidRPr="005C25FE">
        <w:t xml:space="preserve"> employment income to DHS</w:t>
      </w:r>
      <w:r w:rsidRPr="00EC1AE7">
        <w:t>,</w:t>
      </w:r>
      <w:r w:rsidRPr="00CD6667">
        <w:t xml:space="preserve"> </w:t>
      </w:r>
      <w:r w:rsidRPr="00B822AD">
        <w:t>by month from referral</w:t>
      </w:r>
      <w:r w:rsidRPr="005C25FE">
        <w:t>*</w:t>
      </w:r>
      <w:bookmarkEnd w:id="544"/>
      <w:r>
        <w:t>, comparing TtW and jobactive</w:t>
      </w:r>
      <w:bookmarkEnd w:id="545"/>
      <w:bookmarkEnd w:id="546"/>
      <w:bookmarkEnd w:id="547"/>
      <w:bookmarkEnd w:id="548"/>
      <w:bookmarkEnd w:id="549"/>
      <w:bookmarkEnd w:id="550"/>
    </w:p>
    <w:p w14:paraId="547888AF" w14:textId="5DF2C9B1" w:rsidR="00CC4E3D" w:rsidRDefault="00CC4E3D" w:rsidP="00CC4E3D">
      <w:r>
        <w:rPr>
          <w:noProof/>
          <w:lang w:eastAsia="en-AU"/>
        </w:rPr>
        <w:drawing>
          <wp:inline distT="0" distB="0" distL="0" distR="0" wp14:anchorId="725F7964" wp14:editId="53C0ECE2">
            <wp:extent cx="5014800" cy="3369600"/>
            <wp:effectExtent l="0" t="0" r="0" b="2540"/>
            <wp:docPr id="477" name="Picture 477" descr="Line chart comparing the change over six months in percentages of TtW and jobactive participants with employment income.&#10;This figure shows that the change in percentage points for both TtW and jobactive participants who reported employment income steadily increased over the six months from referral (TtW 9.2 percentage points, jobactive 8.6 percentage points). From month 2 the rate of increase for the TtW group was consistently slightly higher — about 0.5 of a percentage point in months 3 to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014800" cy="3369600"/>
                    </a:xfrm>
                    <a:prstGeom prst="rect">
                      <a:avLst/>
                    </a:prstGeom>
                    <a:noFill/>
                  </pic:spPr>
                </pic:pic>
              </a:graphicData>
            </a:graphic>
          </wp:inline>
        </w:drawing>
      </w:r>
    </w:p>
    <w:p w14:paraId="2F20915E" w14:textId="31437865" w:rsidR="00CC4E3D" w:rsidRPr="00B55E80" w:rsidRDefault="00CC4E3D" w:rsidP="00CC4E3D">
      <w:pPr>
        <w:pStyle w:val="Note"/>
      </w:pPr>
      <w:r w:rsidRPr="00EC1AE7">
        <w:t>* Adjusted for different proportio</w:t>
      </w:r>
      <w:r w:rsidRPr="00CD6667">
        <w:t>ns reporting earnings at first month from referral</w:t>
      </w:r>
      <w:r w:rsidRPr="00B822AD">
        <w:t>.</w:t>
      </w:r>
    </w:p>
    <w:p w14:paraId="0F759D4A" w14:textId="49584D35" w:rsidR="00CC4E3D" w:rsidRPr="005A1B8D" w:rsidRDefault="00CC4E3D" w:rsidP="00CC4E3D">
      <w:pPr>
        <w:pStyle w:val="Source"/>
        <w:rPr>
          <w:b/>
        </w:rPr>
      </w:pPr>
      <w:r w:rsidRPr="005A1B8D">
        <w:rPr>
          <w:b/>
        </w:rPr>
        <w:t xml:space="preserve">Source: Department of </w:t>
      </w:r>
      <w:r w:rsidR="0059144E" w:rsidRPr="005A1B8D">
        <w:rPr>
          <w:b/>
        </w:rPr>
        <w:t>Employment, Skills, Small and Family</w:t>
      </w:r>
      <w:r w:rsidRPr="005A1B8D">
        <w:rPr>
          <w:b/>
        </w:rPr>
        <w:t xml:space="preserve"> Business administrative data (matched inflow population); DHS administrative data (RED).</w:t>
      </w:r>
    </w:p>
    <w:p w14:paraId="2E1FE711" w14:textId="77777777" w:rsidR="00CC4E3D" w:rsidRPr="00FD4CA8" w:rsidRDefault="00CC4E3D" w:rsidP="001C25D9">
      <w:pPr>
        <w:pStyle w:val="Heading3"/>
        <w:numPr>
          <w:ilvl w:val="2"/>
          <w:numId w:val="4"/>
        </w:numPr>
        <w:spacing w:before="200"/>
        <w:rPr>
          <w:szCs w:val="24"/>
        </w:rPr>
      </w:pPr>
      <w:bookmarkStart w:id="551" w:name="_Toc509402631"/>
      <w:bookmarkStart w:id="552" w:name="_Toc535498930"/>
      <w:bookmarkStart w:id="553" w:name="_Toc23841410"/>
      <w:r w:rsidRPr="00FD4CA8">
        <w:rPr>
          <w:szCs w:val="24"/>
        </w:rPr>
        <w:t>TtW participants had higher labour market attachment and positive outcome attainment</w:t>
      </w:r>
      <w:bookmarkEnd w:id="551"/>
      <w:bookmarkEnd w:id="552"/>
      <w:bookmarkEnd w:id="553"/>
    </w:p>
    <w:p w14:paraId="18F04015" w14:textId="77777777" w:rsidR="00CC4E3D" w:rsidRPr="00BD695C" w:rsidRDefault="00CC4E3D" w:rsidP="00CC4E3D">
      <w:r w:rsidRPr="00BD695C">
        <w:t xml:space="preserve">The analysis in this section (see </w:t>
      </w:r>
      <w:r w:rsidRPr="002D0047">
        <w:rPr>
          <w:b/>
        </w:rPr>
        <w:t>Appendix F</w:t>
      </w:r>
      <w:r w:rsidRPr="00BD695C">
        <w:t xml:space="preserve"> for more detail) looks at labour market attachment for the matched study samples to assess participation in paid work over </w:t>
      </w:r>
      <w:r>
        <w:t>the participant’s first six months in TtW or jobactive</w:t>
      </w:r>
      <w:r w:rsidRPr="00BD695C">
        <w:t xml:space="preserve">. </w:t>
      </w:r>
    </w:p>
    <w:p w14:paraId="53D7355A" w14:textId="77777777" w:rsidR="00CC4E3D" w:rsidRPr="00BD695C" w:rsidRDefault="00CC4E3D" w:rsidP="00CC4E3D">
      <w:pPr>
        <w:keepNext/>
      </w:pPr>
      <w:r>
        <w:t>The evaluation used a</w:t>
      </w:r>
      <w:r w:rsidRPr="00BD695C">
        <w:t xml:space="preserve"> number of administrative data indicators to construct the labour market attachment measure, to capture engagement of participants in paid work. These include: </w:t>
      </w:r>
    </w:p>
    <w:p w14:paraId="0226A1BB" w14:textId="77777777" w:rsidR="00CC4E3D" w:rsidRDefault="00CC4E3D" w:rsidP="00E803E7">
      <w:pPr>
        <w:pStyle w:val="ListBullet"/>
      </w:pPr>
      <w:r>
        <w:t>job placements</w:t>
      </w:r>
    </w:p>
    <w:p w14:paraId="1F1722DB" w14:textId="77777777" w:rsidR="00CC4E3D" w:rsidRDefault="00CC4E3D" w:rsidP="00E803E7">
      <w:pPr>
        <w:pStyle w:val="ListBullet"/>
      </w:pPr>
      <w:r>
        <w:t>reduction or cancellation of base income support payment</w:t>
      </w:r>
      <w:bookmarkStart w:id="554" w:name="_Ref522108694"/>
      <w:r>
        <w:rPr>
          <w:rStyle w:val="FootnoteReference"/>
        </w:rPr>
        <w:footnoteReference w:id="33"/>
      </w:r>
      <w:bookmarkEnd w:id="554"/>
    </w:p>
    <w:p w14:paraId="55A0ED92" w14:textId="77777777" w:rsidR="00CC4E3D" w:rsidRDefault="00CC4E3D" w:rsidP="00E803E7">
      <w:pPr>
        <w:pStyle w:val="ListBullet"/>
      </w:pPr>
      <w:r>
        <w:t>reported earnings to DHS</w:t>
      </w:r>
    </w:p>
    <w:p w14:paraId="19C6EBDC" w14:textId="77777777" w:rsidR="00CC4E3D" w:rsidRDefault="00CC4E3D" w:rsidP="00E803E7">
      <w:pPr>
        <w:pStyle w:val="ListBullet"/>
      </w:pPr>
      <w:r>
        <w:t>part-time or casual employment reported as an activity.</w:t>
      </w:r>
    </w:p>
    <w:p w14:paraId="7F530706" w14:textId="460BB693" w:rsidR="00CC4E3D" w:rsidRPr="008B6BC4" w:rsidRDefault="00CC4E3D" w:rsidP="00CC4E3D">
      <w:r>
        <w:lastRenderedPageBreak/>
        <w:t>Young people in the study populations who had one or more of these indicators over the study period are considered to have had a positive attachment</w:t>
      </w:r>
      <w:r w:rsidRPr="002740E5">
        <w:rPr>
          <w:rStyle w:val="FootnoteReference"/>
        </w:rPr>
        <w:fldChar w:fldCharType="begin"/>
      </w:r>
      <w:r w:rsidRPr="00546FC4">
        <w:rPr>
          <w:vertAlign w:val="superscript"/>
        </w:rPr>
        <w:instrText xml:space="preserve"> NOTEREF _Ref522108694 </w:instrText>
      </w:r>
      <w:r>
        <w:rPr>
          <w:vertAlign w:val="superscript"/>
        </w:rPr>
        <w:instrText xml:space="preserve"> \* MERGEFORMAT </w:instrText>
      </w:r>
      <w:r w:rsidRPr="002740E5">
        <w:rPr>
          <w:rStyle w:val="FootnoteReference"/>
        </w:rPr>
        <w:fldChar w:fldCharType="separate"/>
      </w:r>
      <w:r w:rsidR="00D84A2A">
        <w:rPr>
          <w:vertAlign w:val="superscript"/>
        </w:rPr>
        <w:t>xxxiii</w:t>
      </w:r>
      <w:r w:rsidRPr="002740E5">
        <w:rPr>
          <w:rStyle w:val="FootnoteReference"/>
        </w:rPr>
        <w:fldChar w:fldCharType="end"/>
      </w:r>
      <w:r>
        <w:t xml:space="preserve"> to the labour market.</w:t>
      </w:r>
    </w:p>
    <w:p w14:paraId="2F41628C" w14:textId="77777777" w:rsidR="00CC4E3D" w:rsidRDefault="00CC4E3D" w:rsidP="00CC4E3D">
      <w:pPr>
        <w:rPr>
          <w:rFonts w:ascii="Calibri" w:hAnsi="Calibri"/>
        </w:rPr>
      </w:pPr>
      <w:r>
        <w:rPr>
          <w:rFonts w:ascii="Calibri" w:hAnsi="Calibri"/>
        </w:rPr>
        <w:t xml:space="preserve">While commenced participants in both services had similar labour market attachment rates in their first month with TtW or jobactive, </w:t>
      </w:r>
      <w:r>
        <w:rPr>
          <w:rFonts w:ascii="Calibri" w:hAnsi="Calibri"/>
          <w:b/>
        </w:rPr>
        <w:t>Figure 5.6 </w:t>
      </w:r>
      <w:r>
        <w:rPr>
          <w:rFonts w:ascii="Calibri" w:hAnsi="Calibri"/>
        </w:rPr>
        <w:t xml:space="preserve">shows that the change over the study period was greater for TtW. By the sixth month the gap between TtW and jobactive participants had increased to 4.3 percentage points. </w:t>
      </w:r>
    </w:p>
    <w:p w14:paraId="7A6E67F4" w14:textId="45DFDC08" w:rsidR="00CC4E3D" w:rsidRPr="005B4914" w:rsidRDefault="00CC4E3D" w:rsidP="00FD4CA8">
      <w:pPr>
        <w:pStyle w:val="Caption"/>
      </w:pPr>
      <w:bookmarkStart w:id="555" w:name="_Toc509402474"/>
      <w:bookmarkStart w:id="556" w:name="_Toc514172387"/>
      <w:bookmarkStart w:id="557" w:name="_Toc535511495"/>
      <w:bookmarkStart w:id="558" w:name="_Toc535511555"/>
      <w:bookmarkStart w:id="559" w:name="_Toc535512782"/>
      <w:bookmarkStart w:id="560" w:name="_Toc535513418"/>
      <w:bookmarkStart w:id="561" w:name="_Toc23841491"/>
      <w:r>
        <w:t xml:space="preserve">Figure </w:t>
      </w:r>
      <w:r>
        <w:rPr>
          <w:noProof/>
        </w:rPr>
        <w:fldChar w:fldCharType="begin"/>
      </w:r>
      <w:r>
        <w:rPr>
          <w:noProof/>
        </w:rPr>
        <w:instrText xml:space="preserve"> STYLEREF 1 \s </w:instrText>
      </w:r>
      <w:r>
        <w:rPr>
          <w:noProof/>
        </w:rPr>
        <w:fldChar w:fldCharType="separate"/>
      </w:r>
      <w:r w:rsidR="00D84A2A">
        <w:rPr>
          <w:noProof/>
        </w:rPr>
        <w:t>5</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5</w:t>
      </w:r>
      <w:r>
        <w:rPr>
          <w:noProof/>
        </w:rPr>
        <w:fldChar w:fldCharType="end"/>
      </w:r>
      <w:r>
        <w:tab/>
        <w:t>Change in labour market attachment rates</w:t>
      </w:r>
      <w:bookmarkEnd w:id="555"/>
      <w:r>
        <w:t>, by month from referral, comparing TtW and jobactive</w:t>
      </w:r>
      <w:bookmarkEnd w:id="556"/>
      <w:r>
        <w:t xml:space="preserve"> commenced participants</w:t>
      </w:r>
      <w:bookmarkEnd w:id="557"/>
      <w:bookmarkEnd w:id="558"/>
      <w:bookmarkEnd w:id="559"/>
      <w:bookmarkEnd w:id="560"/>
      <w:bookmarkEnd w:id="561"/>
    </w:p>
    <w:p w14:paraId="7896E656" w14:textId="0AD52859" w:rsidR="00CC4E3D" w:rsidRPr="005A1B8D" w:rsidRDefault="00CC4E3D" w:rsidP="00CC4E3D">
      <w:pPr>
        <w:pStyle w:val="Source"/>
        <w:rPr>
          <w:b/>
        </w:rPr>
      </w:pPr>
      <w:r w:rsidRPr="007617BD">
        <w:rPr>
          <w:rFonts w:ascii="Calibri" w:hAnsi="Calibri"/>
          <w:noProof/>
          <w:lang w:eastAsia="en-AU"/>
        </w:rPr>
        <w:drawing>
          <wp:inline distT="0" distB="0" distL="0" distR="0" wp14:anchorId="2B4C882C" wp14:editId="3210D34E">
            <wp:extent cx="5425200" cy="3610800"/>
            <wp:effectExtent l="0" t="0" r="4445" b="8890"/>
            <wp:docPr id="481" name="Picture 481" descr="Line chart comparing the change over six months in percentages of TtW and jobactive participants with labour market attachment.&#10;This figure shows that the market attachment rates for both TtW and jobactive participants steadily increased over the six months from referral. From month 1 the rate of increase for the TtW group was higher and the difference between the rates of increase for the two groups widened — 3.6 percentage points (TtW) compared with 2.3 percentage points (jobactive) in month 2, and 14.1 percentage points compared with 9.8 percentage points by month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25200" cy="3610800"/>
                    </a:xfrm>
                    <a:prstGeom prst="rect">
                      <a:avLst/>
                    </a:prstGeom>
                    <a:noFill/>
                    <a:ln>
                      <a:noFill/>
                    </a:ln>
                  </pic:spPr>
                </pic:pic>
              </a:graphicData>
            </a:graphic>
          </wp:inline>
        </w:drawing>
      </w:r>
      <w:r w:rsidRPr="005A1B8D">
        <w:rPr>
          <w:b/>
        </w:rPr>
        <w:t xml:space="preserve">Source: Department of </w:t>
      </w:r>
      <w:r w:rsidR="0059144E" w:rsidRPr="005A1B8D">
        <w:rPr>
          <w:b/>
        </w:rPr>
        <w:t>Employment, Skills, Small and Family</w:t>
      </w:r>
      <w:r w:rsidRPr="005A1B8D">
        <w:rPr>
          <w:b/>
        </w:rPr>
        <w:t xml:space="preserve"> Business administrative data (matched inflow population); DHS administrative data (RED).</w:t>
      </w:r>
    </w:p>
    <w:p w14:paraId="500F6442" w14:textId="77777777" w:rsidR="00CC4E3D" w:rsidRDefault="00CC4E3D" w:rsidP="00CC4E3D">
      <w:pPr>
        <w:rPr>
          <w:rFonts w:ascii="Calibri" w:hAnsi="Calibri"/>
        </w:rPr>
      </w:pPr>
      <w:r>
        <w:rPr>
          <w:rFonts w:ascii="Calibri" w:hAnsi="Calibri"/>
        </w:rPr>
        <w:t xml:space="preserve">The positive outcome attainment measure was constructed to account for those participating in education on their pathway towards employment. It adds participants who were studying for courses that qualify for an education outcome to the labour market attachment measure. </w:t>
      </w:r>
    </w:p>
    <w:p w14:paraId="79860AEB" w14:textId="77777777" w:rsidR="00CC4E3D" w:rsidRDefault="00CC4E3D" w:rsidP="00CC4E3D">
      <w:pPr>
        <w:rPr>
          <w:rFonts w:ascii="Calibri" w:hAnsi="Calibri"/>
        </w:rPr>
      </w:pPr>
      <w:r>
        <w:rPr>
          <w:rFonts w:ascii="Calibri" w:hAnsi="Calibri"/>
        </w:rPr>
        <w:t>This positive outcome measure is considerably higher for TtW (</w:t>
      </w:r>
      <w:r>
        <w:rPr>
          <w:rFonts w:ascii="Calibri" w:hAnsi="Calibri"/>
          <w:b/>
        </w:rPr>
        <w:t>Figure </w:t>
      </w:r>
      <w:r w:rsidRPr="003F3DB4">
        <w:rPr>
          <w:rFonts w:ascii="Calibri" w:hAnsi="Calibri"/>
          <w:b/>
        </w:rPr>
        <w:t>5.</w:t>
      </w:r>
      <w:r>
        <w:rPr>
          <w:rFonts w:ascii="Calibri" w:hAnsi="Calibri"/>
          <w:b/>
        </w:rPr>
        <w:t>6</w:t>
      </w:r>
      <w:r>
        <w:rPr>
          <w:rFonts w:ascii="Calibri" w:hAnsi="Calibri"/>
        </w:rPr>
        <w:t>). By the sixth month from referral, the gap between TtW and jobactive participants had increased to 7.5 percentage points.</w:t>
      </w:r>
    </w:p>
    <w:p w14:paraId="265DDC7F" w14:textId="7BA40CF8" w:rsidR="00CC4E3D" w:rsidRPr="00A8694F" w:rsidRDefault="00CC4E3D" w:rsidP="00FD4CA8">
      <w:pPr>
        <w:pStyle w:val="Caption"/>
      </w:pPr>
      <w:bookmarkStart w:id="562" w:name="_Toc514172388"/>
      <w:bookmarkStart w:id="563" w:name="_Toc509402475"/>
      <w:bookmarkStart w:id="564" w:name="_Toc535511496"/>
      <w:bookmarkStart w:id="565" w:name="_Toc535511556"/>
      <w:bookmarkStart w:id="566" w:name="_Toc535512783"/>
      <w:bookmarkStart w:id="567" w:name="_Toc535513419"/>
      <w:bookmarkStart w:id="568" w:name="_Toc23841492"/>
      <w:r>
        <w:lastRenderedPageBreak/>
        <w:t xml:space="preserve">Figure </w:t>
      </w:r>
      <w:r>
        <w:rPr>
          <w:noProof/>
        </w:rPr>
        <w:fldChar w:fldCharType="begin"/>
      </w:r>
      <w:r>
        <w:rPr>
          <w:noProof/>
        </w:rPr>
        <w:instrText xml:space="preserve"> STYLEREF 1 \s </w:instrText>
      </w:r>
      <w:r>
        <w:rPr>
          <w:noProof/>
        </w:rPr>
        <w:fldChar w:fldCharType="separate"/>
      </w:r>
      <w:r w:rsidR="00D84A2A">
        <w:rPr>
          <w:noProof/>
        </w:rPr>
        <w:t>5</w:t>
      </w:r>
      <w:r>
        <w:rPr>
          <w:noProof/>
        </w:rPr>
        <w:fldChar w:fldCharType="end"/>
      </w:r>
      <w:r>
        <w:t>.</w:t>
      </w:r>
      <w:r>
        <w:rPr>
          <w:noProof/>
        </w:rPr>
        <w:fldChar w:fldCharType="begin"/>
      </w:r>
      <w:r>
        <w:rPr>
          <w:noProof/>
        </w:rPr>
        <w:instrText xml:space="preserve"> SEQ Figure \* ARABIC \s 1 </w:instrText>
      </w:r>
      <w:r>
        <w:rPr>
          <w:noProof/>
        </w:rPr>
        <w:fldChar w:fldCharType="separate"/>
      </w:r>
      <w:r w:rsidR="00D84A2A">
        <w:rPr>
          <w:noProof/>
        </w:rPr>
        <w:t>6</w:t>
      </w:r>
      <w:r>
        <w:rPr>
          <w:noProof/>
        </w:rPr>
        <w:fldChar w:fldCharType="end"/>
      </w:r>
      <w:r>
        <w:tab/>
        <w:t>Change in positive outcome rates, by month from referral, comparing TtW and jobactive</w:t>
      </w:r>
      <w:bookmarkEnd w:id="562"/>
      <w:bookmarkEnd w:id="563"/>
      <w:bookmarkEnd w:id="564"/>
      <w:bookmarkEnd w:id="565"/>
      <w:bookmarkEnd w:id="566"/>
      <w:bookmarkEnd w:id="567"/>
      <w:bookmarkEnd w:id="568"/>
    </w:p>
    <w:p w14:paraId="79E0C92D" w14:textId="77777777" w:rsidR="00CC4E3D" w:rsidRDefault="00CC4E3D" w:rsidP="00CC4E3D">
      <w:pPr>
        <w:keepNext/>
        <w:spacing w:after="0"/>
        <w:rPr>
          <w:rFonts w:ascii="Calibri" w:hAnsi="Calibri"/>
        </w:rPr>
      </w:pPr>
      <w:r w:rsidRPr="007617BD">
        <w:rPr>
          <w:rFonts w:ascii="Calibri" w:hAnsi="Calibri"/>
          <w:noProof/>
          <w:lang w:eastAsia="en-AU"/>
        </w:rPr>
        <w:drawing>
          <wp:inline distT="0" distB="0" distL="0" distR="0" wp14:anchorId="4A873093" wp14:editId="3F5F5E0E">
            <wp:extent cx="5486400" cy="3571200"/>
            <wp:effectExtent l="0" t="0" r="0" b="0"/>
            <wp:docPr id="482" name="Picture 482" descr="Line chart comparing the change over six months in percentages of TtW and jobactive participants with a positive outcome.&#10;This figure shows that positive outcome rates for both TtW and jobactive participants steadily increased over the six months from referral. By month 2 the rate of increase for the TtW group was significantly higher — 7.4 percentage points (TtW) compared with 3.7 percentage points (jobactive). The gap was widest in month 5 (18.4 percentage points compared with 10.4 percentage points) and slightly smaller in month 6 (19.2 percentage points compared with 11.7 percentage poi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86400" cy="3571200"/>
                    </a:xfrm>
                    <a:prstGeom prst="rect">
                      <a:avLst/>
                    </a:prstGeom>
                    <a:noFill/>
                    <a:ln>
                      <a:noFill/>
                    </a:ln>
                  </pic:spPr>
                </pic:pic>
              </a:graphicData>
            </a:graphic>
          </wp:inline>
        </w:drawing>
      </w:r>
    </w:p>
    <w:p w14:paraId="3F92C9C5" w14:textId="0BF1848D" w:rsidR="00CC4E3D" w:rsidRPr="005A1B8D" w:rsidRDefault="00CC4E3D" w:rsidP="00CC4E3D">
      <w:pPr>
        <w:pStyle w:val="Source"/>
        <w:rPr>
          <w:rFonts w:eastAsia="Times New Roman"/>
          <w:b/>
        </w:rPr>
      </w:pPr>
      <w:r w:rsidRPr="005A1B8D">
        <w:rPr>
          <w:rFonts w:eastAsia="Times New Roman"/>
          <w:b/>
        </w:rPr>
        <w:t xml:space="preserve">Source: Department of </w:t>
      </w:r>
      <w:r w:rsidR="0059144E" w:rsidRPr="005A1B8D">
        <w:rPr>
          <w:rFonts w:eastAsia="Times New Roman"/>
          <w:b/>
        </w:rPr>
        <w:t>Employment, Skills, Small and Family</w:t>
      </w:r>
      <w:r w:rsidRPr="005A1B8D">
        <w:rPr>
          <w:rFonts w:eastAsia="Times New Roman"/>
          <w:b/>
        </w:rPr>
        <w:t xml:space="preserve"> Business administrative data (matched inflow </w:t>
      </w:r>
      <w:r w:rsidRPr="005A1B8D">
        <w:rPr>
          <w:b/>
        </w:rPr>
        <w:t>populations)</w:t>
      </w:r>
      <w:r w:rsidRPr="005A1B8D">
        <w:rPr>
          <w:rFonts w:eastAsia="Times New Roman"/>
          <w:b/>
        </w:rPr>
        <w:t>; DHS administrative data (RED).</w:t>
      </w:r>
    </w:p>
    <w:p w14:paraId="7D535F4F" w14:textId="77777777" w:rsidR="00CC4E3D" w:rsidRDefault="00CC4E3D" w:rsidP="00CC4E3D">
      <w:r>
        <w:t>Logistic regression analysis was performed to further control for observable differences between the TtW and jobactive matched samples and corroborate the findings on labour market attachment and positive outcome rates. This analysis confirmed that TtW participants were more likely to become attached to the labour market and to achieve a positive outcome than the matched jobactive comparison group. The odds ratios</w:t>
      </w:r>
      <w:r>
        <w:rPr>
          <w:rStyle w:val="FootnoteReference"/>
        </w:rPr>
        <w:footnoteReference w:id="34"/>
      </w:r>
      <w:r>
        <w:t xml:space="preserve"> for these comparisons were 1.14 and 1.49 respectively (</w:t>
      </w:r>
      <w:r>
        <w:rPr>
          <w:b/>
        </w:rPr>
        <w:t>Table 5.4</w:t>
      </w:r>
      <w:r>
        <w:t>), suggesting that TtW participants had 14 per cent and 49 per cent greater chances of becoming attached to the labour market and achieving a positive outcome respectively than the matched jobactive comparison group.</w:t>
      </w:r>
    </w:p>
    <w:p w14:paraId="027C4440" w14:textId="77777777" w:rsidR="00CC4E3D" w:rsidRDefault="00CC4E3D" w:rsidP="00CC4E3D">
      <w:r>
        <w:t xml:space="preserve">The regression analysis also found that, participants with more schooling were the most likely to have labour market attachment (see </w:t>
      </w:r>
      <w:r>
        <w:rPr>
          <w:b/>
        </w:rPr>
        <w:t>Appendix F</w:t>
      </w:r>
      <w:r>
        <w:t>).</w:t>
      </w:r>
      <w:r w:rsidRPr="00FD029F">
        <w:t xml:space="preserve"> </w:t>
      </w:r>
      <w:r>
        <w:t>P</w:t>
      </w:r>
      <w:r w:rsidRPr="00FD029F">
        <w:t xml:space="preserve">articipants who </w:t>
      </w:r>
      <w:r>
        <w:t>had good English and</w:t>
      </w:r>
      <w:r w:rsidRPr="00FD029F">
        <w:t xml:space="preserve"> their own means of transport</w:t>
      </w:r>
      <w:r>
        <w:t xml:space="preserve"> were also more likely to engage with the labour market</w:t>
      </w:r>
      <w:r w:rsidRPr="00FD029F">
        <w:t>.</w:t>
      </w:r>
      <w:r>
        <w:t xml:space="preserve"> On the other hand, participants with a disability, ex-offenders and Indigenous participants were less likely to engage with the labour market. </w:t>
      </w:r>
    </w:p>
    <w:p w14:paraId="74530A1D" w14:textId="7E5B7837" w:rsidR="00CC4E3D" w:rsidRPr="00B41ABA" w:rsidRDefault="00CC4E3D" w:rsidP="00FD4CA8">
      <w:pPr>
        <w:pStyle w:val="Caption"/>
      </w:pPr>
      <w:bookmarkStart w:id="569" w:name="_Toc509402987"/>
      <w:bookmarkStart w:id="570" w:name="_Toc535511497"/>
      <w:bookmarkStart w:id="571" w:name="_Toc535511557"/>
      <w:bookmarkStart w:id="572" w:name="_Toc535512784"/>
      <w:bookmarkStart w:id="573" w:name="_Toc535513420"/>
      <w:bookmarkStart w:id="574" w:name="_Toc23841445"/>
      <w:r>
        <w:lastRenderedPageBreak/>
        <w:t xml:space="preserve">Table </w:t>
      </w:r>
      <w:r>
        <w:rPr>
          <w:noProof/>
        </w:rPr>
        <w:fldChar w:fldCharType="begin"/>
      </w:r>
      <w:r>
        <w:rPr>
          <w:noProof/>
        </w:rPr>
        <w:instrText xml:space="preserve"> STYLEREF 1 \s </w:instrText>
      </w:r>
      <w:r>
        <w:rPr>
          <w:noProof/>
        </w:rPr>
        <w:fldChar w:fldCharType="separate"/>
      </w:r>
      <w:r w:rsidR="00D84A2A">
        <w:rPr>
          <w:noProof/>
        </w:rPr>
        <w:t>5</w:t>
      </w:r>
      <w:r>
        <w:rPr>
          <w:noProof/>
        </w:rPr>
        <w:fldChar w:fldCharType="end"/>
      </w:r>
      <w:r>
        <w:t>.</w:t>
      </w:r>
      <w:r>
        <w:rPr>
          <w:noProof/>
        </w:rPr>
        <w:fldChar w:fldCharType="begin"/>
      </w:r>
      <w:r>
        <w:rPr>
          <w:noProof/>
        </w:rPr>
        <w:instrText xml:space="preserve"> SEQ Table \* ARABIC \s 1 </w:instrText>
      </w:r>
      <w:r>
        <w:rPr>
          <w:noProof/>
        </w:rPr>
        <w:fldChar w:fldCharType="separate"/>
      </w:r>
      <w:r w:rsidR="00D84A2A">
        <w:rPr>
          <w:noProof/>
        </w:rPr>
        <w:t>4</w:t>
      </w:r>
      <w:r>
        <w:rPr>
          <w:noProof/>
        </w:rPr>
        <w:fldChar w:fldCharType="end"/>
      </w:r>
      <w:r>
        <w:tab/>
        <w:t>Odds ratios for labour market attachment and positive outcome</w:t>
      </w:r>
      <w:bookmarkEnd w:id="569"/>
      <w:r>
        <w:t>, comparing TtW and the jobactive comparison group</w:t>
      </w:r>
      <w:bookmarkEnd w:id="570"/>
      <w:bookmarkEnd w:id="571"/>
      <w:bookmarkEnd w:id="572"/>
      <w:bookmarkEnd w:id="573"/>
      <w:bookmarkEnd w:id="574"/>
    </w:p>
    <w:tbl>
      <w:tblPr>
        <w:tblStyle w:val="JobsTable"/>
        <w:tblW w:w="8613" w:type="dxa"/>
        <w:tblBorders>
          <w:bottom w:val="none" w:sz="0" w:space="0" w:color="auto"/>
        </w:tblBorders>
        <w:tblLayout w:type="fixed"/>
        <w:tblLook w:val="04A0" w:firstRow="1" w:lastRow="0" w:firstColumn="1" w:lastColumn="0" w:noHBand="0" w:noVBand="1"/>
        <w:tblDescription w:val="Odds ratio for labour market attachment was 1.14&#10;Odds ratio for positive outcome was 1.49&#10;"/>
      </w:tblPr>
      <w:tblGrid>
        <w:gridCol w:w="2835"/>
        <w:gridCol w:w="2835"/>
        <w:gridCol w:w="2943"/>
      </w:tblGrid>
      <w:tr w:rsidR="00CC4E3D" w:rsidRPr="00307EFD" w14:paraId="3D0A60F6" w14:textId="77777777" w:rsidTr="005A1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noWrap/>
            <w:vAlign w:val="center"/>
            <w:hideMark/>
          </w:tcPr>
          <w:p w14:paraId="30B7E397" w14:textId="5296804D" w:rsidR="00CC4E3D" w:rsidRPr="00205968" w:rsidRDefault="00CC4E3D" w:rsidP="00307EFD">
            <w:pPr>
              <w:spacing w:before="60" w:after="60"/>
              <w:rPr>
                <w:b/>
                <w:bCs/>
                <w:sz w:val="20"/>
                <w:szCs w:val="20"/>
              </w:rPr>
            </w:pPr>
            <w:r w:rsidRPr="00205968">
              <w:rPr>
                <w:b/>
                <w:bCs/>
                <w:sz w:val="20"/>
                <w:szCs w:val="20"/>
              </w:rPr>
              <w:softHyphen/>
            </w:r>
            <w:r w:rsidR="007B46C9">
              <w:rPr>
                <w:b/>
                <w:bCs/>
                <w:color w:val="0070C0"/>
                <w:sz w:val="20"/>
                <w:szCs w:val="20"/>
              </w:rPr>
              <w:t>—</w:t>
            </w:r>
          </w:p>
        </w:tc>
        <w:tc>
          <w:tcPr>
            <w:tcW w:w="2835" w:type="dxa"/>
            <w:noWrap/>
            <w:vAlign w:val="center"/>
            <w:hideMark/>
          </w:tcPr>
          <w:p w14:paraId="19A2D560" w14:textId="77777777" w:rsidR="00CC4E3D" w:rsidRPr="00205968" w:rsidRDefault="00CC4E3D" w:rsidP="00307EFD">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205968">
              <w:rPr>
                <w:b/>
                <w:bCs/>
                <w:sz w:val="20"/>
                <w:szCs w:val="20"/>
              </w:rPr>
              <w:t>Labour market attachment</w:t>
            </w:r>
          </w:p>
        </w:tc>
        <w:tc>
          <w:tcPr>
            <w:tcW w:w="2943" w:type="dxa"/>
            <w:noWrap/>
            <w:vAlign w:val="center"/>
            <w:hideMark/>
          </w:tcPr>
          <w:p w14:paraId="16E07C39" w14:textId="77777777" w:rsidR="00CC4E3D" w:rsidRPr="00205968" w:rsidRDefault="00CC4E3D" w:rsidP="00307EFD">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205968">
              <w:rPr>
                <w:b/>
                <w:bCs/>
                <w:sz w:val="20"/>
                <w:szCs w:val="20"/>
              </w:rPr>
              <w:t>Positive outcome</w:t>
            </w:r>
          </w:p>
        </w:tc>
      </w:tr>
      <w:tr w:rsidR="00CC4E3D" w:rsidRPr="00307EFD" w14:paraId="42BE9A13" w14:textId="77777777" w:rsidTr="005A1B8D">
        <w:tc>
          <w:tcPr>
            <w:cnfStyle w:val="001000000000" w:firstRow="0" w:lastRow="0" w:firstColumn="1" w:lastColumn="0" w:oddVBand="0" w:evenVBand="0" w:oddHBand="0" w:evenHBand="0" w:firstRowFirstColumn="0" w:firstRowLastColumn="0" w:lastRowFirstColumn="0" w:lastRowLastColumn="0"/>
            <w:tcW w:w="2835" w:type="dxa"/>
            <w:tcBorders>
              <w:bottom w:val="single" w:sz="4" w:space="0" w:color="auto"/>
            </w:tcBorders>
            <w:noWrap/>
          </w:tcPr>
          <w:p w14:paraId="135C3D8A" w14:textId="69DB3587" w:rsidR="00CC4E3D" w:rsidRPr="00205968" w:rsidRDefault="00CC4E3D" w:rsidP="00307EFD">
            <w:pPr>
              <w:spacing w:before="60" w:after="60"/>
              <w:rPr>
                <w:sz w:val="20"/>
                <w:szCs w:val="20"/>
              </w:rPr>
            </w:pPr>
            <w:r w:rsidRPr="00205968">
              <w:rPr>
                <w:sz w:val="20"/>
                <w:szCs w:val="20"/>
              </w:rPr>
              <w:t>Odds ratio (TtW:jobactive)</w:t>
            </w:r>
          </w:p>
        </w:tc>
        <w:tc>
          <w:tcPr>
            <w:tcW w:w="2835" w:type="dxa"/>
            <w:tcBorders>
              <w:bottom w:val="single" w:sz="4" w:space="0" w:color="auto"/>
            </w:tcBorders>
            <w:vAlign w:val="center"/>
          </w:tcPr>
          <w:p w14:paraId="54B1A428" w14:textId="77777777" w:rsidR="00CC4E3D" w:rsidRPr="00205968"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1.14</w:t>
            </w:r>
          </w:p>
        </w:tc>
        <w:tc>
          <w:tcPr>
            <w:tcW w:w="2943" w:type="dxa"/>
            <w:tcBorders>
              <w:bottom w:val="single" w:sz="4" w:space="0" w:color="auto"/>
            </w:tcBorders>
            <w:noWrap/>
            <w:vAlign w:val="center"/>
          </w:tcPr>
          <w:p w14:paraId="3DF3883E" w14:textId="77777777" w:rsidR="00CC4E3D" w:rsidRPr="00205968" w:rsidRDefault="00CC4E3D" w:rsidP="00307EFD">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1.49</w:t>
            </w:r>
          </w:p>
        </w:tc>
      </w:tr>
    </w:tbl>
    <w:p w14:paraId="2529A5CB" w14:textId="74A56C3C" w:rsidR="00CC4E3D" w:rsidRPr="005A1B8D" w:rsidRDefault="00CC4E3D" w:rsidP="00CC4E3D">
      <w:pPr>
        <w:pStyle w:val="Source"/>
        <w:keepNext/>
        <w:rPr>
          <w:rFonts w:eastAsia="Times New Roman"/>
          <w:b/>
        </w:rPr>
      </w:pPr>
      <w:r w:rsidRPr="005A1B8D">
        <w:rPr>
          <w:rFonts w:eastAsia="Times New Roman"/>
          <w:b/>
        </w:rPr>
        <w:t>Source: Department of Employment</w:t>
      </w:r>
      <w:r w:rsidR="0059144E" w:rsidRPr="005A1B8D">
        <w:rPr>
          <w:rFonts w:eastAsia="Times New Roman"/>
          <w:b/>
        </w:rPr>
        <w:t>, Skills, Small and Family Business</w:t>
      </w:r>
      <w:r w:rsidRPr="005A1B8D">
        <w:rPr>
          <w:rFonts w:eastAsia="Times New Roman"/>
          <w:b/>
        </w:rPr>
        <w:t xml:space="preserve"> administrative data — matched inflow populations, DHS administrative data (RED).</w:t>
      </w:r>
    </w:p>
    <w:p w14:paraId="49CA1CE2" w14:textId="77777777" w:rsidR="00CC4E3D" w:rsidRPr="008B76D7" w:rsidRDefault="00CC4E3D" w:rsidP="00CC4E3D">
      <w:pPr>
        <w:rPr>
          <w:rFonts w:ascii="Calibri" w:hAnsi="Calibri"/>
        </w:rPr>
      </w:pPr>
      <w:r>
        <w:rPr>
          <w:rFonts w:ascii="Calibri" w:hAnsi="Calibri"/>
        </w:rPr>
        <w:t xml:space="preserve">The current findings are based on TtW’s first six </w:t>
      </w:r>
      <w:r w:rsidRPr="00163435">
        <w:rPr>
          <w:rFonts w:ascii="Calibri" w:hAnsi="Calibri"/>
        </w:rPr>
        <w:t>months</w:t>
      </w:r>
      <w:r>
        <w:rPr>
          <w:rFonts w:ascii="Calibri" w:hAnsi="Calibri"/>
        </w:rPr>
        <w:t xml:space="preserve"> of operations only and will not reflect the full impact of the service. The final evaluation will analyse the outcomes based on the full 12 months of participation. This will shed more light on the impact of TtW.</w:t>
      </w:r>
    </w:p>
    <w:p w14:paraId="77784626" w14:textId="77777777" w:rsidR="00CC4E3D" w:rsidRDefault="00CC4E3D" w:rsidP="00CC4E3D">
      <w:pPr>
        <w:rPr>
          <w:rFonts w:ascii="Calibri" w:eastAsiaTheme="majorEastAsia" w:hAnsi="Calibri" w:cstheme="majorBidi"/>
          <w:bCs/>
          <w:sz w:val="20"/>
          <w:szCs w:val="20"/>
        </w:rPr>
      </w:pPr>
      <w:r>
        <w:rPr>
          <w:rFonts w:ascii="Calibri" w:eastAsiaTheme="majorEastAsia" w:hAnsi="Calibri" w:cstheme="majorBidi"/>
          <w:b/>
          <w:bCs/>
        </w:rPr>
        <w:br w:type="page"/>
      </w:r>
    </w:p>
    <w:p w14:paraId="5C2806FB" w14:textId="77777777" w:rsidR="00CC4E3D" w:rsidRPr="00157371" w:rsidRDefault="00CC4E3D" w:rsidP="001C25D9">
      <w:pPr>
        <w:pStyle w:val="Heading1"/>
        <w:keepNext w:val="0"/>
        <w:pageBreakBefore/>
        <w:numPr>
          <w:ilvl w:val="0"/>
          <w:numId w:val="4"/>
        </w:numPr>
        <w:spacing w:before="0" w:after="240"/>
        <w:contextualSpacing/>
      </w:pPr>
      <w:bookmarkStart w:id="575" w:name="_Toc535498931"/>
      <w:bookmarkStart w:id="576" w:name="_Toc23841411"/>
      <w:bookmarkStart w:id="577" w:name="_Toc492976350"/>
      <w:bookmarkStart w:id="578" w:name="_Toc509402632"/>
      <w:bookmarkStart w:id="579" w:name="_Toc470075405"/>
      <w:r w:rsidRPr="00157371">
        <w:lastRenderedPageBreak/>
        <w:t>Conclusions</w:t>
      </w:r>
      <w:bookmarkEnd w:id="575"/>
      <w:bookmarkEnd w:id="576"/>
      <w:r w:rsidRPr="00157371">
        <w:t xml:space="preserve"> </w:t>
      </w:r>
      <w:bookmarkEnd w:id="577"/>
      <w:bookmarkEnd w:id="578"/>
    </w:p>
    <w:p w14:paraId="06A0A9AC" w14:textId="77777777" w:rsidR="00CC4E3D" w:rsidRDefault="00CC4E3D" w:rsidP="00CC4E3D">
      <w:r w:rsidRPr="00823A7B">
        <w:t xml:space="preserve">This report </w:t>
      </w:r>
      <w:r>
        <w:t xml:space="preserve">focuses on the implementation of the TtW service, its operational processes and the initial stage of service participation. It </w:t>
      </w:r>
      <w:r w:rsidRPr="00823A7B">
        <w:t xml:space="preserve">provides an early assessment of the </w:t>
      </w:r>
      <w:r>
        <w:t xml:space="preserve">appropriateness and </w:t>
      </w:r>
      <w:r w:rsidRPr="00015983">
        <w:t>effectiveness</w:t>
      </w:r>
      <w:r w:rsidRPr="00823A7B">
        <w:t xml:space="preserve"> of TtW over its </w:t>
      </w:r>
      <w:r>
        <w:t xml:space="preserve">early months of </w:t>
      </w:r>
      <w:r w:rsidRPr="004D2F4A">
        <w:t>operation.</w:t>
      </w:r>
      <w:r>
        <w:t xml:space="preserve"> The effectiveness assessment</w:t>
      </w:r>
      <w:r w:rsidRPr="000C5C83">
        <w:t xml:space="preserve"> compar</w:t>
      </w:r>
      <w:r>
        <w:t>es early labour market outcomes and education participation for TtW participants with a comparison group</w:t>
      </w:r>
      <w:r w:rsidRPr="000C5C83">
        <w:t xml:space="preserve"> </w:t>
      </w:r>
      <w:r>
        <w:t>from jobactive</w:t>
      </w:r>
      <w:r w:rsidRPr="000C5C83">
        <w:t>.</w:t>
      </w:r>
      <w:r>
        <w:t xml:space="preserve"> </w:t>
      </w:r>
    </w:p>
    <w:p w14:paraId="5C99E0D5" w14:textId="77777777" w:rsidR="00CC4E3D" w:rsidRPr="001F4939" w:rsidRDefault="00CC4E3D" w:rsidP="001F4939">
      <w:pPr>
        <w:pStyle w:val="Heading2"/>
        <w:numPr>
          <w:ilvl w:val="1"/>
          <w:numId w:val="4"/>
        </w:numPr>
      </w:pPr>
      <w:bookmarkStart w:id="580" w:name="_Toc492976351"/>
      <w:bookmarkStart w:id="581" w:name="_Toc509402633"/>
      <w:bookmarkStart w:id="582" w:name="_Toc535498932"/>
      <w:bookmarkStart w:id="583" w:name="_Toc23841412"/>
      <w:r w:rsidRPr="001F4939">
        <w:t>Appropriateness</w:t>
      </w:r>
      <w:bookmarkEnd w:id="580"/>
      <w:r w:rsidRPr="001F4939">
        <w:t>, implementation, engagement and outcomes</w:t>
      </w:r>
      <w:bookmarkEnd w:id="581"/>
      <w:bookmarkEnd w:id="582"/>
      <w:bookmarkEnd w:id="583"/>
    </w:p>
    <w:p w14:paraId="165331CF" w14:textId="77777777" w:rsidR="00CC4E3D" w:rsidRPr="00FD4CA8" w:rsidRDefault="00CC4E3D" w:rsidP="001C25D9">
      <w:pPr>
        <w:pStyle w:val="Heading3"/>
        <w:numPr>
          <w:ilvl w:val="2"/>
          <w:numId w:val="4"/>
        </w:numPr>
        <w:spacing w:before="200"/>
        <w:rPr>
          <w:szCs w:val="24"/>
        </w:rPr>
      </w:pPr>
      <w:bookmarkStart w:id="584" w:name="_Toc492976352"/>
      <w:bookmarkStart w:id="585" w:name="_Toc509402634"/>
      <w:bookmarkStart w:id="586" w:name="_Toc535498933"/>
      <w:bookmarkStart w:id="587" w:name="_Toc23841413"/>
      <w:r w:rsidRPr="00FD4CA8">
        <w:rPr>
          <w:szCs w:val="24"/>
        </w:rPr>
        <w:t>Appropriateness</w:t>
      </w:r>
      <w:bookmarkEnd w:id="584"/>
      <w:r w:rsidRPr="00FD4CA8">
        <w:rPr>
          <w:szCs w:val="24"/>
        </w:rPr>
        <w:t xml:space="preserve"> and implementation</w:t>
      </w:r>
      <w:bookmarkEnd w:id="585"/>
      <w:bookmarkEnd w:id="586"/>
      <w:bookmarkEnd w:id="587"/>
    </w:p>
    <w:p w14:paraId="10AA914B" w14:textId="77777777" w:rsidR="00CC4E3D" w:rsidRDefault="00CC4E3D" w:rsidP="00CC4E3D">
      <w:r>
        <w:t xml:space="preserve">The early findings indicate that the TtW service is an </w:t>
      </w:r>
      <w:r w:rsidRPr="00F35FD4">
        <w:t>appropriate</w:t>
      </w:r>
      <w:r>
        <w:t xml:space="preserve"> service</w:t>
      </w:r>
      <w:r w:rsidRPr="00F35FD4">
        <w:t xml:space="preserve"> for </w:t>
      </w:r>
      <w:r>
        <w:t>helping</w:t>
      </w:r>
      <w:r w:rsidRPr="00F35FD4">
        <w:t xml:space="preserve"> </w:t>
      </w:r>
      <w:r>
        <w:t xml:space="preserve">early school leavers aged </w:t>
      </w:r>
      <w:r w:rsidRPr="00F35FD4">
        <w:t>1</w:t>
      </w:r>
      <w:r>
        <w:t xml:space="preserve">5 to </w:t>
      </w:r>
      <w:r w:rsidRPr="00F35FD4">
        <w:t>2</w:t>
      </w:r>
      <w:r>
        <w:t>1 </w:t>
      </w:r>
      <w:r w:rsidRPr="00F35FD4">
        <w:t xml:space="preserve">years who </w:t>
      </w:r>
      <w:r>
        <w:t>are</w:t>
      </w:r>
      <w:r w:rsidRPr="00F35FD4">
        <w:t xml:space="preserve"> not</w:t>
      </w:r>
      <w:r>
        <w:t xml:space="preserve"> currently</w:t>
      </w:r>
      <w:r w:rsidRPr="00F35FD4">
        <w:t xml:space="preserve"> in employment or education to </w:t>
      </w:r>
      <w:r>
        <w:t xml:space="preserve">transition into work or education. Both TtW providers and participants were satisfied with TtW for this cohort of young people because it allows for specific targeting of services for early school leavers who require more intensive support. The flexibility of the service enables providers to develop individually tailored strategies that reflect the particular needs of each participant. </w:t>
      </w:r>
    </w:p>
    <w:p w14:paraId="7A949B79" w14:textId="77777777" w:rsidR="00CC4E3D" w:rsidRDefault="00CC4E3D" w:rsidP="00CC4E3D">
      <w:r>
        <w:t xml:space="preserve">The rapid implementation of TtW created a number of challenges in the first few months of operation of the service. </w:t>
      </w:r>
      <w:r>
        <w:rPr>
          <w:rFonts w:ascii="Calibri" w:hAnsi="Calibri"/>
        </w:rPr>
        <w:t>In the provider survey, fewer</w:t>
      </w:r>
      <w:r w:rsidRPr="00574029">
        <w:rPr>
          <w:rFonts w:ascii="Calibri" w:hAnsi="Calibri"/>
        </w:rPr>
        <w:t xml:space="preserve"> than 4</w:t>
      </w:r>
      <w:r>
        <w:rPr>
          <w:rFonts w:ascii="Calibri" w:hAnsi="Calibri"/>
        </w:rPr>
        <w:t>0 per cent of provider site respondents agreed</w:t>
      </w:r>
      <w:r w:rsidRPr="00574029">
        <w:rPr>
          <w:rFonts w:ascii="Calibri" w:hAnsi="Calibri"/>
        </w:rPr>
        <w:t xml:space="preserve"> that contact details </w:t>
      </w:r>
      <w:r>
        <w:rPr>
          <w:rFonts w:ascii="Calibri" w:hAnsi="Calibri"/>
        </w:rPr>
        <w:t xml:space="preserve">for the early referrals from jobactive (the start-up caseload) </w:t>
      </w:r>
      <w:r w:rsidRPr="00574029">
        <w:rPr>
          <w:rFonts w:ascii="Calibri" w:hAnsi="Calibri"/>
        </w:rPr>
        <w:t>were accur</w:t>
      </w:r>
      <w:r>
        <w:rPr>
          <w:rFonts w:ascii="Calibri" w:hAnsi="Calibri"/>
        </w:rPr>
        <w:t>ate, and fewer than 50 per cent agreed</w:t>
      </w:r>
      <w:r w:rsidRPr="00574029">
        <w:rPr>
          <w:rFonts w:ascii="Calibri" w:hAnsi="Calibri"/>
        </w:rPr>
        <w:t xml:space="preserve"> that the </w:t>
      </w:r>
      <w:r>
        <w:rPr>
          <w:rFonts w:ascii="Calibri" w:hAnsi="Calibri"/>
        </w:rPr>
        <w:t>start-up</w:t>
      </w:r>
      <w:r w:rsidRPr="00574029">
        <w:rPr>
          <w:rFonts w:ascii="Calibri" w:hAnsi="Calibri"/>
        </w:rPr>
        <w:t xml:space="preserve"> </w:t>
      </w:r>
      <w:r>
        <w:rPr>
          <w:rFonts w:ascii="Calibri" w:hAnsi="Calibri"/>
        </w:rPr>
        <w:t>caseload transfer went smoothly. Providers also indicated that a high proportion of</w:t>
      </w:r>
      <w:r w:rsidRPr="006B48C3">
        <w:rPr>
          <w:rFonts w:ascii="Calibri" w:hAnsi="Calibri"/>
        </w:rPr>
        <w:t xml:space="preserve"> referrals </w:t>
      </w:r>
      <w:r>
        <w:rPr>
          <w:rFonts w:ascii="Calibri" w:hAnsi="Calibri"/>
        </w:rPr>
        <w:t xml:space="preserve">during the early months of operation were unsuitable but that this had improved over time. </w:t>
      </w:r>
      <w:r>
        <w:t>Providers attributed many of the early implementation issues to</w:t>
      </w:r>
      <w:r w:rsidRPr="00F35FD4">
        <w:t xml:space="preserve"> a lack of awareness</w:t>
      </w:r>
      <w:r>
        <w:t xml:space="preserve"> and understanding</w:t>
      </w:r>
      <w:r w:rsidRPr="00F35FD4">
        <w:t xml:space="preserve"> </w:t>
      </w:r>
      <w:r>
        <w:t>of the TtW service among</w:t>
      </w:r>
      <w:r w:rsidRPr="00F35FD4">
        <w:t xml:space="preserve"> participants, DHS staff and employers</w:t>
      </w:r>
      <w:r>
        <w:t xml:space="preserve">. </w:t>
      </w:r>
    </w:p>
    <w:p w14:paraId="321D57C3" w14:textId="6A5E000F" w:rsidR="00CC4E3D" w:rsidRDefault="00CC4E3D" w:rsidP="00CC4E3D">
      <w:r>
        <w:t xml:space="preserve">In general, providers said they were happy with the service they received from the </w:t>
      </w:r>
      <w:r w:rsidR="00AC1C42">
        <w:t>d</w:t>
      </w:r>
      <w:r>
        <w:t xml:space="preserve">epartment once the early implementation issues were resolved. They suggested that the </w:t>
      </w:r>
      <w:r w:rsidR="00AC1C42">
        <w:t>d</w:t>
      </w:r>
      <w:r>
        <w:t>epartment could do more to encourage jobactive providers to increase the number of referrals of suitable jobactive Stream C</w:t>
      </w:r>
      <w:r w:rsidRPr="008B4954">
        <w:t xml:space="preserve"> participants</w:t>
      </w:r>
      <w:r>
        <w:t xml:space="preserve"> to TtW.</w:t>
      </w:r>
    </w:p>
    <w:p w14:paraId="2ABC8F69" w14:textId="77777777" w:rsidR="00CC4E3D" w:rsidRPr="00FD4CA8" w:rsidRDefault="00CC4E3D" w:rsidP="001C25D9">
      <w:pPr>
        <w:pStyle w:val="Heading3"/>
        <w:numPr>
          <w:ilvl w:val="2"/>
          <w:numId w:val="4"/>
        </w:numPr>
        <w:spacing w:before="200"/>
        <w:rPr>
          <w:szCs w:val="24"/>
        </w:rPr>
      </w:pPr>
      <w:bookmarkStart w:id="588" w:name="_Toc492976353"/>
      <w:bookmarkStart w:id="589" w:name="_Toc509402635"/>
      <w:bookmarkStart w:id="590" w:name="_Toc535498934"/>
      <w:bookmarkStart w:id="591" w:name="_Toc23841414"/>
      <w:r w:rsidRPr="00FD4CA8">
        <w:rPr>
          <w:szCs w:val="24"/>
        </w:rPr>
        <w:t>Engagement-related measures</w:t>
      </w:r>
      <w:bookmarkEnd w:id="588"/>
      <w:bookmarkEnd w:id="589"/>
      <w:bookmarkEnd w:id="590"/>
      <w:bookmarkEnd w:id="591"/>
    </w:p>
    <w:p w14:paraId="1ED67222" w14:textId="77777777" w:rsidR="00CC4E3D" w:rsidRPr="00FD4CA8" w:rsidRDefault="00CC4E3D">
      <w:pPr>
        <w:pStyle w:val="Heading4"/>
      </w:pPr>
      <w:r w:rsidRPr="00FD4CA8">
        <w:t xml:space="preserve">Occupancy of funded places </w:t>
      </w:r>
    </w:p>
    <w:p w14:paraId="23E544AA" w14:textId="77777777" w:rsidR="00CC4E3D" w:rsidRDefault="00CC4E3D" w:rsidP="00CC4E3D">
      <w:r>
        <w:t>The utilisation (average occupancy rate) of</w:t>
      </w:r>
      <w:r w:rsidRPr="00823A7B">
        <w:t xml:space="preserve"> </w:t>
      </w:r>
      <w:r>
        <w:t>the TtW service’s Annual Funded Places</w:t>
      </w:r>
      <w:r w:rsidRPr="00823A7B">
        <w:t xml:space="preserve"> in </w:t>
      </w:r>
      <w:r>
        <w:t>its</w:t>
      </w:r>
      <w:r w:rsidRPr="00823A7B">
        <w:t xml:space="preserve"> first six months of operation</w:t>
      </w:r>
      <w:r>
        <w:t xml:space="preserve"> was 78 per cent. This had increased to 117 per cent by 31 January 2017, nearly 12 months after TtW began</w:t>
      </w:r>
      <w:r w:rsidRPr="00823A7B">
        <w:t xml:space="preserve">. </w:t>
      </w:r>
      <w:r>
        <w:t>When the different contract start dates are accounted for, there was a trend for the utilisation rate to increase over time as providers built their caseloads. At November 2016 more than half (around 58 per cent) of providers considered the caseload at their site to be the right size.</w:t>
      </w:r>
    </w:p>
    <w:p w14:paraId="2D87FE15" w14:textId="77777777" w:rsidR="00CC4E3D" w:rsidRDefault="00CC4E3D" w:rsidP="00CC4E3D">
      <w:pPr>
        <w:spacing w:before="240"/>
      </w:pPr>
      <w:r>
        <w:lastRenderedPageBreak/>
        <w:t xml:space="preserve">The utilisation of allocated Group Three places was short of expectations and fell between TtW’s sixth and 12th months of operation. This could be due to providers already having fulfilled their Annual Funded Places allocations from the high number of Group One participants. </w:t>
      </w:r>
    </w:p>
    <w:p w14:paraId="552B3AAD" w14:textId="77777777" w:rsidR="00CC4E3D" w:rsidRPr="00FD4CA8" w:rsidRDefault="00CC4E3D">
      <w:pPr>
        <w:pStyle w:val="Heading4"/>
      </w:pPr>
      <w:r w:rsidRPr="00FD4CA8">
        <w:t>Engagement and non-commencement</w:t>
      </w:r>
    </w:p>
    <w:p w14:paraId="7676F0E3" w14:textId="77777777" w:rsidR="00CC4E3D" w:rsidRPr="009A6E0A" w:rsidRDefault="00CC4E3D" w:rsidP="00CC4E3D">
      <w:r>
        <w:t xml:space="preserve">During the first month of operation, the median time between referral and commencement was high (16 days) for TtW referrals, which was expected given the high volume of young people transitioning across to TtW at the start of the service (approximately 40% of Annual Funded Places).This had reduced to four days by the end of the study period. </w:t>
      </w:r>
    </w:p>
    <w:p w14:paraId="4C041FD6" w14:textId="77777777" w:rsidR="00CC4E3D" w:rsidRDefault="00CC4E3D" w:rsidP="00CC4E3D">
      <w:r>
        <w:t>Despite the</w:t>
      </w:r>
      <w:r w:rsidRPr="008B4954">
        <w:t xml:space="preserve"> </w:t>
      </w:r>
      <w:r>
        <w:t xml:space="preserve">different compliance in relation to individual appointments or activities in TtW, and after allowing for a settling-in period during the first month of operation of TtW contracts, a higher proportion of </w:t>
      </w:r>
      <w:r w:rsidRPr="00823A7B">
        <w:t xml:space="preserve">young people </w:t>
      </w:r>
      <w:r>
        <w:t xml:space="preserve">in TtW were engaged </w:t>
      </w:r>
      <w:r w:rsidRPr="00823A7B">
        <w:t>during the first 3</w:t>
      </w:r>
      <w:r>
        <w:t>0 </w:t>
      </w:r>
      <w:r w:rsidRPr="00823A7B">
        <w:t>days after referra</w:t>
      </w:r>
      <w:r>
        <w:t>l than young people in the jobactive comparison group</w:t>
      </w:r>
      <w:r w:rsidRPr="00823A7B">
        <w:t xml:space="preserve">. </w:t>
      </w:r>
      <w:r>
        <w:t>More than 93 per cent of those referred to TtW</w:t>
      </w:r>
      <w:r>
        <w:rPr>
          <w:rStyle w:val="FootnoteReference"/>
        </w:rPr>
        <w:footnoteReference w:id="35"/>
      </w:r>
      <w:r>
        <w:t xml:space="preserve"> had commenced within 30 days of referral, compared with 83 per cent in the jobactive comparison group. This</w:t>
      </w:r>
      <w:r>
        <w:rPr>
          <w:rFonts w:ascii="Calibri" w:eastAsia="Times New Roman" w:hAnsi="Calibri" w:cs="Times New Roman"/>
        </w:rPr>
        <w:t xml:space="preserve"> indicates that the service is </w:t>
      </w:r>
      <w:r w:rsidRPr="00DB053B">
        <w:rPr>
          <w:rFonts w:ascii="Calibri" w:eastAsia="Times New Roman" w:hAnsi="Calibri" w:cs="Times New Roman"/>
        </w:rPr>
        <w:t>achieving its objective of targeting and engaging a cohort of young people</w:t>
      </w:r>
      <w:r w:rsidRPr="00446AC7">
        <w:rPr>
          <w:rFonts w:ascii="Calibri" w:eastAsia="Times New Roman" w:hAnsi="Calibri" w:cs="Times New Roman"/>
        </w:rPr>
        <w:t>.</w:t>
      </w:r>
    </w:p>
    <w:p w14:paraId="554639D2" w14:textId="77777777" w:rsidR="00CC4E3D" w:rsidRPr="009944CF" w:rsidRDefault="00CC4E3D" w:rsidP="00CC4E3D">
      <w:pPr>
        <w:rPr>
          <w:rFonts w:ascii="Calibri" w:hAnsi="Calibri"/>
          <w:iCs/>
          <w:spacing w:val="5"/>
          <w:szCs w:val="20"/>
        </w:rPr>
      </w:pPr>
      <w:r>
        <w:rPr>
          <w:rFonts w:ascii="Calibri" w:eastAsia="Times New Roman" w:hAnsi="Calibri" w:cs="Times New Roman"/>
        </w:rPr>
        <w:t xml:space="preserve">While jobactive had a higher non-commencement rate (the proportion of people who were referred but did not commence) in the first month after referral, there was </w:t>
      </w:r>
      <w:r w:rsidRPr="00F35FD4">
        <w:rPr>
          <w:rFonts w:ascii="Calibri" w:eastAsia="Times New Roman" w:hAnsi="Calibri" w:cs="Times New Roman"/>
        </w:rPr>
        <w:t xml:space="preserve">no meaningful difference between the overall </w:t>
      </w:r>
      <w:r>
        <w:rPr>
          <w:rFonts w:ascii="Calibri" w:eastAsia="Times New Roman" w:hAnsi="Calibri" w:cs="Times New Roman"/>
        </w:rPr>
        <w:t>non-commencement</w:t>
      </w:r>
      <w:r w:rsidRPr="00F35FD4">
        <w:rPr>
          <w:rFonts w:ascii="Calibri" w:eastAsia="Times New Roman" w:hAnsi="Calibri" w:cs="Times New Roman"/>
        </w:rPr>
        <w:t xml:space="preserve"> rate</w:t>
      </w:r>
      <w:r>
        <w:rPr>
          <w:rFonts w:ascii="Calibri" w:eastAsia="Times New Roman" w:hAnsi="Calibri" w:cs="Times New Roman"/>
        </w:rPr>
        <w:t>s</w:t>
      </w:r>
      <w:r w:rsidRPr="00F35FD4">
        <w:rPr>
          <w:rFonts w:ascii="Calibri" w:eastAsia="Times New Roman" w:hAnsi="Calibri" w:cs="Times New Roman"/>
        </w:rPr>
        <w:t xml:space="preserve"> in TtW and </w:t>
      </w:r>
      <w:r>
        <w:rPr>
          <w:rFonts w:ascii="Calibri" w:eastAsia="Times New Roman" w:hAnsi="Calibri" w:cs="Times New Roman"/>
        </w:rPr>
        <w:t xml:space="preserve">the </w:t>
      </w:r>
      <w:r w:rsidRPr="00F35FD4">
        <w:rPr>
          <w:rFonts w:ascii="Calibri" w:eastAsia="Times New Roman" w:hAnsi="Calibri" w:cs="Times New Roman"/>
        </w:rPr>
        <w:t>jobactive</w:t>
      </w:r>
      <w:r>
        <w:rPr>
          <w:rFonts w:ascii="Calibri" w:eastAsia="Times New Roman" w:hAnsi="Calibri" w:cs="Times New Roman"/>
        </w:rPr>
        <w:t xml:space="preserve"> comparison group at three months from referral</w:t>
      </w:r>
      <w:r w:rsidRPr="00F35FD4">
        <w:rPr>
          <w:rFonts w:ascii="Calibri" w:eastAsia="Times New Roman" w:hAnsi="Calibri" w:cs="Times New Roman"/>
        </w:rPr>
        <w:t>.</w:t>
      </w:r>
      <w:r w:rsidRPr="00F35FD4">
        <w:rPr>
          <w:rFonts w:ascii="Calibri" w:eastAsia="Times New Roman" w:hAnsi="Calibri" w:cs="Calibri"/>
          <w:color w:val="000000"/>
        </w:rPr>
        <w:t xml:space="preserve"> </w:t>
      </w:r>
      <w:r>
        <w:rPr>
          <w:rFonts w:ascii="Calibri" w:hAnsi="Calibri"/>
          <w:iCs/>
          <w:spacing w:val="5"/>
          <w:szCs w:val="20"/>
        </w:rPr>
        <w:t xml:space="preserve">This </w:t>
      </w:r>
      <w:r w:rsidRPr="00F35FD4">
        <w:rPr>
          <w:rFonts w:ascii="Calibri" w:hAnsi="Calibri"/>
          <w:iCs/>
          <w:spacing w:val="5"/>
          <w:szCs w:val="20"/>
        </w:rPr>
        <w:t>suggest</w:t>
      </w:r>
      <w:r>
        <w:rPr>
          <w:rFonts w:ascii="Calibri" w:hAnsi="Calibri"/>
          <w:iCs/>
          <w:spacing w:val="5"/>
          <w:szCs w:val="20"/>
        </w:rPr>
        <w:t>s that the intensive, activity-</w:t>
      </w:r>
      <w:r w:rsidRPr="00F35FD4">
        <w:rPr>
          <w:rFonts w:ascii="Calibri" w:hAnsi="Calibri"/>
          <w:iCs/>
          <w:spacing w:val="5"/>
          <w:szCs w:val="20"/>
        </w:rPr>
        <w:t xml:space="preserve">based nature of the </w:t>
      </w:r>
      <w:r>
        <w:rPr>
          <w:rFonts w:ascii="Calibri" w:hAnsi="Calibri"/>
          <w:iCs/>
          <w:spacing w:val="5"/>
          <w:szCs w:val="20"/>
        </w:rPr>
        <w:t xml:space="preserve">TtW </w:t>
      </w:r>
      <w:r w:rsidRPr="00F35FD4">
        <w:rPr>
          <w:rFonts w:ascii="Calibri" w:hAnsi="Calibri"/>
          <w:iCs/>
          <w:spacing w:val="5"/>
          <w:szCs w:val="20"/>
        </w:rPr>
        <w:t xml:space="preserve">service </w:t>
      </w:r>
      <w:r>
        <w:rPr>
          <w:rFonts w:ascii="Calibri" w:hAnsi="Calibri"/>
          <w:iCs/>
          <w:spacing w:val="5"/>
          <w:szCs w:val="20"/>
        </w:rPr>
        <w:t xml:space="preserve">may have been less attractive to some young people who were more interested after the ‘initial phase’ in getting a job quickly and elected to go to or were referred to jobactive. </w:t>
      </w:r>
    </w:p>
    <w:p w14:paraId="02250868" w14:textId="77777777" w:rsidR="00CC4E3D" w:rsidRPr="005659D5" w:rsidRDefault="00CC4E3D" w:rsidP="00CC4E3D">
      <w:pPr>
        <w:rPr>
          <w:rFonts w:ascii="Calibri" w:eastAsia="Times New Roman" w:hAnsi="Calibri" w:cs="Times New Roman"/>
        </w:rPr>
      </w:pPr>
      <w:r w:rsidRPr="005659D5">
        <w:rPr>
          <w:rFonts w:ascii="Calibri" w:eastAsia="Times New Roman" w:hAnsi="Calibri" w:cs="Times New Roman"/>
        </w:rPr>
        <w:t xml:space="preserve">TtW participants </w:t>
      </w:r>
      <w:r>
        <w:rPr>
          <w:rFonts w:ascii="Calibri" w:eastAsia="Times New Roman" w:hAnsi="Calibri" w:cs="Times New Roman"/>
        </w:rPr>
        <w:t xml:space="preserve">who did not commence </w:t>
      </w:r>
      <w:r w:rsidRPr="005659D5">
        <w:rPr>
          <w:rFonts w:ascii="Calibri" w:eastAsia="Times New Roman" w:hAnsi="Calibri" w:cs="Times New Roman"/>
        </w:rPr>
        <w:t xml:space="preserve">were more likely </w:t>
      </w:r>
      <w:r>
        <w:rPr>
          <w:rFonts w:ascii="Calibri" w:eastAsia="Times New Roman" w:hAnsi="Calibri" w:cs="Times New Roman"/>
        </w:rPr>
        <w:t xml:space="preserve">than similar participants in the jobactive comparison group </w:t>
      </w:r>
      <w:r w:rsidRPr="005659D5">
        <w:rPr>
          <w:rFonts w:ascii="Calibri" w:eastAsia="Times New Roman" w:hAnsi="Calibri" w:cs="Times New Roman"/>
        </w:rPr>
        <w:t xml:space="preserve">to be </w:t>
      </w:r>
      <w:r>
        <w:rPr>
          <w:rFonts w:ascii="Calibri" w:eastAsia="Times New Roman" w:hAnsi="Calibri" w:cs="Times New Roman"/>
        </w:rPr>
        <w:t xml:space="preserve">recorded </w:t>
      </w:r>
      <w:r w:rsidRPr="005659D5">
        <w:rPr>
          <w:rFonts w:ascii="Calibri" w:eastAsia="Times New Roman" w:hAnsi="Calibri" w:cs="Times New Roman"/>
        </w:rPr>
        <w:t xml:space="preserve">by providers </w:t>
      </w:r>
      <w:r>
        <w:rPr>
          <w:rFonts w:ascii="Calibri" w:eastAsia="Times New Roman" w:hAnsi="Calibri" w:cs="Times New Roman"/>
        </w:rPr>
        <w:t xml:space="preserve">after the first month as non-commencements </w:t>
      </w:r>
      <w:r w:rsidRPr="005659D5">
        <w:rPr>
          <w:rFonts w:ascii="Calibri" w:eastAsia="Times New Roman" w:hAnsi="Calibri" w:cs="Times New Roman"/>
        </w:rPr>
        <w:t>because they were uncontactable</w:t>
      </w:r>
      <w:r>
        <w:rPr>
          <w:rFonts w:ascii="Calibri" w:eastAsia="Times New Roman" w:hAnsi="Calibri" w:cs="Times New Roman"/>
        </w:rPr>
        <w:t xml:space="preserve"> or not participating</w:t>
      </w:r>
      <w:r w:rsidRPr="005659D5">
        <w:rPr>
          <w:rFonts w:ascii="Calibri" w:eastAsia="Times New Roman" w:hAnsi="Calibri" w:cs="Times New Roman"/>
        </w:rPr>
        <w:t xml:space="preserve">. </w:t>
      </w:r>
      <w:r>
        <w:rPr>
          <w:rFonts w:ascii="Calibri" w:eastAsia="Times New Roman" w:hAnsi="Calibri" w:cs="Times New Roman"/>
        </w:rPr>
        <w:t>The q</w:t>
      </w:r>
      <w:r w:rsidRPr="005659D5">
        <w:rPr>
          <w:rFonts w:ascii="Calibri" w:eastAsia="Times New Roman" w:hAnsi="Calibri" w:cs="Times New Roman"/>
        </w:rPr>
        <w:t xml:space="preserve">ualitative research found a high level of disengagement among referrals due to a lack of knowledge </w:t>
      </w:r>
      <w:r>
        <w:rPr>
          <w:rFonts w:ascii="Calibri" w:eastAsia="Times New Roman" w:hAnsi="Calibri" w:cs="Times New Roman"/>
        </w:rPr>
        <w:t>about</w:t>
      </w:r>
      <w:r w:rsidRPr="005659D5">
        <w:rPr>
          <w:rFonts w:ascii="Calibri" w:eastAsia="Times New Roman" w:hAnsi="Calibri" w:cs="Times New Roman"/>
        </w:rPr>
        <w:t xml:space="preserve"> TtW, negative attitudes from experiences with jobactive</w:t>
      </w:r>
      <w:r>
        <w:rPr>
          <w:rFonts w:ascii="Calibri" w:eastAsia="Times New Roman" w:hAnsi="Calibri" w:cs="Times New Roman"/>
        </w:rPr>
        <w:t>,</w:t>
      </w:r>
      <w:r w:rsidRPr="005659D5">
        <w:rPr>
          <w:rFonts w:ascii="Calibri" w:eastAsia="Times New Roman" w:hAnsi="Calibri" w:cs="Times New Roman"/>
        </w:rPr>
        <w:t xml:space="preserve"> or other difficulties such as personal problems or housing issues. After numerous unsuccessful attempts to engage these young people</w:t>
      </w:r>
      <w:r>
        <w:rPr>
          <w:rFonts w:ascii="Calibri" w:eastAsia="Times New Roman" w:hAnsi="Calibri" w:cs="Times New Roman"/>
        </w:rPr>
        <w:t xml:space="preserve"> in service,</w:t>
      </w:r>
      <w:r w:rsidRPr="005659D5">
        <w:rPr>
          <w:rFonts w:ascii="Calibri" w:eastAsia="Times New Roman" w:hAnsi="Calibri" w:cs="Times New Roman"/>
        </w:rPr>
        <w:t xml:space="preserve"> TtW providers refer</w:t>
      </w:r>
      <w:r>
        <w:rPr>
          <w:rFonts w:ascii="Calibri" w:eastAsia="Times New Roman" w:hAnsi="Calibri" w:cs="Times New Roman"/>
        </w:rPr>
        <w:t>red</w:t>
      </w:r>
      <w:r w:rsidRPr="005659D5">
        <w:rPr>
          <w:rFonts w:ascii="Calibri" w:eastAsia="Times New Roman" w:hAnsi="Calibri" w:cs="Times New Roman"/>
        </w:rPr>
        <w:t xml:space="preserve"> them to jobactive.</w:t>
      </w:r>
    </w:p>
    <w:p w14:paraId="61C02C76" w14:textId="77777777" w:rsidR="00CC4E3D" w:rsidRPr="00FD4CA8" w:rsidRDefault="00CC4E3D">
      <w:pPr>
        <w:pStyle w:val="Heading4"/>
      </w:pPr>
      <w:r w:rsidRPr="00FD4CA8">
        <w:t>Activity engagement and types of activities</w:t>
      </w:r>
    </w:p>
    <w:p w14:paraId="24768AEE" w14:textId="77777777" w:rsidR="00CC4E3D" w:rsidRPr="005659D5" w:rsidRDefault="00CC4E3D" w:rsidP="00CC4E3D">
      <w:pPr>
        <w:rPr>
          <w:rFonts w:ascii="Calibri" w:eastAsia="Times New Roman" w:hAnsi="Calibri" w:cs="Times New Roman"/>
        </w:rPr>
      </w:pPr>
      <w:r w:rsidRPr="001D788C">
        <w:rPr>
          <w:rFonts w:ascii="Calibri" w:eastAsia="Times New Roman" w:hAnsi="Calibri" w:cs="Times New Roman"/>
        </w:rPr>
        <w:t xml:space="preserve">TtW providers reported that, while some young people were initially hard to engage, once engaged participants were committed to the flexible, individualised, one-to-one support TtW offers. </w:t>
      </w:r>
      <w:r>
        <w:rPr>
          <w:rFonts w:ascii="Calibri" w:eastAsia="Times New Roman" w:hAnsi="Calibri" w:cs="Times New Roman"/>
        </w:rPr>
        <w:t>Reflecting the intensive servicing and generous funding arrangement, t</w:t>
      </w:r>
      <w:r w:rsidRPr="001D788C">
        <w:rPr>
          <w:rFonts w:ascii="Calibri" w:eastAsia="Times New Roman" w:hAnsi="Calibri" w:cs="Times New Roman"/>
        </w:rPr>
        <w:t>he proportion of participants undertaking an activity during their first six months in the service was higher for TtW participants: 45.8 per cent, compared to 18.9 per cent for participants in the jobactive comparison group. TtW participants</w:t>
      </w:r>
      <w:r w:rsidRPr="005659D5">
        <w:rPr>
          <w:rFonts w:ascii="Calibri" w:eastAsia="Times New Roman" w:hAnsi="Calibri" w:cs="Times New Roman"/>
        </w:rPr>
        <w:t xml:space="preserve"> were </w:t>
      </w:r>
      <w:r>
        <w:rPr>
          <w:rFonts w:ascii="Calibri" w:eastAsia="Times New Roman" w:hAnsi="Calibri" w:cs="Times New Roman"/>
        </w:rPr>
        <w:t xml:space="preserve">also </w:t>
      </w:r>
      <w:r w:rsidRPr="005659D5">
        <w:rPr>
          <w:rFonts w:ascii="Calibri" w:eastAsia="Times New Roman" w:hAnsi="Calibri" w:cs="Times New Roman"/>
        </w:rPr>
        <w:t>placed in an activity faster than the jobactive comparison group</w:t>
      </w:r>
      <w:r>
        <w:rPr>
          <w:rFonts w:ascii="Calibri" w:eastAsia="Times New Roman" w:hAnsi="Calibri" w:cs="Times New Roman"/>
        </w:rPr>
        <w:t xml:space="preserve">. </w:t>
      </w:r>
      <w:r w:rsidRPr="005659D5">
        <w:rPr>
          <w:rFonts w:ascii="Calibri" w:eastAsia="Times New Roman" w:hAnsi="Calibri" w:cs="Times New Roman"/>
        </w:rPr>
        <w:t>Around 3</w:t>
      </w:r>
      <w:r>
        <w:rPr>
          <w:rFonts w:ascii="Calibri" w:eastAsia="Times New Roman" w:hAnsi="Calibri" w:cs="Times New Roman"/>
        </w:rPr>
        <w:t>9 </w:t>
      </w:r>
      <w:r w:rsidRPr="005659D5">
        <w:rPr>
          <w:rFonts w:ascii="Calibri" w:eastAsia="Times New Roman" w:hAnsi="Calibri" w:cs="Times New Roman"/>
        </w:rPr>
        <w:t xml:space="preserve">per cent of TtW participants undertook at least one education and training activity. </w:t>
      </w:r>
      <w:r w:rsidRPr="005659D5">
        <w:rPr>
          <w:rFonts w:ascii="Calibri" w:eastAsia="Times New Roman" w:hAnsi="Calibri" w:cs="Times New Roman"/>
        </w:rPr>
        <w:lastRenderedPageBreak/>
        <w:t>A</w:t>
      </w:r>
      <w:r>
        <w:rPr>
          <w:rFonts w:ascii="Calibri" w:eastAsia="Times New Roman" w:hAnsi="Calibri" w:cs="Times New Roman"/>
        </w:rPr>
        <w:t> </w:t>
      </w:r>
      <w:r w:rsidRPr="005659D5">
        <w:rPr>
          <w:rFonts w:ascii="Calibri" w:eastAsia="Times New Roman" w:hAnsi="Calibri" w:cs="Times New Roman"/>
        </w:rPr>
        <w:t>Certificate</w:t>
      </w:r>
      <w:r>
        <w:rPr>
          <w:rFonts w:ascii="Calibri" w:eastAsia="Times New Roman" w:hAnsi="Calibri" w:cs="Times New Roman"/>
        </w:rPr>
        <w:t> </w:t>
      </w:r>
      <w:r w:rsidRPr="005659D5">
        <w:rPr>
          <w:rFonts w:ascii="Calibri" w:eastAsia="Times New Roman" w:hAnsi="Calibri" w:cs="Times New Roman"/>
        </w:rPr>
        <w:t xml:space="preserve">III qualification, which qualifies for an </w:t>
      </w:r>
      <w:r>
        <w:rPr>
          <w:rFonts w:ascii="Calibri" w:eastAsia="Times New Roman" w:hAnsi="Calibri" w:cs="Times New Roman"/>
        </w:rPr>
        <w:t>e</w:t>
      </w:r>
      <w:r w:rsidRPr="005659D5">
        <w:rPr>
          <w:rFonts w:ascii="Calibri" w:eastAsia="Times New Roman" w:hAnsi="Calibri" w:cs="Times New Roman"/>
        </w:rPr>
        <w:t xml:space="preserve">ducation </w:t>
      </w:r>
      <w:r>
        <w:rPr>
          <w:rFonts w:ascii="Calibri" w:eastAsia="Times New Roman" w:hAnsi="Calibri" w:cs="Times New Roman"/>
        </w:rPr>
        <w:t>o</w:t>
      </w:r>
      <w:r w:rsidRPr="005659D5">
        <w:rPr>
          <w:rFonts w:ascii="Calibri" w:eastAsia="Times New Roman" w:hAnsi="Calibri" w:cs="Times New Roman"/>
        </w:rPr>
        <w:t xml:space="preserve">utcome, was the principal </w:t>
      </w:r>
      <w:r>
        <w:rPr>
          <w:rFonts w:ascii="Calibri" w:eastAsia="Times New Roman" w:hAnsi="Calibri" w:cs="Times New Roman"/>
        </w:rPr>
        <w:t xml:space="preserve">type of </w:t>
      </w:r>
      <w:r w:rsidRPr="005659D5">
        <w:rPr>
          <w:rFonts w:ascii="Calibri" w:eastAsia="Times New Roman" w:hAnsi="Calibri" w:cs="Times New Roman"/>
        </w:rPr>
        <w:t xml:space="preserve">educational activity undertaken by </w:t>
      </w:r>
      <w:r>
        <w:rPr>
          <w:rFonts w:ascii="Calibri" w:eastAsia="Times New Roman" w:hAnsi="Calibri" w:cs="Times New Roman"/>
        </w:rPr>
        <w:t xml:space="preserve">TtW </w:t>
      </w:r>
      <w:r w:rsidRPr="005659D5">
        <w:rPr>
          <w:rFonts w:ascii="Calibri" w:eastAsia="Times New Roman" w:hAnsi="Calibri" w:cs="Times New Roman"/>
        </w:rPr>
        <w:t>participants</w:t>
      </w:r>
      <w:r>
        <w:rPr>
          <w:rFonts w:ascii="Calibri" w:eastAsia="Times New Roman" w:hAnsi="Calibri" w:cs="Times New Roman"/>
        </w:rPr>
        <w:t>,</w:t>
      </w:r>
      <w:r w:rsidRPr="005659D5">
        <w:rPr>
          <w:rFonts w:ascii="Calibri" w:eastAsia="Times New Roman" w:hAnsi="Calibri" w:cs="Times New Roman"/>
        </w:rPr>
        <w:t xml:space="preserve"> both</w:t>
      </w:r>
      <w:r>
        <w:rPr>
          <w:rFonts w:ascii="Calibri" w:eastAsia="Times New Roman" w:hAnsi="Calibri" w:cs="Times New Roman"/>
        </w:rPr>
        <w:t xml:space="preserve"> in</w:t>
      </w:r>
      <w:r w:rsidRPr="005659D5">
        <w:rPr>
          <w:rFonts w:ascii="Calibri" w:eastAsia="Times New Roman" w:hAnsi="Calibri" w:cs="Times New Roman"/>
        </w:rPr>
        <w:t xml:space="preserve"> activities </w:t>
      </w:r>
      <w:r>
        <w:rPr>
          <w:rFonts w:ascii="Calibri" w:eastAsia="Times New Roman" w:hAnsi="Calibri" w:cs="Times New Roman"/>
        </w:rPr>
        <w:t>that</w:t>
      </w:r>
      <w:r w:rsidRPr="005659D5">
        <w:rPr>
          <w:rFonts w:ascii="Calibri" w:eastAsia="Times New Roman" w:hAnsi="Calibri" w:cs="Times New Roman"/>
        </w:rPr>
        <w:t xml:space="preserve"> qualified for an </w:t>
      </w:r>
      <w:r>
        <w:rPr>
          <w:rFonts w:ascii="Calibri" w:eastAsia="Times New Roman" w:hAnsi="Calibri" w:cs="Times New Roman"/>
        </w:rPr>
        <w:t>e</w:t>
      </w:r>
      <w:r w:rsidRPr="005659D5">
        <w:rPr>
          <w:rFonts w:ascii="Calibri" w:eastAsia="Times New Roman" w:hAnsi="Calibri" w:cs="Times New Roman"/>
        </w:rPr>
        <w:t xml:space="preserve">ducation </w:t>
      </w:r>
      <w:r>
        <w:rPr>
          <w:rFonts w:ascii="Calibri" w:eastAsia="Times New Roman" w:hAnsi="Calibri" w:cs="Times New Roman"/>
        </w:rPr>
        <w:t>o</w:t>
      </w:r>
      <w:r w:rsidRPr="005659D5">
        <w:rPr>
          <w:rFonts w:ascii="Calibri" w:eastAsia="Times New Roman" w:hAnsi="Calibri" w:cs="Times New Roman"/>
        </w:rPr>
        <w:t>utcome and across all educational activities.</w:t>
      </w:r>
    </w:p>
    <w:p w14:paraId="72BC91B1" w14:textId="77777777" w:rsidR="00CC4E3D" w:rsidRDefault="00CC4E3D" w:rsidP="00CC4E3D">
      <w:pPr>
        <w:rPr>
          <w:rFonts w:ascii="Calibri" w:eastAsia="Times New Roman" w:hAnsi="Calibri" w:cs="Times New Roman"/>
        </w:rPr>
      </w:pPr>
      <w:r>
        <w:rPr>
          <w:rFonts w:ascii="Calibri" w:eastAsia="Times New Roman" w:hAnsi="Calibri" w:cs="Times New Roman"/>
        </w:rPr>
        <w:t xml:space="preserve">This reflects the design of TtW as an activity-intensive service that requires participants to undertake 25 hours per week of pre-employment activities. TtW providers can use the higher up-front payments as well as outcome payments for a wider range of education and training activities than those available to young people in jobactive. Many TtW participants also undertook work-like activities such as volunteering and work experience. </w:t>
      </w:r>
    </w:p>
    <w:p w14:paraId="472E2D36" w14:textId="77777777" w:rsidR="00CC4E3D" w:rsidRDefault="00CC4E3D" w:rsidP="00CC4E3D">
      <w:pPr>
        <w:rPr>
          <w:rFonts w:ascii="Calibri" w:eastAsia="Times New Roman" w:hAnsi="Calibri" w:cs="Times New Roman"/>
        </w:rPr>
      </w:pPr>
      <w:r>
        <w:rPr>
          <w:rFonts w:ascii="Calibri" w:eastAsia="Times New Roman" w:hAnsi="Calibri" w:cs="Times New Roman"/>
        </w:rPr>
        <w:t xml:space="preserve">By comparison, the design of jobactive focuses on achieving employment outcomes. The low administration fees and less flexible funding structure in jobactive suggests participants may be more likely undertake job search and concentrate on getting a job, rather than participating in pre-employment activities such as training and education. Young people in jobactive were more likely to undertake work-related accredited education and training activities where there is a likelihood of securing job or participate in other government programs and part-time or casual employment. </w:t>
      </w:r>
    </w:p>
    <w:p w14:paraId="51893879" w14:textId="77777777" w:rsidR="00CC4E3D" w:rsidRPr="00FD4CA8" w:rsidRDefault="00CC4E3D" w:rsidP="001C25D9">
      <w:pPr>
        <w:pStyle w:val="Heading3"/>
        <w:numPr>
          <w:ilvl w:val="2"/>
          <w:numId w:val="4"/>
        </w:numPr>
        <w:spacing w:before="200"/>
        <w:rPr>
          <w:szCs w:val="24"/>
        </w:rPr>
      </w:pPr>
      <w:bookmarkStart w:id="592" w:name="_Toc535498935"/>
      <w:bookmarkStart w:id="593" w:name="_Toc23841415"/>
      <w:r w:rsidRPr="00FD4CA8">
        <w:rPr>
          <w:szCs w:val="24"/>
        </w:rPr>
        <w:t>Exits from services</w:t>
      </w:r>
      <w:bookmarkEnd w:id="592"/>
      <w:bookmarkEnd w:id="593"/>
    </w:p>
    <w:p w14:paraId="18485B37" w14:textId="77777777" w:rsidR="00CC4E3D" w:rsidRPr="005659D5" w:rsidRDefault="00CC4E3D" w:rsidP="00CC4E3D">
      <w:pPr>
        <w:rPr>
          <w:rFonts w:ascii="Calibri" w:eastAsia="Times New Roman" w:hAnsi="Calibri" w:cs="Times New Roman"/>
        </w:rPr>
      </w:pPr>
      <w:r w:rsidRPr="005659D5">
        <w:rPr>
          <w:rFonts w:ascii="Calibri" w:eastAsia="Times New Roman" w:hAnsi="Calibri" w:cs="Times New Roman"/>
        </w:rPr>
        <w:t>During the</w:t>
      </w:r>
      <w:r>
        <w:rPr>
          <w:rFonts w:ascii="Calibri" w:eastAsia="Times New Roman" w:hAnsi="Calibri" w:cs="Times New Roman"/>
        </w:rPr>
        <w:t>ir</w:t>
      </w:r>
      <w:r w:rsidRPr="005659D5">
        <w:rPr>
          <w:rFonts w:ascii="Calibri" w:eastAsia="Times New Roman" w:hAnsi="Calibri" w:cs="Times New Roman"/>
        </w:rPr>
        <w:t xml:space="preserve"> first month after commencement, </w:t>
      </w:r>
      <w:r>
        <w:rPr>
          <w:rFonts w:ascii="Calibri" w:eastAsia="Times New Roman" w:hAnsi="Calibri" w:cs="Times New Roman"/>
        </w:rPr>
        <w:t>the</w:t>
      </w:r>
      <w:r w:rsidRPr="005659D5">
        <w:rPr>
          <w:rFonts w:ascii="Calibri" w:eastAsia="Times New Roman" w:hAnsi="Calibri" w:cs="Times New Roman"/>
        </w:rPr>
        <w:t xml:space="preserve"> jobactive </w:t>
      </w:r>
      <w:r>
        <w:rPr>
          <w:rFonts w:ascii="Calibri" w:eastAsia="Times New Roman" w:hAnsi="Calibri" w:cs="Times New Roman"/>
        </w:rPr>
        <w:t xml:space="preserve">comparison group </w:t>
      </w:r>
      <w:r w:rsidRPr="005659D5">
        <w:rPr>
          <w:rFonts w:ascii="Calibri" w:eastAsia="Times New Roman" w:hAnsi="Calibri" w:cs="Times New Roman"/>
        </w:rPr>
        <w:t>had an exit rate more than double that of TtW</w:t>
      </w:r>
      <w:r>
        <w:rPr>
          <w:rFonts w:ascii="Calibri" w:eastAsia="Times New Roman" w:hAnsi="Calibri" w:cs="Times New Roman"/>
        </w:rPr>
        <w:t xml:space="preserve"> participants</w:t>
      </w:r>
      <w:r w:rsidRPr="005659D5">
        <w:rPr>
          <w:rFonts w:ascii="Calibri" w:eastAsia="Times New Roman" w:hAnsi="Calibri" w:cs="Times New Roman"/>
        </w:rPr>
        <w:t>, but</w:t>
      </w:r>
      <w:r>
        <w:rPr>
          <w:rFonts w:ascii="Calibri" w:eastAsia="Times New Roman" w:hAnsi="Calibri" w:cs="Times New Roman"/>
        </w:rPr>
        <w:t xml:space="preserve"> the two groups had similar exit rates</w:t>
      </w:r>
      <w:r w:rsidRPr="005659D5">
        <w:rPr>
          <w:rFonts w:ascii="Calibri" w:eastAsia="Times New Roman" w:hAnsi="Calibri" w:cs="Times New Roman"/>
        </w:rPr>
        <w:t xml:space="preserve"> over the next five</w:t>
      </w:r>
      <w:r>
        <w:rPr>
          <w:rFonts w:ascii="Calibri" w:eastAsia="Times New Roman" w:hAnsi="Calibri" w:cs="Times New Roman"/>
        </w:rPr>
        <w:t xml:space="preserve"> </w:t>
      </w:r>
      <w:r w:rsidRPr="005659D5">
        <w:rPr>
          <w:rFonts w:ascii="Calibri" w:eastAsia="Times New Roman" w:hAnsi="Calibri" w:cs="Times New Roman"/>
        </w:rPr>
        <w:t xml:space="preserve">months. TtW participants were also more likely to request to exit, as might be expected given the voluntary nature of the </w:t>
      </w:r>
      <w:r>
        <w:rPr>
          <w:rFonts w:ascii="Calibri" w:eastAsia="Times New Roman" w:hAnsi="Calibri" w:cs="Times New Roman"/>
        </w:rPr>
        <w:t xml:space="preserve">service, </w:t>
      </w:r>
      <w:r w:rsidRPr="008D0D32">
        <w:rPr>
          <w:rFonts w:ascii="Calibri" w:eastAsia="Times New Roman" w:hAnsi="Calibri" w:cs="Times New Roman"/>
        </w:rPr>
        <w:t>and also due to the fact that only job seekers who have volunteered to be in jobactive have the option to request an exit.</w:t>
      </w:r>
      <w:r>
        <w:rPr>
          <w:rFonts w:ascii="Calibri" w:eastAsia="Times New Roman" w:hAnsi="Calibri" w:cs="Times New Roman"/>
        </w:rPr>
        <w:t xml:space="preserve"> </w:t>
      </w:r>
      <w:r w:rsidRPr="005659D5">
        <w:rPr>
          <w:rFonts w:ascii="Calibri" w:eastAsia="Times New Roman" w:hAnsi="Calibri" w:cs="Times New Roman"/>
        </w:rPr>
        <w:t xml:space="preserve">Young people with </w:t>
      </w:r>
      <w:r>
        <w:rPr>
          <w:rFonts w:ascii="Calibri" w:eastAsia="Times New Roman" w:hAnsi="Calibri" w:cs="Times New Roman"/>
        </w:rPr>
        <w:t>Mutual Obligation Requirements</w:t>
      </w:r>
      <w:r w:rsidRPr="005659D5">
        <w:rPr>
          <w:rFonts w:ascii="Calibri" w:eastAsia="Times New Roman" w:hAnsi="Calibri" w:cs="Times New Roman"/>
        </w:rPr>
        <w:t xml:space="preserve"> </w:t>
      </w:r>
      <w:r>
        <w:rPr>
          <w:rFonts w:ascii="Calibri" w:eastAsia="Times New Roman" w:hAnsi="Calibri" w:cs="Times New Roman"/>
        </w:rPr>
        <w:t>were</w:t>
      </w:r>
      <w:r w:rsidRPr="005659D5">
        <w:rPr>
          <w:rFonts w:ascii="Calibri" w:eastAsia="Times New Roman" w:hAnsi="Calibri" w:cs="Times New Roman"/>
        </w:rPr>
        <w:t xml:space="preserve"> referred to jobactive </w:t>
      </w:r>
      <w:r>
        <w:rPr>
          <w:rFonts w:ascii="Calibri" w:eastAsia="Times New Roman" w:hAnsi="Calibri" w:cs="Times New Roman"/>
        </w:rPr>
        <w:t>when they</w:t>
      </w:r>
      <w:r w:rsidRPr="005659D5">
        <w:rPr>
          <w:rFonts w:ascii="Calibri" w:eastAsia="Times New Roman" w:hAnsi="Calibri" w:cs="Times New Roman"/>
        </w:rPr>
        <w:t xml:space="preserve"> exit</w:t>
      </w:r>
      <w:r>
        <w:rPr>
          <w:rFonts w:ascii="Calibri" w:eastAsia="Times New Roman" w:hAnsi="Calibri" w:cs="Times New Roman"/>
        </w:rPr>
        <w:t>ed</w:t>
      </w:r>
      <w:r w:rsidRPr="005659D5">
        <w:rPr>
          <w:rFonts w:ascii="Calibri" w:eastAsia="Times New Roman" w:hAnsi="Calibri" w:cs="Times New Roman"/>
        </w:rPr>
        <w:t xml:space="preserve"> from TtW.</w:t>
      </w:r>
    </w:p>
    <w:p w14:paraId="2AE01DFB" w14:textId="04330014" w:rsidR="00CC4E3D" w:rsidRPr="005659D5" w:rsidRDefault="00CC4E3D" w:rsidP="00CC4E3D">
      <w:pPr>
        <w:rPr>
          <w:rFonts w:ascii="Calibri" w:eastAsia="Times New Roman" w:hAnsi="Calibri" w:cs="Times New Roman"/>
        </w:rPr>
      </w:pPr>
      <w:r>
        <w:rPr>
          <w:rFonts w:ascii="Calibri" w:eastAsia="Times New Roman" w:hAnsi="Calibri" w:cs="Times New Roman"/>
        </w:rPr>
        <w:t>A frequently recorded reason</w:t>
      </w:r>
      <w:r w:rsidRPr="005659D5">
        <w:rPr>
          <w:rFonts w:ascii="Calibri" w:eastAsia="Times New Roman" w:hAnsi="Calibri" w:cs="Times New Roman"/>
        </w:rPr>
        <w:t xml:space="preserve"> for participants in both </w:t>
      </w:r>
      <w:r>
        <w:rPr>
          <w:rFonts w:ascii="Calibri" w:eastAsia="Times New Roman" w:hAnsi="Calibri" w:cs="Times New Roman"/>
        </w:rPr>
        <w:t>TtW and jobactive</w:t>
      </w:r>
      <w:r w:rsidRPr="005659D5">
        <w:rPr>
          <w:rFonts w:ascii="Calibri" w:eastAsia="Times New Roman" w:hAnsi="Calibri" w:cs="Times New Roman"/>
        </w:rPr>
        <w:t xml:space="preserve"> exiting services was ‘changed services’. This</w:t>
      </w:r>
      <w:r>
        <w:rPr>
          <w:rFonts w:ascii="Calibri" w:eastAsia="Times New Roman" w:hAnsi="Calibri" w:cs="Times New Roman"/>
        </w:rPr>
        <w:t xml:space="preserve"> may</w:t>
      </w:r>
      <w:r w:rsidRPr="005659D5">
        <w:rPr>
          <w:rFonts w:ascii="Calibri" w:eastAsia="Times New Roman" w:hAnsi="Calibri" w:cs="Times New Roman"/>
        </w:rPr>
        <w:t xml:space="preserve"> indicate that TtW and jobactive providers </w:t>
      </w:r>
      <w:r>
        <w:rPr>
          <w:rFonts w:eastAsia="Times New Roman"/>
        </w:rPr>
        <w:t>took an initial period to assess the needs of some job seekers before referring them to other employment services</w:t>
      </w:r>
      <w:r w:rsidRPr="005659D5">
        <w:rPr>
          <w:rFonts w:ascii="Calibri" w:eastAsia="Times New Roman" w:hAnsi="Calibri" w:cs="Times New Roman"/>
        </w:rPr>
        <w:t xml:space="preserve"> during the early months</w:t>
      </w:r>
      <w:r>
        <w:rPr>
          <w:rFonts w:ascii="Calibri" w:eastAsia="Times New Roman" w:hAnsi="Calibri" w:cs="Times New Roman"/>
        </w:rPr>
        <w:t>.</w:t>
      </w:r>
      <w:r w:rsidRPr="005659D5">
        <w:rPr>
          <w:rFonts w:ascii="Calibri" w:eastAsia="Times New Roman" w:hAnsi="Calibri" w:cs="Times New Roman"/>
        </w:rPr>
        <w:t xml:space="preserve"> </w:t>
      </w:r>
      <w:r>
        <w:rPr>
          <w:rFonts w:ascii="Calibri" w:eastAsia="Times New Roman" w:hAnsi="Calibri" w:cs="Times New Roman"/>
        </w:rPr>
        <w:t xml:space="preserve">However, there are also other driving factors such as a change initiated by DHS, a participant locating to a different region, or a change in the participant’s circumstances. </w:t>
      </w:r>
    </w:p>
    <w:p w14:paraId="72EAE738" w14:textId="77777777" w:rsidR="00CC4E3D" w:rsidRPr="00FD4CA8" w:rsidRDefault="00CC4E3D" w:rsidP="001C25D9">
      <w:pPr>
        <w:pStyle w:val="Heading3"/>
        <w:numPr>
          <w:ilvl w:val="2"/>
          <w:numId w:val="4"/>
        </w:numPr>
        <w:spacing w:before="200"/>
        <w:rPr>
          <w:szCs w:val="24"/>
        </w:rPr>
      </w:pPr>
      <w:bookmarkStart w:id="594" w:name="_Toc492976354"/>
      <w:bookmarkStart w:id="595" w:name="_Toc509402636"/>
      <w:bookmarkStart w:id="596" w:name="_Toc535498936"/>
      <w:bookmarkStart w:id="597" w:name="_Toc23841416"/>
      <w:r w:rsidRPr="00FD4CA8">
        <w:rPr>
          <w:szCs w:val="24"/>
        </w:rPr>
        <w:t>Outcomes</w:t>
      </w:r>
      <w:bookmarkEnd w:id="594"/>
      <w:bookmarkEnd w:id="595"/>
      <w:bookmarkEnd w:id="596"/>
      <w:bookmarkEnd w:id="597"/>
    </w:p>
    <w:p w14:paraId="38B542A9" w14:textId="77777777" w:rsidR="00CC4E3D" w:rsidRPr="00FD4CA8" w:rsidRDefault="00CC4E3D">
      <w:pPr>
        <w:pStyle w:val="Heading4"/>
      </w:pPr>
      <w:r w:rsidRPr="00FD4CA8">
        <w:t>Approved outcomes</w:t>
      </w:r>
    </w:p>
    <w:p w14:paraId="1CCB15DA" w14:textId="77777777" w:rsidR="00CC4E3D" w:rsidRPr="005659D5" w:rsidRDefault="00CC4E3D" w:rsidP="00CC4E3D">
      <w:pPr>
        <w:rPr>
          <w:rFonts w:ascii="Calibri" w:eastAsia="Times New Roman" w:hAnsi="Calibri" w:cs="Times New Roman"/>
        </w:rPr>
      </w:pPr>
      <w:r>
        <w:rPr>
          <w:rFonts w:ascii="Calibri" w:eastAsia="Times New Roman" w:hAnsi="Calibri" w:cs="Times New Roman"/>
        </w:rPr>
        <w:t>For more</w:t>
      </w:r>
      <w:r w:rsidRPr="005659D5">
        <w:rPr>
          <w:rFonts w:ascii="Calibri" w:eastAsia="Times New Roman" w:hAnsi="Calibri" w:cs="Times New Roman"/>
        </w:rPr>
        <w:t xml:space="preserve"> </w:t>
      </w:r>
      <w:r>
        <w:rPr>
          <w:rFonts w:ascii="Calibri" w:eastAsia="Times New Roman" w:hAnsi="Calibri" w:cs="Times New Roman"/>
        </w:rPr>
        <w:t>than</w:t>
      </w:r>
      <w:r w:rsidRPr="005659D5">
        <w:rPr>
          <w:rFonts w:ascii="Calibri" w:eastAsia="Times New Roman" w:hAnsi="Calibri" w:cs="Times New Roman"/>
        </w:rPr>
        <w:t xml:space="preserve"> 5</w:t>
      </w:r>
      <w:r>
        <w:rPr>
          <w:rFonts w:ascii="Calibri" w:eastAsia="Times New Roman" w:hAnsi="Calibri" w:cs="Times New Roman"/>
        </w:rPr>
        <w:t>0 </w:t>
      </w:r>
      <w:r w:rsidRPr="005659D5">
        <w:rPr>
          <w:rFonts w:ascii="Calibri" w:eastAsia="Times New Roman" w:hAnsi="Calibri" w:cs="Times New Roman"/>
        </w:rPr>
        <w:t xml:space="preserve">per cent of all provider contracts, </w:t>
      </w:r>
      <w:r>
        <w:rPr>
          <w:rFonts w:ascii="Calibri" w:eastAsia="Times New Roman" w:hAnsi="Calibri" w:cs="Times New Roman"/>
        </w:rPr>
        <w:t xml:space="preserve">the </w:t>
      </w:r>
      <w:r w:rsidRPr="005659D5">
        <w:rPr>
          <w:rFonts w:ascii="Calibri" w:eastAsia="Times New Roman" w:hAnsi="Calibri" w:cs="Times New Roman"/>
        </w:rPr>
        <w:t xml:space="preserve">allocated quarterly </w:t>
      </w:r>
      <w:r>
        <w:rPr>
          <w:rFonts w:ascii="Calibri" w:eastAsia="Times New Roman" w:hAnsi="Calibri" w:cs="Times New Roman"/>
        </w:rPr>
        <w:t>Outcome Performance Target</w:t>
      </w:r>
      <w:r w:rsidRPr="005659D5">
        <w:rPr>
          <w:rFonts w:ascii="Calibri" w:eastAsia="Times New Roman" w:hAnsi="Calibri" w:cs="Times New Roman"/>
        </w:rPr>
        <w:t>s were achieved or exceeded in the March quarter 2017</w:t>
      </w:r>
      <w:r>
        <w:rPr>
          <w:rFonts w:ascii="Calibri" w:eastAsia="Times New Roman" w:hAnsi="Calibri" w:cs="Times New Roman"/>
        </w:rPr>
        <w:t>–18</w:t>
      </w:r>
      <w:r w:rsidRPr="005659D5">
        <w:rPr>
          <w:rFonts w:ascii="Calibri" w:eastAsia="Times New Roman" w:hAnsi="Calibri" w:cs="Times New Roman"/>
        </w:rPr>
        <w:t xml:space="preserve">. A total of </w:t>
      </w:r>
      <w:r w:rsidRPr="00EC1AE7">
        <w:rPr>
          <w:rFonts w:ascii="Calibri" w:eastAsia="Times New Roman" w:hAnsi="Calibri" w:cs="Times New Roman"/>
        </w:rPr>
        <w:t>4</w:t>
      </w:r>
      <w:r w:rsidRPr="00B822AD">
        <w:rPr>
          <w:rFonts w:ascii="Calibri" w:eastAsia="Times New Roman" w:hAnsi="Calibri" w:cs="Times New Roman"/>
        </w:rPr>
        <w:t>71</w:t>
      </w:r>
      <w:r>
        <w:rPr>
          <w:rFonts w:ascii="Calibri" w:eastAsia="Times New Roman" w:hAnsi="Calibri" w:cs="Times New Roman"/>
        </w:rPr>
        <w:t>6 </w:t>
      </w:r>
      <w:r w:rsidRPr="005659D5">
        <w:rPr>
          <w:rFonts w:ascii="Calibri" w:eastAsia="Times New Roman" w:hAnsi="Calibri" w:cs="Times New Roman"/>
        </w:rPr>
        <w:t>outcomes were achieved across the TtW population by the end of March 2017</w:t>
      </w:r>
      <w:r>
        <w:rPr>
          <w:rFonts w:ascii="Calibri" w:eastAsia="Times New Roman" w:hAnsi="Calibri" w:cs="Times New Roman"/>
        </w:rPr>
        <w:t>,</w:t>
      </w:r>
      <w:r w:rsidRPr="005659D5">
        <w:rPr>
          <w:rFonts w:ascii="Calibri" w:eastAsia="Times New Roman" w:hAnsi="Calibri" w:cs="Times New Roman"/>
        </w:rPr>
        <w:t xml:space="preserve"> of which 372</w:t>
      </w:r>
      <w:r>
        <w:rPr>
          <w:rFonts w:ascii="Calibri" w:eastAsia="Times New Roman" w:hAnsi="Calibri" w:cs="Times New Roman"/>
        </w:rPr>
        <w:t>9 </w:t>
      </w:r>
      <w:r w:rsidRPr="005659D5">
        <w:rPr>
          <w:rFonts w:ascii="Calibri" w:eastAsia="Times New Roman" w:hAnsi="Calibri" w:cs="Times New Roman"/>
        </w:rPr>
        <w:t xml:space="preserve">were </w:t>
      </w:r>
      <w:r>
        <w:rPr>
          <w:rFonts w:ascii="Calibri" w:eastAsia="Times New Roman" w:hAnsi="Calibri" w:cs="Times New Roman"/>
        </w:rPr>
        <w:t>e</w:t>
      </w:r>
      <w:r w:rsidRPr="005659D5">
        <w:rPr>
          <w:rFonts w:ascii="Calibri" w:eastAsia="Times New Roman" w:hAnsi="Calibri" w:cs="Times New Roman"/>
        </w:rPr>
        <w:t xml:space="preserve">mployment </w:t>
      </w:r>
      <w:r>
        <w:rPr>
          <w:rFonts w:ascii="Calibri" w:eastAsia="Times New Roman" w:hAnsi="Calibri" w:cs="Times New Roman"/>
        </w:rPr>
        <w:t>o</w:t>
      </w:r>
      <w:r w:rsidRPr="005659D5">
        <w:rPr>
          <w:rFonts w:ascii="Calibri" w:eastAsia="Times New Roman" w:hAnsi="Calibri" w:cs="Times New Roman"/>
        </w:rPr>
        <w:t>utcomes (1</w:t>
      </w:r>
      <w:r>
        <w:rPr>
          <w:rFonts w:ascii="Calibri" w:eastAsia="Times New Roman" w:hAnsi="Calibri" w:cs="Times New Roman"/>
        </w:rPr>
        <w:t>2 </w:t>
      </w:r>
      <w:r w:rsidRPr="005659D5">
        <w:rPr>
          <w:rFonts w:ascii="Calibri" w:eastAsia="Times New Roman" w:hAnsi="Calibri" w:cs="Times New Roman"/>
        </w:rPr>
        <w:t>and 2</w:t>
      </w:r>
      <w:r>
        <w:rPr>
          <w:rFonts w:ascii="Calibri" w:eastAsia="Times New Roman" w:hAnsi="Calibri" w:cs="Times New Roman"/>
        </w:rPr>
        <w:t>6 </w:t>
      </w:r>
      <w:r w:rsidRPr="005659D5">
        <w:rPr>
          <w:rFonts w:ascii="Calibri" w:eastAsia="Times New Roman" w:hAnsi="Calibri" w:cs="Times New Roman"/>
        </w:rPr>
        <w:t>week)</w:t>
      </w:r>
      <w:r>
        <w:rPr>
          <w:rFonts w:ascii="Calibri" w:eastAsia="Times New Roman" w:hAnsi="Calibri" w:cs="Times New Roman"/>
        </w:rPr>
        <w:t>, indicating a strong focus on labour market outcomes.</w:t>
      </w:r>
    </w:p>
    <w:p w14:paraId="36121879" w14:textId="77777777" w:rsidR="00CC4E3D" w:rsidRPr="00FD4CA8" w:rsidRDefault="00CC4E3D">
      <w:pPr>
        <w:pStyle w:val="Heading4"/>
      </w:pPr>
      <w:r w:rsidRPr="00FD4CA8">
        <w:t>Labour market attachment</w:t>
      </w:r>
    </w:p>
    <w:p w14:paraId="6F41B059" w14:textId="77777777" w:rsidR="00CC4E3D" w:rsidRPr="005659D5" w:rsidRDefault="00CC4E3D" w:rsidP="00CC4E3D">
      <w:pPr>
        <w:rPr>
          <w:rFonts w:ascii="Calibri" w:eastAsia="Times New Roman" w:hAnsi="Calibri" w:cs="Times New Roman"/>
        </w:rPr>
      </w:pPr>
      <w:r w:rsidRPr="005659D5">
        <w:rPr>
          <w:rFonts w:ascii="Calibri" w:eastAsia="Times New Roman" w:hAnsi="Calibri" w:cs="Times New Roman"/>
        </w:rPr>
        <w:t>Attachment to the labour market over the study period (six months from referral) was higher for TtW</w:t>
      </w:r>
      <w:r w:rsidRPr="005659D5" w:rsidDel="00CE39C1">
        <w:rPr>
          <w:rFonts w:ascii="Calibri" w:eastAsia="Times New Roman" w:hAnsi="Calibri" w:cs="Times New Roman"/>
        </w:rPr>
        <w:t xml:space="preserve"> </w:t>
      </w:r>
      <w:r w:rsidRPr="005659D5">
        <w:rPr>
          <w:rFonts w:ascii="Calibri" w:eastAsia="Times New Roman" w:hAnsi="Calibri" w:cs="Times New Roman"/>
        </w:rPr>
        <w:t>participants than for jobactive participants (by 4.</w:t>
      </w:r>
      <w:r>
        <w:rPr>
          <w:rFonts w:ascii="Calibri" w:eastAsia="Times New Roman" w:hAnsi="Calibri" w:cs="Times New Roman"/>
        </w:rPr>
        <w:t>3 </w:t>
      </w:r>
      <w:r w:rsidRPr="005659D5">
        <w:rPr>
          <w:rFonts w:ascii="Calibri" w:eastAsia="Times New Roman" w:hAnsi="Calibri" w:cs="Times New Roman"/>
        </w:rPr>
        <w:t>percentage points). This indicates that greater participation in education and training activities was not at the cost of labour market attachment.</w:t>
      </w:r>
    </w:p>
    <w:p w14:paraId="461730BB" w14:textId="77777777" w:rsidR="00CC4E3D" w:rsidRPr="00FD4CA8" w:rsidRDefault="00CC4E3D">
      <w:pPr>
        <w:pStyle w:val="Heading4"/>
      </w:pPr>
      <w:r w:rsidRPr="00FD4CA8">
        <w:lastRenderedPageBreak/>
        <w:t>Positive outcome measure</w:t>
      </w:r>
    </w:p>
    <w:p w14:paraId="02B54D14" w14:textId="77777777" w:rsidR="00CC4E3D" w:rsidRDefault="00CC4E3D" w:rsidP="00CC4E3D">
      <w:r w:rsidRPr="000678AA">
        <w:t>The positive outcome measure</w:t>
      </w:r>
      <w:r>
        <w:t>,</w:t>
      </w:r>
      <w:r w:rsidRPr="000678AA">
        <w:t xml:space="preserve"> which includes </w:t>
      </w:r>
      <w:r>
        <w:t>study</w:t>
      </w:r>
      <w:r w:rsidRPr="000678AA">
        <w:t xml:space="preserve"> in education courses </w:t>
      </w:r>
      <w:r>
        <w:t xml:space="preserve">that </w:t>
      </w:r>
      <w:r w:rsidRPr="000678AA">
        <w:t>qualif</w:t>
      </w:r>
      <w:r>
        <w:t>ies</w:t>
      </w:r>
      <w:r w:rsidRPr="000678AA">
        <w:t xml:space="preserve"> for an outcome payment as well as the employment indicators</w:t>
      </w:r>
      <w:r>
        <w:t>,</w:t>
      </w:r>
      <w:r w:rsidRPr="000678AA">
        <w:t xml:space="preserve"> was considerably higher for TtW participants</w:t>
      </w:r>
      <w:r>
        <w:t>. At the six-month point, this had increased to a difference of 7.5 percentage points between the TtW and jobactive study populations, consistent with the broader TtW focus.</w:t>
      </w:r>
    </w:p>
    <w:p w14:paraId="005AB543" w14:textId="77777777" w:rsidR="00CC4E3D" w:rsidRPr="00FD4CA8" w:rsidRDefault="00CC4E3D" w:rsidP="001C25D9">
      <w:pPr>
        <w:pStyle w:val="Heading3"/>
        <w:numPr>
          <w:ilvl w:val="2"/>
          <w:numId w:val="4"/>
        </w:numPr>
        <w:spacing w:before="200"/>
        <w:rPr>
          <w:szCs w:val="24"/>
        </w:rPr>
      </w:pPr>
      <w:bookmarkStart w:id="598" w:name="_Toc509402637"/>
      <w:bookmarkStart w:id="599" w:name="_Toc535498937"/>
      <w:bookmarkStart w:id="600" w:name="_Toc23841417"/>
      <w:r w:rsidRPr="00FD4CA8">
        <w:rPr>
          <w:szCs w:val="24"/>
        </w:rPr>
        <w:t>Stakeholder</w:t>
      </w:r>
      <w:bookmarkEnd w:id="598"/>
      <w:r w:rsidRPr="00FD4CA8">
        <w:rPr>
          <w:szCs w:val="24"/>
        </w:rPr>
        <w:t xml:space="preserve"> suggestions for improving the TtW service</w:t>
      </w:r>
      <w:bookmarkEnd w:id="599"/>
      <w:bookmarkEnd w:id="600"/>
    </w:p>
    <w:p w14:paraId="32E87946" w14:textId="77777777" w:rsidR="00CC4E3D" w:rsidRDefault="00CC4E3D" w:rsidP="00CC4E3D">
      <w:r w:rsidRPr="003A170C">
        <w:t xml:space="preserve">Overall the TtW </w:t>
      </w:r>
      <w:r>
        <w:t>service</w:t>
      </w:r>
      <w:r w:rsidRPr="003A170C">
        <w:t xml:space="preserve"> was positively received by all stakeholders</w:t>
      </w:r>
      <w:r>
        <w:t>:</w:t>
      </w:r>
      <w:r w:rsidRPr="003A170C">
        <w:t xml:space="preserve"> participants, providers, DHS</w:t>
      </w:r>
      <w:r>
        <w:t xml:space="preserve"> staff</w:t>
      </w:r>
      <w:r w:rsidRPr="003A170C">
        <w:t>, peak bod</w:t>
      </w:r>
      <w:r>
        <w:t>y representatives,</w:t>
      </w:r>
      <w:r w:rsidRPr="003A170C">
        <w:t xml:space="preserve"> and employers. </w:t>
      </w:r>
      <w:r>
        <w:t>Stakeholders agreed that t</w:t>
      </w:r>
      <w:r w:rsidRPr="003A170C">
        <w:t xml:space="preserve">he </w:t>
      </w:r>
      <w:r>
        <w:t>service gives</w:t>
      </w:r>
      <w:r w:rsidRPr="003A170C">
        <w:t xml:space="preserve"> providers the opportunity to deliver a flexible, holistic service to support </w:t>
      </w:r>
      <w:r>
        <w:t xml:space="preserve">a cohort of </w:t>
      </w:r>
      <w:r w:rsidRPr="003A170C">
        <w:t xml:space="preserve">young people on their path to employment or </w:t>
      </w:r>
      <w:r>
        <w:t xml:space="preserve">further </w:t>
      </w:r>
      <w:r w:rsidRPr="003A170C">
        <w:t xml:space="preserve">education. </w:t>
      </w:r>
    </w:p>
    <w:p w14:paraId="1B814A2B" w14:textId="0A061008" w:rsidR="00CC4E3D" w:rsidRPr="00FD4CA8" w:rsidRDefault="00CC4E3D">
      <w:pPr>
        <w:pStyle w:val="Heading4"/>
      </w:pPr>
      <w:r w:rsidRPr="00FD4CA8">
        <w:t xml:space="preserve">Support and guidance from the </w:t>
      </w:r>
      <w:r w:rsidR="00AC1C42">
        <w:t>d</w:t>
      </w:r>
      <w:r w:rsidRPr="00FD4CA8">
        <w:t>epartment</w:t>
      </w:r>
    </w:p>
    <w:p w14:paraId="4A0711BD" w14:textId="0618B1AE" w:rsidR="00CC4E3D" w:rsidRPr="00BB6608" w:rsidRDefault="00CC4E3D" w:rsidP="00CC4E3D">
      <w:pPr>
        <w:tabs>
          <w:tab w:val="left" w:pos="1865"/>
        </w:tabs>
        <w:rPr>
          <w:rFonts w:ascii="Calibri" w:hAnsi="Calibri"/>
        </w:rPr>
      </w:pPr>
      <w:r>
        <w:t>Some p</w:t>
      </w:r>
      <w:r w:rsidRPr="002B48B7">
        <w:t xml:space="preserve">roviders </w:t>
      </w:r>
      <w:r>
        <w:t xml:space="preserve">who had not previously delivered jobactive services </w:t>
      </w:r>
      <w:r w:rsidRPr="002B48B7">
        <w:t xml:space="preserve">acknowledged that they would have benefited from additional </w:t>
      </w:r>
      <w:r w:rsidRPr="0065530C">
        <w:t xml:space="preserve">training </w:t>
      </w:r>
      <w:r>
        <w:t xml:space="preserve">on use of the </w:t>
      </w:r>
      <w:r w:rsidR="00AC1C42">
        <w:t>d</w:t>
      </w:r>
      <w:r>
        <w:t xml:space="preserve">epartment’s IT system </w:t>
      </w:r>
      <w:r>
        <w:rPr>
          <w:rFonts w:ascii="Calibri" w:hAnsi="Calibri"/>
        </w:rPr>
        <w:t xml:space="preserve">and </w:t>
      </w:r>
      <w:r w:rsidRPr="00BB6608">
        <w:rPr>
          <w:rFonts w:ascii="Calibri" w:hAnsi="Calibri"/>
        </w:rPr>
        <w:t>more practical examples of likely situations that could arise and how to deal with them</w:t>
      </w:r>
      <w:r>
        <w:rPr>
          <w:rFonts w:ascii="Calibri" w:hAnsi="Calibri"/>
        </w:rPr>
        <w:t xml:space="preserve"> in program guidelines</w:t>
      </w:r>
      <w:r w:rsidRPr="00BB6608">
        <w:rPr>
          <w:rFonts w:ascii="Calibri" w:hAnsi="Calibri"/>
        </w:rPr>
        <w:t xml:space="preserve">. </w:t>
      </w:r>
    </w:p>
    <w:p w14:paraId="0C404965" w14:textId="624C1482" w:rsidR="00CC4E3D" w:rsidRDefault="00CC4E3D" w:rsidP="005A1B8D">
      <w:r w:rsidRPr="00A326FE">
        <w:t xml:space="preserve">A number of providers said that communication between the </w:t>
      </w:r>
      <w:r w:rsidR="00AC1C42">
        <w:t>d</w:t>
      </w:r>
      <w:r w:rsidRPr="00A326FE">
        <w:t xml:space="preserve">epartment and DHS could be improved by focusing not only on system needs but also on the support needs of TtW participants. Providers also indicated that they wanted more information from the </w:t>
      </w:r>
      <w:r w:rsidR="00AC1C42">
        <w:t>d</w:t>
      </w:r>
      <w:r w:rsidRPr="00A326FE">
        <w:t>epartment about their performance.</w:t>
      </w:r>
    </w:p>
    <w:p w14:paraId="194C50FB" w14:textId="5A3D845B" w:rsidR="00CC4E3D" w:rsidRPr="00FD4CA8" w:rsidRDefault="00CC4E3D">
      <w:pPr>
        <w:pStyle w:val="Heading4"/>
      </w:pPr>
      <w:r w:rsidRPr="00FD4CA8">
        <w:t>Suggestions for expanding the service</w:t>
      </w:r>
    </w:p>
    <w:p w14:paraId="1FCB63E2" w14:textId="77777777" w:rsidR="00CC4E3D" w:rsidRPr="00ED50C2" w:rsidRDefault="00CC4E3D" w:rsidP="00CC4E3D">
      <w:r>
        <w:t xml:space="preserve">Some </w:t>
      </w:r>
      <w:r w:rsidRPr="00ED50C2">
        <w:t>providers suppor</w:t>
      </w:r>
      <w:r>
        <w:t>ted access to stronger compliance options to better engage participants that are exited for not participating appropriately.</w:t>
      </w:r>
      <w:r w:rsidRPr="00ED50C2">
        <w:t xml:space="preserve"> </w:t>
      </w:r>
    </w:p>
    <w:p w14:paraId="58C39F81" w14:textId="77777777" w:rsidR="00CC4E3D" w:rsidRDefault="00CC4E3D" w:rsidP="00CC4E3D">
      <w:r>
        <w:t>Some providers and participants suggested expanding TtW by raising the age limit for eligibility to 24 or 25 years, to align with the Youth Allowance (Student) payment</w:t>
      </w:r>
      <w:r w:rsidRPr="000421DE">
        <w:t xml:space="preserve"> </w:t>
      </w:r>
      <w:r>
        <w:t xml:space="preserve">and an </w:t>
      </w:r>
      <w:r w:rsidRPr="000421DE">
        <w:t>extension beyond 1</w:t>
      </w:r>
      <w:r>
        <w:t>2 </w:t>
      </w:r>
      <w:r w:rsidRPr="000421DE">
        <w:t>months</w:t>
      </w:r>
      <w:r>
        <w:t xml:space="preserve"> for some participants</w:t>
      </w:r>
      <w:r w:rsidRPr="000421DE">
        <w:t>, on a case-by-case basis,</w:t>
      </w:r>
      <w:r>
        <w:t xml:space="preserve"> to gain the self-confidence, skills and qualifications needed </w:t>
      </w:r>
      <w:r w:rsidRPr="000421DE">
        <w:t>to reach their educational and employment goals</w:t>
      </w:r>
      <w:r>
        <w:t>.</w:t>
      </w:r>
      <w:r w:rsidRPr="000421DE">
        <w:t xml:space="preserve"> </w:t>
      </w:r>
    </w:p>
    <w:p w14:paraId="63CAFFDD" w14:textId="3AE9FEDA" w:rsidR="00CC4E3D" w:rsidRDefault="00CC4E3D" w:rsidP="00CC4E3D">
      <w:r>
        <w:t>A number of stakeholders</w:t>
      </w:r>
      <w:r w:rsidRPr="009E083F">
        <w:t xml:space="preserve"> </w:t>
      </w:r>
      <w:r>
        <w:t>suggested there may be benefits in reducing the waiting period for</w:t>
      </w:r>
      <w:r w:rsidRPr="009E083F">
        <w:t xml:space="preserve"> </w:t>
      </w:r>
      <w:r>
        <w:t>Group </w:t>
      </w:r>
      <w:r w:rsidRPr="008B4954">
        <w:t>Two</w:t>
      </w:r>
      <w:r w:rsidRPr="009E083F">
        <w:t xml:space="preserve"> </w:t>
      </w:r>
      <w:r>
        <w:t>participants</w:t>
      </w:r>
      <w:r w:rsidRPr="009E083F">
        <w:t xml:space="preserve"> significantly or remov</w:t>
      </w:r>
      <w:r>
        <w:t>ing it</w:t>
      </w:r>
      <w:r w:rsidRPr="009E083F">
        <w:t xml:space="preserve"> altogether</w:t>
      </w:r>
      <w:r>
        <w:t>,</w:t>
      </w:r>
      <w:r w:rsidRPr="009E083F">
        <w:t xml:space="preserve"> to allow for direct registration of young people straight from school</w:t>
      </w:r>
      <w:r>
        <w:t>.</w:t>
      </w:r>
      <w:r w:rsidRPr="009E083F">
        <w:t xml:space="preserve"> </w:t>
      </w:r>
      <w:bookmarkEnd w:id="579"/>
    </w:p>
    <w:p w14:paraId="7DC69F9E" w14:textId="77777777" w:rsidR="00CC4E3D" w:rsidRDefault="00CC4E3D" w:rsidP="00CC4E3D">
      <w:pPr>
        <w:sectPr w:rsidR="00CC4E3D" w:rsidSect="005E1673">
          <w:headerReference w:type="default" r:id="rId65"/>
          <w:footerReference w:type="default" r:id="rId66"/>
          <w:footnotePr>
            <w:numFmt w:val="lowerRoman"/>
          </w:footnotePr>
          <w:endnotePr>
            <w:numFmt w:val="decimal"/>
          </w:endnotePr>
          <w:type w:val="continuous"/>
          <w:pgSz w:w="11906" w:h="16838"/>
          <w:pgMar w:top="1985" w:right="1440" w:bottom="1440" w:left="1440" w:header="708" w:footer="1011" w:gutter="0"/>
          <w:cols w:space="708"/>
          <w:docGrid w:linePitch="360"/>
        </w:sectPr>
      </w:pPr>
    </w:p>
    <w:p w14:paraId="47E6648A" w14:textId="46010AC5" w:rsidR="00CC4E3D" w:rsidRDefault="00CC4E3D" w:rsidP="00CC4E3D">
      <w:pPr>
        <w:pStyle w:val="Heading1"/>
        <w:widowControl w:val="0"/>
      </w:pPr>
      <w:bookmarkStart w:id="601" w:name="_Toc535408490"/>
      <w:bookmarkStart w:id="602" w:name="_Toc535498938"/>
      <w:bookmarkStart w:id="603" w:name="_Toc23841418"/>
      <w:bookmarkStart w:id="604" w:name="_Toc509402643"/>
      <w:r w:rsidRPr="00435D79">
        <w:lastRenderedPageBreak/>
        <w:t>Appendix A — Employment regions</w:t>
      </w:r>
      <w:bookmarkEnd w:id="601"/>
      <w:bookmarkEnd w:id="602"/>
      <w:bookmarkEnd w:id="603"/>
    </w:p>
    <w:p w14:paraId="6CABCA96" w14:textId="5E5D8C6D" w:rsidR="00CC4E3D" w:rsidRPr="000C6719" w:rsidRDefault="00C14C50" w:rsidP="00FD4CA8">
      <w:pPr>
        <w:pStyle w:val="Caption"/>
      </w:pPr>
      <w:bookmarkStart w:id="605" w:name="_Toc535512785"/>
      <w:bookmarkStart w:id="606" w:name="_Toc535513421"/>
      <w:bookmarkStart w:id="607" w:name="_Toc23331233"/>
      <w:r w:rsidRPr="00A75A0C">
        <w:rPr>
          <w:noProof/>
          <w:lang w:eastAsia="en-AU"/>
        </w:rPr>
        <w:drawing>
          <wp:anchor distT="0" distB="0" distL="114300" distR="114300" simplePos="0" relativeHeight="251661312" behindDoc="0" locked="0" layoutInCell="1" allowOverlap="1" wp14:anchorId="48A81315" wp14:editId="10C20E8C">
            <wp:simplePos x="0" y="0"/>
            <wp:positionH relativeFrom="column">
              <wp:posOffset>-166675</wp:posOffset>
            </wp:positionH>
            <wp:positionV relativeFrom="page">
              <wp:posOffset>1146175</wp:posOffset>
            </wp:positionV>
            <wp:extent cx="8150225" cy="5763260"/>
            <wp:effectExtent l="0" t="0" r="3175" b="8890"/>
            <wp:wrapNone/>
            <wp:docPr id="23" name="Picture 23" descr="Map of Australia showing the 51 employment reg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2527\AppData\Local\Microsoft\Windows\INetCache\Content.Outlook\BV44X236\ER Map 2018-12-18 1.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8150225" cy="5763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4E3D">
        <w:t xml:space="preserve">Figure A. </w:t>
      </w:r>
      <w:r w:rsidR="00CC4E3D">
        <w:rPr>
          <w:noProof/>
        </w:rPr>
        <w:fldChar w:fldCharType="begin"/>
      </w:r>
      <w:r w:rsidR="00CC4E3D">
        <w:rPr>
          <w:noProof/>
        </w:rPr>
        <w:instrText xml:space="preserve"> SEQ Figure_A. \* ARABIC </w:instrText>
      </w:r>
      <w:r w:rsidR="00CC4E3D">
        <w:rPr>
          <w:noProof/>
        </w:rPr>
        <w:fldChar w:fldCharType="separate"/>
      </w:r>
      <w:r w:rsidR="00D84A2A">
        <w:rPr>
          <w:noProof/>
        </w:rPr>
        <w:t>1</w:t>
      </w:r>
      <w:r w:rsidR="00CC4E3D">
        <w:rPr>
          <w:noProof/>
        </w:rPr>
        <w:fldChar w:fldCharType="end"/>
      </w:r>
      <w:r w:rsidR="00CC4E3D" w:rsidRPr="00F54CA0">
        <w:tab/>
        <w:t>Employment regions</w:t>
      </w:r>
      <w:bookmarkEnd w:id="605"/>
      <w:bookmarkEnd w:id="606"/>
      <w:bookmarkEnd w:id="607"/>
    </w:p>
    <w:bookmarkEnd w:id="604"/>
    <w:p w14:paraId="162221E6" w14:textId="3EC65F48" w:rsidR="00CC4E3D" w:rsidRDefault="00CC4E3D" w:rsidP="00CC4E3D">
      <w:pPr>
        <w:sectPr w:rsidR="00CC4E3D" w:rsidSect="00CC4E3D">
          <w:headerReference w:type="even" r:id="rId68"/>
          <w:headerReference w:type="default" r:id="rId69"/>
          <w:footerReference w:type="even" r:id="rId70"/>
          <w:headerReference w:type="first" r:id="rId71"/>
          <w:footerReference w:type="first" r:id="rId72"/>
          <w:pgSz w:w="16838" w:h="11906" w:orient="landscape"/>
          <w:pgMar w:top="851" w:right="1985" w:bottom="851" w:left="1701" w:header="624" w:footer="284" w:gutter="0"/>
          <w:cols w:space="720"/>
          <w:docGrid w:linePitch="299"/>
        </w:sectPr>
      </w:pPr>
    </w:p>
    <w:p w14:paraId="367B202A" w14:textId="77777777" w:rsidR="00CC4E3D" w:rsidRPr="0047707A" w:rsidRDefault="00CC4E3D" w:rsidP="00CC4E3D">
      <w:pPr>
        <w:pStyle w:val="Heading1"/>
      </w:pPr>
      <w:bookmarkStart w:id="608" w:name="_Toc535498939"/>
      <w:bookmarkStart w:id="609" w:name="_Toc23841419"/>
      <w:bookmarkStart w:id="610" w:name="_Toc509402644"/>
      <w:r>
        <w:lastRenderedPageBreak/>
        <w:t>Appendix B — TtW o</w:t>
      </w:r>
      <w:r w:rsidRPr="0047707A">
        <w:t>utcomes</w:t>
      </w:r>
      <w:r>
        <w:t xml:space="preserve"> matrix</w:t>
      </w:r>
      <w:bookmarkEnd w:id="608"/>
      <w:bookmarkEnd w:id="609"/>
    </w:p>
    <w:tbl>
      <w:tblPr>
        <w:tblStyle w:val="TableGrid14"/>
        <w:tblW w:w="9952" w:type="dxa"/>
        <w:tblInd w:w="-34" w:type="dxa"/>
        <w:tblLayout w:type="fixed"/>
        <w:tblLook w:val="04A0" w:firstRow="1" w:lastRow="0" w:firstColumn="1" w:lastColumn="0" w:noHBand="0" w:noVBand="1"/>
        <w:tblCaption w:val="Outcome Matrix"/>
        <w:tblDescription w:val="This table shows the Transition to Work outcome matrix"/>
      </w:tblPr>
      <w:tblGrid>
        <w:gridCol w:w="1305"/>
        <w:gridCol w:w="1955"/>
        <w:gridCol w:w="2410"/>
        <w:gridCol w:w="1589"/>
        <w:gridCol w:w="1275"/>
        <w:gridCol w:w="1418"/>
      </w:tblGrid>
      <w:tr w:rsidR="00CC4E3D" w:rsidRPr="009A6C5C" w14:paraId="31ED64C0" w14:textId="77777777" w:rsidTr="00CC4E3D">
        <w:trPr>
          <w:trHeight w:val="1539"/>
          <w:tblHeader/>
        </w:trPr>
        <w:tc>
          <w:tcPr>
            <w:tcW w:w="1305" w:type="dxa"/>
            <w:tcMar>
              <w:left w:w="28" w:type="dxa"/>
              <w:right w:w="28" w:type="dxa"/>
            </w:tcMar>
          </w:tcPr>
          <w:p w14:paraId="2C8DBA29" w14:textId="77777777" w:rsidR="00CC4E3D" w:rsidRPr="009A6C5C" w:rsidRDefault="00CC4E3D" w:rsidP="00CC4E3D">
            <w:pPr>
              <w:rPr>
                <w:b/>
                <w:sz w:val="16"/>
              </w:rPr>
            </w:pPr>
            <w:r w:rsidRPr="009A6C5C">
              <w:rPr>
                <w:b/>
                <w:sz w:val="16"/>
              </w:rPr>
              <w:t>Allowee/</w:t>
            </w:r>
          </w:p>
          <w:p w14:paraId="542B74A2" w14:textId="77777777" w:rsidR="00CC4E3D" w:rsidRPr="009A6C5C" w:rsidRDefault="00CC4E3D" w:rsidP="00CC4E3D">
            <w:pPr>
              <w:rPr>
                <w:b/>
                <w:sz w:val="16"/>
              </w:rPr>
            </w:pPr>
            <w:r>
              <w:rPr>
                <w:b/>
                <w:sz w:val="16"/>
              </w:rPr>
              <w:t>non-</w:t>
            </w:r>
            <w:r w:rsidRPr="009A6C5C">
              <w:rPr>
                <w:b/>
                <w:sz w:val="16"/>
              </w:rPr>
              <w:t>allowee</w:t>
            </w:r>
          </w:p>
        </w:tc>
        <w:tc>
          <w:tcPr>
            <w:tcW w:w="1955" w:type="dxa"/>
            <w:tcMar>
              <w:left w:w="28" w:type="dxa"/>
              <w:right w:w="28" w:type="dxa"/>
            </w:tcMar>
          </w:tcPr>
          <w:p w14:paraId="22265E78" w14:textId="77777777" w:rsidR="00CC4E3D" w:rsidRPr="009A6C5C" w:rsidRDefault="00CC4E3D" w:rsidP="00CC4E3D">
            <w:pPr>
              <w:rPr>
                <w:b/>
                <w:sz w:val="16"/>
              </w:rPr>
            </w:pPr>
            <w:r w:rsidRPr="009A6C5C">
              <w:rPr>
                <w:b/>
                <w:sz w:val="16"/>
              </w:rPr>
              <w:t>Participant characteristics</w:t>
            </w:r>
          </w:p>
        </w:tc>
        <w:tc>
          <w:tcPr>
            <w:tcW w:w="2410" w:type="dxa"/>
            <w:tcMar>
              <w:left w:w="28" w:type="dxa"/>
              <w:right w:w="28" w:type="dxa"/>
            </w:tcMar>
          </w:tcPr>
          <w:p w14:paraId="3502DF7C" w14:textId="77777777" w:rsidR="00CC4E3D" w:rsidRPr="009A6C5C" w:rsidRDefault="00CC4E3D" w:rsidP="00CC4E3D">
            <w:pPr>
              <w:rPr>
                <w:b/>
                <w:sz w:val="16"/>
              </w:rPr>
            </w:pPr>
            <w:r>
              <w:rPr>
                <w:b/>
                <w:sz w:val="16"/>
              </w:rPr>
              <w:t>12-</w:t>
            </w:r>
            <w:r w:rsidRPr="009A6C5C">
              <w:rPr>
                <w:b/>
                <w:sz w:val="16"/>
              </w:rPr>
              <w:t xml:space="preserve">Week Employment Outcome </w:t>
            </w:r>
          </w:p>
          <w:p w14:paraId="4A44733C" w14:textId="77777777" w:rsidR="00CC4E3D" w:rsidRPr="009A6C5C" w:rsidRDefault="00CC4E3D" w:rsidP="00CC4E3D">
            <w:pPr>
              <w:rPr>
                <w:b/>
                <w:sz w:val="16"/>
              </w:rPr>
            </w:pPr>
            <w:r w:rsidRPr="009A6C5C">
              <w:rPr>
                <w:b/>
                <w:sz w:val="16"/>
              </w:rPr>
              <w:t>or Sustainability Outcome (Employment)</w:t>
            </w:r>
          </w:p>
        </w:tc>
        <w:tc>
          <w:tcPr>
            <w:tcW w:w="1589" w:type="dxa"/>
            <w:tcMar>
              <w:left w:w="28" w:type="dxa"/>
              <w:right w:w="28" w:type="dxa"/>
            </w:tcMar>
          </w:tcPr>
          <w:p w14:paraId="3F05A0CF" w14:textId="77777777" w:rsidR="00CC4E3D" w:rsidRPr="009A6C5C" w:rsidRDefault="00CC4E3D" w:rsidP="00CC4E3D">
            <w:pPr>
              <w:rPr>
                <w:b/>
                <w:sz w:val="16"/>
              </w:rPr>
            </w:pPr>
            <w:r w:rsidRPr="009A6C5C">
              <w:rPr>
                <w:b/>
                <w:sz w:val="16"/>
              </w:rPr>
              <w:t>Education</w:t>
            </w:r>
            <w:r>
              <w:rPr>
                <w:b/>
                <w:sz w:val="16"/>
              </w:rPr>
              <w:t xml:space="preserve"> </w:t>
            </w:r>
            <w:r w:rsidRPr="009A6C5C">
              <w:rPr>
                <w:b/>
                <w:sz w:val="16"/>
              </w:rPr>
              <w:t>Outcome: participation</w:t>
            </w:r>
          </w:p>
          <w:p w14:paraId="55F70123" w14:textId="77777777" w:rsidR="00CC4E3D" w:rsidRPr="009A6C5C" w:rsidRDefault="00CC4E3D" w:rsidP="00CC4E3D">
            <w:pPr>
              <w:rPr>
                <w:b/>
                <w:sz w:val="16"/>
              </w:rPr>
            </w:pPr>
            <w:r w:rsidRPr="009A6C5C">
              <w:rPr>
                <w:b/>
                <w:sz w:val="16"/>
              </w:rPr>
              <w:t>(26 weeks)</w:t>
            </w:r>
          </w:p>
          <w:p w14:paraId="7FF370AE" w14:textId="77777777" w:rsidR="00CC4E3D" w:rsidRPr="009A6C5C" w:rsidRDefault="00CC4E3D" w:rsidP="00CC4E3D">
            <w:pPr>
              <w:rPr>
                <w:b/>
                <w:sz w:val="16"/>
              </w:rPr>
            </w:pPr>
          </w:p>
        </w:tc>
        <w:tc>
          <w:tcPr>
            <w:tcW w:w="1275" w:type="dxa"/>
            <w:tcMar>
              <w:left w:w="28" w:type="dxa"/>
              <w:right w:w="28" w:type="dxa"/>
            </w:tcMar>
          </w:tcPr>
          <w:p w14:paraId="3936C2AA" w14:textId="77777777" w:rsidR="00CC4E3D" w:rsidRPr="009A6C5C" w:rsidRDefault="00CC4E3D" w:rsidP="00CC4E3D">
            <w:pPr>
              <w:rPr>
                <w:b/>
                <w:sz w:val="16"/>
              </w:rPr>
            </w:pPr>
            <w:r w:rsidRPr="009A6C5C">
              <w:rPr>
                <w:b/>
                <w:sz w:val="16"/>
              </w:rPr>
              <w:t>Education Outcome: attainment</w:t>
            </w:r>
          </w:p>
          <w:p w14:paraId="04D6CC8D" w14:textId="77777777" w:rsidR="00CC4E3D" w:rsidRPr="009A6C5C" w:rsidRDefault="00CC4E3D" w:rsidP="00CC4E3D">
            <w:pPr>
              <w:rPr>
                <w:b/>
                <w:sz w:val="16"/>
              </w:rPr>
            </w:pPr>
          </w:p>
        </w:tc>
        <w:tc>
          <w:tcPr>
            <w:tcW w:w="1418" w:type="dxa"/>
            <w:tcMar>
              <w:left w:w="28" w:type="dxa"/>
              <w:right w:w="28" w:type="dxa"/>
            </w:tcMar>
          </w:tcPr>
          <w:p w14:paraId="3F71FA11" w14:textId="77777777" w:rsidR="00CC4E3D" w:rsidRPr="009A6C5C" w:rsidRDefault="00CC4E3D" w:rsidP="00CC4E3D">
            <w:pPr>
              <w:rPr>
                <w:b/>
                <w:sz w:val="16"/>
              </w:rPr>
            </w:pPr>
            <w:r>
              <w:rPr>
                <w:b/>
                <w:sz w:val="16"/>
              </w:rPr>
              <w:t>12-</w:t>
            </w:r>
            <w:r w:rsidRPr="009A6C5C">
              <w:rPr>
                <w:b/>
                <w:sz w:val="16"/>
              </w:rPr>
              <w:t xml:space="preserve">Week Hybrid Outcome or </w:t>
            </w:r>
          </w:p>
          <w:p w14:paraId="12932489" w14:textId="77777777" w:rsidR="00CC4E3D" w:rsidRPr="009A6C5C" w:rsidRDefault="00CC4E3D" w:rsidP="00CC4E3D">
            <w:pPr>
              <w:rPr>
                <w:b/>
                <w:sz w:val="16"/>
              </w:rPr>
            </w:pPr>
            <w:r w:rsidRPr="009A6C5C">
              <w:rPr>
                <w:b/>
                <w:sz w:val="16"/>
              </w:rPr>
              <w:t>Sustainability Outcome (Hybrid)</w:t>
            </w:r>
          </w:p>
        </w:tc>
      </w:tr>
      <w:tr w:rsidR="00CC4E3D" w:rsidRPr="009A6C5C" w14:paraId="222A6171" w14:textId="77777777" w:rsidTr="00CC4E3D">
        <w:trPr>
          <w:tblHeader/>
        </w:trPr>
        <w:tc>
          <w:tcPr>
            <w:tcW w:w="1305" w:type="dxa"/>
            <w:shd w:val="clear" w:color="auto" w:fill="DEEAF6"/>
            <w:tcMar>
              <w:left w:w="28" w:type="dxa"/>
              <w:right w:w="28" w:type="dxa"/>
            </w:tcMar>
          </w:tcPr>
          <w:p w14:paraId="7B3EF070" w14:textId="77777777" w:rsidR="00CC4E3D" w:rsidRPr="009A6C5C" w:rsidRDefault="00CC4E3D" w:rsidP="00CC4E3D">
            <w:pPr>
              <w:rPr>
                <w:sz w:val="16"/>
              </w:rPr>
            </w:pPr>
            <w:r w:rsidRPr="009A6C5C">
              <w:rPr>
                <w:sz w:val="16"/>
              </w:rPr>
              <w:t>Receiving income support payment</w:t>
            </w:r>
          </w:p>
        </w:tc>
        <w:tc>
          <w:tcPr>
            <w:tcW w:w="1955" w:type="dxa"/>
            <w:shd w:val="clear" w:color="auto" w:fill="DEEAF6"/>
            <w:tcMar>
              <w:left w:w="28" w:type="dxa"/>
              <w:right w:w="28" w:type="dxa"/>
            </w:tcMar>
          </w:tcPr>
          <w:p w14:paraId="389AFEF6" w14:textId="77777777" w:rsidR="00CC4E3D" w:rsidRPr="009A6C5C" w:rsidRDefault="00CC4E3D" w:rsidP="00CC4E3D">
            <w:pPr>
              <w:rPr>
                <w:sz w:val="16"/>
              </w:rPr>
            </w:pPr>
          </w:p>
        </w:tc>
        <w:tc>
          <w:tcPr>
            <w:tcW w:w="2410" w:type="dxa"/>
            <w:shd w:val="clear" w:color="auto" w:fill="DEEAF6"/>
            <w:tcMar>
              <w:left w:w="28" w:type="dxa"/>
              <w:right w:w="28" w:type="dxa"/>
            </w:tcMar>
          </w:tcPr>
          <w:p w14:paraId="2D33EA07" w14:textId="77777777" w:rsidR="00CC4E3D" w:rsidRPr="009A6C5C" w:rsidRDefault="00CC4E3D" w:rsidP="00CC4E3D">
            <w:pPr>
              <w:rPr>
                <w:sz w:val="16"/>
              </w:rPr>
            </w:pPr>
            <w:r w:rsidRPr="009A6C5C">
              <w:rPr>
                <w:sz w:val="16"/>
              </w:rPr>
              <w:t>Work which reduces income support payment by 60%</w:t>
            </w:r>
          </w:p>
          <w:p w14:paraId="3BA5CD09" w14:textId="77777777" w:rsidR="00CC4E3D" w:rsidRPr="009A6C5C" w:rsidRDefault="00CC4E3D" w:rsidP="00CC4E3D">
            <w:pPr>
              <w:rPr>
                <w:sz w:val="16"/>
              </w:rPr>
            </w:pPr>
            <w:r>
              <w:rPr>
                <w:sz w:val="16"/>
              </w:rPr>
              <w:t>Work in pre-existing e</w:t>
            </w:r>
            <w:r w:rsidRPr="009A6C5C">
              <w:rPr>
                <w:sz w:val="16"/>
              </w:rPr>
              <w:t>mployment which reduces income support payment by 100%</w:t>
            </w:r>
          </w:p>
        </w:tc>
        <w:tc>
          <w:tcPr>
            <w:tcW w:w="1589" w:type="dxa"/>
            <w:shd w:val="clear" w:color="auto" w:fill="DEEAF6"/>
            <w:tcMar>
              <w:left w:w="28" w:type="dxa"/>
              <w:right w:w="28" w:type="dxa"/>
            </w:tcMar>
          </w:tcPr>
          <w:p w14:paraId="62B7987A" w14:textId="77777777" w:rsidR="00CC4E3D" w:rsidRPr="009A6C5C" w:rsidRDefault="00CC4E3D" w:rsidP="00CC4E3D">
            <w:pPr>
              <w:rPr>
                <w:sz w:val="16"/>
              </w:rPr>
            </w:pPr>
            <w:r>
              <w:rPr>
                <w:sz w:val="16"/>
              </w:rPr>
              <w:t xml:space="preserve">Study full </w:t>
            </w:r>
            <w:r w:rsidRPr="009A6C5C">
              <w:rPr>
                <w:sz w:val="16"/>
              </w:rPr>
              <w:t>time while the course is running</w:t>
            </w:r>
          </w:p>
        </w:tc>
        <w:tc>
          <w:tcPr>
            <w:tcW w:w="1275" w:type="dxa"/>
            <w:shd w:val="clear" w:color="auto" w:fill="DEEAF6"/>
            <w:tcMar>
              <w:left w:w="28" w:type="dxa"/>
              <w:right w:w="28" w:type="dxa"/>
            </w:tcMar>
          </w:tcPr>
          <w:p w14:paraId="386161BA" w14:textId="77777777" w:rsidR="00CC4E3D" w:rsidRDefault="00CC4E3D" w:rsidP="00CC4E3D">
            <w:pPr>
              <w:rPr>
                <w:sz w:val="16"/>
              </w:rPr>
            </w:pPr>
            <w:r w:rsidRPr="009A6C5C">
              <w:rPr>
                <w:sz w:val="16"/>
              </w:rPr>
              <w:t>Achieve</w:t>
            </w:r>
            <w:r>
              <w:rPr>
                <w:sz w:val="16"/>
              </w:rPr>
              <w:t xml:space="preserve">: </w:t>
            </w:r>
          </w:p>
          <w:p w14:paraId="0AEEFB82" w14:textId="77777777" w:rsidR="00CC4E3D" w:rsidRDefault="00CC4E3D" w:rsidP="00CC4E3D">
            <w:pPr>
              <w:rPr>
                <w:sz w:val="16"/>
              </w:rPr>
            </w:pPr>
            <w:r w:rsidRPr="009A6C5C">
              <w:rPr>
                <w:sz w:val="16"/>
              </w:rPr>
              <w:t>Year</w:t>
            </w:r>
            <w:r>
              <w:rPr>
                <w:sz w:val="16"/>
              </w:rPr>
              <w:t> </w:t>
            </w:r>
            <w:r w:rsidRPr="009A6C5C">
              <w:rPr>
                <w:sz w:val="16"/>
              </w:rPr>
              <w:t>12</w:t>
            </w:r>
            <w:r>
              <w:rPr>
                <w:sz w:val="16"/>
              </w:rPr>
              <w:t xml:space="preserve"> </w:t>
            </w:r>
          </w:p>
          <w:p w14:paraId="0D336307" w14:textId="77777777" w:rsidR="00CC4E3D" w:rsidRPr="009A6C5C" w:rsidRDefault="00CC4E3D" w:rsidP="00CC4E3D">
            <w:pPr>
              <w:rPr>
                <w:sz w:val="16"/>
              </w:rPr>
            </w:pPr>
            <w:r>
              <w:rPr>
                <w:sz w:val="16"/>
              </w:rPr>
              <w:t>Certificate </w:t>
            </w:r>
            <w:r w:rsidRPr="009A6C5C">
              <w:rPr>
                <w:sz w:val="16"/>
              </w:rPr>
              <w:t>III or higher</w:t>
            </w:r>
          </w:p>
        </w:tc>
        <w:tc>
          <w:tcPr>
            <w:tcW w:w="1418" w:type="dxa"/>
            <w:shd w:val="clear" w:color="auto" w:fill="DEEAF6"/>
            <w:tcMar>
              <w:left w:w="28" w:type="dxa"/>
              <w:right w:w="28" w:type="dxa"/>
            </w:tcMar>
          </w:tcPr>
          <w:p w14:paraId="076AAAE2" w14:textId="3EBC99E0" w:rsidR="00CC4E3D" w:rsidRPr="009A6C5C" w:rsidRDefault="00CC4E3D" w:rsidP="00CC4E3D">
            <w:pPr>
              <w:rPr>
                <w:sz w:val="16"/>
              </w:rPr>
            </w:pPr>
            <w:r w:rsidRPr="009A6C5C">
              <w:rPr>
                <w:sz w:val="16"/>
              </w:rPr>
              <w:t>Study and work 25</w:t>
            </w:r>
            <w:r w:rsidR="00A53A25">
              <w:rPr>
                <w:sz w:val="16"/>
              </w:rPr>
              <w:t> </w:t>
            </w:r>
            <w:r w:rsidRPr="009A6C5C">
              <w:rPr>
                <w:sz w:val="16"/>
              </w:rPr>
              <w:t xml:space="preserve">hours on average per week </w:t>
            </w:r>
          </w:p>
        </w:tc>
      </w:tr>
      <w:tr w:rsidR="00CC4E3D" w:rsidRPr="009A6C5C" w14:paraId="53F417EA" w14:textId="77777777" w:rsidTr="00CC4E3D">
        <w:trPr>
          <w:tblHeader/>
        </w:trPr>
        <w:tc>
          <w:tcPr>
            <w:tcW w:w="1305" w:type="dxa"/>
            <w:shd w:val="clear" w:color="auto" w:fill="CDDAEB"/>
            <w:tcMar>
              <w:left w:w="28" w:type="dxa"/>
              <w:right w:w="28" w:type="dxa"/>
            </w:tcMar>
          </w:tcPr>
          <w:p w14:paraId="4EE8EE83" w14:textId="77777777" w:rsidR="00CC4E3D" w:rsidRPr="009A6C5C" w:rsidRDefault="00CC4E3D" w:rsidP="00CC4E3D">
            <w:pPr>
              <w:rPr>
                <w:sz w:val="16"/>
              </w:rPr>
            </w:pPr>
            <w:r w:rsidRPr="009A6C5C">
              <w:rPr>
                <w:sz w:val="16"/>
              </w:rPr>
              <w:t>Receiving income support payment</w:t>
            </w:r>
          </w:p>
        </w:tc>
        <w:tc>
          <w:tcPr>
            <w:tcW w:w="1955" w:type="dxa"/>
            <w:shd w:val="clear" w:color="auto" w:fill="CDDAEB"/>
            <w:tcMar>
              <w:left w:w="28" w:type="dxa"/>
              <w:right w:w="28" w:type="dxa"/>
            </w:tcMar>
          </w:tcPr>
          <w:p w14:paraId="5912F5D9" w14:textId="77777777" w:rsidR="00CC4E3D" w:rsidRPr="009A6C5C" w:rsidRDefault="00CC4E3D" w:rsidP="00CC4E3D">
            <w:pPr>
              <w:rPr>
                <w:sz w:val="16"/>
              </w:rPr>
            </w:pPr>
            <w:r>
              <w:rPr>
                <w:sz w:val="16"/>
              </w:rPr>
              <w:t>Part-time Mutual Obligation Requirements of 30 </w:t>
            </w:r>
            <w:r w:rsidRPr="009A6C5C">
              <w:rPr>
                <w:sz w:val="16"/>
              </w:rPr>
              <w:t>hours each fortnight</w:t>
            </w:r>
          </w:p>
        </w:tc>
        <w:tc>
          <w:tcPr>
            <w:tcW w:w="2410" w:type="dxa"/>
            <w:shd w:val="clear" w:color="auto" w:fill="CDDAEB"/>
            <w:tcMar>
              <w:left w:w="28" w:type="dxa"/>
              <w:right w:w="28" w:type="dxa"/>
            </w:tcMar>
          </w:tcPr>
          <w:p w14:paraId="476E7301" w14:textId="77777777" w:rsidR="00CC4E3D" w:rsidRPr="009A6C5C" w:rsidRDefault="00CC4E3D" w:rsidP="00CC4E3D">
            <w:pPr>
              <w:rPr>
                <w:sz w:val="16"/>
              </w:rPr>
            </w:pPr>
            <w:r w:rsidRPr="009A6C5C">
              <w:rPr>
                <w:sz w:val="16"/>
              </w:rPr>
              <w:t>Work an average of 10 hours per week</w:t>
            </w:r>
          </w:p>
          <w:p w14:paraId="733EB9CA" w14:textId="77777777" w:rsidR="00CC4E3D" w:rsidRPr="009A6C5C" w:rsidRDefault="00CC4E3D" w:rsidP="00CC4E3D">
            <w:pPr>
              <w:rPr>
                <w:sz w:val="16"/>
              </w:rPr>
            </w:pPr>
            <w:r>
              <w:rPr>
                <w:sz w:val="16"/>
              </w:rPr>
              <w:t>Work in pre-existing e</w:t>
            </w:r>
            <w:r w:rsidRPr="009A6C5C">
              <w:rPr>
                <w:sz w:val="16"/>
              </w:rPr>
              <w:t>mployment for at least an average of 15 hours per week</w:t>
            </w:r>
          </w:p>
        </w:tc>
        <w:tc>
          <w:tcPr>
            <w:tcW w:w="1589" w:type="dxa"/>
            <w:shd w:val="clear" w:color="auto" w:fill="CDDAEB"/>
            <w:tcMar>
              <w:left w:w="28" w:type="dxa"/>
              <w:right w:w="28" w:type="dxa"/>
            </w:tcMar>
          </w:tcPr>
          <w:p w14:paraId="486A5EB6" w14:textId="52DDED14" w:rsidR="00CC4E3D" w:rsidRPr="009A6C5C" w:rsidRDefault="00CC4E3D" w:rsidP="00CC4E3D">
            <w:pPr>
              <w:rPr>
                <w:sz w:val="16"/>
              </w:rPr>
            </w:pPr>
            <w:r w:rsidRPr="009A6C5C">
              <w:rPr>
                <w:sz w:val="16"/>
              </w:rPr>
              <w:t>Study an average of 15</w:t>
            </w:r>
            <w:r w:rsidR="00A53A25">
              <w:rPr>
                <w:sz w:val="16"/>
              </w:rPr>
              <w:t> </w:t>
            </w:r>
            <w:r w:rsidRPr="009A6C5C">
              <w:rPr>
                <w:sz w:val="16"/>
              </w:rPr>
              <w:t>hours per week while the course is running</w:t>
            </w:r>
          </w:p>
        </w:tc>
        <w:tc>
          <w:tcPr>
            <w:tcW w:w="1275" w:type="dxa"/>
            <w:shd w:val="clear" w:color="auto" w:fill="CDDAEB"/>
            <w:tcMar>
              <w:left w:w="28" w:type="dxa"/>
              <w:right w:w="28" w:type="dxa"/>
            </w:tcMar>
          </w:tcPr>
          <w:p w14:paraId="33C04E59" w14:textId="77777777" w:rsidR="00CC4E3D" w:rsidRPr="009A6C5C" w:rsidRDefault="00CC4E3D" w:rsidP="00CC4E3D">
            <w:pPr>
              <w:rPr>
                <w:sz w:val="16"/>
              </w:rPr>
            </w:pPr>
            <w:r w:rsidRPr="009A6C5C">
              <w:rPr>
                <w:sz w:val="16"/>
              </w:rPr>
              <w:t>Achieve:</w:t>
            </w:r>
          </w:p>
          <w:p w14:paraId="738A8B30" w14:textId="77777777" w:rsidR="00CC4E3D" w:rsidRPr="009A6C5C" w:rsidRDefault="00CC4E3D" w:rsidP="00CC4E3D">
            <w:pPr>
              <w:rPr>
                <w:sz w:val="16"/>
              </w:rPr>
            </w:pPr>
            <w:r w:rsidRPr="009A6C5C">
              <w:rPr>
                <w:sz w:val="16"/>
              </w:rPr>
              <w:t>Year 12</w:t>
            </w:r>
          </w:p>
          <w:p w14:paraId="250AAEFE" w14:textId="77777777" w:rsidR="00CC4E3D" w:rsidRPr="009A6C5C" w:rsidRDefault="00CC4E3D" w:rsidP="00CC4E3D">
            <w:pPr>
              <w:rPr>
                <w:sz w:val="16"/>
              </w:rPr>
            </w:pPr>
            <w:r w:rsidRPr="009A6C5C">
              <w:rPr>
                <w:sz w:val="16"/>
              </w:rPr>
              <w:t>Certificate III or higher</w:t>
            </w:r>
          </w:p>
        </w:tc>
        <w:tc>
          <w:tcPr>
            <w:tcW w:w="1418" w:type="dxa"/>
            <w:shd w:val="clear" w:color="auto" w:fill="CDDAEB"/>
            <w:tcMar>
              <w:left w:w="28" w:type="dxa"/>
              <w:right w:w="28" w:type="dxa"/>
            </w:tcMar>
          </w:tcPr>
          <w:p w14:paraId="25E8182C" w14:textId="21BC663A" w:rsidR="00CC4E3D" w:rsidRPr="009A6C5C" w:rsidRDefault="00CC4E3D" w:rsidP="00CC4E3D">
            <w:pPr>
              <w:rPr>
                <w:sz w:val="16"/>
              </w:rPr>
            </w:pPr>
            <w:r w:rsidRPr="009A6C5C">
              <w:rPr>
                <w:sz w:val="16"/>
              </w:rPr>
              <w:t>Study and work 15</w:t>
            </w:r>
            <w:r w:rsidR="00A53A25">
              <w:rPr>
                <w:sz w:val="16"/>
              </w:rPr>
              <w:t> </w:t>
            </w:r>
            <w:r w:rsidRPr="009A6C5C">
              <w:rPr>
                <w:sz w:val="16"/>
              </w:rPr>
              <w:t>hours on average per week</w:t>
            </w:r>
          </w:p>
        </w:tc>
      </w:tr>
      <w:tr w:rsidR="00CC4E3D" w:rsidRPr="009A6C5C" w14:paraId="13B5E932" w14:textId="77777777" w:rsidTr="00CC4E3D">
        <w:trPr>
          <w:tblHeader/>
        </w:trPr>
        <w:tc>
          <w:tcPr>
            <w:tcW w:w="1305" w:type="dxa"/>
            <w:shd w:val="clear" w:color="auto" w:fill="BDD6EE"/>
            <w:tcMar>
              <w:left w:w="28" w:type="dxa"/>
              <w:right w:w="28" w:type="dxa"/>
            </w:tcMar>
          </w:tcPr>
          <w:p w14:paraId="5646543B" w14:textId="77777777" w:rsidR="00CC4E3D" w:rsidRPr="009A6C5C" w:rsidRDefault="00CC4E3D" w:rsidP="00CC4E3D">
            <w:pPr>
              <w:rPr>
                <w:sz w:val="16"/>
              </w:rPr>
            </w:pPr>
            <w:r w:rsidRPr="009A6C5C">
              <w:rPr>
                <w:sz w:val="16"/>
              </w:rPr>
              <w:t>Receiving income support payment</w:t>
            </w:r>
          </w:p>
        </w:tc>
        <w:tc>
          <w:tcPr>
            <w:tcW w:w="1955" w:type="dxa"/>
            <w:shd w:val="clear" w:color="auto" w:fill="BDD6EE"/>
            <w:tcMar>
              <w:left w:w="28" w:type="dxa"/>
              <w:right w:w="28" w:type="dxa"/>
            </w:tcMar>
          </w:tcPr>
          <w:p w14:paraId="631A4EAC" w14:textId="77777777" w:rsidR="00CC4E3D" w:rsidRPr="009A6C5C" w:rsidRDefault="00CC4E3D" w:rsidP="00CC4E3D">
            <w:pPr>
              <w:rPr>
                <w:sz w:val="16"/>
              </w:rPr>
            </w:pPr>
            <w:r>
              <w:rPr>
                <w:sz w:val="16"/>
              </w:rPr>
              <w:t>Partial capacity to w</w:t>
            </w:r>
            <w:r w:rsidRPr="009A6C5C">
              <w:rPr>
                <w:sz w:val="16"/>
              </w:rPr>
              <w:t>ork</w:t>
            </w:r>
          </w:p>
        </w:tc>
        <w:tc>
          <w:tcPr>
            <w:tcW w:w="2410" w:type="dxa"/>
            <w:shd w:val="clear" w:color="auto" w:fill="BDD6EE"/>
            <w:tcMar>
              <w:left w:w="28" w:type="dxa"/>
              <w:right w:w="28" w:type="dxa"/>
            </w:tcMar>
          </w:tcPr>
          <w:p w14:paraId="03490444" w14:textId="77777777" w:rsidR="00CC4E3D" w:rsidRPr="009A6C5C" w:rsidRDefault="00CC4E3D" w:rsidP="00CC4E3D">
            <w:pPr>
              <w:rPr>
                <w:sz w:val="16"/>
              </w:rPr>
            </w:pPr>
            <w:r w:rsidRPr="009A6C5C">
              <w:rPr>
                <w:sz w:val="16"/>
              </w:rPr>
              <w:t>Work an average 70% of the minimum number of hours per week but not less than an average of 8 hours per week</w:t>
            </w:r>
          </w:p>
          <w:p w14:paraId="233547C6" w14:textId="77777777" w:rsidR="00CC4E3D" w:rsidRPr="009A6C5C" w:rsidRDefault="00CC4E3D" w:rsidP="00CC4E3D">
            <w:pPr>
              <w:rPr>
                <w:sz w:val="16"/>
              </w:rPr>
            </w:pPr>
            <w:r>
              <w:rPr>
                <w:sz w:val="16"/>
              </w:rPr>
              <w:t>Work in pre-existing e</w:t>
            </w:r>
            <w:r w:rsidRPr="009A6C5C">
              <w:rPr>
                <w:sz w:val="16"/>
              </w:rPr>
              <w:t>mployment for 100% of the minimum number of hours per week but not less than an average of 8 hours per week</w:t>
            </w:r>
          </w:p>
        </w:tc>
        <w:tc>
          <w:tcPr>
            <w:tcW w:w="1589" w:type="dxa"/>
            <w:shd w:val="clear" w:color="auto" w:fill="BDD6EE"/>
            <w:tcMar>
              <w:left w:w="28" w:type="dxa"/>
              <w:right w:w="28" w:type="dxa"/>
            </w:tcMar>
          </w:tcPr>
          <w:p w14:paraId="4E0F2AB5" w14:textId="77777777" w:rsidR="00CC4E3D" w:rsidRPr="009A6C5C" w:rsidRDefault="00CC4E3D" w:rsidP="00CC4E3D">
            <w:pPr>
              <w:rPr>
                <w:sz w:val="16"/>
              </w:rPr>
            </w:pPr>
            <w:r w:rsidRPr="009A6C5C">
              <w:rPr>
                <w:sz w:val="16"/>
              </w:rPr>
              <w:t>Study 100% of the minimum number of hours per week while the course is running</w:t>
            </w:r>
          </w:p>
        </w:tc>
        <w:tc>
          <w:tcPr>
            <w:tcW w:w="1275" w:type="dxa"/>
            <w:shd w:val="clear" w:color="auto" w:fill="BDD6EE"/>
            <w:tcMar>
              <w:left w:w="28" w:type="dxa"/>
              <w:right w:w="28" w:type="dxa"/>
            </w:tcMar>
          </w:tcPr>
          <w:p w14:paraId="36E63FF1" w14:textId="77777777" w:rsidR="00CC4E3D" w:rsidRPr="009A6C5C" w:rsidRDefault="00CC4E3D" w:rsidP="00CC4E3D">
            <w:pPr>
              <w:rPr>
                <w:sz w:val="16"/>
              </w:rPr>
            </w:pPr>
            <w:r w:rsidRPr="009A6C5C">
              <w:rPr>
                <w:sz w:val="16"/>
              </w:rPr>
              <w:t>Achieve:</w:t>
            </w:r>
          </w:p>
          <w:p w14:paraId="3A2FC064" w14:textId="77777777" w:rsidR="00CC4E3D" w:rsidRPr="009A6C5C" w:rsidRDefault="00CC4E3D" w:rsidP="00CC4E3D">
            <w:pPr>
              <w:rPr>
                <w:sz w:val="16"/>
              </w:rPr>
            </w:pPr>
            <w:r w:rsidRPr="009A6C5C">
              <w:rPr>
                <w:sz w:val="16"/>
              </w:rPr>
              <w:t>Year 12</w:t>
            </w:r>
          </w:p>
          <w:p w14:paraId="54F48CE0" w14:textId="77777777" w:rsidR="00CC4E3D" w:rsidRPr="009A6C5C" w:rsidRDefault="00CC4E3D" w:rsidP="00CC4E3D">
            <w:pPr>
              <w:rPr>
                <w:sz w:val="16"/>
              </w:rPr>
            </w:pPr>
            <w:r w:rsidRPr="009A6C5C">
              <w:rPr>
                <w:sz w:val="16"/>
              </w:rPr>
              <w:t>Certificate III or higher</w:t>
            </w:r>
          </w:p>
        </w:tc>
        <w:tc>
          <w:tcPr>
            <w:tcW w:w="1418" w:type="dxa"/>
            <w:shd w:val="clear" w:color="auto" w:fill="BDD6EE"/>
            <w:tcMar>
              <w:left w:w="28" w:type="dxa"/>
              <w:right w:w="28" w:type="dxa"/>
            </w:tcMar>
          </w:tcPr>
          <w:p w14:paraId="44CD5154" w14:textId="77777777" w:rsidR="00CC4E3D" w:rsidRPr="009A6C5C" w:rsidRDefault="00CC4E3D" w:rsidP="00CC4E3D">
            <w:pPr>
              <w:rPr>
                <w:sz w:val="16"/>
              </w:rPr>
            </w:pPr>
            <w:r w:rsidRPr="009A6C5C">
              <w:rPr>
                <w:sz w:val="16"/>
              </w:rPr>
              <w:t>Study and work 100% of the minimum number of hours per week</w:t>
            </w:r>
          </w:p>
        </w:tc>
      </w:tr>
      <w:tr w:rsidR="00CC4E3D" w:rsidRPr="009A6C5C" w14:paraId="766192A1" w14:textId="77777777" w:rsidTr="00CC4E3D">
        <w:trPr>
          <w:tblHeader/>
        </w:trPr>
        <w:tc>
          <w:tcPr>
            <w:tcW w:w="1305" w:type="dxa"/>
            <w:shd w:val="clear" w:color="auto" w:fill="9EC4E6"/>
            <w:tcMar>
              <w:left w:w="28" w:type="dxa"/>
              <w:right w:w="28" w:type="dxa"/>
            </w:tcMar>
          </w:tcPr>
          <w:p w14:paraId="44BFE94C" w14:textId="77777777" w:rsidR="00CC4E3D" w:rsidRPr="009A6C5C" w:rsidRDefault="00CC4E3D" w:rsidP="00CC4E3D">
            <w:pPr>
              <w:rPr>
                <w:sz w:val="16"/>
              </w:rPr>
            </w:pPr>
            <w:r w:rsidRPr="009A6C5C">
              <w:rPr>
                <w:sz w:val="16"/>
              </w:rPr>
              <w:t>Receiving income support payment</w:t>
            </w:r>
          </w:p>
        </w:tc>
        <w:tc>
          <w:tcPr>
            <w:tcW w:w="1955" w:type="dxa"/>
            <w:shd w:val="clear" w:color="auto" w:fill="9EC4E6"/>
            <w:tcMar>
              <w:left w:w="28" w:type="dxa"/>
              <w:right w:w="28" w:type="dxa"/>
            </w:tcMar>
          </w:tcPr>
          <w:p w14:paraId="1165E30D" w14:textId="77777777" w:rsidR="00CC4E3D" w:rsidRPr="009A6C5C" w:rsidRDefault="00CC4E3D" w:rsidP="00CC4E3D">
            <w:pPr>
              <w:rPr>
                <w:sz w:val="16"/>
              </w:rPr>
            </w:pPr>
            <w:r w:rsidRPr="009A6C5C">
              <w:rPr>
                <w:sz w:val="16"/>
              </w:rPr>
              <w:t xml:space="preserve">Receiving Parenting Payment (Partnered or Single) without Mutual Obligation Requirements and chooses to work reduced hours </w:t>
            </w:r>
          </w:p>
        </w:tc>
        <w:tc>
          <w:tcPr>
            <w:tcW w:w="2410" w:type="dxa"/>
            <w:shd w:val="clear" w:color="auto" w:fill="9EC4E6"/>
            <w:tcMar>
              <w:left w:w="28" w:type="dxa"/>
              <w:right w:w="28" w:type="dxa"/>
            </w:tcMar>
          </w:tcPr>
          <w:p w14:paraId="0CC4266B" w14:textId="77777777" w:rsidR="00CC4E3D" w:rsidRPr="009A6C5C" w:rsidRDefault="00CC4E3D" w:rsidP="00CC4E3D">
            <w:pPr>
              <w:rPr>
                <w:sz w:val="16"/>
              </w:rPr>
            </w:pPr>
            <w:r w:rsidRPr="009A6C5C">
              <w:rPr>
                <w:sz w:val="16"/>
              </w:rPr>
              <w:t>Work an average of 10 hours per week</w:t>
            </w:r>
          </w:p>
          <w:p w14:paraId="5C028F4A" w14:textId="77777777" w:rsidR="00CC4E3D" w:rsidRPr="009A6C5C" w:rsidRDefault="00CC4E3D" w:rsidP="00CC4E3D">
            <w:pPr>
              <w:rPr>
                <w:sz w:val="16"/>
              </w:rPr>
            </w:pPr>
            <w:r>
              <w:rPr>
                <w:sz w:val="16"/>
              </w:rPr>
              <w:t>Work in pre-existing e</w:t>
            </w:r>
            <w:r w:rsidRPr="009A6C5C">
              <w:rPr>
                <w:sz w:val="16"/>
              </w:rPr>
              <w:t>mployment for at least an average of 15 hours per week</w:t>
            </w:r>
          </w:p>
        </w:tc>
        <w:tc>
          <w:tcPr>
            <w:tcW w:w="1589" w:type="dxa"/>
            <w:shd w:val="clear" w:color="auto" w:fill="9EC4E6"/>
            <w:tcMar>
              <w:left w:w="28" w:type="dxa"/>
              <w:right w:w="28" w:type="dxa"/>
            </w:tcMar>
          </w:tcPr>
          <w:p w14:paraId="69400177" w14:textId="3A104052" w:rsidR="00CC4E3D" w:rsidRPr="009A6C5C" w:rsidRDefault="00CC4E3D" w:rsidP="00CC4E3D">
            <w:pPr>
              <w:rPr>
                <w:sz w:val="16"/>
              </w:rPr>
            </w:pPr>
            <w:r w:rsidRPr="009A6C5C">
              <w:rPr>
                <w:sz w:val="16"/>
              </w:rPr>
              <w:t>Study an average of 10</w:t>
            </w:r>
            <w:r w:rsidR="00A53A25">
              <w:rPr>
                <w:sz w:val="16"/>
              </w:rPr>
              <w:t> </w:t>
            </w:r>
            <w:r w:rsidRPr="009A6C5C">
              <w:rPr>
                <w:sz w:val="16"/>
              </w:rPr>
              <w:t>hours per week while the course is running</w:t>
            </w:r>
          </w:p>
          <w:p w14:paraId="57852E89" w14:textId="77777777" w:rsidR="00CC4E3D" w:rsidRPr="009A6C5C" w:rsidRDefault="00CC4E3D" w:rsidP="00CC4E3D">
            <w:pPr>
              <w:rPr>
                <w:sz w:val="16"/>
              </w:rPr>
            </w:pPr>
          </w:p>
        </w:tc>
        <w:tc>
          <w:tcPr>
            <w:tcW w:w="1275" w:type="dxa"/>
            <w:shd w:val="clear" w:color="auto" w:fill="9EC4E6"/>
            <w:tcMar>
              <w:left w:w="28" w:type="dxa"/>
              <w:right w:w="28" w:type="dxa"/>
            </w:tcMar>
          </w:tcPr>
          <w:p w14:paraId="2B5724B9" w14:textId="77777777" w:rsidR="00CC4E3D" w:rsidRPr="009A6C5C" w:rsidRDefault="00CC4E3D" w:rsidP="00CC4E3D">
            <w:pPr>
              <w:rPr>
                <w:sz w:val="16"/>
              </w:rPr>
            </w:pPr>
            <w:r w:rsidRPr="009A6C5C">
              <w:rPr>
                <w:sz w:val="16"/>
              </w:rPr>
              <w:t>Achieve:</w:t>
            </w:r>
          </w:p>
          <w:p w14:paraId="492896B6" w14:textId="77777777" w:rsidR="00CC4E3D" w:rsidRPr="009A6C5C" w:rsidRDefault="00CC4E3D" w:rsidP="00CC4E3D">
            <w:pPr>
              <w:rPr>
                <w:sz w:val="16"/>
              </w:rPr>
            </w:pPr>
            <w:r w:rsidRPr="009A6C5C">
              <w:rPr>
                <w:sz w:val="16"/>
              </w:rPr>
              <w:t>Year 12</w:t>
            </w:r>
          </w:p>
          <w:p w14:paraId="352AA53A" w14:textId="77777777" w:rsidR="00CC4E3D" w:rsidRPr="009A6C5C" w:rsidRDefault="00CC4E3D" w:rsidP="00CC4E3D">
            <w:pPr>
              <w:rPr>
                <w:sz w:val="16"/>
              </w:rPr>
            </w:pPr>
            <w:r w:rsidRPr="009A6C5C">
              <w:rPr>
                <w:sz w:val="16"/>
              </w:rPr>
              <w:t>Certificate III or higher</w:t>
            </w:r>
          </w:p>
        </w:tc>
        <w:tc>
          <w:tcPr>
            <w:tcW w:w="1418" w:type="dxa"/>
            <w:shd w:val="clear" w:color="auto" w:fill="9EC4E6"/>
            <w:tcMar>
              <w:left w:w="28" w:type="dxa"/>
              <w:right w:w="28" w:type="dxa"/>
            </w:tcMar>
          </w:tcPr>
          <w:p w14:paraId="40116522" w14:textId="7DA397A9" w:rsidR="00CC4E3D" w:rsidRPr="009A6C5C" w:rsidRDefault="00CC4E3D" w:rsidP="00CC4E3D">
            <w:pPr>
              <w:rPr>
                <w:sz w:val="16"/>
              </w:rPr>
            </w:pPr>
            <w:r w:rsidRPr="009A6C5C">
              <w:rPr>
                <w:sz w:val="16"/>
              </w:rPr>
              <w:t>Study and work 10</w:t>
            </w:r>
            <w:r w:rsidR="00A53A25">
              <w:rPr>
                <w:sz w:val="16"/>
              </w:rPr>
              <w:t> </w:t>
            </w:r>
            <w:r w:rsidRPr="009A6C5C">
              <w:rPr>
                <w:sz w:val="16"/>
              </w:rPr>
              <w:t>hours on average per week</w:t>
            </w:r>
          </w:p>
        </w:tc>
      </w:tr>
      <w:tr w:rsidR="00CC4E3D" w:rsidRPr="009A6C5C" w14:paraId="45B7CC60" w14:textId="77777777" w:rsidTr="00CC4E3D">
        <w:trPr>
          <w:tblHeader/>
        </w:trPr>
        <w:tc>
          <w:tcPr>
            <w:tcW w:w="1305" w:type="dxa"/>
            <w:shd w:val="clear" w:color="auto" w:fill="7FA3CF"/>
            <w:tcMar>
              <w:left w:w="28" w:type="dxa"/>
              <w:right w:w="28" w:type="dxa"/>
            </w:tcMar>
          </w:tcPr>
          <w:p w14:paraId="18431D0E" w14:textId="77777777" w:rsidR="00CC4E3D" w:rsidRPr="009A6C5C" w:rsidRDefault="00CC4E3D" w:rsidP="00CC4E3D">
            <w:pPr>
              <w:rPr>
                <w:sz w:val="16"/>
              </w:rPr>
            </w:pPr>
            <w:r w:rsidRPr="009A6C5C">
              <w:rPr>
                <w:sz w:val="16"/>
              </w:rPr>
              <w:t>Receiving income support payment</w:t>
            </w:r>
          </w:p>
        </w:tc>
        <w:tc>
          <w:tcPr>
            <w:tcW w:w="1955" w:type="dxa"/>
            <w:shd w:val="clear" w:color="auto" w:fill="7FA3CF"/>
            <w:tcMar>
              <w:left w:w="28" w:type="dxa"/>
              <w:right w:w="28" w:type="dxa"/>
            </w:tcMar>
          </w:tcPr>
          <w:p w14:paraId="61BE7195" w14:textId="77777777" w:rsidR="00CC4E3D" w:rsidRPr="009A6C5C" w:rsidRDefault="00CC4E3D" w:rsidP="00CC4E3D">
            <w:pPr>
              <w:rPr>
                <w:sz w:val="16"/>
              </w:rPr>
            </w:pPr>
            <w:r w:rsidRPr="009A6C5C">
              <w:rPr>
                <w:sz w:val="16"/>
              </w:rPr>
              <w:t xml:space="preserve">Receiving a Carer Payment and chooses to work reduced hours </w:t>
            </w:r>
          </w:p>
        </w:tc>
        <w:tc>
          <w:tcPr>
            <w:tcW w:w="2410" w:type="dxa"/>
            <w:shd w:val="clear" w:color="auto" w:fill="7FA3CF"/>
            <w:tcMar>
              <w:left w:w="28" w:type="dxa"/>
              <w:right w:w="28" w:type="dxa"/>
            </w:tcMar>
          </w:tcPr>
          <w:p w14:paraId="6218569D" w14:textId="77777777" w:rsidR="00CC4E3D" w:rsidRPr="009A6C5C" w:rsidRDefault="00CC4E3D" w:rsidP="00CC4E3D">
            <w:pPr>
              <w:rPr>
                <w:sz w:val="16"/>
              </w:rPr>
            </w:pPr>
            <w:r w:rsidRPr="009A6C5C">
              <w:rPr>
                <w:sz w:val="16"/>
              </w:rPr>
              <w:t xml:space="preserve">Work an average of 10 hours per week </w:t>
            </w:r>
          </w:p>
          <w:p w14:paraId="5ABFBE0B" w14:textId="77777777" w:rsidR="00CC4E3D" w:rsidRPr="009A6C5C" w:rsidRDefault="00CC4E3D" w:rsidP="00CC4E3D">
            <w:pPr>
              <w:rPr>
                <w:sz w:val="16"/>
              </w:rPr>
            </w:pPr>
            <w:r>
              <w:rPr>
                <w:sz w:val="16"/>
              </w:rPr>
              <w:t>Work in pre-existing e</w:t>
            </w:r>
            <w:r w:rsidRPr="009A6C5C">
              <w:rPr>
                <w:sz w:val="16"/>
              </w:rPr>
              <w:t>mployment for at least an average of 15 hours per week</w:t>
            </w:r>
          </w:p>
        </w:tc>
        <w:tc>
          <w:tcPr>
            <w:tcW w:w="1589" w:type="dxa"/>
            <w:shd w:val="clear" w:color="auto" w:fill="7FA3CF"/>
            <w:tcMar>
              <w:left w:w="28" w:type="dxa"/>
              <w:right w:w="28" w:type="dxa"/>
            </w:tcMar>
          </w:tcPr>
          <w:p w14:paraId="08EA9340" w14:textId="17CE81D5" w:rsidR="00CC4E3D" w:rsidRPr="009A6C5C" w:rsidRDefault="00CC4E3D" w:rsidP="00CC4E3D">
            <w:pPr>
              <w:rPr>
                <w:sz w:val="16"/>
              </w:rPr>
            </w:pPr>
            <w:r w:rsidRPr="009A6C5C">
              <w:rPr>
                <w:sz w:val="16"/>
              </w:rPr>
              <w:t>Study an average of 10</w:t>
            </w:r>
            <w:r w:rsidR="00A53A25">
              <w:rPr>
                <w:sz w:val="16"/>
              </w:rPr>
              <w:t> </w:t>
            </w:r>
            <w:r w:rsidRPr="009A6C5C">
              <w:rPr>
                <w:sz w:val="16"/>
              </w:rPr>
              <w:t>hours per week while the course is running</w:t>
            </w:r>
          </w:p>
        </w:tc>
        <w:tc>
          <w:tcPr>
            <w:tcW w:w="1275" w:type="dxa"/>
            <w:shd w:val="clear" w:color="auto" w:fill="7FA3CF"/>
            <w:tcMar>
              <w:left w:w="28" w:type="dxa"/>
              <w:right w:w="28" w:type="dxa"/>
            </w:tcMar>
          </w:tcPr>
          <w:p w14:paraId="2A1FBD44" w14:textId="77777777" w:rsidR="00CC4E3D" w:rsidRPr="009A6C5C" w:rsidRDefault="00CC4E3D" w:rsidP="00CC4E3D">
            <w:pPr>
              <w:rPr>
                <w:sz w:val="16"/>
              </w:rPr>
            </w:pPr>
            <w:r w:rsidRPr="009A6C5C">
              <w:rPr>
                <w:sz w:val="16"/>
              </w:rPr>
              <w:t>Achieve:</w:t>
            </w:r>
          </w:p>
          <w:p w14:paraId="1EACAA54" w14:textId="77777777" w:rsidR="00CC4E3D" w:rsidRPr="009A6C5C" w:rsidRDefault="00CC4E3D" w:rsidP="00CC4E3D">
            <w:pPr>
              <w:rPr>
                <w:sz w:val="16"/>
              </w:rPr>
            </w:pPr>
            <w:r w:rsidRPr="009A6C5C">
              <w:rPr>
                <w:sz w:val="16"/>
              </w:rPr>
              <w:t>Year 12</w:t>
            </w:r>
          </w:p>
          <w:p w14:paraId="610F1D13" w14:textId="77777777" w:rsidR="00CC4E3D" w:rsidRPr="009A6C5C" w:rsidRDefault="00CC4E3D" w:rsidP="00CC4E3D">
            <w:pPr>
              <w:rPr>
                <w:sz w:val="16"/>
              </w:rPr>
            </w:pPr>
            <w:r w:rsidRPr="009A6C5C">
              <w:rPr>
                <w:sz w:val="16"/>
              </w:rPr>
              <w:t>Certificate III or higher</w:t>
            </w:r>
          </w:p>
        </w:tc>
        <w:tc>
          <w:tcPr>
            <w:tcW w:w="1418" w:type="dxa"/>
            <w:shd w:val="clear" w:color="auto" w:fill="7FA3CF"/>
            <w:tcMar>
              <w:left w:w="28" w:type="dxa"/>
              <w:right w:w="28" w:type="dxa"/>
            </w:tcMar>
          </w:tcPr>
          <w:p w14:paraId="1BDB4376" w14:textId="130A292A" w:rsidR="00CC4E3D" w:rsidRPr="009A6C5C" w:rsidRDefault="00CC4E3D" w:rsidP="00CC4E3D">
            <w:pPr>
              <w:rPr>
                <w:sz w:val="16"/>
              </w:rPr>
            </w:pPr>
            <w:r w:rsidRPr="009A6C5C">
              <w:rPr>
                <w:sz w:val="16"/>
              </w:rPr>
              <w:t>Study and work 10</w:t>
            </w:r>
            <w:r w:rsidR="00A53A25">
              <w:rPr>
                <w:sz w:val="16"/>
              </w:rPr>
              <w:t> </w:t>
            </w:r>
            <w:r w:rsidRPr="009A6C5C">
              <w:rPr>
                <w:sz w:val="16"/>
              </w:rPr>
              <w:t>hours on average per week</w:t>
            </w:r>
          </w:p>
        </w:tc>
      </w:tr>
      <w:tr w:rsidR="00CC4E3D" w:rsidRPr="009A6C5C" w14:paraId="574E2352" w14:textId="77777777" w:rsidTr="00CC4E3D">
        <w:trPr>
          <w:tblHeader/>
        </w:trPr>
        <w:tc>
          <w:tcPr>
            <w:tcW w:w="1305" w:type="dxa"/>
            <w:shd w:val="clear" w:color="auto" w:fill="599AD5"/>
            <w:tcMar>
              <w:left w:w="28" w:type="dxa"/>
              <w:right w:w="28" w:type="dxa"/>
            </w:tcMar>
          </w:tcPr>
          <w:p w14:paraId="372855CB" w14:textId="77777777" w:rsidR="00CC4E3D" w:rsidRPr="009A6C5C" w:rsidRDefault="00CC4E3D" w:rsidP="00CC4E3D">
            <w:pPr>
              <w:rPr>
                <w:sz w:val="16"/>
              </w:rPr>
            </w:pPr>
            <w:r w:rsidRPr="009A6C5C">
              <w:rPr>
                <w:sz w:val="16"/>
              </w:rPr>
              <w:t>Not receiving income support payment</w:t>
            </w:r>
          </w:p>
          <w:p w14:paraId="21701B33" w14:textId="77777777" w:rsidR="00CC4E3D" w:rsidRPr="009A6C5C" w:rsidRDefault="00CC4E3D" w:rsidP="00CC4E3D">
            <w:pPr>
              <w:rPr>
                <w:sz w:val="16"/>
              </w:rPr>
            </w:pPr>
          </w:p>
        </w:tc>
        <w:tc>
          <w:tcPr>
            <w:tcW w:w="1955" w:type="dxa"/>
            <w:shd w:val="clear" w:color="auto" w:fill="599AD5"/>
            <w:tcMar>
              <w:left w:w="28" w:type="dxa"/>
              <w:right w:w="28" w:type="dxa"/>
            </w:tcMar>
          </w:tcPr>
          <w:p w14:paraId="64D02DD2" w14:textId="77777777" w:rsidR="00CC4E3D" w:rsidRPr="009A6C5C" w:rsidRDefault="00CC4E3D" w:rsidP="00CC4E3D">
            <w:pPr>
              <w:rPr>
                <w:sz w:val="16"/>
              </w:rPr>
            </w:pPr>
          </w:p>
        </w:tc>
        <w:tc>
          <w:tcPr>
            <w:tcW w:w="2410" w:type="dxa"/>
            <w:shd w:val="clear" w:color="auto" w:fill="599AD5"/>
            <w:tcMar>
              <w:left w:w="28" w:type="dxa"/>
              <w:right w:w="28" w:type="dxa"/>
            </w:tcMar>
          </w:tcPr>
          <w:p w14:paraId="217AB745" w14:textId="77777777" w:rsidR="00CC4E3D" w:rsidRPr="009A6C5C" w:rsidRDefault="00CC4E3D" w:rsidP="00CC4E3D">
            <w:pPr>
              <w:rPr>
                <w:sz w:val="16"/>
              </w:rPr>
            </w:pPr>
            <w:r w:rsidRPr="009A6C5C">
              <w:rPr>
                <w:sz w:val="16"/>
              </w:rPr>
              <w:t>Work an average of 15 hours per week</w:t>
            </w:r>
          </w:p>
          <w:p w14:paraId="7BD58DB5" w14:textId="77777777" w:rsidR="00CC4E3D" w:rsidRPr="009A6C5C" w:rsidRDefault="00CC4E3D" w:rsidP="00CC4E3D">
            <w:pPr>
              <w:rPr>
                <w:sz w:val="16"/>
              </w:rPr>
            </w:pPr>
            <w:r>
              <w:rPr>
                <w:sz w:val="16"/>
              </w:rPr>
              <w:t>Work in pre-existing e</w:t>
            </w:r>
            <w:r w:rsidRPr="009A6C5C">
              <w:rPr>
                <w:sz w:val="16"/>
              </w:rPr>
              <w:t>mployment for an average of 20 hours per week</w:t>
            </w:r>
          </w:p>
        </w:tc>
        <w:tc>
          <w:tcPr>
            <w:tcW w:w="1589" w:type="dxa"/>
            <w:shd w:val="clear" w:color="auto" w:fill="599AD5"/>
            <w:tcMar>
              <w:left w:w="28" w:type="dxa"/>
              <w:right w:w="28" w:type="dxa"/>
            </w:tcMar>
          </w:tcPr>
          <w:p w14:paraId="4AAA4912" w14:textId="77777777" w:rsidR="00CC4E3D" w:rsidRPr="009A6C5C" w:rsidRDefault="00CC4E3D" w:rsidP="00CC4E3D">
            <w:pPr>
              <w:rPr>
                <w:sz w:val="16"/>
              </w:rPr>
            </w:pPr>
            <w:r w:rsidRPr="009A6C5C">
              <w:rPr>
                <w:sz w:val="16"/>
              </w:rPr>
              <w:t>Study full-time while the course is running</w:t>
            </w:r>
          </w:p>
        </w:tc>
        <w:tc>
          <w:tcPr>
            <w:tcW w:w="1275" w:type="dxa"/>
            <w:shd w:val="clear" w:color="auto" w:fill="599AD5"/>
            <w:tcMar>
              <w:left w:w="28" w:type="dxa"/>
              <w:right w:w="28" w:type="dxa"/>
            </w:tcMar>
          </w:tcPr>
          <w:p w14:paraId="01C21C2C" w14:textId="77777777" w:rsidR="00CC4E3D" w:rsidRPr="009A6C5C" w:rsidRDefault="00CC4E3D" w:rsidP="00CC4E3D">
            <w:pPr>
              <w:rPr>
                <w:sz w:val="16"/>
              </w:rPr>
            </w:pPr>
            <w:r w:rsidRPr="009A6C5C">
              <w:rPr>
                <w:sz w:val="16"/>
              </w:rPr>
              <w:t>Achieve:</w:t>
            </w:r>
          </w:p>
          <w:p w14:paraId="0EBF754A" w14:textId="77777777" w:rsidR="00CC4E3D" w:rsidRPr="009A6C5C" w:rsidRDefault="00CC4E3D" w:rsidP="00CC4E3D">
            <w:pPr>
              <w:rPr>
                <w:sz w:val="16"/>
              </w:rPr>
            </w:pPr>
            <w:r w:rsidRPr="009A6C5C">
              <w:rPr>
                <w:sz w:val="16"/>
              </w:rPr>
              <w:t>Year 12</w:t>
            </w:r>
          </w:p>
          <w:p w14:paraId="62035F4A" w14:textId="77777777" w:rsidR="00CC4E3D" w:rsidRPr="009A6C5C" w:rsidRDefault="00CC4E3D" w:rsidP="00CC4E3D">
            <w:pPr>
              <w:rPr>
                <w:sz w:val="16"/>
              </w:rPr>
            </w:pPr>
            <w:r w:rsidRPr="009A6C5C">
              <w:rPr>
                <w:sz w:val="16"/>
              </w:rPr>
              <w:t>Certificate III or higher</w:t>
            </w:r>
          </w:p>
        </w:tc>
        <w:tc>
          <w:tcPr>
            <w:tcW w:w="1418" w:type="dxa"/>
            <w:shd w:val="clear" w:color="auto" w:fill="599AD5"/>
            <w:tcMar>
              <w:left w:w="28" w:type="dxa"/>
              <w:right w:w="28" w:type="dxa"/>
            </w:tcMar>
          </w:tcPr>
          <w:p w14:paraId="366B8EB2" w14:textId="36FC0452" w:rsidR="00CC4E3D" w:rsidRPr="009A6C5C" w:rsidRDefault="00CC4E3D" w:rsidP="00CC4E3D">
            <w:pPr>
              <w:rPr>
                <w:sz w:val="16"/>
              </w:rPr>
            </w:pPr>
            <w:r w:rsidRPr="009A6C5C">
              <w:rPr>
                <w:sz w:val="16"/>
              </w:rPr>
              <w:t>Study and work 25</w:t>
            </w:r>
            <w:r w:rsidR="00A53A25">
              <w:rPr>
                <w:sz w:val="16"/>
              </w:rPr>
              <w:t> </w:t>
            </w:r>
            <w:r w:rsidRPr="009A6C5C">
              <w:rPr>
                <w:sz w:val="16"/>
              </w:rPr>
              <w:t>hours on average per week</w:t>
            </w:r>
          </w:p>
        </w:tc>
      </w:tr>
    </w:tbl>
    <w:p w14:paraId="6BADE6C4" w14:textId="77777777" w:rsidR="00CC4E3D" w:rsidRPr="005A1B8D" w:rsidRDefault="00CC4E3D" w:rsidP="00CC4E3D">
      <w:pPr>
        <w:pStyle w:val="Source"/>
        <w:rPr>
          <w:b/>
        </w:rPr>
      </w:pPr>
      <w:r w:rsidRPr="005A1B8D">
        <w:rPr>
          <w:b/>
        </w:rPr>
        <w:t>Source: Extracted from the TtW Vacancies and Outcomes Guideline v. 3.2, p. 6.</w:t>
      </w:r>
    </w:p>
    <w:p w14:paraId="097ACF37" w14:textId="77777777" w:rsidR="00CC4E3D" w:rsidRDefault="00CC4E3D" w:rsidP="00CC4E3D">
      <w:r>
        <w:br w:type="page"/>
      </w:r>
    </w:p>
    <w:p w14:paraId="476C1492" w14:textId="77777777" w:rsidR="00CC4E3D" w:rsidRDefault="00CC4E3D" w:rsidP="00CC4E3D">
      <w:pPr>
        <w:pStyle w:val="Heading1"/>
      </w:pPr>
      <w:bookmarkStart w:id="611" w:name="_Toc535498940"/>
      <w:bookmarkStart w:id="612" w:name="_Toc23841420"/>
      <w:r>
        <w:rPr>
          <w:rFonts w:asciiTheme="minorHAnsi" w:hAnsiTheme="minorHAnsi" w:cstheme="minorHAnsi"/>
        </w:rPr>
        <w:lastRenderedPageBreak/>
        <w:t xml:space="preserve">Appendix C — </w:t>
      </w:r>
      <w:r>
        <w:t>TtW study group construction, statistical analysis</w:t>
      </w:r>
      <w:bookmarkEnd w:id="610"/>
      <w:bookmarkEnd w:id="611"/>
      <w:bookmarkEnd w:id="612"/>
      <w:r>
        <w:t xml:space="preserve"> </w:t>
      </w:r>
    </w:p>
    <w:p w14:paraId="185E0998" w14:textId="77777777" w:rsidR="00CC4E3D" w:rsidRPr="001F4939" w:rsidRDefault="00CC4E3D" w:rsidP="001F4939">
      <w:pPr>
        <w:pStyle w:val="Heading2"/>
      </w:pPr>
      <w:bookmarkStart w:id="613" w:name="_Toc535498941"/>
      <w:bookmarkStart w:id="614" w:name="_Toc23841421"/>
      <w:r w:rsidRPr="001F4939">
        <w:t>The primary study population</w:t>
      </w:r>
      <w:bookmarkEnd w:id="613"/>
      <w:bookmarkEnd w:id="614"/>
    </w:p>
    <w:p w14:paraId="6AA2DCEA" w14:textId="77777777" w:rsidR="00CC4E3D" w:rsidRDefault="00CC4E3D" w:rsidP="00CC4E3D">
      <w:pPr>
        <w:rPr>
          <w:rFonts w:cstheme="minorHAnsi"/>
        </w:rPr>
      </w:pPr>
      <w:r>
        <w:rPr>
          <w:rFonts w:cstheme="minorHAnsi"/>
        </w:rPr>
        <w:t>The primary study population included people referred to the TtW service during the inflow period (1 February 2016 to 31 July 2016). As the inflow period coincided with the start of the service, the group represented the entire TtW population referred during this period. This study population consisted of the transition group from jobactive, new applicants for Youth Allowance (Other), disengaged young people recruited by providers, and suitable Stream C participants referred from jobactive.</w:t>
      </w:r>
    </w:p>
    <w:p w14:paraId="0501EEE7" w14:textId="678C952F" w:rsidR="00CC4E3D" w:rsidRDefault="00CC4E3D" w:rsidP="00CC4E3D">
      <w:pPr>
        <w:rPr>
          <w:rFonts w:ascii="Calibri" w:eastAsia="Times New Roman" w:hAnsi="Calibri" w:cs="Times New Roman"/>
        </w:rPr>
      </w:pPr>
      <w:r>
        <w:t xml:space="preserve">Once provider sites and start-up dates were confirmed, the </w:t>
      </w:r>
      <w:r w:rsidR="00AC1C42">
        <w:t>d</w:t>
      </w:r>
      <w:r>
        <w:t>epartment identified a group of young people in each employment region</w:t>
      </w:r>
      <w:r w:rsidDel="000B5592">
        <w:t xml:space="preserve"> </w:t>
      </w:r>
      <w:r>
        <w:t xml:space="preserve">who were eligible for TtW and were participating in jobactive. These participants were then referred to TtW from the contract approval date. This was the transition group (or start-up caseload) for TtW. </w:t>
      </w:r>
      <w:r>
        <w:rPr>
          <w:rFonts w:ascii="Calibri" w:eastAsia="Times New Roman" w:hAnsi="Calibri" w:cs="Times New Roman"/>
        </w:rPr>
        <w:t>To examine time lags between referral and commencement, a TtW inflow population was constructed for all referrals (both transitioned and new) to 31 July 2016. This allowed for at least six months of operation for all but one provider contract. Analysis was restricted to participants who commenced within 30 days of referral, to avoid inflating the median number of days between referral and commencement</w:t>
      </w:r>
      <w:r>
        <w:rPr>
          <w:rStyle w:val="FootnoteReference"/>
          <w:rFonts w:ascii="Calibri" w:eastAsia="Times New Roman" w:hAnsi="Calibri" w:cs="Times New Roman"/>
        </w:rPr>
        <w:footnoteReference w:id="36"/>
      </w:r>
      <w:r>
        <w:rPr>
          <w:rFonts w:ascii="Calibri" w:eastAsia="Times New Roman" w:hAnsi="Calibri" w:cs="Times New Roman"/>
        </w:rPr>
        <w:t xml:space="preserve"> for the different phases. </w:t>
      </w:r>
    </w:p>
    <w:p w14:paraId="3636CAFE" w14:textId="77777777" w:rsidR="00CC4E3D" w:rsidRDefault="00CC4E3D" w:rsidP="00CC4E3D">
      <w:pPr>
        <w:rPr>
          <w:rFonts w:cstheme="minorHAnsi"/>
        </w:rPr>
      </w:pPr>
      <w:r>
        <w:rPr>
          <w:rFonts w:cstheme="minorHAnsi"/>
        </w:rPr>
        <w:t xml:space="preserve">The evaluation followed all commenced participants until the end of the study period, which, unless indicated, was six months. The study group consisted of participants who commenced in the service; those who were referred but did not commence; and those who exited services during the study period. </w:t>
      </w:r>
    </w:p>
    <w:p w14:paraId="6F163927" w14:textId="77777777" w:rsidR="00CC4E3D" w:rsidRDefault="00CC4E3D" w:rsidP="00CC4E3D">
      <w:pPr>
        <w:rPr>
          <w:rFonts w:cstheme="minorHAnsi"/>
        </w:rPr>
      </w:pPr>
      <w:r>
        <w:rPr>
          <w:rFonts w:cstheme="minorHAnsi"/>
        </w:rPr>
        <w:t xml:space="preserve">The sample for the qualitative component of the research was constructed from participants (caseload) who had a status of ‘commenced’ in TtW at a point in time: 31 July 2016. </w:t>
      </w:r>
    </w:p>
    <w:p w14:paraId="429B86ED" w14:textId="77777777" w:rsidR="00CC4E3D" w:rsidRPr="001F4939" w:rsidRDefault="00CC4E3D" w:rsidP="001F4939">
      <w:pPr>
        <w:pStyle w:val="Heading2"/>
      </w:pPr>
      <w:bookmarkStart w:id="615" w:name="_Toc535498942"/>
      <w:bookmarkStart w:id="616" w:name="_Toc23841422"/>
      <w:r w:rsidRPr="001F4939">
        <w:t>Administrative data: matched samples (TtW and jobactive)</w:t>
      </w:r>
      <w:bookmarkEnd w:id="615"/>
      <w:bookmarkEnd w:id="616"/>
    </w:p>
    <w:p w14:paraId="63941261" w14:textId="77777777" w:rsidR="00CC4E3D" w:rsidRDefault="00CC4E3D" w:rsidP="00CC4E3D">
      <w:pPr>
        <w:rPr>
          <w:rFonts w:cstheme="minorHAnsi"/>
        </w:rPr>
      </w:pPr>
      <w:r>
        <w:rPr>
          <w:rFonts w:cstheme="minorHAnsi"/>
        </w:rPr>
        <w:t xml:space="preserve">A comparison group was constructed from a jobactive inflow population from 1 February 2016 to 31 July 2016. It should be noted that participants in one service may have been different in some ways from those in the other. For instance, young people who are less motivated or face greater barriers to workforce participation, such as poor language skills, mental illness or homelessness, may opt to go or be referred to jobactive rather than participate in 12 months of activity-intensive services. </w:t>
      </w:r>
    </w:p>
    <w:p w14:paraId="4291FCBD" w14:textId="77777777" w:rsidR="00CC4E3D" w:rsidRDefault="00CC4E3D" w:rsidP="00CC4E3D">
      <w:pPr>
        <w:rPr>
          <w:rFonts w:cstheme="minorHAnsi"/>
        </w:rPr>
      </w:pPr>
      <w:r>
        <w:rPr>
          <w:rFonts w:cstheme="minorHAnsi"/>
        </w:rPr>
        <w:lastRenderedPageBreak/>
        <w:t>The study period described above was used for the analysis of the matched samples.</w:t>
      </w:r>
    </w:p>
    <w:p w14:paraId="7599AEE8" w14:textId="77777777" w:rsidR="00CC4E3D" w:rsidRPr="001F4939" w:rsidRDefault="00CC4E3D" w:rsidP="001F4939">
      <w:pPr>
        <w:pStyle w:val="Heading2"/>
      </w:pPr>
      <w:bookmarkStart w:id="617" w:name="_Toc535498943"/>
      <w:bookmarkStart w:id="618" w:name="_Toc23841423"/>
      <w:r w:rsidRPr="001F4939">
        <w:t>Estimating the effects of TtW</w:t>
      </w:r>
      <w:bookmarkEnd w:id="617"/>
      <w:bookmarkEnd w:id="618"/>
    </w:p>
    <w:p w14:paraId="23D7E8BA" w14:textId="77777777" w:rsidR="00CC4E3D" w:rsidRDefault="00CC4E3D" w:rsidP="00CC4E3D">
      <w:pPr>
        <w:rPr>
          <w:rFonts w:cstheme="minorHAnsi"/>
        </w:rPr>
      </w:pPr>
      <w:r>
        <w:rPr>
          <w:rFonts w:cstheme="minorHAnsi"/>
        </w:rPr>
        <w:t>To estimate the impact of TtW, a jobactive comparison group using case-control matching was constructed from the jobactive inflow population. Based on entry criteria for TtW, age, education and jobactive S</w:t>
      </w:r>
      <w:r w:rsidRPr="005B7B50">
        <w:rPr>
          <w:rFonts w:cstheme="minorHAnsi"/>
        </w:rPr>
        <w:t>tream</w:t>
      </w:r>
      <w:r>
        <w:rPr>
          <w:rFonts w:cstheme="minorHAnsi"/>
        </w:rPr>
        <w:t xml:space="preserve"> B were used for matching purposes. </w:t>
      </w:r>
    </w:p>
    <w:p w14:paraId="2D07F785" w14:textId="77777777" w:rsidR="00CC4E3D" w:rsidRDefault="00CC4E3D" w:rsidP="00CC4E3D">
      <w:pPr>
        <w:rPr>
          <w:rFonts w:cstheme="minorHAnsi"/>
        </w:rPr>
      </w:pPr>
      <w:r>
        <w:rPr>
          <w:rFonts w:cstheme="minorHAnsi"/>
          <w:b/>
        </w:rPr>
        <w:t>Table C.1 </w:t>
      </w:r>
      <w:r>
        <w:rPr>
          <w:rFonts w:cstheme="minorHAnsi"/>
        </w:rPr>
        <w:t xml:space="preserve">compares key demographic characteristics of the TtW inflow population and the matched samples for TtW and jobactive. Unobserved characteristics, such as motivation, could have varied between groups in a </w:t>
      </w:r>
      <w:r w:rsidRPr="005B7B50">
        <w:rPr>
          <w:rFonts w:cstheme="minorHAnsi"/>
        </w:rPr>
        <w:t>systematic</w:t>
      </w:r>
      <w:r>
        <w:rPr>
          <w:rFonts w:cstheme="minorHAnsi"/>
        </w:rPr>
        <w:t xml:space="preserve"> way. This should be considered when interpreting results in this report. </w:t>
      </w:r>
    </w:p>
    <w:p w14:paraId="25AF7BE4" w14:textId="4FE6EB37" w:rsidR="00CC4E3D" w:rsidRPr="001D788C" w:rsidRDefault="00CC4E3D" w:rsidP="00FD4CA8">
      <w:pPr>
        <w:pStyle w:val="Caption"/>
        <w:rPr>
          <w:rFonts w:cstheme="minorHAnsi"/>
        </w:rPr>
      </w:pPr>
      <w:bookmarkStart w:id="619" w:name="_Toc509402988"/>
      <w:bookmarkStart w:id="620" w:name="_Toc490579608"/>
      <w:bookmarkStart w:id="621" w:name="_Toc535511498"/>
      <w:bookmarkStart w:id="622" w:name="_Toc535511558"/>
      <w:bookmarkStart w:id="623" w:name="_Toc535512786"/>
      <w:bookmarkStart w:id="624" w:name="_Toc535513422"/>
      <w:bookmarkStart w:id="625" w:name="_Toc23841446"/>
      <w:r>
        <w:t xml:space="preserve">Table C. </w:t>
      </w:r>
      <w:r>
        <w:rPr>
          <w:noProof/>
        </w:rPr>
        <w:fldChar w:fldCharType="begin"/>
      </w:r>
      <w:r>
        <w:rPr>
          <w:noProof/>
        </w:rPr>
        <w:instrText xml:space="preserve"> SEQ Table_C. \* ARABIC </w:instrText>
      </w:r>
      <w:r>
        <w:rPr>
          <w:noProof/>
        </w:rPr>
        <w:fldChar w:fldCharType="separate"/>
      </w:r>
      <w:r w:rsidR="00D84A2A">
        <w:rPr>
          <w:noProof/>
        </w:rPr>
        <w:t>1</w:t>
      </w:r>
      <w:r>
        <w:rPr>
          <w:noProof/>
        </w:rPr>
        <w:fldChar w:fldCharType="end"/>
      </w:r>
      <w:r w:rsidRPr="001D788C">
        <w:tab/>
        <w:t>Demographic characteristics of TtW inflow population and matched samples for TtW and jobactive</w:t>
      </w:r>
      <w:bookmarkEnd w:id="619"/>
      <w:bookmarkEnd w:id="620"/>
      <w:bookmarkEnd w:id="621"/>
      <w:bookmarkEnd w:id="622"/>
      <w:bookmarkEnd w:id="623"/>
      <w:bookmarkEnd w:id="624"/>
      <w:bookmarkEnd w:id="625"/>
    </w:p>
    <w:tbl>
      <w:tblPr>
        <w:tblStyle w:val="JobsTable"/>
        <w:tblW w:w="5107" w:type="pct"/>
        <w:tblLayout w:type="fixed"/>
        <w:tblLook w:val="06A0" w:firstRow="1" w:lastRow="0" w:firstColumn="1" w:lastColumn="0" w:noHBand="1" w:noVBand="1"/>
        <w:tblDescription w:val="The factors considered are age, education, gender, Indigenous status, transport, English proficiency, offender status, and remoteness. The numbers and percentages are:&#10;Aged 15: TtW inflow population (TtWI) 106 (0.5%); TtW matched sample (TtWS) 63 (0.3%); jobactive matched sample (JAS) 63 (0.3%)&#10;Aged 16: TtWI 1,749 (8.1%); TtWS 1,748 (8.5%); JAS 1,748 (8.5%)&#10;Aged 17: TtWI 3,768 (17.5%); TtWS 3,767 (18.2%); JAS 3,767 (18.2%)&#10;Aged 18: TtWI 5,241 (24.4%); TtWS 5,074 (24.5%); JAS 5,074 (24.5%)&#10;Aged 19: TtWI 4,233 (19.7%); TtWS 3,784 (18.3%); JAS 3,784 (18.3%)&#10;Aged 20: TtWI 3,443 (16.0%); TtWS 3,313 (16.0%); JAS 3,313 (16.0%)&#10;Aged 21: TtWI 2,940 (13.7%); TtWS 2,921 (14.1%); JAS 2,921 (14.1%)&#10;Aged 22: TtWI 15 (0.1%); TtWS 14 (0.1%); JAS 14 (0.1%)&#10;Special school or support unit: TtWI 24% (0.1%); TtWS 19 (0.1%); JAS 19 (0.1%)&#10;&lt; Year 10: TtWI: 3,304 (15.6%); TtWS 3,027 14.9%); JAS 3,027 (14.9%)&#10;Did not go to school: TtWI 37 (0.2%); TtWS 34 (0.2%); JAS 34 (0.2%)&#10;Year 10/11: TtWI 15,218 (72.0%); TtWS 14,701 (72.4%); JAS 14,701 (72.4%)&#10;Year 12/13: TtWI 144 (0.7%); TtWS 144 (0.7%); JAS 144 (0.7%)&#10;Grad cert / Grad dip: TtWI 3 (0.0%); TtWS 3 (0.0%); JAS 3 (0.0%)&#10;Diploma: TtWI 13 (0.1%); TtWS 13 (0.1%); JAS 13 (0.1%)&#10;Trades: TtWI 17 (0.1%); TtWS 16 (0.1%); JAS 16 (0.1%)&#10;Non-vocational education: TtWI 2,360 (11.2%); TtWS 2,358 (11.6%); JAS 2,358 (11.6%)&#10;Male: TtWI 12,506 (58.2%); TtWS 12,070 (58.4%); JAS 11,567 (55.9%)&#10;Female: TtWI 8,989 (41.8%); TtWS 8,614 (41.6%); JAS 9,117 (44.1%)&#10;Does not identify as Indigenous: TtWI 16,124 (76.3%); TtWS 15,555 (76.6%); JAS 15,454 (76.1%)&#10;Declined to answer on Indigenous status: TtWI 778 (3.7%); TtWS 748 (3.7%); JAS 859 (4.2%)&#10;Identifies as Indigenous: TtWI 4,226 (20.0%); TtWS 4,014 (19.8%); JAS 4,002 (19.7%)&#10;Own transport: TtWI 4,114 (19.5%); TtWS 4,029 (19.8%); JAS 4,522 (22.0%)&#10;Other private transport: TtWI 2,904 (13.7%); TtWS 2,786 (13.8%); JAS 3025 (1.5%)&#10;Public transport: TtWI 12,419 (58.8%); TtWS 11,904 (58.5%); JAS 10,962 (54.2%)&#10;No transport: TtWI 1,691 (8.0%); TtWS 1,598 (7.9%); JAS 1,806 (9.0%)&#10;Good English: TtWI 19,473 (92.2%); TtWS 18,790 (92.5%); JAS 18,546 (91.3%)&#10;Combination of good and poor English: TtWI 1,103 (5.2%); 1,024 (5.0%); JAS 1,149 (5.7%)&#10;Poor English: TtWI 551 (2.6%); TtWS 503 (2.5%); JAS 620 (3.1%)&#10;Not an ex-offender: TtWI 18,314 (86.7%); TtWS 17,663 (86.9%); JAS 17,508 (86.2%)&#10;Declined to answer on offender status: TtWI 546 (2.6%); TtWS 517 (2.5%); JAS 649 (3.2%)&#10;Ex-offender: TtWI 2,266 (10.7%); TtWS 2,137 (10.5%); JAS 2,158 (10.6%)&#10;Metro / inner regional: TtWI 18,087 (85.6%); TtWS 17,395 (85.6%); JAS 16,475 (81.1%)&#10;Outer regional / remote: TtWI 3,039 (14.4%); TtWS 2,921 (14.4%); JAS 3,830 (18.9%)&#10;Total: TtWI 21,495; TtWS 20,684; JAS 20,684&#10;"/>
      </w:tblPr>
      <w:tblGrid>
        <w:gridCol w:w="1225"/>
        <w:gridCol w:w="1751"/>
        <w:gridCol w:w="1135"/>
        <w:gridCol w:w="1135"/>
        <w:gridCol w:w="993"/>
        <w:gridCol w:w="994"/>
        <w:gridCol w:w="993"/>
        <w:gridCol w:w="993"/>
      </w:tblGrid>
      <w:tr w:rsidR="00F44ADC" w:rsidRPr="000769DB" w14:paraId="0AFA7A58" w14:textId="77777777" w:rsidTr="00F44AD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23" w:type="dxa"/>
            <w:vAlign w:val="center"/>
            <w:hideMark/>
          </w:tcPr>
          <w:p w14:paraId="026B95EE" w14:textId="2DCF5033" w:rsidR="00D46081" w:rsidRPr="00DF15E5" w:rsidRDefault="00F44ADC" w:rsidP="00F44ADC">
            <w:pPr>
              <w:rPr>
                <w:color w:val="0070C0"/>
                <w:sz w:val="20"/>
                <w:szCs w:val="20"/>
              </w:rPr>
            </w:pPr>
            <w:r w:rsidRPr="000769DB">
              <w:rPr>
                <w:b/>
                <w:bCs/>
                <w:sz w:val="20"/>
                <w:szCs w:val="20"/>
              </w:rPr>
              <w:t>Factor</w:t>
            </w:r>
          </w:p>
        </w:tc>
        <w:tc>
          <w:tcPr>
            <w:tcW w:w="1749" w:type="dxa"/>
            <w:vAlign w:val="center"/>
            <w:hideMark/>
          </w:tcPr>
          <w:p w14:paraId="74638E98" w14:textId="21F8BEAF" w:rsidR="00D46081" w:rsidRPr="00DF15E5" w:rsidRDefault="00F44ADC" w:rsidP="00F44ADC">
            <w:pPr>
              <w:cnfStyle w:val="100000000000" w:firstRow="1" w:lastRow="0" w:firstColumn="0" w:lastColumn="0" w:oddVBand="0" w:evenVBand="0" w:oddHBand="0" w:evenHBand="0" w:firstRowFirstColumn="0" w:firstRowLastColumn="0" w:lastRowFirstColumn="0" w:lastRowLastColumn="0"/>
              <w:rPr>
                <w:b/>
                <w:color w:val="0070C0"/>
                <w:sz w:val="20"/>
                <w:szCs w:val="20"/>
              </w:rPr>
            </w:pPr>
            <w:r w:rsidRPr="000769DB">
              <w:rPr>
                <w:b/>
                <w:bCs/>
                <w:sz w:val="20"/>
                <w:szCs w:val="20"/>
              </w:rPr>
              <w:t>Levels</w:t>
            </w:r>
          </w:p>
        </w:tc>
        <w:tc>
          <w:tcPr>
            <w:tcW w:w="1134" w:type="dxa"/>
            <w:vAlign w:val="center"/>
            <w:hideMark/>
          </w:tcPr>
          <w:p w14:paraId="2A6253D6" w14:textId="61C22E73" w:rsidR="00D46081" w:rsidRPr="005A1B8D" w:rsidRDefault="00F44ADC" w:rsidP="00F44ADC">
            <w:pPr>
              <w:jc w:val="right"/>
              <w:cnfStyle w:val="100000000000" w:firstRow="1" w:lastRow="0" w:firstColumn="0" w:lastColumn="0" w:oddVBand="0" w:evenVBand="0" w:oddHBand="0" w:evenHBand="0" w:firstRowFirstColumn="0" w:firstRowLastColumn="0" w:lastRowFirstColumn="0" w:lastRowLastColumn="0"/>
              <w:rPr>
                <w:b/>
                <w:color w:val="FFFFFF" w:themeColor="background1"/>
                <w:sz w:val="20"/>
                <w:szCs w:val="20"/>
              </w:rPr>
            </w:pPr>
            <w:r w:rsidRPr="000769DB">
              <w:rPr>
                <w:b/>
                <w:bCs/>
                <w:sz w:val="20"/>
                <w:szCs w:val="20"/>
              </w:rPr>
              <w:t>TtW inflow population</w:t>
            </w:r>
            <w:r w:rsidRPr="005A1B8D">
              <w:rPr>
                <w:b/>
                <w:color w:val="FFFFFF" w:themeColor="background1"/>
                <w:sz w:val="20"/>
                <w:szCs w:val="20"/>
              </w:rPr>
              <w:t xml:space="preserve"> </w:t>
            </w:r>
            <w:r w:rsidR="00D46081" w:rsidRPr="005A1B8D">
              <w:rPr>
                <w:b/>
                <w:color w:val="FFFFFF" w:themeColor="background1"/>
                <w:sz w:val="20"/>
                <w:szCs w:val="20"/>
              </w:rPr>
              <w:t>No.</w:t>
            </w:r>
          </w:p>
        </w:tc>
        <w:tc>
          <w:tcPr>
            <w:tcW w:w="1134" w:type="dxa"/>
            <w:vAlign w:val="center"/>
            <w:hideMark/>
          </w:tcPr>
          <w:p w14:paraId="1936F177" w14:textId="43C907EC" w:rsidR="00D46081" w:rsidRPr="005A1B8D" w:rsidRDefault="00F44ADC" w:rsidP="00F44ADC">
            <w:pPr>
              <w:jc w:val="right"/>
              <w:cnfStyle w:val="100000000000" w:firstRow="1" w:lastRow="0" w:firstColumn="0" w:lastColumn="0" w:oddVBand="0" w:evenVBand="0" w:oddHBand="0" w:evenHBand="0" w:firstRowFirstColumn="0" w:firstRowLastColumn="0" w:lastRowFirstColumn="0" w:lastRowLastColumn="0"/>
              <w:rPr>
                <w:b/>
                <w:color w:val="FFFFFF" w:themeColor="background1"/>
                <w:sz w:val="20"/>
                <w:szCs w:val="20"/>
              </w:rPr>
            </w:pPr>
            <w:r w:rsidRPr="000769DB">
              <w:rPr>
                <w:b/>
                <w:bCs/>
                <w:sz w:val="20"/>
                <w:szCs w:val="20"/>
              </w:rPr>
              <w:t>TtW inflow population</w:t>
            </w:r>
            <w:r w:rsidRPr="005A1B8D">
              <w:rPr>
                <w:b/>
                <w:color w:val="FFFFFF" w:themeColor="background1"/>
                <w:sz w:val="20"/>
                <w:szCs w:val="20"/>
              </w:rPr>
              <w:t xml:space="preserve"> </w:t>
            </w:r>
            <w:r w:rsidR="00D46081" w:rsidRPr="005A1B8D">
              <w:rPr>
                <w:b/>
                <w:color w:val="FFFFFF" w:themeColor="background1"/>
                <w:sz w:val="20"/>
                <w:szCs w:val="20"/>
              </w:rPr>
              <w:t>%</w:t>
            </w:r>
          </w:p>
        </w:tc>
        <w:tc>
          <w:tcPr>
            <w:tcW w:w="992" w:type="dxa"/>
            <w:vAlign w:val="center"/>
            <w:hideMark/>
          </w:tcPr>
          <w:p w14:paraId="6BDA28F6" w14:textId="7541FB40" w:rsidR="00D46081" w:rsidRPr="005A1B8D" w:rsidRDefault="00F44ADC" w:rsidP="00F44ADC">
            <w:pPr>
              <w:jc w:val="right"/>
              <w:cnfStyle w:val="100000000000" w:firstRow="1" w:lastRow="0" w:firstColumn="0" w:lastColumn="0" w:oddVBand="0" w:evenVBand="0" w:oddHBand="0" w:evenHBand="0" w:firstRowFirstColumn="0" w:firstRowLastColumn="0" w:lastRowFirstColumn="0" w:lastRowLastColumn="0"/>
              <w:rPr>
                <w:b/>
                <w:color w:val="FFFFFF" w:themeColor="background1"/>
                <w:sz w:val="20"/>
                <w:szCs w:val="20"/>
              </w:rPr>
            </w:pPr>
            <w:r w:rsidRPr="000769DB">
              <w:rPr>
                <w:b/>
                <w:bCs/>
                <w:sz w:val="20"/>
                <w:szCs w:val="20"/>
              </w:rPr>
              <w:t>TtW matched sample</w:t>
            </w:r>
            <w:r w:rsidRPr="005A1B8D">
              <w:rPr>
                <w:b/>
                <w:color w:val="FFFFFF" w:themeColor="background1"/>
                <w:sz w:val="20"/>
                <w:szCs w:val="20"/>
              </w:rPr>
              <w:t xml:space="preserve"> </w:t>
            </w:r>
            <w:r w:rsidR="00D46081" w:rsidRPr="005A1B8D">
              <w:rPr>
                <w:b/>
                <w:color w:val="FFFFFF" w:themeColor="background1"/>
                <w:sz w:val="20"/>
                <w:szCs w:val="20"/>
              </w:rPr>
              <w:t>No.</w:t>
            </w:r>
          </w:p>
        </w:tc>
        <w:tc>
          <w:tcPr>
            <w:tcW w:w="993" w:type="dxa"/>
            <w:vAlign w:val="center"/>
            <w:hideMark/>
          </w:tcPr>
          <w:p w14:paraId="2B625131" w14:textId="672B401E" w:rsidR="00D46081" w:rsidRPr="005A1B8D" w:rsidRDefault="00F44ADC" w:rsidP="00F44ADC">
            <w:pPr>
              <w:jc w:val="right"/>
              <w:cnfStyle w:val="100000000000" w:firstRow="1" w:lastRow="0" w:firstColumn="0" w:lastColumn="0" w:oddVBand="0" w:evenVBand="0" w:oddHBand="0" w:evenHBand="0" w:firstRowFirstColumn="0" w:firstRowLastColumn="0" w:lastRowFirstColumn="0" w:lastRowLastColumn="0"/>
              <w:rPr>
                <w:b/>
                <w:color w:val="FFFFFF" w:themeColor="background1"/>
                <w:sz w:val="20"/>
                <w:szCs w:val="20"/>
              </w:rPr>
            </w:pPr>
            <w:r w:rsidRPr="000769DB">
              <w:rPr>
                <w:b/>
                <w:bCs/>
                <w:sz w:val="20"/>
                <w:szCs w:val="20"/>
              </w:rPr>
              <w:t>TtW matched sample</w:t>
            </w:r>
            <w:r w:rsidRPr="005A1B8D">
              <w:rPr>
                <w:b/>
                <w:color w:val="FFFFFF" w:themeColor="background1"/>
                <w:sz w:val="20"/>
                <w:szCs w:val="20"/>
              </w:rPr>
              <w:t xml:space="preserve"> </w:t>
            </w:r>
            <w:r w:rsidR="00D46081" w:rsidRPr="005A1B8D">
              <w:rPr>
                <w:b/>
                <w:color w:val="FFFFFF" w:themeColor="background1"/>
                <w:sz w:val="20"/>
                <w:szCs w:val="20"/>
              </w:rPr>
              <w:t>%</w:t>
            </w:r>
          </w:p>
        </w:tc>
        <w:tc>
          <w:tcPr>
            <w:tcW w:w="992" w:type="dxa"/>
            <w:vAlign w:val="center"/>
            <w:hideMark/>
          </w:tcPr>
          <w:p w14:paraId="75D186F6" w14:textId="35E77947" w:rsidR="00D46081" w:rsidRPr="005A1B8D" w:rsidRDefault="00F44ADC" w:rsidP="00F44ADC">
            <w:pPr>
              <w:jc w:val="right"/>
              <w:cnfStyle w:val="100000000000" w:firstRow="1" w:lastRow="0" w:firstColumn="0" w:lastColumn="0" w:oddVBand="0" w:evenVBand="0" w:oddHBand="0" w:evenHBand="0" w:firstRowFirstColumn="0" w:firstRowLastColumn="0" w:lastRowFirstColumn="0" w:lastRowLastColumn="0"/>
              <w:rPr>
                <w:b/>
                <w:color w:val="FFFFFF" w:themeColor="background1"/>
                <w:sz w:val="20"/>
                <w:szCs w:val="20"/>
              </w:rPr>
            </w:pPr>
            <w:r w:rsidRPr="000769DB">
              <w:rPr>
                <w:b/>
                <w:bCs/>
                <w:sz w:val="20"/>
                <w:szCs w:val="20"/>
              </w:rPr>
              <w:t>jobactive matched sample</w:t>
            </w:r>
            <w:r w:rsidRPr="005A1B8D">
              <w:rPr>
                <w:b/>
                <w:color w:val="FFFFFF" w:themeColor="background1"/>
                <w:sz w:val="20"/>
                <w:szCs w:val="20"/>
              </w:rPr>
              <w:t xml:space="preserve"> </w:t>
            </w:r>
            <w:r w:rsidR="00D46081" w:rsidRPr="005A1B8D">
              <w:rPr>
                <w:b/>
                <w:color w:val="FFFFFF" w:themeColor="background1"/>
                <w:sz w:val="20"/>
                <w:szCs w:val="20"/>
              </w:rPr>
              <w:t>No.</w:t>
            </w:r>
          </w:p>
        </w:tc>
        <w:tc>
          <w:tcPr>
            <w:tcW w:w="992" w:type="dxa"/>
            <w:vAlign w:val="center"/>
            <w:hideMark/>
          </w:tcPr>
          <w:p w14:paraId="0233741F" w14:textId="2B124C02" w:rsidR="00D46081" w:rsidRPr="005A1B8D" w:rsidRDefault="00F44ADC" w:rsidP="00F44ADC">
            <w:pPr>
              <w:jc w:val="right"/>
              <w:cnfStyle w:val="100000000000" w:firstRow="1" w:lastRow="0" w:firstColumn="0" w:lastColumn="0" w:oddVBand="0" w:evenVBand="0" w:oddHBand="0" w:evenHBand="0" w:firstRowFirstColumn="0" w:firstRowLastColumn="0" w:lastRowFirstColumn="0" w:lastRowLastColumn="0"/>
              <w:rPr>
                <w:b/>
                <w:color w:val="FFFFFF" w:themeColor="background1"/>
                <w:sz w:val="20"/>
                <w:szCs w:val="20"/>
              </w:rPr>
            </w:pPr>
            <w:r w:rsidRPr="000769DB">
              <w:rPr>
                <w:b/>
                <w:bCs/>
                <w:sz w:val="20"/>
                <w:szCs w:val="20"/>
              </w:rPr>
              <w:t>jobactive matched sample</w:t>
            </w:r>
            <w:r w:rsidRPr="005A1B8D">
              <w:rPr>
                <w:b/>
                <w:color w:val="FFFFFF" w:themeColor="background1"/>
                <w:sz w:val="20"/>
                <w:szCs w:val="20"/>
              </w:rPr>
              <w:t xml:space="preserve"> </w:t>
            </w:r>
            <w:r w:rsidR="00D46081" w:rsidRPr="005A1B8D">
              <w:rPr>
                <w:b/>
                <w:color w:val="FFFFFF" w:themeColor="background1"/>
                <w:sz w:val="20"/>
                <w:szCs w:val="20"/>
              </w:rPr>
              <w:t>%</w:t>
            </w:r>
          </w:p>
        </w:tc>
      </w:tr>
      <w:tr w:rsidR="00F44ADC" w:rsidRPr="000769DB" w14:paraId="64286756"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val="restart"/>
            <w:hideMark/>
          </w:tcPr>
          <w:p w14:paraId="46343479" w14:textId="42F1CF0C" w:rsidR="00F44ADC" w:rsidRPr="000769DB" w:rsidRDefault="00F44ADC" w:rsidP="00F44ADC">
            <w:pPr>
              <w:rPr>
                <w:sz w:val="20"/>
                <w:szCs w:val="20"/>
              </w:rPr>
            </w:pPr>
            <w:r w:rsidRPr="000769DB">
              <w:rPr>
                <w:sz w:val="20"/>
                <w:szCs w:val="20"/>
              </w:rPr>
              <w:t>Age*</w:t>
            </w:r>
          </w:p>
        </w:tc>
        <w:tc>
          <w:tcPr>
            <w:tcW w:w="1749" w:type="dxa"/>
            <w:hideMark/>
          </w:tcPr>
          <w:p w14:paraId="5BCDE0C2"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15</w:t>
            </w:r>
          </w:p>
        </w:tc>
        <w:tc>
          <w:tcPr>
            <w:tcW w:w="1134" w:type="dxa"/>
            <w:hideMark/>
          </w:tcPr>
          <w:p w14:paraId="04346918"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106</w:t>
            </w:r>
          </w:p>
        </w:tc>
        <w:tc>
          <w:tcPr>
            <w:tcW w:w="1134" w:type="dxa"/>
            <w:hideMark/>
          </w:tcPr>
          <w:p w14:paraId="69B05F6F"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0.5</w:t>
            </w:r>
          </w:p>
        </w:tc>
        <w:tc>
          <w:tcPr>
            <w:tcW w:w="992" w:type="dxa"/>
            <w:hideMark/>
          </w:tcPr>
          <w:p w14:paraId="2E4A1B7D"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63</w:t>
            </w:r>
          </w:p>
        </w:tc>
        <w:tc>
          <w:tcPr>
            <w:tcW w:w="993" w:type="dxa"/>
            <w:hideMark/>
          </w:tcPr>
          <w:p w14:paraId="6C0D4F0B"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0.3</w:t>
            </w:r>
          </w:p>
        </w:tc>
        <w:tc>
          <w:tcPr>
            <w:tcW w:w="992" w:type="dxa"/>
            <w:hideMark/>
          </w:tcPr>
          <w:p w14:paraId="559E4185"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63</w:t>
            </w:r>
          </w:p>
        </w:tc>
        <w:tc>
          <w:tcPr>
            <w:tcW w:w="992" w:type="dxa"/>
            <w:hideMark/>
          </w:tcPr>
          <w:p w14:paraId="33447424"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0.3</w:t>
            </w:r>
          </w:p>
        </w:tc>
      </w:tr>
      <w:tr w:rsidR="00F44ADC" w:rsidRPr="000769DB" w14:paraId="179349A0"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7D113B69" w14:textId="2EF4CDC5" w:rsidR="00F44ADC" w:rsidRPr="00DF15E5" w:rsidRDefault="00F44ADC" w:rsidP="00D46081">
            <w:pPr>
              <w:rPr>
                <w:b w:val="0"/>
                <w:sz w:val="20"/>
                <w:szCs w:val="20"/>
              </w:rPr>
            </w:pPr>
          </w:p>
        </w:tc>
        <w:tc>
          <w:tcPr>
            <w:tcW w:w="1749" w:type="dxa"/>
            <w:hideMark/>
          </w:tcPr>
          <w:p w14:paraId="19211DF0"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16</w:t>
            </w:r>
          </w:p>
        </w:tc>
        <w:tc>
          <w:tcPr>
            <w:tcW w:w="1134" w:type="dxa"/>
            <w:hideMark/>
          </w:tcPr>
          <w:p w14:paraId="26863E28"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1,749</w:t>
            </w:r>
          </w:p>
        </w:tc>
        <w:tc>
          <w:tcPr>
            <w:tcW w:w="1134" w:type="dxa"/>
            <w:hideMark/>
          </w:tcPr>
          <w:p w14:paraId="070B4054"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8.1</w:t>
            </w:r>
          </w:p>
        </w:tc>
        <w:tc>
          <w:tcPr>
            <w:tcW w:w="992" w:type="dxa"/>
            <w:hideMark/>
          </w:tcPr>
          <w:p w14:paraId="55AF880B"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1,748</w:t>
            </w:r>
          </w:p>
        </w:tc>
        <w:tc>
          <w:tcPr>
            <w:tcW w:w="993" w:type="dxa"/>
            <w:hideMark/>
          </w:tcPr>
          <w:p w14:paraId="4A02EA4F"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8.5</w:t>
            </w:r>
          </w:p>
        </w:tc>
        <w:tc>
          <w:tcPr>
            <w:tcW w:w="992" w:type="dxa"/>
            <w:hideMark/>
          </w:tcPr>
          <w:p w14:paraId="6CE3AA25"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1,748</w:t>
            </w:r>
          </w:p>
        </w:tc>
        <w:tc>
          <w:tcPr>
            <w:tcW w:w="992" w:type="dxa"/>
            <w:hideMark/>
          </w:tcPr>
          <w:p w14:paraId="75033849"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8.5</w:t>
            </w:r>
          </w:p>
        </w:tc>
      </w:tr>
      <w:tr w:rsidR="00F44ADC" w:rsidRPr="000769DB" w14:paraId="46942A83"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087C3168" w14:textId="45703E23" w:rsidR="00F44ADC" w:rsidRPr="000769DB" w:rsidRDefault="00F44ADC" w:rsidP="00D46081">
            <w:pPr>
              <w:rPr>
                <w:sz w:val="20"/>
                <w:szCs w:val="20"/>
              </w:rPr>
            </w:pPr>
          </w:p>
        </w:tc>
        <w:tc>
          <w:tcPr>
            <w:tcW w:w="1749" w:type="dxa"/>
            <w:hideMark/>
          </w:tcPr>
          <w:p w14:paraId="1F8011B0"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17</w:t>
            </w:r>
          </w:p>
        </w:tc>
        <w:tc>
          <w:tcPr>
            <w:tcW w:w="1134" w:type="dxa"/>
            <w:hideMark/>
          </w:tcPr>
          <w:p w14:paraId="0F335B8A"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3,768</w:t>
            </w:r>
          </w:p>
        </w:tc>
        <w:tc>
          <w:tcPr>
            <w:tcW w:w="1134" w:type="dxa"/>
            <w:hideMark/>
          </w:tcPr>
          <w:p w14:paraId="404B855D"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17.5</w:t>
            </w:r>
          </w:p>
        </w:tc>
        <w:tc>
          <w:tcPr>
            <w:tcW w:w="992" w:type="dxa"/>
            <w:hideMark/>
          </w:tcPr>
          <w:p w14:paraId="2C481E86"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3,767</w:t>
            </w:r>
          </w:p>
        </w:tc>
        <w:tc>
          <w:tcPr>
            <w:tcW w:w="993" w:type="dxa"/>
            <w:hideMark/>
          </w:tcPr>
          <w:p w14:paraId="65C7B712"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18.2</w:t>
            </w:r>
          </w:p>
        </w:tc>
        <w:tc>
          <w:tcPr>
            <w:tcW w:w="992" w:type="dxa"/>
            <w:hideMark/>
          </w:tcPr>
          <w:p w14:paraId="39C716D0"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3,767</w:t>
            </w:r>
          </w:p>
        </w:tc>
        <w:tc>
          <w:tcPr>
            <w:tcW w:w="992" w:type="dxa"/>
            <w:hideMark/>
          </w:tcPr>
          <w:p w14:paraId="25C30B45"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18.2</w:t>
            </w:r>
          </w:p>
        </w:tc>
      </w:tr>
      <w:tr w:rsidR="00F44ADC" w:rsidRPr="000769DB" w14:paraId="36B2CE19"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3D2FB244" w14:textId="235309A9" w:rsidR="00F44ADC" w:rsidRPr="000769DB" w:rsidRDefault="00F44ADC" w:rsidP="00D46081">
            <w:pPr>
              <w:rPr>
                <w:sz w:val="20"/>
                <w:szCs w:val="20"/>
              </w:rPr>
            </w:pPr>
          </w:p>
        </w:tc>
        <w:tc>
          <w:tcPr>
            <w:tcW w:w="1749" w:type="dxa"/>
            <w:hideMark/>
          </w:tcPr>
          <w:p w14:paraId="69D6A9E6"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18</w:t>
            </w:r>
          </w:p>
        </w:tc>
        <w:tc>
          <w:tcPr>
            <w:tcW w:w="1134" w:type="dxa"/>
            <w:hideMark/>
          </w:tcPr>
          <w:p w14:paraId="6B40DC88"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5,241</w:t>
            </w:r>
          </w:p>
        </w:tc>
        <w:tc>
          <w:tcPr>
            <w:tcW w:w="1134" w:type="dxa"/>
            <w:hideMark/>
          </w:tcPr>
          <w:p w14:paraId="3259308A"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24.4</w:t>
            </w:r>
          </w:p>
        </w:tc>
        <w:tc>
          <w:tcPr>
            <w:tcW w:w="992" w:type="dxa"/>
            <w:hideMark/>
          </w:tcPr>
          <w:p w14:paraId="22A7DD99"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5,074</w:t>
            </w:r>
          </w:p>
        </w:tc>
        <w:tc>
          <w:tcPr>
            <w:tcW w:w="993" w:type="dxa"/>
            <w:hideMark/>
          </w:tcPr>
          <w:p w14:paraId="1CED0AA7"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24.5</w:t>
            </w:r>
          </w:p>
        </w:tc>
        <w:tc>
          <w:tcPr>
            <w:tcW w:w="992" w:type="dxa"/>
            <w:hideMark/>
          </w:tcPr>
          <w:p w14:paraId="4CBE7ADD"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5,074</w:t>
            </w:r>
          </w:p>
        </w:tc>
        <w:tc>
          <w:tcPr>
            <w:tcW w:w="992" w:type="dxa"/>
            <w:hideMark/>
          </w:tcPr>
          <w:p w14:paraId="427C5417"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24.5</w:t>
            </w:r>
          </w:p>
        </w:tc>
      </w:tr>
      <w:tr w:rsidR="00F44ADC" w:rsidRPr="000769DB" w14:paraId="5CA74FC7"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04996376" w14:textId="19879CF6" w:rsidR="00F44ADC" w:rsidRPr="000769DB" w:rsidRDefault="00F44ADC" w:rsidP="00D46081">
            <w:pPr>
              <w:rPr>
                <w:sz w:val="20"/>
                <w:szCs w:val="20"/>
              </w:rPr>
            </w:pPr>
          </w:p>
        </w:tc>
        <w:tc>
          <w:tcPr>
            <w:tcW w:w="1749" w:type="dxa"/>
            <w:hideMark/>
          </w:tcPr>
          <w:p w14:paraId="0B895932"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19</w:t>
            </w:r>
          </w:p>
        </w:tc>
        <w:tc>
          <w:tcPr>
            <w:tcW w:w="1134" w:type="dxa"/>
            <w:hideMark/>
          </w:tcPr>
          <w:p w14:paraId="2F2F96E7"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4,233</w:t>
            </w:r>
          </w:p>
        </w:tc>
        <w:tc>
          <w:tcPr>
            <w:tcW w:w="1134" w:type="dxa"/>
            <w:hideMark/>
          </w:tcPr>
          <w:p w14:paraId="4FBCD730"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19.7</w:t>
            </w:r>
          </w:p>
        </w:tc>
        <w:tc>
          <w:tcPr>
            <w:tcW w:w="992" w:type="dxa"/>
            <w:hideMark/>
          </w:tcPr>
          <w:p w14:paraId="1A9819EA"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3,784</w:t>
            </w:r>
          </w:p>
        </w:tc>
        <w:tc>
          <w:tcPr>
            <w:tcW w:w="993" w:type="dxa"/>
            <w:hideMark/>
          </w:tcPr>
          <w:p w14:paraId="5826F8CD"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18.3</w:t>
            </w:r>
          </w:p>
        </w:tc>
        <w:tc>
          <w:tcPr>
            <w:tcW w:w="992" w:type="dxa"/>
            <w:hideMark/>
          </w:tcPr>
          <w:p w14:paraId="6A23C5A9"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3,784</w:t>
            </w:r>
          </w:p>
        </w:tc>
        <w:tc>
          <w:tcPr>
            <w:tcW w:w="992" w:type="dxa"/>
            <w:hideMark/>
          </w:tcPr>
          <w:p w14:paraId="7962C187"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18.3</w:t>
            </w:r>
          </w:p>
        </w:tc>
      </w:tr>
      <w:tr w:rsidR="00F44ADC" w:rsidRPr="000769DB" w14:paraId="25E63D2F"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19AC6953" w14:textId="387D16DA" w:rsidR="00F44ADC" w:rsidRPr="000769DB" w:rsidRDefault="00F44ADC" w:rsidP="00D46081">
            <w:pPr>
              <w:rPr>
                <w:sz w:val="20"/>
                <w:szCs w:val="20"/>
              </w:rPr>
            </w:pPr>
          </w:p>
        </w:tc>
        <w:tc>
          <w:tcPr>
            <w:tcW w:w="1749" w:type="dxa"/>
            <w:hideMark/>
          </w:tcPr>
          <w:p w14:paraId="06515B70"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20</w:t>
            </w:r>
          </w:p>
        </w:tc>
        <w:tc>
          <w:tcPr>
            <w:tcW w:w="1134" w:type="dxa"/>
            <w:hideMark/>
          </w:tcPr>
          <w:p w14:paraId="7A2D99B2"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3,443</w:t>
            </w:r>
          </w:p>
        </w:tc>
        <w:tc>
          <w:tcPr>
            <w:tcW w:w="1134" w:type="dxa"/>
            <w:hideMark/>
          </w:tcPr>
          <w:p w14:paraId="426E42D7"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16.0</w:t>
            </w:r>
          </w:p>
        </w:tc>
        <w:tc>
          <w:tcPr>
            <w:tcW w:w="992" w:type="dxa"/>
            <w:hideMark/>
          </w:tcPr>
          <w:p w14:paraId="1B0711A4"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3,313</w:t>
            </w:r>
          </w:p>
        </w:tc>
        <w:tc>
          <w:tcPr>
            <w:tcW w:w="993" w:type="dxa"/>
            <w:hideMark/>
          </w:tcPr>
          <w:p w14:paraId="793C8AC1"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16.0</w:t>
            </w:r>
          </w:p>
        </w:tc>
        <w:tc>
          <w:tcPr>
            <w:tcW w:w="992" w:type="dxa"/>
            <w:hideMark/>
          </w:tcPr>
          <w:p w14:paraId="22A40793"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3,313</w:t>
            </w:r>
          </w:p>
        </w:tc>
        <w:tc>
          <w:tcPr>
            <w:tcW w:w="992" w:type="dxa"/>
            <w:hideMark/>
          </w:tcPr>
          <w:p w14:paraId="09C356D1"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16.0</w:t>
            </w:r>
          </w:p>
        </w:tc>
      </w:tr>
      <w:tr w:rsidR="00F44ADC" w:rsidRPr="000769DB" w14:paraId="28FC1A83"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0CC602D4" w14:textId="3A3F0946" w:rsidR="00F44ADC" w:rsidRPr="000769DB" w:rsidRDefault="00F44ADC" w:rsidP="00D46081">
            <w:pPr>
              <w:rPr>
                <w:sz w:val="20"/>
                <w:szCs w:val="20"/>
              </w:rPr>
            </w:pPr>
          </w:p>
        </w:tc>
        <w:tc>
          <w:tcPr>
            <w:tcW w:w="1749" w:type="dxa"/>
            <w:hideMark/>
          </w:tcPr>
          <w:p w14:paraId="23672ED2"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21</w:t>
            </w:r>
          </w:p>
        </w:tc>
        <w:tc>
          <w:tcPr>
            <w:tcW w:w="1134" w:type="dxa"/>
            <w:hideMark/>
          </w:tcPr>
          <w:p w14:paraId="487C03C8"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2,940</w:t>
            </w:r>
          </w:p>
        </w:tc>
        <w:tc>
          <w:tcPr>
            <w:tcW w:w="1134" w:type="dxa"/>
            <w:hideMark/>
          </w:tcPr>
          <w:p w14:paraId="58A9F329"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13.7</w:t>
            </w:r>
          </w:p>
        </w:tc>
        <w:tc>
          <w:tcPr>
            <w:tcW w:w="992" w:type="dxa"/>
            <w:hideMark/>
          </w:tcPr>
          <w:p w14:paraId="0AE24E21"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2,921</w:t>
            </w:r>
          </w:p>
        </w:tc>
        <w:tc>
          <w:tcPr>
            <w:tcW w:w="993" w:type="dxa"/>
            <w:hideMark/>
          </w:tcPr>
          <w:p w14:paraId="26DC007C"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14.1</w:t>
            </w:r>
          </w:p>
        </w:tc>
        <w:tc>
          <w:tcPr>
            <w:tcW w:w="992" w:type="dxa"/>
            <w:hideMark/>
          </w:tcPr>
          <w:p w14:paraId="610B6D3C"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2,921</w:t>
            </w:r>
          </w:p>
        </w:tc>
        <w:tc>
          <w:tcPr>
            <w:tcW w:w="992" w:type="dxa"/>
            <w:hideMark/>
          </w:tcPr>
          <w:p w14:paraId="0E6A8EFC"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14.1</w:t>
            </w:r>
          </w:p>
        </w:tc>
      </w:tr>
      <w:tr w:rsidR="00F44ADC" w:rsidRPr="000769DB" w14:paraId="393A062E"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6A91D992" w14:textId="0EE0DC6C" w:rsidR="00F44ADC" w:rsidRPr="000769DB" w:rsidRDefault="00F44ADC" w:rsidP="00D46081">
            <w:pPr>
              <w:rPr>
                <w:sz w:val="20"/>
                <w:szCs w:val="20"/>
              </w:rPr>
            </w:pPr>
          </w:p>
        </w:tc>
        <w:tc>
          <w:tcPr>
            <w:tcW w:w="1749" w:type="dxa"/>
            <w:hideMark/>
          </w:tcPr>
          <w:p w14:paraId="7854A8E7"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22</w:t>
            </w:r>
          </w:p>
        </w:tc>
        <w:tc>
          <w:tcPr>
            <w:tcW w:w="1134" w:type="dxa"/>
            <w:hideMark/>
          </w:tcPr>
          <w:p w14:paraId="62E09137"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15</w:t>
            </w:r>
          </w:p>
        </w:tc>
        <w:tc>
          <w:tcPr>
            <w:tcW w:w="1134" w:type="dxa"/>
            <w:hideMark/>
          </w:tcPr>
          <w:p w14:paraId="5C2FC904"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0.1</w:t>
            </w:r>
          </w:p>
        </w:tc>
        <w:tc>
          <w:tcPr>
            <w:tcW w:w="992" w:type="dxa"/>
            <w:hideMark/>
          </w:tcPr>
          <w:p w14:paraId="303F76B8"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14</w:t>
            </w:r>
          </w:p>
        </w:tc>
        <w:tc>
          <w:tcPr>
            <w:tcW w:w="993" w:type="dxa"/>
            <w:hideMark/>
          </w:tcPr>
          <w:p w14:paraId="0DBA49A3"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0.1</w:t>
            </w:r>
          </w:p>
        </w:tc>
        <w:tc>
          <w:tcPr>
            <w:tcW w:w="992" w:type="dxa"/>
            <w:hideMark/>
          </w:tcPr>
          <w:p w14:paraId="3EA7AF0F"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14</w:t>
            </w:r>
          </w:p>
        </w:tc>
        <w:tc>
          <w:tcPr>
            <w:tcW w:w="992" w:type="dxa"/>
            <w:hideMark/>
          </w:tcPr>
          <w:p w14:paraId="41F398CF"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0.1</w:t>
            </w:r>
          </w:p>
        </w:tc>
      </w:tr>
      <w:tr w:rsidR="00F44ADC" w:rsidRPr="000769DB" w14:paraId="6A90C99C"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val="restart"/>
            <w:hideMark/>
          </w:tcPr>
          <w:p w14:paraId="020BE968" w14:textId="6296093F" w:rsidR="00F44ADC" w:rsidRPr="000769DB" w:rsidRDefault="00F44ADC" w:rsidP="00F44ADC">
            <w:pPr>
              <w:rPr>
                <w:sz w:val="20"/>
                <w:szCs w:val="20"/>
              </w:rPr>
            </w:pPr>
            <w:r w:rsidRPr="000769DB">
              <w:rPr>
                <w:sz w:val="20"/>
                <w:szCs w:val="20"/>
              </w:rPr>
              <w:t>Education*</w:t>
            </w:r>
          </w:p>
        </w:tc>
        <w:tc>
          <w:tcPr>
            <w:tcW w:w="1749" w:type="dxa"/>
            <w:hideMark/>
          </w:tcPr>
          <w:p w14:paraId="1E05F454"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Special school or support unit</w:t>
            </w:r>
          </w:p>
        </w:tc>
        <w:tc>
          <w:tcPr>
            <w:tcW w:w="1134" w:type="dxa"/>
            <w:hideMark/>
          </w:tcPr>
          <w:p w14:paraId="657B012C"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24</w:t>
            </w:r>
          </w:p>
        </w:tc>
        <w:tc>
          <w:tcPr>
            <w:tcW w:w="1134" w:type="dxa"/>
            <w:hideMark/>
          </w:tcPr>
          <w:p w14:paraId="3AE8F0D7"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0.1</w:t>
            </w:r>
          </w:p>
        </w:tc>
        <w:tc>
          <w:tcPr>
            <w:tcW w:w="992" w:type="dxa"/>
            <w:hideMark/>
          </w:tcPr>
          <w:p w14:paraId="156C4B9D"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19</w:t>
            </w:r>
          </w:p>
        </w:tc>
        <w:tc>
          <w:tcPr>
            <w:tcW w:w="993" w:type="dxa"/>
            <w:hideMark/>
          </w:tcPr>
          <w:p w14:paraId="769D81E6"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0.1</w:t>
            </w:r>
          </w:p>
        </w:tc>
        <w:tc>
          <w:tcPr>
            <w:tcW w:w="992" w:type="dxa"/>
            <w:hideMark/>
          </w:tcPr>
          <w:p w14:paraId="138D59C8"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19</w:t>
            </w:r>
          </w:p>
        </w:tc>
        <w:tc>
          <w:tcPr>
            <w:tcW w:w="992" w:type="dxa"/>
            <w:hideMark/>
          </w:tcPr>
          <w:p w14:paraId="30B9FFA2"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0.1</w:t>
            </w:r>
          </w:p>
        </w:tc>
      </w:tr>
      <w:tr w:rsidR="00F44ADC" w:rsidRPr="000769DB" w14:paraId="522E13A9"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4F9344C1" w14:textId="2DD0A277" w:rsidR="00F44ADC" w:rsidRPr="000769DB" w:rsidRDefault="00F44ADC" w:rsidP="00D46081">
            <w:pPr>
              <w:rPr>
                <w:sz w:val="20"/>
                <w:szCs w:val="20"/>
              </w:rPr>
            </w:pPr>
          </w:p>
        </w:tc>
        <w:tc>
          <w:tcPr>
            <w:tcW w:w="1749" w:type="dxa"/>
            <w:hideMark/>
          </w:tcPr>
          <w:p w14:paraId="5FC18D35"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&lt; Year 10</w:t>
            </w:r>
          </w:p>
        </w:tc>
        <w:tc>
          <w:tcPr>
            <w:tcW w:w="1134" w:type="dxa"/>
            <w:hideMark/>
          </w:tcPr>
          <w:p w14:paraId="1F531614"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3,304</w:t>
            </w:r>
          </w:p>
        </w:tc>
        <w:tc>
          <w:tcPr>
            <w:tcW w:w="1134" w:type="dxa"/>
            <w:hideMark/>
          </w:tcPr>
          <w:p w14:paraId="5182BF5A"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15.6</w:t>
            </w:r>
          </w:p>
        </w:tc>
        <w:tc>
          <w:tcPr>
            <w:tcW w:w="992" w:type="dxa"/>
            <w:hideMark/>
          </w:tcPr>
          <w:p w14:paraId="1FF3C17B"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3,027</w:t>
            </w:r>
          </w:p>
        </w:tc>
        <w:tc>
          <w:tcPr>
            <w:tcW w:w="993" w:type="dxa"/>
            <w:hideMark/>
          </w:tcPr>
          <w:p w14:paraId="655240BB"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14.9</w:t>
            </w:r>
          </w:p>
        </w:tc>
        <w:tc>
          <w:tcPr>
            <w:tcW w:w="992" w:type="dxa"/>
            <w:hideMark/>
          </w:tcPr>
          <w:p w14:paraId="1F8A36DA"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3,027</w:t>
            </w:r>
          </w:p>
        </w:tc>
        <w:tc>
          <w:tcPr>
            <w:tcW w:w="992" w:type="dxa"/>
            <w:hideMark/>
          </w:tcPr>
          <w:p w14:paraId="146718C6"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14.9</w:t>
            </w:r>
          </w:p>
        </w:tc>
      </w:tr>
      <w:tr w:rsidR="00F44ADC" w:rsidRPr="000769DB" w14:paraId="69B06A34"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4CB508EB" w14:textId="7AA0E765" w:rsidR="00F44ADC" w:rsidRPr="000769DB" w:rsidRDefault="00F44ADC" w:rsidP="00D46081">
            <w:pPr>
              <w:rPr>
                <w:sz w:val="20"/>
                <w:szCs w:val="20"/>
              </w:rPr>
            </w:pPr>
          </w:p>
        </w:tc>
        <w:tc>
          <w:tcPr>
            <w:tcW w:w="1749" w:type="dxa"/>
            <w:hideMark/>
          </w:tcPr>
          <w:p w14:paraId="582406FF"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Did not go to school</w:t>
            </w:r>
          </w:p>
        </w:tc>
        <w:tc>
          <w:tcPr>
            <w:tcW w:w="1134" w:type="dxa"/>
            <w:hideMark/>
          </w:tcPr>
          <w:p w14:paraId="792D467D"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37</w:t>
            </w:r>
          </w:p>
        </w:tc>
        <w:tc>
          <w:tcPr>
            <w:tcW w:w="1134" w:type="dxa"/>
            <w:hideMark/>
          </w:tcPr>
          <w:p w14:paraId="58F63227"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0.2</w:t>
            </w:r>
          </w:p>
        </w:tc>
        <w:tc>
          <w:tcPr>
            <w:tcW w:w="992" w:type="dxa"/>
            <w:hideMark/>
          </w:tcPr>
          <w:p w14:paraId="77EEEF09"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34</w:t>
            </w:r>
          </w:p>
        </w:tc>
        <w:tc>
          <w:tcPr>
            <w:tcW w:w="993" w:type="dxa"/>
            <w:hideMark/>
          </w:tcPr>
          <w:p w14:paraId="2455298D"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0.2</w:t>
            </w:r>
          </w:p>
        </w:tc>
        <w:tc>
          <w:tcPr>
            <w:tcW w:w="992" w:type="dxa"/>
            <w:hideMark/>
          </w:tcPr>
          <w:p w14:paraId="7227D4AB"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34</w:t>
            </w:r>
          </w:p>
        </w:tc>
        <w:tc>
          <w:tcPr>
            <w:tcW w:w="992" w:type="dxa"/>
            <w:hideMark/>
          </w:tcPr>
          <w:p w14:paraId="7D16AB23"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0.2</w:t>
            </w:r>
          </w:p>
        </w:tc>
      </w:tr>
      <w:tr w:rsidR="00F44ADC" w:rsidRPr="000769DB" w14:paraId="5E877C0E"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2FE73CE9" w14:textId="1AFE55B4" w:rsidR="00F44ADC" w:rsidRPr="000769DB" w:rsidRDefault="00F44ADC" w:rsidP="00D46081">
            <w:pPr>
              <w:rPr>
                <w:sz w:val="20"/>
                <w:szCs w:val="20"/>
              </w:rPr>
            </w:pPr>
          </w:p>
        </w:tc>
        <w:tc>
          <w:tcPr>
            <w:tcW w:w="1749" w:type="dxa"/>
            <w:hideMark/>
          </w:tcPr>
          <w:p w14:paraId="55187F53"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Year 10/11</w:t>
            </w:r>
          </w:p>
        </w:tc>
        <w:tc>
          <w:tcPr>
            <w:tcW w:w="1134" w:type="dxa"/>
            <w:hideMark/>
          </w:tcPr>
          <w:p w14:paraId="27D97456"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15,218</w:t>
            </w:r>
          </w:p>
        </w:tc>
        <w:tc>
          <w:tcPr>
            <w:tcW w:w="1134" w:type="dxa"/>
            <w:hideMark/>
          </w:tcPr>
          <w:p w14:paraId="5C50D145"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72.0</w:t>
            </w:r>
          </w:p>
        </w:tc>
        <w:tc>
          <w:tcPr>
            <w:tcW w:w="992" w:type="dxa"/>
            <w:hideMark/>
          </w:tcPr>
          <w:p w14:paraId="23792F97"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14,701</w:t>
            </w:r>
          </w:p>
        </w:tc>
        <w:tc>
          <w:tcPr>
            <w:tcW w:w="993" w:type="dxa"/>
            <w:hideMark/>
          </w:tcPr>
          <w:p w14:paraId="7B23806E"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72.4</w:t>
            </w:r>
          </w:p>
        </w:tc>
        <w:tc>
          <w:tcPr>
            <w:tcW w:w="992" w:type="dxa"/>
            <w:hideMark/>
          </w:tcPr>
          <w:p w14:paraId="1C02EE3B"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14,701</w:t>
            </w:r>
          </w:p>
        </w:tc>
        <w:tc>
          <w:tcPr>
            <w:tcW w:w="992" w:type="dxa"/>
            <w:hideMark/>
          </w:tcPr>
          <w:p w14:paraId="377A010F"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72.4</w:t>
            </w:r>
          </w:p>
        </w:tc>
      </w:tr>
      <w:tr w:rsidR="00F44ADC" w:rsidRPr="000769DB" w14:paraId="2350A1D8"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0EAF1C9A" w14:textId="0DD3FF44" w:rsidR="00F44ADC" w:rsidRPr="000769DB" w:rsidRDefault="00F44ADC" w:rsidP="00D46081">
            <w:pPr>
              <w:rPr>
                <w:sz w:val="20"/>
                <w:szCs w:val="20"/>
              </w:rPr>
            </w:pPr>
          </w:p>
        </w:tc>
        <w:tc>
          <w:tcPr>
            <w:tcW w:w="1749" w:type="dxa"/>
            <w:hideMark/>
          </w:tcPr>
          <w:p w14:paraId="6EE8E88E"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Year 12/13</w:t>
            </w:r>
          </w:p>
        </w:tc>
        <w:tc>
          <w:tcPr>
            <w:tcW w:w="1134" w:type="dxa"/>
            <w:hideMark/>
          </w:tcPr>
          <w:p w14:paraId="782E7AA8"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144</w:t>
            </w:r>
          </w:p>
        </w:tc>
        <w:tc>
          <w:tcPr>
            <w:tcW w:w="1134" w:type="dxa"/>
            <w:hideMark/>
          </w:tcPr>
          <w:p w14:paraId="2A246E9A"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0.7</w:t>
            </w:r>
          </w:p>
        </w:tc>
        <w:tc>
          <w:tcPr>
            <w:tcW w:w="992" w:type="dxa"/>
            <w:hideMark/>
          </w:tcPr>
          <w:p w14:paraId="52B3CF41"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144</w:t>
            </w:r>
          </w:p>
        </w:tc>
        <w:tc>
          <w:tcPr>
            <w:tcW w:w="993" w:type="dxa"/>
            <w:hideMark/>
          </w:tcPr>
          <w:p w14:paraId="5722CB20"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0.7</w:t>
            </w:r>
          </w:p>
        </w:tc>
        <w:tc>
          <w:tcPr>
            <w:tcW w:w="992" w:type="dxa"/>
            <w:hideMark/>
          </w:tcPr>
          <w:p w14:paraId="6CD774A5"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144</w:t>
            </w:r>
          </w:p>
        </w:tc>
        <w:tc>
          <w:tcPr>
            <w:tcW w:w="992" w:type="dxa"/>
            <w:hideMark/>
          </w:tcPr>
          <w:p w14:paraId="20A2DEF8"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0.7</w:t>
            </w:r>
          </w:p>
        </w:tc>
      </w:tr>
      <w:tr w:rsidR="00F44ADC" w:rsidRPr="000769DB" w14:paraId="0B627E0E"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675D9576" w14:textId="7A82B99D" w:rsidR="00F44ADC" w:rsidRPr="000769DB" w:rsidRDefault="00F44ADC" w:rsidP="00D46081">
            <w:pPr>
              <w:rPr>
                <w:sz w:val="20"/>
                <w:szCs w:val="20"/>
              </w:rPr>
            </w:pPr>
          </w:p>
        </w:tc>
        <w:tc>
          <w:tcPr>
            <w:tcW w:w="1749" w:type="dxa"/>
            <w:hideMark/>
          </w:tcPr>
          <w:p w14:paraId="0C3BC057"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Grad cert / Grad dip</w:t>
            </w:r>
          </w:p>
        </w:tc>
        <w:tc>
          <w:tcPr>
            <w:tcW w:w="1134" w:type="dxa"/>
            <w:hideMark/>
          </w:tcPr>
          <w:p w14:paraId="6B4E6F5E"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w:t>
            </w:r>
          </w:p>
        </w:tc>
        <w:tc>
          <w:tcPr>
            <w:tcW w:w="1134" w:type="dxa"/>
            <w:hideMark/>
          </w:tcPr>
          <w:p w14:paraId="3B1357F8"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0.0</w:t>
            </w:r>
          </w:p>
        </w:tc>
        <w:tc>
          <w:tcPr>
            <w:tcW w:w="992" w:type="dxa"/>
            <w:hideMark/>
          </w:tcPr>
          <w:p w14:paraId="70229171"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w:t>
            </w:r>
          </w:p>
        </w:tc>
        <w:tc>
          <w:tcPr>
            <w:tcW w:w="993" w:type="dxa"/>
            <w:hideMark/>
          </w:tcPr>
          <w:p w14:paraId="79329FC6"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0.0</w:t>
            </w:r>
          </w:p>
        </w:tc>
        <w:tc>
          <w:tcPr>
            <w:tcW w:w="992" w:type="dxa"/>
            <w:hideMark/>
          </w:tcPr>
          <w:p w14:paraId="2628555C"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w:t>
            </w:r>
          </w:p>
        </w:tc>
        <w:tc>
          <w:tcPr>
            <w:tcW w:w="992" w:type="dxa"/>
            <w:hideMark/>
          </w:tcPr>
          <w:p w14:paraId="745F6995"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0.0</w:t>
            </w:r>
          </w:p>
        </w:tc>
      </w:tr>
      <w:tr w:rsidR="00F44ADC" w:rsidRPr="000769DB" w14:paraId="5FC838AB"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5C8A9B8D" w14:textId="6493D4EE" w:rsidR="00F44ADC" w:rsidRPr="000769DB" w:rsidRDefault="00F44ADC" w:rsidP="00D46081">
            <w:pPr>
              <w:rPr>
                <w:sz w:val="20"/>
                <w:szCs w:val="20"/>
              </w:rPr>
            </w:pPr>
          </w:p>
        </w:tc>
        <w:tc>
          <w:tcPr>
            <w:tcW w:w="1749" w:type="dxa"/>
            <w:hideMark/>
          </w:tcPr>
          <w:p w14:paraId="4C7E6077"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Diploma</w:t>
            </w:r>
          </w:p>
        </w:tc>
        <w:tc>
          <w:tcPr>
            <w:tcW w:w="1134" w:type="dxa"/>
            <w:hideMark/>
          </w:tcPr>
          <w:p w14:paraId="274792D1"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13</w:t>
            </w:r>
          </w:p>
        </w:tc>
        <w:tc>
          <w:tcPr>
            <w:tcW w:w="1134" w:type="dxa"/>
            <w:hideMark/>
          </w:tcPr>
          <w:p w14:paraId="7FD830BE"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0.1</w:t>
            </w:r>
          </w:p>
        </w:tc>
        <w:tc>
          <w:tcPr>
            <w:tcW w:w="992" w:type="dxa"/>
            <w:hideMark/>
          </w:tcPr>
          <w:p w14:paraId="23D2DA8B"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13</w:t>
            </w:r>
          </w:p>
        </w:tc>
        <w:tc>
          <w:tcPr>
            <w:tcW w:w="993" w:type="dxa"/>
            <w:hideMark/>
          </w:tcPr>
          <w:p w14:paraId="6B16C12A"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0.1</w:t>
            </w:r>
          </w:p>
        </w:tc>
        <w:tc>
          <w:tcPr>
            <w:tcW w:w="992" w:type="dxa"/>
            <w:hideMark/>
          </w:tcPr>
          <w:p w14:paraId="62FD4AB6"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13</w:t>
            </w:r>
          </w:p>
        </w:tc>
        <w:tc>
          <w:tcPr>
            <w:tcW w:w="992" w:type="dxa"/>
            <w:hideMark/>
          </w:tcPr>
          <w:p w14:paraId="2A281C08"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0.1</w:t>
            </w:r>
          </w:p>
        </w:tc>
      </w:tr>
      <w:tr w:rsidR="00F44ADC" w:rsidRPr="000769DB" w14:paraId="7F92E85D"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1F32E931" w14:textId="6A497B92" w:rsidR="00F44ADC" w:rsidRPr="000769DB" w:rsidRDefault="00F44ADC" w:rsidP="00D46081">
            <w:pPr>
              <w:rPr>
                <w:sz w:val="20"/>
                <w:szCs w:val="20"/>
              </w:rPr>
            </w:pPr>
          </w:p>
        </w:tc>
        <w:tc>
          <w:tcPr>
            <w:tcW w:w="1749" w:type="dxa"/>
            <w:hideMark/>
          </w:tcPr>
          <w:p w14:paraId="7F28B3F2"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Trades</w:t>
            </w:r>
          </w:p>
        </w:tc>
        <w:tc>
          <w:tcPr>
            <w:tcW w:w="1134" w:type="dxa"/>
            <w:hideMark/>
          </w:tcPr>
          <w:p w14:paraId="578C3F20"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17</w:t>
            </w:r>
          </w:p>
        </w:tc>
        <w:tc>
          <w:tcPr>
            <w:tcW w:w="1134" w:type="dxa"/>
            <w:hideMark/>
          </w:tcPr>
          <w:p w14:paraId="3A5EA457"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0.1</w:t>
            </w:r>
          </w:p>
        </w:tc>
        <w:tc>
          <w:tcPr>
            <w:tcW w:w="992" w:type="dxa"/>
            <w:hideMark/>
          </w:tcPr>
          <w:p w14:paraId="5BD35ECB"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16</w:t>
            </w:r>
          </w:p>
        </w:tc>
        <w:tc>
          <w:tcPr>
            <w:tcW w:w="993" w:type="dxa"/>
            <w:hideMark/>
          </w:tcPr>
          <w:p w14:paraId="56E86CA2"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0.1</w:t>
            </w:r>
          </w:p>
        </w:tc>
        <w:tc>
          <w:tcPr>
            <w:tcW w:w="992" w:type="dxa"/>
            <w:hideMark/>
          </w:tcPr>
          <w:p w14:paraId="2D9C695B"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16</w:t>
            </w:r>
          </w:p>
        </w:tc>
        <w:tc>
          <w:tcPr>
            <w:tcW w:w="992" w:type="dxa"/>
            <w:hideMark/>
          </w:tcPr>
          <w:p w14:paraId="64828E1D"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0.1</w:t>
            </w:r>
          </w:p>
        </w:tc>
      </w:tr>
      <w:tr w:rsidR="00F44ADC" w:rsidRPr="000769DB" w14:paraId="7E90E778"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41E94553" w14:textId="75664510" w:rsidR="00F44ADC" w:rsidRPr="000769DB" w:rsidRDefault="00F44ADC" w:rsidP="00D46081">
            <w:pPr>
              <w:rPr>
                <w:sz w:val="20"/>
                <w:szCs w:val="20"/>
              </w:rPr>
            </w:pPr>
          </w:p>
        </w:tc>
        <w:tc>
          <w:tcPr>
            <w:tcW w:w="1749" w:type="dxa"/>
            <w:hideMark/>
          </w:tcPr>
          <w:p w14:paraId="2D155FA3"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Non-vocational education</w:t>
            </w:r>
          </w:p>
        </w:tc>
        <w:tc>
          <w:tcPr>
            <w:tcW w:w="1134" w:type="dxa"/>
            <w:hideMark/>
          </w:tcPr>
          <w:p w14:paraId="2802CBEE"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2,360</w:t>
            </w:r>
          </w:p>
        </w:tc>
        <w:tc>
          <w:tcPr>
            <w:tcW w:w="1134" w:type="dxa"/>
            <w:hideMark/>
          </w:tcPr>
          <w:p w14:paraId="0E562987"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11.2</w:t>
            </w:r>
          </w:p>
        </w:tc>
        <w:tc>
          <w:tcPr>
            <w:tcW w:w="992" w:type="dxa"/>
            <w:hideMark/>
          </w:tcPr>
          <w:p w14:paraId="1A83DF23"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2,358</w:t>
            </w:r>
          </w:p>
        </w:tc>
        <w:tc>
          <w:tcPr>
            <w:tcW w:w="993" w:type="dxa"/>
            <w:hideMark/>
          </w:tcPr>
          <w:p w14:paraId="5013F2F1"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11.6</w:t>
            </w:r>
          </w:p>
        </w:tc>
        <w:tc>
          <w:tcPr>
            <w:tcW w:w="992" w:type="dxa"/>
            <w:hideMark/>
          </w:tcPr>
          <w:p w14:paraId="285BEE5B"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2,358</w:t>
            </w:r>
          </w:p>
        </w:tc>
        <w:tc>
          <w:tcPr>
            <w:tcW w:w="992" w:type="dxa"/>
            <w:hideMark/>
          </w:tcPr>
          <w:p w14:paraId="69D3D4A0"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11.6</w:t>
            </w:r>
          </w:p>
        </w:tc>
      </w:tr>
      <w:tr w:rsidR="00F44ADC" w:rsidRPr="000769DB" w14:paraId="72FFDD81"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val="restart"/>
            <w:hideMark/>
          </w:tcPr>
          <w:p w14:paraId="180CF5A2" w14:textId="096D6392" w:rsidR="00F44ADC" w:rsidRPr="000769DB" w:rsidRDefault="00F44ADC" w:rsidP="00F44ADC">
            <w:pPr>
              <w:rPr>
                <w:sz w:val="20"/>
                <w:szCs w:val="20"/>
              </w:rPr>
            </w:pPr>
            <w:r w:rsidRPr="000769DB">
              <w:rPr>
                <w:sz w:val="20"/>
                <w:szCs w:val="20"/>
              </w:rPr>
              <w:t>Gender</w:t>
            </w:r>
          </w:p>
        </w:tc>
        <w:tc>
          <w:tcPr>
            <w:tcW w:w="1749" w:type="dxa"/>
            <w:hideMark/>
          </w:tcPr>
          <w:p w14:paraId="44381840"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Male§</w:t>
            </w:r>
          </w:p>
        </w:tc>
        <w:tc>
          <w:tcPr>
            <w:tcW w:w="1134" w:type="dxa"/>
            <w:hideMark/>
          </w:tcPr>
          <w:p w14:paraId="37072545"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12,506</w:t>
            </w:r>
          </w:p>
        </w:tc>
        <w:tc>
          <w:tcPr>
            <w:tcW w:w="1134" w:type="dxa"/>
            <w:hideMark/>
          </w:tcPr>
          <w:p w14:paraId="282D8FA0"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58.2</w:t>
            </w:r>
          </w:p>
        </w:tc>
        <w:tc>
          <w:tcPr>
            <w:tcW w:w="992" w:type="dxa"/>
            <w:hideMark/>
          </w:tcPr>
          <w:p w14:paraId="76EBB281"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12,070</w:t>
            </w:r>
          </w:p>
        </w:tc>
        <w:tc>
          <w:tcPr>
            <w:tcW w:w="993" w:type="dxa"/>
            <w:hideMark/>
          </w:tcPr>
          <w:p w14:paraId="4B2C06B5"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58.4</w:t>
            </w:r>
          </w:p>
        </w:tc>
        <w:tc>
          <w:tcPr>
            <w:tcW w:w="992" w:type="dxa"/>
            <w:hideMark/>
          </w:tcPr>
          <w:p w14:paraId="730A33BB"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11,567</w:t>
            </w:r>
          </w:p>
        </w:tc>
        <w:tc>
          <w:tcPr>
            <w:tcW w:w="992" w:type="dxa"/>
            <w:hideMark/>
          </w:tcPr>
          <w:p w14:paraId="696F6EF0"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55.9</w:t>
            </w:r>
          </w:p>
        </w:tc>
      </w:tr>
      <w:tr w:rsidR="00F44ADC" w:rsidRPr="000769DB" w14:paraId="3074634E"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5CE1826A" w14:textId="10E779A0" w:rsidR="00F44ADC" w:rsidRPr="000769DB" w:rsidRDefault="00F44ADC" w:rsidP="00D46081">
            <w:pPr>
              <w:rPr>
                <w:sz w:val="20"/>
                <w:szCs w:val="20"/>
              </w:rPr>
            </w:pPr>
          </w:p>
        </w:tc>
        <w:tc>
          <w:tcPr>
            <w:tcW w:w="1749" w:type="dxa"/>
            <w:hideMark/>
          </w:tcPr>
          <w:p w14:paraId="525513B8"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Female§</w:t>
            </w:r>
          </w:p>
        </w:tc>
        <w:tc>
          <w:tcPr>
            <w:tcW w:w="1134" w:type="dxa"/>
            <w:hideMark/>
          </w:tcPr>
          <w:p w14:paraId="24E2534F"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8,989</w:t>
            </w:r>
          </w:p>
        </w:tc>
        <w:tc>
          <w:tcPr>
            <w:tcW w:w="1134" w:type="dxa"/>
            <w:hideMark/>
          </w:tcPr>
          <w:p w14:paraId="19A2D2E5"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41.8</w:t>
            </w:r>
          </w:p>
        </w:tc>
        <w:tc>
          <w:tcPr>
            <w:tcW w:w="992" w:type="dxa"/>
            <w:hideMark/>
          </w:tcPr>
          <w:p w14:paraId="168162D3"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8,614</w:t>
            </w:r>
          </w:p>
        </w:tc>
        <w:tc>
          <w:tcPr>
            <w:tcW w:w="993" w:type="dxa"/>
            <w:hideMark/>
          </w:tcPr>
          <w:p w14:paraId="7CB90500"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41.6</w:t>
            </w:r>
          </w:p>
        </w:tc>
        <w:tc>
          <w:tcPr>
            <w:tcW w:w="992" w:type="dxa"/>
            <w:hideMark/>
          </w:tcPr>
          <w:p w14:paraId="6101D4B9"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9,117</w:t>
            </w:r>
          </w:p>
        </w:tc>
        <w:tc>
          <w:tcPr>
            <w:tcW w:w="992" w:type="dxa"/>
            <w:hideMark/>
          </w:tcPr>
          <w:p w14:paraId="1E4AA3A3"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44.1</w:t>
            </w:r>
          </w:p>
        </w:tc>
      </w:tr>
      <w:tr w:rsidR="00F44ADC" w:rsidRPr="000769DB" w14:paraId="5BD44EB2"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val="restart"/>
            <w:hideMark/>
          </w:tcPr>
          <w:p w14:paraId="7C127EEC" w14:textId="43C4379A" w:rsidR="00F44ADC" w:rsidRPr="000769DB" w:rsidRDefault="00F44ADC" w:rsidP="00F44ADC">
            <w:pPr>
              <w:rPr>
                <w:sz w:val="20"/>
                <w:szCs w:val="20"/>
              </w:rPr>
            </w:pPr>
            <w:r w:rsidRPr="000769DB">
              <w:rPr>
                <w:sz w:val="20"/>
                <w:szCs w:val="20"/>
              </w:rPr>
              <w:t>Indigenous status</w:t>
            </w:r>
          </w:p>
        </w:tc>
        <w:tc>
          <w:tcPr>
            <w:tcW w:w="1749" w:type="dxa"/>
            <w:hideMark/>
          </w:tcPr>
          <w:p w14:paraId="6C9C30E6"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Does not identify as Indigenous</w:t>
            </w:r>
          </w:p>
        </w:tc>
        <w:tc>
          <w:tcPr>
            <w:tcW w:w="1134" w:type="dxa"/>
            <w:hideMark/>
          </w:tcPr>
          <w:p w14:paraId="3F0CC97D"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16,124</w:t>
            </w:r>
          </w:p>
        </w:tc>
        <w:tc>
          <w:tcPr>
            <w:tcW w:w="1134" w:type="dxa"/>
            <w:hideMark/>
          </w:tcPr>
          <w:p w14:paraId="689A8378"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76.3</w:t>
            </w:r>
          </w:p>
        </w:tc>
        <w:tc>
          <w:tcPr>
            <w:tcW w:w="992" w:type="dxa"/>
            <w:hideMark/>
          </w:tcPr>
          <w:p w14:paraId="0AB2823E"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15,555</w:t>
            </w:r>
          </w:p>
        </w:tc>
        <w:tc>
          <w:tcPr>
            <w:tcW w:w="993" w:type="dxa"/>
            <w:hideMark/>
          </w:tcPr>
          <w:p w14:paraId="7D3B2A5C"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76.6</w:t>
            </w:r>
          </w:p>
        </w:tc>
        <w:tc>
          <w:tcPr>
            <w:tcW w:w="992" w:type="dxa"/>
            <w:hideMark/>
          </w:tcPr>
          <w:p w14:paraId="61D50135"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15,454</w:t>
            </w:r>
          </w:p>
        </w:tc>
        <w:tc>
          <w:tcPr>
            <w:tcW w:w="992" w:type="dxa"/>
            <w:hideMark/>
          </w:tcPr>
          <w:p w14:paraId="439C3CC6"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76.1</w:t>
            </w:r>
          </w:p>
        </w:tc>
      </w:tr>
      <w:tr w:rsidR="00F44ADC" w:rsidRPr="000769DB" w14:paraId="0B5A7A61"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7ADBE98A" w14:textId="4EE65DAC" w:rsidR="00F44ADC" w:rsidRPr="000769DB" w:rsidRDefault="00F44ADC" w:rsidP="00D46081">
            <w:pPr>
              <w:rPr>
                <w:sz w:val="20"/>
                <w:szCs w:val="20"/>
              </w:rPr>
            </w:pPr>
          </w:p>
        </w:tc>
        <w:tc>
          <w:tcPr>
            <w:tcW w:w="1749" w:type="dxa"/>
            <w:hideMark/>
          </w:tcPr>
          <w:p w14:paraId="619B3C08"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Declined to answer</w:t>
            </w:r>
          </w:p>
        </w:tc>
        <w:tc>
          <w:tcPr>
            <w:tcW w:w="1134" w:type="dxa"/>
            <w:hideMark/>
          </w:tcPr>
          <w:p w14:paraId="1B5AE423"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778</w:t>
            </w:r>
          </w:p>
        </w:tc>
        <w:tc>
          <w:tcPr>
            <w:tcW w:w="1134" w:type="dxa"/>
            <w:hideMark/>
          </w:tcPr>
          <w:p w14:paraId="08EED568"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3.7</w:t>
            </w:r>
          </w:p>
        </w:tc>
        <w:tc>
          <w:tcPr>
            <w:tcW w:w="992" w:type="dxa"/>
            <w:hideMark/>
          </w:tcPr>
          <w:p w14:paraId="4D7D9D38"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748</w:t>
            </w:r>
          </w:p>
        </w:tc>
        <w:tc>
          <w:tcPr>
            <w:tcW w:w="993" w:type="dxa"/>
            <w:hideMark/>
          </w:tcPr>
          <w:p w14:paraId="67054E26"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3.7</w:t>
            </w:r>
          </w:p>
        </w:tc>
        <w:tc>
          <w:tcPr>
            <w:tcW w:w="992" w:type="dxa"/>
            <w:hideMark/>
          </w:tcPr>
          <w:p w14:paraId="5193FBB8"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859</w:t>
            </w:r>
          </w:p>
        </w:tc>
        <w:tc>
          <w:tcPr>
            <w:tcW w:w="992" w:type="dxa"/>
            <w:hideMark/>
          </w:tcPr>
          <w:p w14:paraId="352C9B9C"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4.2</w:t>
            </w:r>
          </w:p>
        </w:tc>
      </w:tr>
      <w:tr w:rsidR="00F44ADC" w:rsidRPr="000769DB" w14:paraId="53B1537F"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29159263" w14:textId="01A5ECB7" w:rsidR="00F44ADC" w:rsidRPr="000769DB" w:rsidRDefault="00F44ADC" w:rsidP="00D46081">
            <w:pPr>
              <w:rPr>
                <w:sz w:val="20"/>
                <w:szCs w:val="20"/>
              </w:rPr>
            </w:pPr>
          </w:p>
        </w:tc>
        <w:tc>
          <w:tcPr>
            <w:tcW w:w="1749" w:type="dxa"/>
            <w:hideMark/>
          </w:tcPr>
          <w:p w14:paraId="3B9DADD1"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Identifies as Indigenous</w:t>
            </w:r>
          </w:p>
        </w:tc>
        <w:tc>
          <w:tcPr>
            <w:tcW w:w="1134" w:type="dxa"/>
            <w:hideMark/>
          </w:tcPr>
          <w:p w14:paraId="2B21FA34"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4,226</w:t>
            </w:r>
          </w:p>
        </w:tc>
        <w:tc>
          <w:tcPr>
            <w:tcW w:w="1134" w:type="dxa"/>
            <w:hideMark/>
          </w:tcPr>
          <w:p w14:paraId="5188571C"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20.0</w:t>
            </w:r>
          </w:p>
        </w:tc>
        <w:tc>
          <w:tcPr>
            <w:tcW w:w="992" w:type="dxa"/>
            <w:hideMark/>
          </w:tcPr>
          <w:p w14:paraId="7682AC2E"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4,014</w:t>
            </w:r>
          </w:p>
        </w:tc>
        <w:tc>
          <w:tcPr>
            <w:tcW w:w="993" w:type="dxa"/>
            <w:hideMark/>
          </w:tcPr>
          <w:p w14:paraId="0E1446D7"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19.8</w:t>
            </w:r>
          </w:p>
        </w:tc>
        <w:tc>
          <w:tcPr>
            <w:tcW w:w="992" w:type="dxa"/>
            <w:hideMark/>
          </w:tcPr>
          <w:p w14:paraId="3AEE6FC3"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4,002</w:t>
            </w:r>
          </w:p>
        </w:tc>
        <w:tc>
          <w:tcPr>
            <w:tcW w:w="992" w:type="dxa"/>
            <w:hideMark/>
          </w:tcPr>
          <w:p w14:paraId="68425485"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19.7</w:t>
            </w:r>
          </w:p>
        </w:tc>
      </w:tr>
      <w:tr w:rsidR="00F44ADC" w:rsidRPr="000769DB" w14:paraId="56CA4A8A"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val="restart"/>
            <w:hideMark/>
          </w:tcPr>
          <w:p w14:paraId="54DD1F87" w14:textId="258F44A3" w:rsidR="00F44ADC" w:rsidRPr="000769DB" w:rsidRDefault="00F44ADC" w:rsidP="00F44ADC">
            <w:pPr>
              <w:rPr>
                <w:sz w:val="20"/>
                <w:szCs w:val="20"/>
              </w:rPr>
            </w:pPr>
            <w:r w:rsidRPr="000769DB">
              <w:rPr>
                <w:sz w:val="20"/>
                <w:szCs w:val="20"/>
              </w:rPr>
              <w:t>Transport</w:t>
            </w:r>
          </w:p>
        </w:tc>
        <w:tc>
          <w:tcPr>
            <w:tcW w:w="1749" w:type="dxa"/>
            <w:hideMark/>
          </w:tcPr>
          <w:p w14:paraId="420F6991"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Own transport§</w:t>
            </w:r>
          </w:p>
        </w:tc>
        <w:tc>
          <w:tcPr>
            <w:tcW w:w="1134" w:type="dxa"/>
            <w:hideMark/>
          </w:tcPr>
          <w:p w14:paraId="6451AC40"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4,114</w:t>
            </w:r>
          </w:p>
        </w:tc>
        <w:tc>
          <w:tcPr>
            <w:tcW w:w="1134" w:type="dxa"/>
            <w:hideMark/>
          </w:tcPr>
          <w:p w14:paraId="2C4A0584"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19.5</w:t>
            </w:r>
          </w:p>
        </w:tc>
        <w:tc>
          <w:tcPr>
            <w:tcW w:w="992" w:type="dxa"/>
            <w:hideMark/>
          </w:tcPr>
          <w:p w14:paraId="2EC272DE"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4,029</w:t>
            </w:r>
          </w:p>
        </w:tc>
        <w:tc>
          <w:tcPr>
            <w:tcW w:w="993" w:type="dxa"/>
            <w:hideMark/>
          </w:tcPr>
          <w:p w14:paraId="74BD8749"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19.8</w:t>
            </w:r>
          </w:p>
        </w:tc>
        <w:tc>
          <w:tcPr>
            <w:tcW w:w="992" w:type="dxa"/>
            <w:hideMark/>
          </w:tcPr>
          <w:p w14:paraId="25FBF727"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4,522</w:t>
            </w:r>
          </w:p>
        </w:tc>
        <w:tc>
          <w:tcPr>
            <w:tcW w:w="992" w:type="dxa"/>
            <w:hideMark/>
          </w:tcPr>
          <w:p w14:paraId="4E4561EB"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22.0</w:t>
            </w:r>
          </w:p>
        </w:tc>
      </w:tr>
      <w:tr w:rsidR="00F44ADC" w:rsidRPr="000769DB" w14:paraId="6858207C"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299A65A1" w14:textId="6ACDCD41" w:rsidR="00F44ADC" w:rsidRPr="000769DB" w:rsidRDefault="00F44ADC" w:rsidP="00D46081">
            <w:pPr>
              <w:rPr>
                <w:sz w:val="20"/>
                <w:szCs w:val="20"/>
              </w:rPr>
            </w:pPr>
          </w:p>
        </w:tc>
        <w:tc>
          <w:tcPr>
            <w:tcW w:w="1749" w:type="dxa"/>
            <w:hideMark/>
          </w:tcPr>
          <w:p w14:paraId="23398EA2"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Other private transport§</w:t>
            </w:r>
          </w:p>
        </w:tc>
        <w:tc>
          <w:tcPr>
            <w:tcW w:w="1134" w:type="dxa"/>
            <w:hideMark/>
          </w:tcPr>
          <w:p w14:paraId="722198B7"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2,904</w:t>
            </w:r>
          </w:p>
        </w:tc>
        <w:tc>
          <w:tcPr>
            <w:tcW w:w="1134" w:type="dxa"/>
            <w:hideMark/>
          </w:tcPr>
          <w:p w14:paraId="0DECA9B5"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13.7</w:t>
            </w:r>
          </w:p>
        </w:tc>
        <w:tc>
          <w:tcPr>
            <w:tcW w:w="992" w:type="dxa"/>
            <w:hideMark/>
          </w:tcPr>
          <w:p w14:paraId="4B3736BB"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2,786</w:t>
            </w:r>
          </w:p>
        </w:tc>
        <w:tc>
          <w:tcPr>
            <w:tcW w:w="993" w:type="dxa"/>
            <w:hideMark/>
          </w:tcPr>
          <w:p w14:paraId="203B83B2"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13.8</w:t>
            </w:r>
          </w:p>
        </w:tc>
        <w:tc>
          <w:tcPr>
            <w:tcW w:w="992" w:type="dxa"/>
            <w:hideMark/>
          </w:tcPr>
          <w:p w14:paraId="2637FC63"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3025</w:t>
            </w:r>
          </w:p>
        </w:tc>
        <w:tc>
          <w:tcPr>
            <w:tcW w:w="992" w:type="dxa"/>
            <w:hideMark/>
          </w:tcPr>
          <w:p w14:paraId="4CDA28B2"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1.5</w:t>
            </w:r>
          </w:p>
        </w:tc>
      </w:tr>
      <w:tr w:rsidR="00F44ADC" w:rsidRPr="000769DB" w14:paraId="4114B3C3"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17E31D80" w14:textId="5427A5EE" w:rsidR="00F44ADC" w:rsidRPr="000769DB" w:rsidRDefault="00F44ADC" w:rsidP="00D46081">
            <w:pPr>
              <w:rPr>
                <w:sz w:val="20"/>
                <w:szCs w:val="20"/>
              </w:rPr>
            </w:pPr>
          </w:p>
        </w:tc>
        <w:tc>
          <w:tcPr>
            <w:tcW w:w="1749" w:type="dxa"/>
            <w:hideMark/>
          </w:tcPr>
          <w:p w14:paraId="7EEF72EA"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Public transport§</w:t>
            </w:r>
          </w:p>
        </w:tc>
        <w:tc>
          <w:tcPr>
            <w:tcW w:w="1134" w:type="dxa"/>
            <w:hideMark/>
          </w:tcPr>
          <w:p w14:paraId="43187CC9"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12,419</w:t>
            </w:r>
          </w:p>
        </w:tc>
        <w:tc>
          <w:tcPr>
            <w:tcW w:w="1134" w:type="dxa"/>
            <w:hideMark/>
          </w:tcPr>
          <w:p w14:paraId="1D77F593"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58.8</w:t>
            </w:r>
          </w:p>
        </w:tc>
        <w:tc>
          <w:tcPr>
            <w:tcW w:w="992" w:type="dxa"/>
            <w:hideMark/>
          </w:tcPr>
          <w:p w14:paraId="1E14D7FB"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11,904</w:t>
            </w:r>
          </w:p>
        </w:tc>
        <w:tc>
          <w:tcPr>
            <w:tcW w:w="993" w:type="dxa"/>
            <w:hideMark/>
          </w:tcPr>
          <w:p w14:paraId="20AE67EA"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58.5</w:t>
            </w:r>
          </w:p>
        </w:tc>
        <w:tc>
          <w:tcPr>
            <w:tcW w:w="992" w:type="dxa"/>
            <w:hideMark/>
          </w:tcPr>
          <w:p w14:paraId="5DD54A88"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10,962</w:t>
            </w:r>
          </w:p>
        </w:tc>
        <w:tc>
          <w:tcPr>
            <w:tcW w:w="992" w:type="dxa"/>
            <w:hideMark/>
          </w:tcPr>
          <w:p w14:paraId="5A992B08"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54.2</w:t>
            </w:r>
          </w:p>
        </w:tc>
      </w:tr>
      <w:tr w:rsidR="00F44ADC" w:rsidRPr="000769DB" w14:paraId="6F830FCE"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52412238" w14:textId="0E850C85" w:rsidR="00F44ADC" w:rsidRPr="000769DB" w:rsidRDefault="00F44ADC" w:rsidP="00D46081">
            <w:pPr>
              <w:rPr>
                <w:sz w:val="20"/>
                <w:szCs w:val="20"/>
              </w:rPr>
            </w:pPr>
          </w:p>
        </w:tc>
        <w:tc>
          <w:tcPr>
            <w:tcW w:w="1749" w:type="dxa"/>
            <w:hideMark/>
          </w:tcPr>
          <w:p w14:paraId="27CAAB24"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No transport§</w:t>
            </w:r>
          </w:p>
        </w:tc>
        <w:tc>
          <w:tcPr>
            <w:tcW w:w="1134" w:type="dxa"/>
            <w:hideMark/>
          </w:tcPr>
          <w:p w14:paraId="25145407"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1,691</w:t>
            </w:r>
          </w:p>
        </w:tc>
        <w:tc>
          <w:tcPr>
            <w:tcW w:w="1134" w:type="dxa"/>
            <w:hideMark/>
          </w:tcPr>
          <w:p w14:paraId="17E8631E"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8.0</w:t>
            </w:r>
          </w:p>
        </w:tc>
        <w:tc>
          <w:tcPr>
            <w:tcW w:w="992" w:type="dxa"/>
            <w:hideMark/>
          </w:tcPr>
          <w:p w14:paraId="492F2FD1"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1,598</w:t>
            </w:r>
          </w:p>
        </w:tc>
        <w:tc>
          <w:tcPr>
            <w:tcW w:w="993" w:type="dxa"/>
            <w:hideMark/>
          </w:tcPr>
          <w:p w14:paraId="324A4E6D"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7.9</w:t>
            </w:r>
          </w:p>
        </w:tc>
        <w:tc>
          <w:tcPr>
            <w:tcW w:w="992" w:type="dxa"/>
            <w:hideMark/>
          </w:tcPr>
          <w:p w14:paraId="67AF7BD8"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1,806</w:t>
            </w:r>
          </w:p>
        </w:tc>
        <w:tc>
          <w:tcPr>
            <w:tcW w:w="992" w:type="dxa"/>
            <w:hideMark/>
          </w:tcPr>
          <w:p w14:paraId="522EFBEA"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9.0</w:t>
            </w:r>
          </w:p>
        </w:tc>
      </w:tr>
      <w:tr w:rsidR="00F44ADC" w:rsidRPr="000769DB" w14:paraId="1AE5EA26"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val="restart"/>
            <w:hideMark/>
          </w:tcPr>
          <w:p w14:paraId="12023CD6" w14:textId="613D786C" w:rsidR="00F44ADC" w:rsidRPr="000769DB" w:rsidRDefault="00F44ADC" w:rsidP="00F44ADC">
            <w:pPr>
              <w:rPr>
                <w:sz w:val="20"/>
                <w:szCs w:val="20"/>
              </w:rPr>
            </w:pPr>
            <w:r w:rsidRPr="000769DB">
              <w:rPr>
                <w:sz w:val="20"/>
                <w:szCs w:val="20"/>
              </w:rPr>
              <w:t>English</w:t>
            </w:r>
          </w:p>
        </w:tc>
        <w:tc>
          <w:tcPr>
            <w:tcW w:w="1749" w:type="dxa"/>
            <w:hideMark/>
          </w:tcPr>
          <w:p w14:paraId="7AE49FE7"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Good§</w:t>
            </w:r>
          </w:p>
        </w:tc>
        <w:tc>
          <w:tcPr>
            <w:tcW w:w="1134" w:type="dxa"/>
            <w:hideMark/>
          </w:tcPr>
          <w:p w14:paraId="2FD749AB"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19,473</w:t>
            </w:r>
          </w:p>
        </w:tc>
        <w:tc>
          <w:tcPr>
            <w:tcW w:w="1134" w:type="dxa"/>
            <w:hideMark/>
          </w:tcPr>
          <w:p w14:paraId="7131FC8F"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92.2</w:t>
            </w:r>
          </w:p>
        </w:tc>
        <w:tc>
          <w:tcPr>
            <w:tcW w:w="992" w:type="dxa"/>
            <w:hideMark/>
          </w:tcPr>
          <w:p w14:paraId="25B2F92E"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18,790</w:t>
            </w:r>
          </w:p>
        </w:tc>
        <w:tc>
          <w:tcPr>
            <w:tcW w:w="993" w:type="dxa"/>
            <w:hideMark/>
          </w:tcPr>
          <w:p w14:paraId="5E0E1DAB"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92.5</w:t>
            </w:r>
          </w:p>
        </w:tc>
        <w:tc>
          <w:tcPr>
            <w:tcW w:w="992" w:type="dxa"/>
            <w:hideMark/>
          </w:tcPr>
          <w:p w14:paraId="5E951FA8"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18,546</w:t>
            </w:r>
          </w:p>
        </w:tc>
        <w:tc>
          <w:tcPr>
            <w:tcW w:w="992" w:type="dxa"/>
            <w:hideMark/>
          </w:tcPr>
          <w:p w14:paraId="19EC5783"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91.3</w:t>
            </w:r>
          </w:p>
        </w:tc>
      </w:tr>
      <w:tr w:rsidR="00F44ADC" w:rsidRPr="000769DB" w14:paraId="1EC3749D"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01547812" w14:textId="0F09CAD0" w:rsidR="00F44ADC" w:rsidRPr="000769DB" w:rsidRDefault="00F44ADC" w:rsidP="00D46081">
            <w:pPr>
              <w:rPr>
                <w:sz w:val="20"/>
                <w:szCs w:val="20"/>
              </w:rPr>
            </w:pPr>
          </w:p>
        </w:tc>
        <w:tc>
          <w:tcPr>
            <w:tcW w:w="1749" w:type="dxa"/>
            <w:hideMark/>
          </w:tcPr>
          <w:p w14:paraId="208EE9DD"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Combination of good and poor§</w:t>
            </w:r>
          </w:p>
        </w:tc>
        <w:tc>
          <w:tcPr>
            <w:tcW w:w="1134" w:type="dxa"/>
            <w:hideMark/>
          </w:tcPr>
          <w:p w14:paraId="25AE73EB"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1,103</w:t>
            </w:r>
          </w:p>
        </w:tc>
        <w:tc>
          <w:tcPr>
            <w:tcW w:w="1134" w:type="dxa"/>
            <w:hideMark/>
          </w:tcPr>
          <w:p w14:paraId="30A1B8EE"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5.2</w:t>
            </w:r>
          </w:p>
        </w:tc>
        <w:tc>
          <w:tcPr>
            <w:tcW w:w="992" w:type="dxa"/>
            <w:hideMark/>
          </w:tcPr>
          <w:p w14:paraId="47404748"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1,024</w:t>
            </w:r>
          </w:p>
        </w:tc>
        <w:tc>
          <w:tcPr>
            <w:tcW w:w="993" w:type="dxa"/>
            <w:hideMark/>
          </w:tcPr>
          <w:p w14:paraId="07FB7BED"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5.0</w:t>
            </w:r>
          </w:p>
        </w:tc>
        <w:tc>
          <w:tcPr>
            <w:tcW w:w="992" w:type="dxa"/>
            <w:hideMark/>
          </w:tcPr>
          <w:p w14:paraId="55CDD7F6"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1,149</w:t>
            </w:r>
          </w:p>
        </w:tc>
        <w:tc>
          <w:tcPr>
            <w:tcW w:w="992" w:type="dxa"/>
            <w:hideMark/>
          </w:tcPr>
          <w:p w14:paraId="54E2E04B"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5.7</w:t>
            </w:r>
          </w:p>
        </w:tc>
      </w:tr>
      <w:tr w:rsidR="00F44ADC" w:rsidRPr="000769DB" w14:paraId="77612EBA"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4B5D7CEE" w14:textId="723E9CD5" w:rsidR="00F44ADC" w:rsidRPr="000769DB" w:rsidRDefault="00F44ADC" w:rsidP="00D46081">
            <w:pPr>
              <w:rPr>
                <w:sz w:val="20"/>
                <w:szCs w:val="20"/>
              </w:rPr>
            </w:pPr>
          </w:p>
        </w:tc>
        <w:tc>
          <w:tcPr>
            <w:tcW w:w="1749" w:type="dxa"/>
            <w:hideMark/>
          </w:tcPr>
          <w:p w14:paraId="5C8EA4C1"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Poor§</w:t>
            </w:r>
          </w:p>
        </w:tc>
        <w:tc>
          <w:tcPr>
            <w:tcW w:w="1134" w:type="dxa"/>
            <w:hideMark/>
          </w:tcPr>
          <w:p w14:paraId="67536856"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551</w:t>
            </w:r>
          </w:p>
        </w:tc>
        <w:tc>
          <w:tcPr>
            <w:tcW w:w="1134" w:type="dxa"/>
            <w:hideMark/>
          </w:tcPr>
          <w:p w14:paraId="05D69E7C"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2.6</w:t>
            </w:r>
          </w:p>
        </w:tc>
        <w:tc>
          <w:tcPr>
            <w:tcW w:w="992" w:type="dxa"/>
            <w:hideMark/>
          </w:tcPr>
          <w:p w14:paraId="158ABC76"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503</w:t>
            </w:r>
          </w:p>
        </w:tc>
        <w:tc>
          <w:tcPr>
            <w:tcW w:w="993" w:type="dxa"/>
            <w:hideMark/>
          </w:tcPr>
          <w:p w14:paraId="066CC44D"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2.5</w:t>
            </w:r>
          </w:p>
        </w:tc>
        <w:tc>
          <w:tcPr>
            <w:tcW w:w="992" w:type="dxa"/>
            <w:hideMark/>
          </w:tcPr>
          <w:p w14:paraId="15B371C0"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620</w:t>
            </w:r>
          </w:p>
        </w:tc>
        <w:tc>
          <w:tcPr>
            <w:tcW w:w="992" w:type="dxa"/>
            <w:hideMark/>
          </w:tcPr>
          <w:p w14:paraId="201F99EF"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3.1</w:t>
            </w:r>
          </w:p>
        </w:tc>
      </w:tr>
      <w:tr w:rsidR="00F44ADC" w:rsidRPr="000769DB" w14:paraId="642AD750"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val="restart"/>
            <w:hideMark/>
          </w:tcPr>
          <w:p w14:paraId="664A8BA8" w14:textId="16D0D66E" w:rsidR="00F44ADC" w:rsidRPr="000769DB" w:rsidRDefault="00F44ADC" w:rsidP="00F44ADC">
            <w:pPr>
              <w:rPr>
                <w:sz w:val="20"/>
                <w:szCs w:val="20"/>
              </w:rPr>
            </w:pPr>
            <w:r w:rsidRPr="000769DB">
              <w:rPr>
                <w:sz w:val="20"/>
                <w:szCs w:val="20"/>
              </w:rPr>
              <w:t>Offender status</w:t>
            </w:r>
          </w:p>
        </w:tc>
        <w:tc>
          <w:tcPr>
            <w:tcW w:w="1749" w:type="dxa"/>
            <w:hideMark/>
          </w:tcPr>
          <w:p w14:paraId="54DC900F"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Not an ex-offender§</w:t>
            </w:r>
          </w:p>
        </w:tc>
        <w:tc>
          <w:tcPr>
            <w:tcW w:w="1134" w:type="dxa"/>
            <w:hideMark/>
          </w:tcPr>
          <w:p w14:paraId="2C8F7C19"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18,314</w:t>
            </w:r>
          </w:p>
        </w:tc>
        <w:tc>
          <w:tcPr>
            <w:tcW w:w="1134" w:type="dxa"/>
            <w:hideMark/>
          </w:tcPr>
          <w:p w14:paraId="17988D19"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86.7</w:t>
            </w:r>
          </w:p>
        </w:tc>
        <w:tc>
          <w:tcPr>
            <w:tcW w:w="992" w:type="dxa"/>
            <w:hideMark/>
          </w:tcPr>
          <w:p w14:paraId="5269AC88"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17,663</w:t>
            </w:r>
          </w:p>
        </w:tc>
        <w:tc>
          <w:tcPr>
            <w:tcW w:w="993" w:type="dxa"/>
            <w:hideMark/>
          </w:tcPr>
          <w:p w14:paraId="3B0CBCF1"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86.9</w:t>
            </w:r>
          </w:p>
        </w:tc>
        <w:tc>
          <w:tcPr>
            <w:tcW w:w="992" w:type="dxa"/>
            <w:hideMark/>
          </w:tcPr>
          <w:p w14:paraId="72B933BA"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17,508</w:t>
            </w:r>
          </w:p>
        </w:tc>
        <w:tc>
          <w:tcPr>
            <w:tcW w:w="992" w:type="dxa"/>
            <w:hideMark/>
          </w:tcPr>
          <w:p w14:paraId="46026007"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86.2</w:t>
            </w:r>
          </w:p>
        </w:tc>
      </w:tr>
      <w:tr w:rsidR="00F44ADC" w:rsidRPr="000769DB" w14:paraId="468BE60C"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5A93120B" w14:textId="3A19CFD0" w:rsidR="00F44ADC" w:rsidRPr="000769DB" w:rsidRDefault="00F44ADC" w:rsidP="00D46081">
            <w:pPr>
              <w:rPr>
                <w:sz w:val="20"/>
                <w:szCs w:val="20"/>
              </w:rPr>
            </w:pPr>
          </w:p>
        </w:tc>
        <w:tc>
          <w:tcPr>
            <w:tcW w:w="1749" w:type="dxa"/>
            <w:hideMark/>
          </w:tcPr>
          <w:p w14:paraId="5728251C"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Declined to answer§</w:t>
            </w:r>
          </w:p>
        </w:tc>
        <w:tc>
          <w:tcPr>
            <w:tcW w:w="1134" w:type="dxa"/>
            <w:hideMark/>
          </w:tcPr>
          <w:p w14:paraId="3A247957"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546</w:t>
            </w:r>
          </w:p>
        </w:tc>
        <w:tc>
          <w:tcPr>
            <w:tcW w:w="1134" w:type="dxa"/>
            <w:hideMark/>
          </w:tcPr>
          <w:p w14:paraId="244FD41A"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2.6</w:t>
            </w:r>
          </w:p>
        </w:tc>
        <w:tc>
          <w:tcPr>
            <w:tcW w:w="992" w:type="dxa"/>
            <w:hideMark/>
          </w:tcPr>
          <w:p w14:paraId="2588A697"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517</w:t>
            </w:r>
          </w:p>
        </w:tc>
        <w:tc>
          <w:tcPr>
            <w:tcW w:w="993" w:type="dxa"/>
            <w:hideMark/>
          </w:tcPr>
          <w:p w14:paraId="066BAABA"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2.5</w:t>
            </w:r>
          </w:p>
        </w:tc>
        <w:tc>
          <w:tcPr>
            <w:tcW w:w="992" w:type="dxa"/>
            <w:hideMark/>
          </w:tcPr>
          <w:p w14:paraId="6B815A10"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649</w:t>
            </w:r>
          </w:p>
        </w:tc>
        <w:tc>
          <w:tcPr>
            <w:tcW w:w="992" w:type="dxa"/>
            <w:hideMark/>
          </w:tcPr>
          <w:p w14:paraId="5C69165D"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3.2</w:t>
            </w:r>
          </w:p>
        </w:tc>
      </w:tr>
      <w:tr w:rsidR="00F44ADC" w:rsidRPr="000769DB" w14:paraId="3B427082"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0005224B" w14:textId="1AE65738" w:rsidR="00F44ADC" w:rsidRPr="000769DB" w:rsidRDefault="00F44ADC" w:rsidP="00D46081">
            <w:pPr>
              <w:rPr>
                <w:sz w:val="20"/>
                <w:szCs w:val="20"/>
              </w:rPr>
            </w:pPr>
          </w:p>
        </w:tc>
        <w:tc>
          <w:tcPr>
            <w:tcW w:w="1749" w:type="dxa"/>
            <w:hideMark/>
          </w:tcPr>
          <w:p w14:paraId="6001591B"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Ex-offender§</w:t>
            </w:r>
          </w:p>
        </w:tc>
        <w:tc>
          <w:tcPr>
            <w:tcW w:w="1134" w:type="dxa"/>
            <w:hideMark/>
          </w:tcPr>
          <w:p w14:paraId="2EC4540D"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2,266</w:t>
            </w:r>
          </w:p>
        </w:tc>
        <w:tc>
          <w:tcPr>
            <w:tcW w:w="1134" w:type="dxa"/>
            <w:hideMark/>
          </w:tcPr>
          <w:p w14:paraId="3CD945FF"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10.7</w:t>
            </w:r>
          </w:p>
        </w:tc>
        <w:tc>
          <w:tcPr>
            <w:tcW w:w="992" w:type="dxa"/>
            <w:hideMark/>
          </w:tcPr>
          <w:p w14:paraId="765F2837"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2,137</w:t>
            </w:r>
          </w:p>
        </w:tc>
        <w:tc>
          <w:tcPr>
            <w:tcW w:w="993" w:type="dxa"/>
            <w:hideMark/>
          </w:tcPr>
          <w:p w14:paraId="3B96CB5A"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10.5</w:t>
            </w:r>
          </w:p>
        </w:tc>
        <w:tc>
          <w:tcPr>
            <w:tcW w:w="992" w:type="dxa"/>
            <w:hideMark/>
          </w:tcPr>
          <w:p w14:paraId="230421D3"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2,158</w:t>
            </w:r>
          </w:p>
        </w:tc>
        <w:tc>
          <w:tcPr>
            <w:tcW w:w="992" w:type="dxa"/>
            <w:hideMark/>
          </w:tcPr>
          <w:p w14:paraId="7092653B"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10.6</w:t>
            </w:r>
          </w:p>
        </w:tc>
      </w:tr>
      <w:tr w:rsidR="00F44ADC" w:rsidRPr="000769DB" w14:paraId="40E288FB"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val="restart"/>
            <w:hideMark/>
          </w:tcPr>
          <w:p w14:paraId="7EE3109A" w14:textId="228ABEB6" w:rsidR="00F44ADC" w:rsidRPr="000769DB" w:rsidRDefault="00F44ADC" w:rsidP="00F44ADC">
            <w:pPr>
              <w:rPr>
                <w:sz w:val="20"/>
                <w:szCs w:val="20"/>
              </w:rPr>
            </w:pPr>
            <w:r w:rsidRPr="000769DB">
              <w:rPr>
                <w:sz w:val="20"/>
                <w:szCs w:val="20"/>
              </w:rPr>
              <w:t>Remoteness</w:t>
            </w:r>
          </w:p>
        </w:tc>
        <w:tc>
          <w:tcPr>
            <w:tcW w:w="1749" w:type="dxa"/>
            <w:hideMark/>
          </w:tcPr>
          <w:p w14:paraId="6800DAEE"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Metro / inner regional§</w:t>
            </w:r>
          </w:p>
        </w:tc>
        <w:tc>
          <w:tcPr>
            <w:tcW w:w="1134" w:type="dxa"/>
            <w:hideMark/>
          </w:tcPr>
          <w:p w14:paraId="03DBC763"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18,087</w:t>
            </w:r>
          </w:p>
        </w:tc>
        <w:tc>
          <w:tcPr>
            <w:tcW w:w="1134" w:type="dxa"/>
            <w:hideMark/>
          </w:tcPr>
          <w:p w14:paraId="217CDC29"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85.6</w:t>
            </w:r>
          </w:p>
        </w:tc>
        <w:tc>
          <w:tcPr>
            <w:tcW w:w="992" w:type="dxa"/>
            <w:hideMark/>
          </w:tcPr>
          <w:p w14:paraId="4E16D767"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17,395</w:t>
            </w:r>
          </w:p>
        </w:tc>
        <w:tc>
          <w:tcPr>
            <w:tcW w:w="993" w:type="dxa"/>
            <w:hideMark/>
          </w:tcPr>
          <w:p w14:paraId="5D526155"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85.6</w:t>
            </w:r>
          </w:p>
        </w:tc>
        <w:tc>
          <w:tcPr>
            <w:tcW w:w="992" w:type="dxa"/>
            <w:hideMark/>
          </w:tcPr>
          <w:p w14:paraId="3C6CEEB1"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16,475</w:t>
            </w:r>
          </w:p>
        </w:tc>
        <w:tc>
          <w:tcPr>
            <w:tcW w:w="992" w:type="dxa"/>
            <w:hideMark/>
          </w:tcPr>
          <w:p w14:paraId="3A0DDCF5"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81.1</w:t>
            </w:r>
          </w:p>
        </w:tc>
      </w:tr>
      <w:tr w:rsidR="00F44ADC" w:rsidRPr="000769DB" w14:paraId="1F34EF2A" w14:textId="77777777" w:rsidTr="00F44ADC">
        <w:tc>
          <w:tcPr>
            <w:cnfStyle w:val="001000000000" w:firstRow="0" w:lastRow="0" w:firstColumn="1" w:lastColumn="0" w:oddVBand="0" w:evenVBand="0" w:oddHBand="0" w:evenHBand="0" w:firstRowFirstColumn="0" w:firstRowLastColumn="0" w:lastRowFirstColumn="0" w:lastRowLastColumn="0"/>
            <w:tcW w:w="1223" w:type="dxa"/>
            <w:vMerge/>
            <w:hideMark/>
          </w:tcPr>
          <w:p w14:paraId="4DADE730" w14:textId="6F1FE883" w:rsidR="00F44ADC" w:rsidRPr="000769DB" w:rsidRDefault="00F44ADC" w:rsidP="00D46081">
            <w:pPr>
              <w:rPr>
                <w:sz w:val="20"/>
                <w:szCs w:val="20"/>
              </w:rPr>
            </w:pPr>
          </w:p>
        </w:tc>
        <w:tc>
          <w:tcPr>
            <w:tcW w:w="1749" w:type="dxa"/>
            <w:hideMark/>
          </w:tcPr>
          <w:p w14:paraId="238B0CC2" w14:textId="77777777" w:rsidR="00F44ADC" w:rsidRPr="000769DB" w:rsidRDefault="00F44ADC" w:rsidP="00D46081">
            <w:pP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Outer regional / remote§</w:t>
            </w:r>
          </w:p>
        </w:tc>
        <w:tc>
          <w:tcPr>
            <w:tcW w:w="1134" w:type="dxa"/>
            <w:hideMark/>
          </w:tcPr>
          <w:p w14:paraId="28752CAB"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3,039</w:t>
            </w:r>
          </w:p>
        </w:tc>
        <w:tc>
          <w:tcPr>
            <w:tcW w:w="1134" w:type="dxa"/>
            <w:hideMark/>
          </w:tcPr>
          <w:p w14:paraId="323F6CD2"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14.4</w:t>
            </w:r>
          </w:p>
        </w:tc>
        <w:tc>
          <w:tcPr>
            <w:tcW w:w="992" w:type="dxa"/>
            <w:hideMark/>
          </w:tcPr>
          <w:p w14:paraId="463E7FD1"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2,921</w:t>
            </w:r>
          </w:p>
        </w:tc>
        <w:tc>
          <w:tcPr>
            <w:tcW w:w="993" w:type="dxa"/>
            <w:hideMark/>
          </w:tcPr>
          <w:p w14:paraId="66BA525C"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14.4</w:t>
            </w:r>
          </w:p>
        </w:tc>
        <w:tc>
          <w:tcPr>
            <w:tcW w:w="992" w:type="dxa"/>
            <w:hideMark/>
          </w:tcPr>
          <w:p w14:paraId="14F680AC"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3,830</w:t>
            </w:r>
          </w:p>
        </w:tc>
        <w:tc>
          <w:tcPr>
            <w:tcW w:w="992" w:type="dxa"/>
            <w:hideMark/>
          </w:tcPr>
          <w:p w14:paraId="4FB2F384" w14:textId="77777777" w:rsidR="00F44ADC" w:rsidRPr="000769DB" w:rsidRDefault="00F44ADC"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18.9</w:t>
            </w:r>
          </w:p>
        </w:tc>
      </w:tr>
      <w:tr w:rsidR="00F44ADC" w:rsidRPr="000769DB" w14:paraId="65AD3FFC" w14:textId="77777777" w:rsidTr="00F44ADC">
        <w:tc>
          <w:tcPr>
            <w:cnfStyle w:val="001000000000" w:firstRow="0" w:lastRow="0" w:firstColumn="1" w:lastColumn="0" w:oddVBand="0" w:evenVBand="0" w:oddHBand="0" w:evenHBand="0" w:firstRowFirstColumn="0" w:firstRowLastColumn="0" w:lastRowFirstColumn="0" w:lastRowLastColumn="0"/>
            <w:tcW w:w="1223" w:type="dxa"/>
            <w:hideMark/>
          </w:tcPr>
          <w:p w14:paraId="4CC7DA6D" w14:textId="77777777" w:rsidR="00D46081" w:rsidRPr="000769DB" w:rsidRDefault="00D46081" w:rsidP="00D46081">
            <w:pPr>
              <w:rPr>
                <w:sz w:val="20"/>
                <w:szCs w:val="20"/>
              </w:rPr>
            </w:pPr>
            <w:r w:rsidRPr="000769DB">
              <w:rPr>
                <w:sz w:val="20"/>
                <w:szCs w:val="20"/>
              </w:rPr>
              <w:t>Total</w:t>
            </w:r>
          </w:p>
        </w:tc>
        <w:tc>
          <w:tcPr>
            <w:tcW w:w="1749" w:type="dxa"/>
            <w:hideMark/>
          </w:tcPr>
          <w:p w14:paraId="2A135BF8" w14:textId="6DEB0DD0" w:rsidR="00D46081" w:rsidRPr="000769DB" w:rsidRDefault="007B46C9" w:rsidP="00D46081">
            <w:pPr>
              <w:cnfStyle w:val="000000000000" w:firstRow="0" w:lastRow="0" w:firstColumn="0" w:lastColumn="0" w:oddVBand="0" w:evenVBand="0" w:oddHBand="0" w:evenHBand="0" w:firstRowFirstColumn="0" w:firstRowLastColumn="0" w:lastRowFirstColumn="0" w:lastRowLastColumn="0"/>
              <w:rPr>
                <w:sz w:val="20"/>
                <w:szCs w:val="20"/>
              </w:rPr>
            </w:pPr>
            <w:r>
              <w:rPr>
                <w:b/>
                <w:color w:val="FFFFFF" w:themeColor="background1"/>
                <w:sz w:val="20"/>
                <w:szCs w:val="20"/>
              </w:rPr>
              <w:t>—</w:t>
            </w:r>
          </w:p>
        </w:tc>
        <w:tc>
          <w:tcPr>
            <w:tcW w:w="1134" w:type="dxa"/>
            <w:hideMark/>
          </w:tcPr>
          <w:p w14:paraId="43BC00CD" w14:textId="77777777" w:rsidR="00D46081" w:rsidRPr="000769DB" w:rsidRDefault="00D46081"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21,495</w:t>
            </w:r>
          </w:p>
        </w:tc>
        <w:tc>
          <w:tcPr>
            <w:tcW w:w="1134" w:type="dxa"/>
            <w:hideMark/>
          </w:tcPr>
          <w:p w14:paraId="1E778BCC" w14:textId="0AEEEDE5" w:rsidR="00D46081" w:rsidRPr="000769DB" w:rsidRDefault="00D46081"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DF15E5">
              <w:rPr>
                <w:color w:val="FFFFFF" w:themeColor="background1"/>
                <w:sz w:val="20"/>
                <w:szCs w:val="20"/>
              </w:rPr>
              <w:t>—</w:t>
            </w:r>
          </w:p>
        </w:tc>
        <w:tc>
          <w:tcPr>
            <w:tcW w:w="992" w:type="dxa"/>
            <w:hideMark/>
          </w:tcPr>
          <w:p w14:paraId="6B3AC3FC" w14:textId="77777777" w:rsidR="00D46081" w:rsidRPr="000769DB" w:rsidRDefault="00D46081"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20,684</w:t>
            </w:r>
          </w:p>
        </w:tc>
        <w:tc>
          <w:tcPr>
            <w:tcW w:w="993" w:type="dxa"/>
            <w:hideMark/>
          </w:tcPr>
          <w:p w14:paraId="487D8133" w14:textId="1ADF144A" w:rsidR="00D46081" w:rsidRPr="000769DB" w:rsidRDefault="00D46081"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A44EF2">
              <w:rPr>
                <w:color w:val="FFFFFF" w:themeColor="background1"/>
                <w:sz w:val="20"/>
                <w:szCs w:val="20"/>
              </w:rPr>
              <w:t>—</w:t>
            </w:r>
          </w:p>
        </w:tc>
        <w:tc>
          <w:tcPr>
            <w:tcW w:w="992" w:type="dxa"/>
            <w:hideMark/>
          </w:tcPr>
          <w:p w14:paraId="11D255AD" w14:textId="77777777" w:rsidR="00D46081" w:rsidRPr="000769DB" w:rsidRDefault="00D46081"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20,684</w:t>
            </w:r>
          </w:p>
        </w:tc>
        <w:tc>
          <w:tcPr>
            <w:tcW w:w="992" w:type="dxa"/>
            <w:hideMark/>
          </w:tcPr>
          <w:p w14:paraId="4D2D80A6" w14:textId="4D84B3AA" w:rsidR="00D46081" w:rsidRPr="000769DB" w:rsidRDefault="00D46081" w:rsidP="00D46081">
            <w:pPr>
              <w:jc w:val="right"/>
              <w:cnfStyle w:val="000000000000" w:firstRow="0" w:lastRow="0" w:firstColumn="0" w:lastColumn="0" w:oddVBand="0" w:evenVBand="0" w:oddHBand="0" w:evenHBand="0" w:firstRowFirstColumn="0" w:firstRowLastColumn="0" w:lastRowFirstColumn="0" w:lastRowLastColumn="0"/>
              <w:rPr>
                <w:sz w:val="20"/>
                <w:szCs w:val="20"/>
              </w:rPr>
            </w:pPr>
            <w:r w:rsidRPr="00A44EF2">
              <w:rPr>
                <w:color w:val="FFFFFF" w:themeColor="background1"/>
                <w:sz w:val="20"/>
                <w:szCs w:val="20"/>
              </w:rPr>
              <w:t>—</w:t>
            </w:r>
          </w:p>
        </w:tc>
      </w:tr>
    </w:tbl>
    <w:p w14:paraId="427CA507" w14:textId="030B7DBE" w:rsidR="00CC4E3D" w:rsidRPr="008C506A" w:rsidRDefault="00CC4E3D" w:rsidP="00CC4E3D">
      <w:pPr>
        <w:pStyle w:val="Note"/>
        <w:contextualSpacing/>
      </w:pPr>
      <w:r w:rsidRPr="008C506A">
        <w:t>*</w:t>
      </w:r>
      <w:r>
        <w:t xml:space="preserve"> </w:t>
      </w:r>
      <w:r w:rsidRPr="008C506A">
        <w:t>Factors on which the samples were matched</w:t>
      </w:r>
      <w:r w:rsidRPr="00676729">
        <w:t>.</w:t>
      </w:r>
    </w:p>
    <w:p w14:paraId="42D3C866" w14:textId="19919F3B" w:rsidR="00CC4E3D" w:rsidRPr="008C506A" w:rsidRDefault="00CC4E3D" w:rsidP="00CC4E3D">
      <w:pPr>
        <w:pStyle w:val="Note"/>
      </w:pPr>
      <w:r w:rsidRPr="008C506A">
        <w:t>§</w:t>
      </w:r>
      <w:r>
        <w:t xml:space="preserve"> </w:t>
      </w:r>
      <w:r w:rsidRPr="00FD2B29">
        <w:t>Comparisons</w:t>
      </w:r>
      <w:r w:rsidRPr="008C506A">
        <w:t xml:space="preserve"> </w:t>
      </w:r>
      <w:r w:rsidRPr="005B7B50">
        <w:t>using χ</w:t>
      </w:r>
      <w:r>
        <w:t>2 </w:t>
      </w:r>
      <w:r w:rsidRPr="005B7B50">
        <w:t>test</w:t>
      </w:r>
      <w:r>
        <w:t xml:space="preserve"> — </w:t>
      </w:r>
      <w:r w:rsidRPr="008C506A">
        <w:t>statistical differences significant at 0.0</w:t>
      </w:r>
      <w:r>
        <w:t>1 </w:t>
      </w:r>
      <w:r w:rsidRPr="008C506A">
        <w:t>(matched samples only)</w:t>
      </w:r>
      <w:r w:rsidRPr="005B7B50">
        <w:t>.</w:t>
      </w:r>
    </w:p>
    <w:p w14:paraId="51BBB623" w14:textId="2257B158" w:rsidR="00CC4E3D" w:rsidRPr="005A1B8D" w:rsidRDefault="00CC4E3D" w:rsidP="00CC4E3D">
      <w:pPr>
        <w:pStyle w:val="Source"/>
        <w:rPr>
          <w:rFonts w:eastAsia="Times New Roman"/>
          <w:b/>
        </w:rPr>
      </w:pPr>
      <w:r w:rsidRPr="005A1B8D">
        <w:rPr>
          <w:b/>
        </w:rPr>
        <w:t xml:space="preserve">Source: Department of </w:t>
      </w:r>
      <w:r w:rsidR="00EF36B1" w:rsidRPr="005A1B8D">
        <w:rPr>
          <w:b/>
        </w:rPr>
        <w:t>Employment, Skills, Small and Family</w:t>
      </w:r>
      <w:r w:rsidRPr="005A1B8D">
        <w:rPr>
          <w:b/>
        </w:rPr>
        <w:t xml:space="preserve"> Business administrative data.</w:t>
      </w:r>
    </w:p>
    <w:p w14:paraId="294748B0" w14:textId="77777777" w:rsidR="00CC4E3D" w:rsidRDefault="00CC4E3D" w:rsidP="00CC4E3D">
      <w:pPr>
        <w:rPr>
          <w:rFonts w:cstheme="minorHAnsi"/>
        </w:rPr>
      </w:pPr>
      <w:r>
        <w:rPr>
          <w:rFonts w:ascii="Calibri" w:eastAsia="Times New Roman" w:hAnsi="Calibri" w:cs="Times New Roman"/>
        </w:rPr>
        <w:t xml:space="preserve">The matched samples were compared for statistical differences across all of the characteristics. </w:t>
      </w:r>
      <w:r>
        <w:rPr>
          <w:rFonts w:ascii="Calibri" w:eastAsia="Times New Roman" w:hAnsi="Calibri" w:cs="Times New Roman"/>
          <w:b/>
        </w:rPr>
        <w:t>Table C</w:t>
      </w:r>
      <w:r w:rsidRPr="000B48D1">
        <w:rPr>
          <w:rFonts w:ascii="Calibri" w:eastAsia="Times New Roman" w:hAnsi="Calibri" w:cs="Times New Roman"/>
          <w:b/>
        </w:rPr>
        <w:t>.2</w:t>
      </w:r>
      <w:r>
        <w:rPr>
          <w:rFonts w:ascii="Calibri" w:eastAsia="Times New Roman" w:hAnsi="Calibri" w:cs="Times New Roman"/>
          <w:b/>
        </w:rPr>
        <w:t xml:space="preserve"> </w:t>
      </w:r>
      <w:r w:rsidRPr="008C506A">
        <w:rPr>
          <w:rFonts w:ascii="Calibri" w:eastAsia="Times New Roman" w:hAnsi="Calibri" w:cs="Times New Roman"/>
        </w:rPr>
        <w:t xml:space="preserve">reports </w:t>
      </w:r>
      <w:r>
        <w:rPr>
          <w:rFonts w:ascii="Calibri" w:eastAsia="Times New Roman" w:hAnsi="Calibri" w:cs="Times New Roman"/>
        </w:rPr>
        <w:t xml:space="preserve">those with significant differences. While some statistically significant differences in characteristics were observed between the inflow populations, the effect sizes were small and did not indicate systematic differences in the matched samples. </w:t>
      </w:r>
      <w:r>
        <w:rPr>
          <w:rFonts w:cstheme="minorHAnsi"/>
        </w:rPr>
        <w:t>The logistic analyses undertaken for the evaluation controlled for differences in the population characteristics. The final total sample was 41,368 (20,684 from each service model).</w:t>
      </w:r>
    </w:p>
    <w:p w14:paraId="2EBC57F6" w14:textId="77777777" w:rsidR="00CC4E3D" w:rsidRDefault="00CC4E3D" w:rsidP="00CC4E3D">
      <w:pPr>
        <w:rPr>
          <w:rFonts w:ascii="Calibri" w:eastAsia="Times New Roman" w:hAnsi="Calibri" w:cstheme="majorBidi"/>
          <w:b/>
          <w:bCs/>
          <w:iCs/>
        </w:rPr>
      </w:pPr>
      <w:bookmarkStart w:id="626" w:name="_Toc509402989"/>
      <w:r>
        <w:br w:type="page"/>
      </w:r>
    </w:p>
    <w:p w14:paraId="0A8751E9" w14:textId="7D113AB9" w:rsidR="00CC4E3D" w:rsidRPr="009A76F6" w:rsidRDefault="00CC4E3D" w:rsidP="00FD4CA8">
      <w:pPr>
        <w:pStyle w:val="Caption"/>
      </w:pPr>
      <w:bookmarkStart w:id="627" w:name="_Toc535511499"/>
      <w:bookmarkStart w:id="628" w:name="_Toc535511559"/>
      <w:bookmarkStart w:id="629" w:name="_Toc535512787"/>
      <w:bookmarkStart w:id="630" w:name="_Toc535513423"/>
      <w:bookmarkStart w:id="631" w:name="_Toc23841447"/>
      <w:r>
        <w:lastRenderedPageBreak/>
        <w:t xml:space="preserve">Table C. </w:t>
      </w:r>
      <w:r>
        <w:rPr>
          <w:noProof/>
        </w:rPr>
        <w:fldChar w:fldCharType="begin"/>
      </w:r>
      <w:r>
        <w:rPr>
          <w:noProof/>
        </w:rPr>
        <w:instrText xml:space="preserve"> SEQ Table_C. \* ARABIC </w:instrText>
      </w:r>
      <w:r>
        <w:rPr>
          <w:noProof/>
        </w:rPr>
        <w:fldChar w:fldCharType="separate"/>
      </w:r>
      <w:r w:rsidR="00D84A2A">
        <w:rPr>
          <w:noProof/>
        </w:rPr>
        <w:t>2</w:t>
      </w:r>
      <w:r>
        <w:rPr>
          <w:noProof/>
        </w:rPr>
        <w:fldChar w:fldCharType="end"/>
      </w:r>
      <w:r w:rsidRPr="009A76F6">
        <w:tab/>
        <w:t>Key demographic comparisons</w:t>
      </w:r>
      <w:r>
        <w:t xml:space="preserve"> — </w:t>
      </w:r>
      <w:r w:rsidRPr="009A76F6">
        <w:t>statistical differences</w:t>
      </w:r>
      <w:bookmarkEnd w:id="626"/>
      <w:bookmarkEnd w:id="627"/>
      <w:bookmarkEnd w:id="628"/>
      <w:bookmarkEnd w:id="629"/>
      <w:bookmarkEnd w:id="630"/>
      <w:bookmarkEnd w:id="631"/>
    </w:p>
    <w:tbl>
      <w:tblPr>
        <w:tblStyle w:val="JobsTable"/>
        <w:tblW w:w="9242" w:type="dxa"/>
        <w:tblBorders>
          <w:bottom w:val="none" w:sz="0" w:space="0" w:color="auto"/>
        </w:tblBorders>
        <w:tblLook w:val="04A0" w:firstRow="1" w:lastRow="0" w:firstColumn="1" w:lastColumn="0" w:noHBand="0" w:noVBand="1"/>
        <w:tblDescription w:val="The factors are age at referral, income support history, Indigenous status, transport, English proficiency, and ex-offender status&#10;The metrics are effect size (Cramer’s V), Chi-square, degrees of freedom, std residual, and Pr &gt; ChiSq&#10;The statistical differences are as follows:&#10;Age at referral: Cramer’s V, 0.0351; Chi-square, 32.7094; degrees of freedom, 7; Pr &gt; ChiSq &lt;.0001&#10;Age at referral, by years old (as std residual): 15, 2.0299; 16, 3.4960; 17, 2.6149; 18, -0.0386, 19, -1.8859, 20, -1.2414, 21, -2.5136, 22, -1.4671&#10;Income support history: Cramer’s V, 0.0304; degrees of freedom, 1; Pr &gt; ChiSq, &lt;.0001&#10;Income support history (std residual): -4.8968&#10;No income support history (std residual): 4.8968&#10;Indigenous status: Cramer’s V, 0.0148; Chi-square, 5.6934; degrees of freedom, 2; Pr &gt; ChiSq, 0.0580&#10;Does not identify as Indigenous (std residual): 1.0894&#10;Declined to answer on Indigenous status (std residual): -2.3734&#10;Identifies as Indigenous (std residual): -0.0278&#10;Transport: Cramer’s V, 0.0373; Chi-square, 36.2561; degrees of freedom, 3; Pr &gt; ChiSq, &lt;.0001&#10;Own transport (std residual): -4.1631&#10;Other private transport (std residual): -1.0205&#10;Public transport (std residual): 5.7072&#10;No transport (std residual): -2.8437&#10;English: Cramer’s V, 0.0363; Chi-square, 34.3760; degrees of freedom, 2; Pr &gt; ChiSq, &lt;.0001&#10;Good (std residual): 5.6358&#10;Combination of good and poor (std residual): -3.5595&#10;Poor (std residual): -4.5215&#10;Ex-offender (std residual): Cramer’s V, 0.0249; Chi-square, 15.7291; degrees of freedom, 2; Pr &gt; ChiSq, 0.0003&#10;Not an ex-offender (std residual): 2.7563&#10;Declined to answer (std residual): -3.8195&#10;Ex-offender (std residual): -1.0322&#10;"/>
      </w:tblPr>
      <w:tblGrid>
        <w:gridCol w:w="3097"/>
        <w:gridCol w:w="1244"/>
        <w:gridCol w:w="1185"/>
        <w:gridCol w:w="1194"/>
        <w:gridCol w:w="1187"/>
        <w:gridCol w:w="1335"/>
      </w:tblGrid>
      <w:tr w:rsidR="00CC4E3D" w:rsidRPr="000769DB" w14:paraId="5BC7E8C4" w14:textId="77777777" w:rsidTr="005A1B8D">
        <w:trPr>
          <w:cnfStyle w:val="100000000000" w:firstRow="1" w:lastRow="0" w:firstColumn="0" w:lastColumn="0" w:oddVBand="0" w:evenVBand="0" w:oddHBand="0" w:evenHBand="0" w:firstRowFirstColumn="0" w:firstRowLastColumn="0" w:lastRowFirstColumn="0" w:lastRowLastColumn="0"/>
          <w:trHeight w:hRule="exact" w:val="936"/>
          <w:tblHeader/>
        </w:trPr>
        <w:tc>
          <w:tcPr>
            <w:cnfStyle w:val="001000000000" w:firstRow="0" w:lastRow="0" w:firstColumn="1" w:lastColumn="0" w:oddVBand="0" w:evenVBand="0" w:oddHBand="0" w:evenHBand="0" w:firstRowFirstColumn="0" w:firstRowLastColumn="0" w:lastRowFirstColumn="0" w:lastRowLastColumn="0"/>
            <w:tcW w:w="3097" w:type="dxa"/>
            <w:hideMark/>
          </w:tcPr>
          <w:p w14:paraId="045E0D72" w14:textId="77777777" w:rsidR="00CC4E3D" w:rsidRPr="000769DB" w:rsidRDefault="00CC4E3D" w:rsidP="005A1B8D">
            <w:pPr>
              <w:jc w:val="center"/>
              <w:rPr>
                <w:b/>
                <w:bCs/>
                <w:sz w:val="20"/>
                <w:szCs w:val="20"/>
              </w:rPr>
            </w:pPr>
            <w:r w:rsidRPr="000769DB">
              <w:rPr>
                <w:b/>
                <w:bCs/>
                <w:sz w:val="20"/>
                <w:szCs w:val="20"/>
              </w:rPr>
              <w:t>Sample (TtW vs jobactive)</w:t>
            </w:r>
          </w:p>
        </w:tc>
        <w:tc>
          <w:tcPr>
            <w:tcW w:w="1244" w:type="dxa"/>
            <w:hideMark/>
          </w:tcPr>
          <w:p w14:paraId="273691ED" w14:textId="77777777" w:rsidR="00CC4E3D" w:rsidRPr="000769DB" w:rsidRDefault="00CC4E3D" w:rsidP="00EB07E1">
            <w:pPr>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0769DB">
              <w:rPr>
                <w:b/>
                <w:bCs/>
                <w:sz w:val="20"/>
                <w:szCs w:val="20"/>
              </w:rPr>
              <w:t>Effect size (Cramer’s V)</w:t>
            </w:r>
          </w:p>
        </w:tc>
        <w:tc>
          <w:tcPr>
            <w:tcW w:w="1185" w:type="dxa"/>
          </w:tcPr>
          <w:p w14:paraId="7388FDD2" w14:textId="77777777" w:rsidR="00CC4E3D" w:rsidRPr="000769DB" w:rsidRDefault="00CC4E3D" w:rsidP="009C0E68">
            <w:pPr>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0769DB">
              <w:rPr>
                <w:b/>
                <w:bCs/>
                <w:sz w:val="20"/>
                <w:szCs w:val="20"/>
              </w:rPr>
              <w:t>Chi-square</w:t>
            </w:r>
          </w:p>
          <w:p w14:paraId="697E617D" w14:textId="77777777" w:rsidR="00CC4E3D" w:rsidRPr="000769DB" w:rsidRDefault="00CC4E3D" w:rsidP="009C0E68">
            <w:pPr>
              <w:jc w:val="center"/>
              <w:cnfStyle w:val="100000000000" w:firstRow="1" w:lastRow="0" w:firstColumn="0" w:lastColumn="0" w:oddVBand="0" w:evenVBand="0" w:oddHBand="0" w:evenHBand="0" w:firstRowFirstColumn="0" w:firstRowLastColumn="0" w:lastRowFirstColumn="0" w:lastRowLastColumn="0"/>
              <w:rPr>
                <w:b/>
                <w:bCs/>
                <w:sz w:val="20"/>
                <w:szCs w:val="20"/>
              </w:rPr>
            </w:pPr>
          </w:p>
        </w:tc>
        <w:tc>
          <w:tcPr>
            <w:tcW w:w="1194" w:type="dxa"/>
            <w:hideMark/>
          </w:tcPr>
          <w:p w14:paraId="306EF085" w14:textId="77777777" w:rsidR="00CC4E3D" w:rsidRPr="000769DB" w:rsidRDefault="00CC4E3D" w:rsidP="009C0E68">
            <w:pPr>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0769DB">
              <w:rPr>
                <w:b/>
                <w:bCs/>
                <w:sz w:val="20"/>
                <w:szCs w:val="20"/>
              </w:rPr>
              <w:t>Degrees of freedom</w:t>
            </w:r>
          </w:p>
        </w:tc>
        <w:tc>
          <w:tcPr>
            <w:tcW w:w="1187" w:type="dxa"/>
            <w:hideMark/>
          </w:tcPr>
          <w:p w14:paraId="2B0DFEAD" w14:textId="77777777" w:rsidR="00CC4E3D" w:rsidRPr="000769DB" w:rsidRDefault="00CC4E3D" w:rsidP="009C0E68">
            <w:pPr>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0769DB">
              <w:rPr>
                <w:b/>
                <w:bCs/>
                <w:sz w:val="20"/>
                <w:szCs w:val="20"/>
              </w:rPr>
              <w:t>Std residual</w:t>
            </w:r>
          </w:p>
        </w:tc>
        <w:tc>
          <w:tcPr>
            <w:tcW w:w="1335" w:type="dxa"/>
            <w:hideMark/>
          </w:tcPr>
          <w:p w14:paraId="52EFFCF3" w14:textId="77777777" w:rsidR="00CC4E3D" w:rsidRPr="000769DB" w:rsidRDefault="00CC4E3D" w:rsidP="009C0E68">
            <w:pPr>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0769DB">
              <w:rPr>
                <w:b/>
                <w:bCs/>
                <w:sz w:val="20"/>
                <w:szCs w:val="20"/>
              </w:rPr>
              <w:t>Pr &gt; ChiSq</w:t>
            </w:r>
          </w:p>
        </w:tc>
      </w:tr>
      <w:tr w:rsidR="00CC4E3D" w:rsidRPr="000769DB" w14:paraId="61FF0DC5" w14:textId="77777777" w:rsidTr="005A1B8D">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vAlign w:val="center"/>
            <w:hideMark/>
          </w:tcPr>
          <w:p w14:paraId="1F399606" w14:textId="77777777" w:rsidR="00CC4E3D" w:rsidRPr="000769DB" w:rsidRDefault="00CC4E3D" w:rsidP="00EF36B1">
            <w:pPr>
              <w:rPr>
                <w:sz w:val="20"/>
                <w:szCs w:val="20"/>
              </w:rPr>
            </w:pPr>
            <w:r w:rsidRPr="000769DB">
              <w:rPr>
                <w:sz w:val="20"/>
                <w:szCs w:val="20"/>
              </w:rPr>
              <w:t>Age at referral</w:t>
            </w:r>
          </w:p>
        </w:tc>
        <w:tc>
          <w:tcPr>
            <w:tcW w:w="1244" w:type="dxa"/>
            <w:vAlign w:val="center"/>
            <w:hideMark/>
          </w:tcPr>
          <w:p w14:paraId="7F3D3074" w14:textId="77777777" w:rsidR="00CC4E3D" w:rsidRPr="000769DB" w:rsidRDefault="00CC4E3D"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0.0351</w:t>
            </w:r>
          </w:p>
        </w:tc>
        <w:tc>
          <w:tcPr>
            <w:tcW w:w="1185" w:type="dxa"/>
            <w:vAlign w:val="center"/>
            <w:hideMark/>
          </w:tcPr>
          <w:p w14:paraId="6978CEE5" w14:textId="77777777" w:rsidR="00CC4E3D" w:rsidRPr="000769DB" w:rsidRDefault="00CC4E3D"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32.7094</w:t>
            </w:r>
          </w:p>
        </w:tc>
        <w:tc>
          <w:tcPr>
            <w:tcW w:w="1194" w:type="dxa"/>
            <w:vAlign w:val="center"/>
            <w:hideMark/>
          </w:tcPr>
          <w:p w14:paraId="5AA611AA" w14:textId="77777777" w:rsidR="00CC4E3D" w:rsidRPr="000769DB" w:rsidRDefault="00CC4E3D"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7</w:t>
            </w:r>
          </w:p>
        </w:tc>
        <w:tc>
          <w:tcPr>
            <w:tcW w:w="1187" w:type="dxa"/>
            <w:vAlign w:val="center"/>
          </w:tcPr>
          <w:p w14:paraId="300084DE" w14:textId="36D68EA0" w:rsidR="00CC4E3D" w:rsidRPr="000769DB" w:rsidRDefault="00CC4E3D"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35" w:type="dxa"/>
            <w:vAlign w:val="center"/>
            <w:hideMark/>
          </w:tcPr>
          <w:p w14:paraId="1EF617E2" w14:textId="77777777" w:rsidR="00CC4E3D" w:rsidRPr="000769DB" w:rsidRDefault="00CC4E3D"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&lt;.0001</w:t>
            </w:r>
          </w:p>
        </w:tc>
      </w:tr>
      <w:tr w:rsidR="007B46C9" w:rsidRPr="000769DB" w14:paraId="70FB7E7B" w14:textId="77777777" w:rsidTr="00DF15E5">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shd w:val="clear" w:color="auto" w:fill="F2F2F2" w:themeFill="background2"/>
            <w:vAlign w:val="center"/>
            <w:hideMark/>
          </w:tcPr>
          <w:p w14:paraId="10C02226" w14:textId="77777777" w:rsidR="007B46C9" w:rsidRPr="000769DB" w:rsidRDefault="007B46C9" w:rsidP="007B46C9">
            <w:pPr>
              <w:ind w:left="720"/>
              <w:rPr>
                <w:sz w:val="20"/>
                <w:szCs w:val="20"/>
              </w:rPr>
            </w:pPr>
            <w:r w:rsidRPr="000769DB">
              <w:rPr>
                <w:sz w:val="20"/>
                <w:szCs w:val="20"/>
              </w:rPr>
              <w:t>15</w:t>
            </w:r>
          </w:p>
        </w:tc>
        <w:tc>
          <w:tcPr>
            <w:tcW w:w="1244" w:type="dxa"/>
            <w:shd w:val="clear" w:color="auto" w:fill="F2F2F2" w:themeFill="background2"/>
            <w:vAlign w:val="center"/>
          </w:tcPr>
          <w:p w14:paraId="35EACEA4" w14:textId="1205E1A5"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5" w:type="dxa"/>
            <w:shd w:val="clear" w:color="auto" w:fill="F2F2F2" w:themeFill="background2"/>
          </w:tcPr>
          <w:p w14:paraId="0C064452" w14:textId="645E885E"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shd w:val="clear" w:color="auto" w:fill="F2F2F2" w:themeFill="background2"/>
          </w:tcPr>
          <w:p w14:paraId="6777AFFD" w14:textId="05698753"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7" w:type="dxa"/>
            <w:shd w:val="clear" w:color="auto" w:fill="F2F2F2" w:themeFill="background2"/>
            <w:vAlign w:val="center"/>
            <w:hideMark/>
          </w:tcPr>
          <w:p w14:paraId="75A77192"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2.0299</w:t>
            </w:r>
          </w:p>
        </w:tc>
        <w:tc>
          <w:tcPr>
            <w:tcW w:w="1335" w:type="dxa"/>
            <w:shd w:val="clear" w:color="auto" w:fill="F2F2F2" w:themeFill="background2"/>
          </w:tcPr>
          <w:p w14:paraId="33BCE720" w14:textId="11CA9379"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r>
      <w:tr w:rsidR="007B46C9" w:rsidRPr="000769DB" w14:paraId="46AF5002" w14:textId="77777777" w:rsidTr="00DF15E5">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vAlign w:val="center"/>
            <w:hideMark/>
          </w:tcPr>
          <w:p w14:paraId="7B3015F0" w14:textId="77777777" w:rsidR="007B46C9" w:rsidRPr="000769DB" w:rsidRDefault="007B46C9" w:rsidP="007B46C9">
            <w:pPr>
              <w:ind w:left="720"/>
              <w:rPr>
                <w:sz w:val="20"/>
                <w:szCs w:val="20"/>
              </w:rPr>
            </w:pPr>
            <w:r w:rsidRPr="000769DB">
              <w:rPr>
                <w:sz w:val="20"/>
                <w:szCs w:val="20"/>
              </w:rPr>
              <w:t>16</w:t>
            </w:r>
          </w:p>
        </w:tc>
        <w:tc>
          <w:tcPr>
            <w:tcW w:w="1244" w:type="dxa"/>
          </w:tcPr>
          <w:p w14:paraId="7EC68FB2" w14:textId="3B5E0D30"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5" w:type="dxa"/>
          </w:tcPr>
          <w:p w14:paraId="22839514" w14:textId="2A222D16"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tcPr>
          <w:p w14:paraId="2CFAEC05" w14:textId="3890C34F"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7" w:type="dxa"/>
            <w:vAlign w:val="center"/>
            <w:hideMark/>
          </w:tcPr>
          <w:p w14:paraId="313D47CC"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3.4960</w:t>
            </w:r>
          </w:p>
        </w:tc>
        <w:tc>
          <w:tcPr>
            <w:tcW w:w="1335" w:type="dxa"/>
          </w:tcPr>
          <w:p w14:paraId="16F817A2" w14:textId="65047D5A"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r>
      <w:tr w:rsidR="007B46C9" w:rsidRPr="000769DB" w14:paraId="119A73F6" w14:textId="77777777" w:rsidTr="00DF15E5">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shd w:val="clear" w:color="auto" w:fill="F2F2F2" w:themeFill="background2"/>
            <w:vAlign w:val="center"/>
            <w:hideMark/>
          </w:tcPr>
          <w:p w14:paraId="4E9D325E" w14:textId="77777777" w:rsidR="007B46C9" w:rsidRPr="000769DB" w:rsidRDefault="007B46C9" w:rsidP="007B46C9">
            <w:pPr>
              <w:ind w:left="720"/>
              <w:rPr>
                <w:sz w:val="20"/>
                <w:szCs w:val="20"/>
              </w:rPr>
            </w:pPr>
            <w:r w:rsidRPr="000769DB">
              <w:rPr>
                <w:sz w:val="20"/>
                <w:szCs w:val="20"/>
              </w:rPr>
              <w:t>17</w:t>
            </w:r>
          </w:p>
        </w:tc>
        <w:tc>
          <w:tcPr>
            <w:tcW w:w="1244" w:type="dxa"/>
            <w:shd w:val="clear" w:color="auto" w:fill="F2F2F2" w:themeFill="background2"/>
          </w:tcPr>
          <w:p w14:paraId="7FA23196" w14:textId="44F74662"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5" w:type="dxa"/>
            <w:shd w:val="clear" w:color="auto" w:fill="F2F2F2" w:themeFill="background2"/>
          </w:tcPr>
          <w:p w14:paraId="0C5547D9" w14:textId="79C6F60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shd w:val="clear" w:color="auto" w:fill="F2F2F2" w:themeFill="background2"/>
          </w:tcPr>
          <w:p w14:paraId="3EB20927" w14:textId="116221CF"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7" w:type="dxa"/>
            <w:shd w:val="clear" w:color="auto" w:fill="F2F2F2" w:themeFill="background2"/>
            <w:vAlign w:val="center"/>
            <w:hideMark/>
          </w:tcPr>
          <w:p w14:paraId="4F15F548"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2.6149</w:t>
            </w:r>
          </w:p>
        </w:tc>
        <w:tc>
          <w:tcPr>
            <w:tcW w:w="1335" w:type="dxa"/>
            <w:shd w:val="clear" w:color="auto" w:fill="F2F2F2" w:themeFill="background2"/>
          </w:tcPr>
          <w:p w14:paraId="186FBC60" w14:textId="2D76EE65"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r>
      <w:tr w:rsidR="007B46C9" w:rsidRPr="000769DB" w14:paraId="0D903FF0" w14:textId="77777777" w:rsidTr="00DF15E5">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vAlign w:val="center"/>
            <w:hideMark/>
          </w:tcPr>
          <w:p w14:paraId="6D5F69F9" w14:textId="77777777" w:rsidR="007B46C9" w:rsidRPr="000769DB" w:rsidRDefault="007B46C9" w:rsidP="007B46C9">
            <w:pPr>
              <w:ind w:left="720"/>
              <w:rPr>
                <w:sz w:val="20"/>
                <w:szCs w:val="20"/>
              </w:rPr>
            </w:pPr>
            <w:r w:rsidRPr="000769DB">
              <w:rPr>
                <w:sz w:val="20"/>
                <w:szCs w:val="20"/>
              </w:rPr>
              <w:t>18</w:t>
            </w:r>
          </w:p>
        </w:tc>
        <w:tc>
          <w:tcPr>
            <w:tcW w:w="1244" w:type="dxa"/>
          </w:tcPr>
          <w:p w14:paraId="00716BD9" w14:textId="2A04C889"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5" w:type="dxa"/>
          </w:tcPr>
          <w:p w14:paraId="1A431703" w14:textId="22CC7421"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tcPr>
          <w:p w14:paraId="1AD683E4" w14:textId="61EE0C58"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7" w:type="dxa"/>
            <w:vAlign w:val="center"/>
            <w:hideMark/>
          </w:tcPr>
          <w:p w14:paraId="328E90D7"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-0.0386</w:t>
            </w:r>
          </w:p>
        </w:tc>
        <w:tc>
          <w:tcPr>
            <w:tcW w:w="1335" w:type="dxa"/>
          </w:tcPr>
          <w:p w14:paraId="2257637C" w14:textId="6C329466"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r>
      <w:tr w:rsidR="007B46C9" w:rsidRPr="000769DB" w14:paraId="1A273788" w14:textId="77777777" w:rsidTr="00DF15E5">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shd w:val="clear" w:color="auto" w:fill="F2F2F2" w:themeFill="background2"/>
            <w:vAlign w:val="center"/>
            <w:hideMark/>
          </w:tcPr>
          <w:p w14:paraId="71F198A3" w14:textId="77777777" w:rsidR="007B46C9" w:rsidRPr="000769DB" w:rsidRDefault="007B46C9" w:rsidP="007B46C9">
            <w:pPr>
              <w:ind w:left="720"/>
              <w:rPr>
                <w:sz w:val="20"/>
                <w:szCs w:val="20"/>
              </w:rPr>
            </w:pPr>
            <w:r w:rsidRPr="000769DB">
              <w:rPr>
                <w:sz w:val="20"/>
                <w:szCs w:val="20"/>
              </w:rPr>
              <w:t>19</w:t>
            </w:r>
          </w:p>
        </w:tc>
        <w:tc>
          <w:tcPr>
            <w:tcW w:w="1244" w:type="dxa"/>
            <w:shd w:val="clear" w:color="auto" w:fill="F2F2F2" w:themeFill="background2"/>
          </w:tcPr>
          <w:p w14:paraId="5C79A17B" w14:textId="59C6A16B"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5" w:type="dxa"/>
            <w:shd w:val="clear" w:color="auto" w:fill="F2F2F2" w:themeFill="background2"/>
          </w:tcPr>
          <w:p w14:paraId="4134E272" w14:textId="00A1882C"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shd w:val="clear" w:color="auto" w:fill="F2F2F2" w:themeFill="background2"/>
          </w:tcPr>
          <w:p w14:paraId="24E0056F" w14:textId="03BB675C"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7" w:type="dxa"/>
            <w:shd w:val="clear" w:color="auto" w:fill="F2F2F2" w:themeFill="background2"/>
            <w:vAlign w:val="center"/>
            <w:hideMark/>
          </w:tcPr>
          <w:p w14:paraId="413D3AE2"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-1.8859</w:t>
            </w:r>
          </w:p>
        </w:tc>
        <w:tc>
          <w:tcPr>
            <w:tcW w:w="1335" w:type="dxa"/>
            <w:shd w:val="clear" w:color="auto" w:fill="F2F2F2" w:themeFill="background2"/>
          </w:tcPr>
          <w:p w14:paraId="6508B57C" w14:textId="02BEA73E"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r>
      <w:tr w:rsidR="007B46C9" w:rsidRPr="000769DB" w14:paraId="524DE58D" w14:textId="77777777" w:rsidTr="00DF15E5">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vAlign w:val="center"/>
            <w:hideMark/>
          </w:tcPr>
          <w:p w14:paraId="6D8A1BF1" w14:textId="77777777" w:rsidR="007B46C9" w:rsidRPr="000769DB" w:rsidRDefault="007B46C9" w:rsidP="007B46C9">
            <w:pPr>
              <w:ind w:left="720"/>
              <w:rPr>
                <w:sz w:val="20"/>
                <w:szCs w:val="20"/>
              </w:rPr>
            </w:pPr>
            <w:r w:rsidRPr="000769DB">
              <w:rPr>
                <w:sz w:val="20"/>
                <w:szCs w:val="20"/>
              </w:rPr>
              <w:t>20</w:t>
            </w:r>
          </w:p>
        </w:tc>
        <w:tc>
          <w:tcPr>
            <w:tcW w:w="1244" w:type="dxa"/>
          </w:tcPr>
          <w:p w14:paraId="665EEDF3" w14:textId="3675654A"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5" w:type="dxa"/>
          </w:tcPr>
          <w:p w14:paraId="62DB77CA" w14:textId="47A599FC"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tcPr>
          <w:p w14:paraId="188F6B88" w14:textId="29EF0FD4"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7" w:type="dxa"/>
            <w:vAlign w:val="center"/>
            <w:hideMark/>
          </w:tcPr>
          <w:p w14:paraId="511D1081"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-1.2414</w:t>
            </w:r>
          </w:p>
        </w:tc>
        <w:tc>
          <w:tcPr>
            <w:tcW w:w="1335" w:type="dxa"/>
          </w:tcPr>
          <w:p w14:paraId="630F055E" w14:textId="32A5F260"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r>
      <w:tr w:rsidR="007B46C9" w:rsidRPr="000769DB" w14:paraId="671022A4" w14:textId="77777777" w:rsidTr="00DF15E5">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shd w:val="clear" w:color="auto" w:fill="F2F2F2" w:themeFill="background2"/>
            <w:vAlign w:val="center"/>
            <w:hideMark/>
          </w:tcPr>
          <w:p w14:paraId="116C3C79" w14:textId="77777777" w:rsidR="007B46C9" w:rsidRPr="000769DB" w:rsidRDefault="007B46C9" w:rsidP="007B46C9">
            <w:pPr>
              <w:ind w:left="720"/>
              <w:rPr>
                <w:sz w:val="20"/>
                <w:szCs w:val="20"/>
              </w:rPr>
            </w:pPr>
            <w:r w:rsidRPr="000769DB">
              <w:rPr>
                <w:sz w:val="20"/>
                <w:szCs w:val="20"/>
              </w:rPr>
              <w:t>21</w:t>
            </w:r>
          </w:p>
        </w:tc>
        <w:tc>
          <w:tcPr>
            <w:tcW w:w="1244" w:type="dxa"/>
            <w:shd w:val="clear" w:color="auto" w:fill="F2F2F2" w:themeFill="background2"/>
          </w:tcPr>
          <w:p w14:paraId="0058B72B" w14:textId="5129F759"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5" w:type="dxa"/>
            <w:shd w:val="clear" w:color="auto" w:fill="F2F2F2" w:themeFill="background2"/>
          </w:tcPr>
          <w:p w14:paraId="66778B7D" w14:textId="54415173"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shd w:val="clear" w:color="auto" w:fill="F2F2F2" w:themeFill="background2"/>
          </w:tcPr>
          <w:p w14:paraId="132F3453" w14:textId="3CF4E5AC"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7" w:type="dxa"/>
            <w:shd w:val="clear" w:color="auto" w:fill="F2F2F2" w:themeFill="background2"/>
            <w:vAlign w:val="center"/>
            <w:hideMark/>
          </w:tcPr>
          <w:p w14:paraId="14F703F6"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-2.5136</w:t>
            </w:r>
          </w:p>
        </w:tc>
        <w:tc>
          <w:tcPr>
            <w:tcW w:w="1335" w:type="dxa"/>
            <w:shd w:val="clear" w:color="auto" w:fill="F2F2F2" w:themeFill="background2"/>
          </w:tcPr>
          <w:p w14:paraId="635FA37F" w14:textId="3782371A"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r>
      <w:tr w:rsidR="007B46C9" w:rsidRPr="000769DB" w14:paraId="2D1F31BC" w14:textId="77777777" w:rsidTr="00DF15E5">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vAlign w:val="center"/>
            <w:hideMark/>
          </w:tcPr>
          <w:p w14:paraId="710DCFCE" w14:textId="77777777" w:rsidR="007B46C9" w:rsidRPr="000769DB" w:rsidRDefault="007B46C9" w:rsidP="007B46C9">
            <w:pPr>
              <w:ind w:left="720"/>
              <w:rPr>
                <w:sz w:val="20"/>
                <w:szCs w:val="20"/>
              </w:rPr>
            </w:pPr>
            <w:r w:rsidRPr="000769DB">
              <w:rPr>
                <w:sz w:val="20"/>
                <w:szCs w:val="20"/>
              </w:rPr>
              <w:t>22</w:t>
            </w:r>
          </w:p>
        </w:tc>
        <w:tc>
          <w:tcPr>
            <w:tcW w:w="1244" w:type="dxa"/>
          </w:tcPr>
          <w:p w14:paraId="39EA170F" w14:textId="2C961D3F"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5" w:type="dxa"/>
          </w:tcPr>
          <w:p w14:paraId="648372CA" w14:textId="36AEF8D5"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tcPr>
          <w:p w14:paraId="21D78F25" w14:textId="4465BB23"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7" w:type="dxa"/>
            <w:vAlign w:val="center"/>
            <w:hideMark/>
          </w:tcPr>
          <w:p w14:paraId="659B3729"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-1.4671</w:t>
            </w:r>
          </w:p>
        </w:tc>
        <w:tc>
          <w:tcPr>
            <w:tcW w:w="1335" w:type="dxa"/>
          </w:tcPr>
          <w:p w14:paraId="0EA00CFE" w14:textId="72DAB3C6"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r>
      <w:tr w:rsidR="007B46C9" w:rsidRPr="000769DB" w14:paraId="26FC25B4" w14:textId="77777777" w:rsidTr="00DF15E5">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shd w:val="clear" w:color="auto" w:fill="F2F2F2" w:themeFill="background2"/>
            <w:vAlign w:val="center"/>
            <w:hideMark/>
          </w:tcPr>
          <w:p w14:paraId="20C3BB63" w14:textId="77777777" w:rsidR="007B46C9" w:rsidRPr="000769DB" w:rsidRDefault="007B46C9" w:rsidP="007B46C9">
            <w:pPr>
              <w:rPr>
                <w:sz w:val="20"/>
                <w:szCs w:val="20"/>
              </w:rPr>
            </w:pPr>
            <w:r w:rsidRPr="000769DB">
              <w:rPr>
                <w:sz w:val="20"/>
                <w:szCs w:val="20"/>
              </w:rPr>
              <w:t>Income support history</w:t>
            </w:r>
          </w:p>
        </w:tc>
        <w:tc>
          <w:tcPr>
            <w:tcW w:w="1244" w:type="dxa"/>
            <w:shd w:val="clear" w:color="auto" w:fill="F2F2F2" w:themeFill="background2"/>
            <w:vAlign w:val="center"/>
            <w:hideMark/>
          </w:tcPr>
          <w:p w14:paraId="0FF88063"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0.0304</w:t>
            </w:r>
          </w:p>
        </w:tc>
        <w:tc>
          <w:tcPr>
            <w:tcW w:w="1185" w:type="dxa"/>
            <w:shd w:val="clear" w:color="auto" w:fill="F2F2F2" w:themeFill="background2"/>
          </w:tcPr>
          <w:p w14:paraId="4B620B04" w14:textId="7F45B91D"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shd w:val="clear" w:color="auto" w:fill="F2F2F2" w:themeFill="background2"/>
            <w:vAlign w:val="center"/>
            <w:hideMark/>
          </w:tcPr>
          <w:p w14:paraId="0B4D6303"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w:t>
            </w:r>
          </w:p>
        </w:tc>
        <w:tc>
          <w:tcPr>
            <w:tcW w:w="1187" w:type="dxa"/>
            <w:shd w:val="clear" w:color="auto" w:fill="F2F2F2" w:themeFill="background2"/>
            <w:vAlign w:val="center"/>
          </w:tcPr>
          <w:p w14:paraId="32DC134D" w14:textId="0CA8D61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35" w:type="dxa"/>
            <w:shd w:val="clear" w:color="auto" w:fill="F2F2F2" w:themeFill="background2"/>
            <w:vAlign w:val="center"/>
            <w:hideMark/>
          </w:tcPr>
          <w:p w14:paraId="3FDD4711"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&lt;.0001</w:t>
            </w:r>
          </w:p>
        </w:tc>
      </w:tr>
      <w:tr w:rsidR="007B46C9" w:rsidRPr="000769DB" w14:paraId="3F816F59" w14:textId="77777777" w:rsidTr="00DF15E5">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vAlign w:val="center"/>
            <w:hideMark/>
          </w:tcPr>
          <w:p w14:paraId="323F2BA8" w14:textId="77777777" w:rsidR="007B46C9" w:rsidRPr="000769DB" w:rsidRDefault="007B46C9" w:rsidP="007B46C9">
            <w:pPr>
              <w:ind w:left="720"/>
              <w:rPr>
                <w:sz w:val="20"/>
                <w:szCs w:val="20"/>
              </w:rPr>
            </w:pPr>
            <w:r w:rsidRPr="000769DB">
              <w:rPr>
                <w:sz w:val="20"/>
                <w:szCs w:val="20"/>
              </w:rPr>
              <w:t>Income support history</w:t>
            </w:r>
          </w:p>
        </w:tc>
        <w:tc>
          <w:tcPr>
            <w:tcW w:w="1244" w:type="dxa"/>
          </w:tcPr>
          <w:p w14:paraId="3C7A8786" w14:textId="70DF4895"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5" w:type="dxa"/>
          </w:tcPr>
          <w:p w14:paraId="43AE0210" w14:textId="610A66CD"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tcPr>
          <w:p w14:paraId="0591E640" w14:textId="69F70FE5"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7" w:type="dxa"/>
            <w:vAlign w:val="center"/>
            <w:hideMark/>
          </w:tcPr>
          <w:p w14:paraId="493ACED6"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-4.8968</w:t>
            </w:r>
          </w:p>
        </w:tc>
        <w:tc>
          <w:tcPr>
            <w:tcW w:w="1335" w:type="dxa"/>
          </w:tcPr>
          <w:p w14:paraId="701DBA50" w14:textId="4B1E0B56"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r>
      <w:tr w:rsidR="007B46C9" w:rsidRPr="000769DB" w14:paraId="27386145" w14:textId="77777777" w:rsidTr="00DF15E5">
        <w:trPr>
          <w:trHeight w:hRule="exact" w:val="624"/>
        </w:trPr>
        <w:tc>
          <w:tcPr>
            <w:cnfStyle w:val="001000000000" w:firstRow="0" w:lastRow="0" w:firstColumn="1" w:lastColumn="0" w:oddVBand="0" w:evenVBand="0" w:oddHBand="0" w:evenHBand="0" w:firstRowFirstColumn="0" w:firstRowLastColumn="0" w:lastRowFirstColumn="0" w:lastRowLastColumn="0"/>
            <w:tcW w:w="3097" w:type="dxa"/>
            <w:shd w:val="clear" w:color="auto" w:fill="F2F2F2" w:themeFill="background2"/>
            <w:vAlign w:val="center"/>
            <w:hideMark/>
          </w:tcPr>
          <w:p w14:paraId="63996C8A" w14:textId="77777777" w:rsidR="007B46C9" w:rsidRPr="000769DB" w:rsidRDefault="007B46C9" w:rsidP="007B46C9">
            <w:pPr>
              <w:ind w:left="720"/>
              <w:rPr>
                <w:sz w:val="20"/>
                <w:szCs w:val="20"/>
              </w:rPr>
            </w:pPr>
            <w:r w:rsidRPr="000769DB">
              <w:rPr>
                <w:sz w:val="20"/>
                <w:szCs w:val="20"/>
              </w:rPr>
              <w:t>No income support history</w:t>
            </w:r>
          </w:p>
        </w:tc>
        <w:tc>
          <w:tcPr>
            <w:tcW w:w="1244" w:type="dxa"/>
            <w:shd w:val="clear" w:color="auto" w:fill="F2F2F2" w:themeFill="background2"/>
          </w:tcPr>
          <w:p w14:paraId="0FE5E7B7" w14:textId="25D0C4E9"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5" w:type="dxa"/>
            <w:shd w:val="clear" w:color="auto" w:fill="F2F2F2" w:themeFill="background2"/>
          </w:tcPr>
          <w:p w14:paraId="01F71B72" w14:textId="1EB6EFAA"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shd w:val="clear" w:color="auto" w:fill="F2F2F2" w:themeFill="background2"/>
          </w:tcPr>
          <w:p w14:paraId="7FE48E38" w14:textId="200FEB76"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7" w:type="dxa"/>
            <w:shd w:val="clear" w:color="auto" w:fill="F2F2F2" w:themeFill="background2"/>
            <w:vAlign w:val="center"/>
            <w:hideMark/>
          </w:tcPr>
          <w:p w14:paraId="7E31082F"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4.8968</w:t>
            </w:r>
          </w:p>
        </w:tc>
        <w:tc>
          <w:tcPr>
            <w:tcW w:w="1335" w:type="dxa"/>
            <w:shd w:val="clear" w:color="auto" w:fill="F2F2F2" w:themeFill="background2"/>
          </w:tcPr>
          <w:p w14:paraId="3A13DDFF" w14:textId="3D79B2EE"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r>
      <w:tr w:rsidR="00CC4E3D" w:rsidRPr="000769DB" w14:paraId="28D0D44F" w14:textId="77777777" w:rsidTr="005A1B8D">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vAlign w:val="center"/>
            <w:hideMark/>
          </w:tcPr>
          <w:p w14:paraId="38F8618B" w14:textId="77777777" w:rsidR="00CC4E3D" w:rsidRPr="000769DB" w:rsidRDefault="00CC4E3D" w:rsidP="00EF36B1">
            <w:pPr>
              <w:rPr>
                <w:sz w:val="20"/>
                <w:szCs w:val="20"/>
              </w:rPr>
            </w:pPr>
            <w:r w:rsidRPr="000769DB">
              <w:rPr>
                <w:sz w:val="20"/>
                <w:szCs w:val="20"/>
              </w:rPr>
              <w:t>Indigenous status</w:t>
            </w:r>
          </w:p>
        </w:tc>
        <w:tc>
          <w:tcPr>
            <w:tcW w:w="1244" w:type="dxa"/>
            <w:vAlign w:val="center"/>
            <w:hideMark/>
          </w:tcPr>
          <w:p w14:paraId="2BC2E44B" w14:textId="77777777" w:rsidR="00CC4E3D" w:rsidRPr="000769DB" w:rsidRDefault="00CC4E3D"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0.0148</w:t>
            </w:r>
          </w:p>
        </w:tc>
        <w:tc>
          <w:tcPr>
            <w:tcW w:w="1185" w:type="dxa"/>
            <w:vAlign w:val="center"/>
            <w:hideMark/>
          </w:tcPr>
          <w:p w14:paraId="6EBCE011" w14:textId="77777777" w:rsidR="00CC4E3D" w:rsidRPr="000769DB" w:rsidRDefault="00CC4E3D"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5.6934</w:t>
            </w:r>
          </w:p>
        </w:tc>
        <w:tc>
          <w:tcPr>
            <w:tcW w:w="1194" w:type="dxa"/>
            <w:vAlign w:val="center"/>
            <w:hideMark/>
          </w:tcPr>
          <w:p w14:paraId="5EECEFAC" w14:textId="77777777" w:rsidR="00CC4E3D" w:rsidRPr="000769DB" w:rsidRDefault="00CC4E3D"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w:t>
            </w:r>
          </w:p>
        </w:tc>
        <w:tc>
          <w:tcPr>
            <w:tcW w:w="1187" w:type="dxa"/>
            <w:vAlign w:val="center"/>
          </w:tcPr>
          <w:p w14:paraId="42B3914B" w14:textId="186FA6DB" w:rsidR="00CC4E3D" w:rsidRPr="000769DB" w:rsidRDefault="007B46C9"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335" w:type="dxa"/>
            <w:vAlign w:val="center"/>
            <w:hideMark/>
          </w:tcPr>
          <w:p w14:paraId="7DD9D517" w14:textId="77777777" w:rsidR="00CC4E3D" w:rsidRPr="000769DB" w:rsidRDefault="00CC4E3D"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0.0580</w:t>
            </w:r>
          </w:p>
        </w:tc>
      </w:tr>
      <w:tr w:rsidR="007B46C9" w:rsidRPr="000769DB" w14:paraId="3FD87ACD" w14:textId="77777777" w:rsidTr="00DF15E5">
        <w:trPr>
          <w:trHeight w:hRule="exact" w:val="624"/>
        </w:trPr>
        <w:tc>
          <w:tcPr>
            <w:cnfStyle w:val="001000000000" w:firstRow="0" w:lastRow="0" w:firstColumn="1" w:lastColumn="0" w:oddVBand="0" w:evenVBand="0" w:oddHBand="0" w:evenHBand="0" w:firstRowFirstColumn="0" w:firstRowLastColumn="0" w:lastRowFirstColumn="0" w:lastRowLastColumn="0"/>
            <w:tcW w:w="3097" w:type="dxa"/>
            <w:shd w:val="clear" w:color="auto" w:fill="F2F2F2" w:themeFill="background2"/>
            <w:vAlign w:val="center"/>
            <w:hideMark/>
          </w:tcPr>
          <w:p w14:paraId="6E6DA566" w14:textId="77777777" w:rsidR="007B46C9" w:rsidRPr="000769DB" w:rsidRDefault="007B46C9" w:rsidP="007B46C9">
            <w:pPr>
              <w:ind w:left="720"/>
              <w:rPr>
                <w:sz w:val="20"/>
                <w:szCs w:val="20"/>
              </w:rPr>
            </w:pPr>
            <w:r w:rsidRPr="000769DB">
              <w:rPr>
                <w:sz w:val="20"/>
                <w:szCs w:val="20"/>
              </w:rPr>
              <w:t>Does not identify as Indigenous</w:t>
            </w:r>
          </w:p>
        </w:tc>
        <w:tc>
          <w:tcPr>
            <w:tcW w:w="1244" w:type="dxa"/>
            <w:shd w:val="clear" w:color="auto" w:fill="F2F2F2" w:themeFill="background2"/>
          </w:tcPr>
          <w:p w14:paraId="7F6F3DED" w14:textId="3707F55A"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5" w:type="dxa"/>
            <w:shd w:val="clear" w:color="auto" w:fill="F2F2F2" w:themeFill="background2"/>
          </w:tcPr>
          <w:p w14:paraId="69A7A14F" w14:textId="3CFCFFE3"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shd w:val="clear" w:color="auto" w:fill="F2F2F2" w:themeFill="background2"/>
          </w:tcPr>
          <w:p w14:paraId="5EE44969" w14:textId="5D814D6B"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7" w:type="dxa"/>
            <w:shd w:val="clear" w:color="auto" w:fill="F2F2F2" w:themeFill="background2"/>
            <w:vAlign w:val="center"/>
            <w:hideMark/>
          </w:tcPr>
          <w:p w14:paraId="76E128B1"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1.0894</w:t>
            </w:r>
          </w:p>
        </w:tc>
        <w:tc>
          <w:tcPr>
            <w:tcW w:w="1335" w:type="dxa"/>
            <w:shd w:val="clear" w:color="auto" w:fill="F2F2F2" w:themeFill="background2"/>
          </w:tcPr>
          <w:p w14:paraId="36E30F8E" w14:textId="13BE4DB4"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r>
      <w:tr w:rsidR="007B46C9" w:rsidRPr="000769DB" w14:paraId="57B1D104" w14:textId="77777777" w:rsidTr="00DF15E5">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vAlign w:val="center"/>
            <w:hideMark/>
          </w:tcPr>
          <w:p w14:paraId="6EEBD77F" w14:textId="77777777" w:rsidR="007B46C9" w:rsidRPr="000769DB" w:rsidRDefault="007B46C9" w:rsidP="007B46C9">
            <w:pPr>
              <w:ind w:left="720"/>
              <w:rPr>
                <w:sz w:val="20"/>
                <w:szCs w:val="20"/>
              </w:rPr>
            </w:pPr>
            <w:r w:rsidRPr="000769DB">
              <w:rPr>
                <w:sz w:val="20"/>
                <w:szCs w:val="20"/>
              </w:rPr>
              <w:t>Declined to answer</w:t>
            </w:r>
          </w:p>
        </w:tc>
        <w:tc>
          <w:tcPr>
            <w:tcW w:w="1244" w:type="dxa"/>
          </w:tcPr>
          <w:p w14:paraId="68B718D9" w14:textId="4F3D7D7E"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5" w:type="dxa"/>
          </w:tcPr>
          <w:p w14:paraId="53412475" w14:textId="09FAB85A"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tcPr>
          <w:p w14:paraId="05207E5D" w14:textId="0C6F686C"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7" w:type="dxa"/>
            <w:vAlign w:val="center"/>
            <w:hideMark/>
          </w:tcPr>
          <w:p w14:paraId="4A9C71CD"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-2.3734</w:t>
            </w:r>
          </w:p>
        </w:tc>
        <w:tc>
          <w:tcPr>
            <w:tcW w:w="1335" w:type="dxa"/>
          </w:tcPr>
          <w:p w14:paraId="6EC6B244" w14:textId="58DD6083"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r>
      <w:tr w:rsidR="007B46C9" w:rsidRPr="000769DB" w14:paraId="5460A0F2" w14:textId="77777777" w:rsidTr="00DF15E5">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shd w:val="clear" w:color="auto" w:fill="F2F2F2" w:themeFill="background2"/>
            <w:vAlign w:val="center"/>
            <w:hideMark/>
          </w:tcPr>
          <w:p w14:paraId="5BAC5919" w14:textId="77777777" w:rsidR="007B46C9" w:rsidRPr="000769DB" w:rsidRDefault="007B46C9" w:rsidP="007B46C9">
            <w:pPr>
              <w:ind w:left="720"/>
              <w:rPr>
                <w:sz w:val="20"/>
                <w:szCs w:val="20"/>
              </w:rPr>
            </w:pPr>
            <w:r w:rsidRPr="000769DB">
              <w:rPr>
                <w:sz w:val="20"/>
                <w:szCs w:val="20"/>
              </w:rPr>
              <w:t>Identifies as Indigenous</w:t>
            </w:r>
          </w:p>
        </w:tc>
        <w:tc>
          <w:tcPr>
            <w:tcW w:w="1244" w:type="dxa"/>
            <w:shd w:val="clear" w:color="auto" w:fill="F2F2F2" w:themeFill="background2"/>
          </w:tcPr>
          <w:p w14:paraId="7DE2FB54" w14:textId="2129769D"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5" w:type="dxa"/>
            <w:shd w:val="clear" w:color="auto" w:fill="F2F2F2" w:themeFill="background2"/>
          </w:tcPr>
          <w:p w14:paraId="07D0D143" w14:textId="09E7105E"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shd w:val="clear" w:color="auto" w:fill="F2F2F2" w:themeFill="background2"/>
          </w:tcPr>
          <w:p w14:paraId="70F8A1AC" w14:textId="38E63856"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7" w:type="dxa"/>
            <w:shd w:val="clear" w:color="auto" w:fill="F2F2F2" w:themeFill="background2"/>
            <w:vAlign w:val="center"/>
            <w:hideMark/>
          </w:tcPr>
          <w:p w14:paraId="0D5F3561"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-0.0278</w:t>
            </w:r>
          </w:p>
        </w:tc>
        <w:tc>
          <w:tcPr>
            <w:tcW w:w="1335" w:type="dxa"/>
            <w:shd w:val="clear" w:color="auto" w:fill="F2F2F2" w:themeFill="background2"/>
          </w:tcPr>
          <w:p w14:paraId="188F8150" w14:textId="2EEB4249"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r>
      <w:tr w:rsidR="00CC4E3D" w:rsidRPr="000769DB" w14:paraId="616832AE" w14:textId="77777777" w:rsidTr="005A1B8D">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vAlign w:val="center"/>
            <w:hideMark/>
          </w:tcPr>
          <w:p w14:paraId="1A0B3750" w14:textId="77777777" w:rsidR="00CC4E3D" w:rsidRPr="000769DB" w:rsidRDefault="00CC4E3D" w:rsidP="00EF36B1">
            <w:pPr>
              <w:rPr>
                <w:sz w:val="20"/>
                <w:szCs w:val="20"/>
              </w:rPr>
            </w:pPr>
            <w:r w:rsidRPr="000769DB">
              <w:rPr>
                <w:sz w:val="20"/>
                <w:szCs w:val="20"/>
              </w:rPr>
              <w:t>Transport</w:t>
            </w:r>
          </w:p>
        </w:tc>
        <w:tc>
          <w:tcPr>
            <w:tcW w:w="1244" w:type="dxa"/>
            <w:vAlign w:val="center"/>
            <w:hideMark/>
          </w:tcPr>
          <w:p w14:paraId="3B55B1E8" w14:textId="77777777" w:rsidR="00CC4E3D" w:rsidRPr="000769DB" w:rsidRDefault="00CC4E3D"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0.0373</w:t>
            </w:r>
          </w:p>
        </w:tc>
        <w:tc>
          <w:tcPr>
            <w:tcW w:w="1185" w:type="dxa"/>
            <w:vAlign w:val="center"/>
            <w:hideMark/>
          </w:tcPr>
          <w:p w14:paraId="6196F3CF" w14:textId="77777777" w:rsidR="00CC4E3D" w:rsidRPr="000769DB" w:rsidRDefault="00CC4E3D"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36.2561</w:t>
            </w:r>
          </w:p>
        </w:tc>
        <w:tc>
          <w:tcPr>
            <w:tcW w:w="1194" w:type="dxa"/>
            <w:vAlign w:val="center"/>
            <w:hideMark/>
          </w:tcPr>
          <w:p w14:paraId="771446EE" w14:textId="77777777" w:rsidR="00CC4E3D" w:rsidRPr="000769DB" w:rsidRDefault="00CC4E3D"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w:t>
            </w:r>
          </w:p>
        </w:tc>
        <w:tc>
          <w:tcPr>
            <w:tcW w:w="1187" w:type="dxa"/>
            <w:vAlign w:val="center"/>
          </w:tcPr>
          <w:p w14:paraId="5FF20687" w14:textId="766A0C8E" w:rsidR="00CC4E3D" w:rsidRPr="000769DB" w:rsidRDefault="00CC4E3D"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35" w:type="dxa"/>
            <w:vAlign w:val="center"/>
            <w:hideMark/>
          </w:tcPr>
          <w:p w14:paraId="62F162CD" w14:textId="77777777" w:rsidR="00CC4E3D" w:rsidRPr="000769DB" w:rsidRDefault="00CC4E3D"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&lt;.0001</w:t>
            </w:r>
          </w:p>
        </w:tc>
      </w:tr>
      <w:tr w:rsidR="007B46C9" w:rsidRPr="000769DB" w14:paraId="60343322" w14:textId="77777777" w:rsidTr="00DF15E5">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shd w:val="clear" w:color="auto" w:fill="F2F2F2" w:themeFill="background2"/>
            <w:vAlign w:val="center"/>
            <w:hideMark/>
          </w:tcPr>
          <w:p w14:paraId="756D1FBD" w14:textId="77777777" w:rsidR="007B46C9" w:rsidRPr="000769DB" w:rsidRDefault="007B46C9" w:rsidP="007B46C9">
            <w:pPr>
              <w:ind w:left="720"/>
              <w:rPr>
                <w:sz w:val="20"/>
                <w:szCs w:val="20"/>
              </w:rPr>
            </w:pPr>
            <w:r w:rsidRPr="000769DB">
              <w:rPr>
                <w:sz w:val="20"/>
                <w:szCs w:val="20"/>
              </w:rPr>
              <w:t>Own transport</w:t>
            </w:r>
          </w:p>
        </w:tc>
        <w:tc>
          <w:tcPr>
            <w:tcW w:w="1244" w:type="dxa"/>
            <w:shd w:val="clear" w:color="auto" w:fill="F2F2F2" w:themeFill="background2"/>
          </w:tcPr>
          <w:p w14:paraId="76679064" w14:textId="3FEF464D" w:rsidR="007B46C9" w:rsidRPr="000769DB" w:rsidRDefault="007B46C9" w:rsidP="00DF15E5">
            <w:pP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5" w:type="dxa"/>
            <w:shd w:val="clear" w:color="auto" w:fill="F2F2F2" w:themeFill="background2"/>
          </w:tcPr>
          <w:p w14:paraId="7E1B3A8B" w14:textId="23743F30" w:rsidR="007B46C9" w:rsidRPr="000769DB" w:rsidRDefault="007B46C9" w:rsidP="00DF15E5">
            <w:pP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shd w:val="clear" w:color="auto" w:fill="F2F2F2" w:themeFill="background2"/>
          </w:tcPr>
          <w:p w14:paraId="75A1EE30" w14:textId="114913D1" w:rsidR="007B46C9" w:rsidRPr="000769DB" w:rsidRDefault="007B46C9" w:rsidP="00DF15E5">
            <w:pP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7" w:type="dxa"/>
            <w:shd w:val="clear" w:color="auto" w:fill="F2F2F2" w:themeFill="background2"/>
            <w:vAlign w:val="center"/>
            <w:hideMark/>
          </w:tcPr>
          <w:p w14:paraId="603BA5D7"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-4.1631</w:t>
            </w:r>
          </w:p>
        </w:tc>
        <w:tc>
          <w:tcPr>
            <w:tcW w:w="1335" w:type="dxa"/>
            <w:shd w:val="clear" w:color="auto" w:fill="F2F2F2" w:themeFill="background2"/>
          </w:tcPr>
          <w:p w14:paraId="6B56136D" w14:textId="38249BB9"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r>
      <w:tr w:rsidR="007B46C9" w:rsidRPr="000769DB" w14:paraId="3BBFCA74" w14:textId="77777777" w:rsidTr="00DF15E5">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vAlign w:val="center"/>
            <w:hideMark/>
          </w:tcPr>
          <w:p w14:paraId="4D9A86FA" w14:textId="77777777" w:rsidR="007B46C9" w:rsidRPr="000769DB" w:rsidRDefault="007B46C9" w:rsidP="007B46C9">
            <w:pPr>
              <w:ind w:left="720"/>
              <w:rPr>
                <w:sz w:val="20"/>
                <w:szCs w:val="20"/>
              </w:rPr>
            </w:pPr>
            <w:r w:rsidRPr="000769DB">
              <w:rPr>
                <w:sz w:val="20"/>
                <w:szCs w:val="20"/>
              </w:rPr>
              <w:t>Other private transport</w:t>
            </w:r>
          </w:p>
        </w:tc>
        <w:tc>
          <w:tcPr>
            <w:tcW w:w="1244" w:type="dxa"/>
          </w:tcPr>
          <w:p w14:paraId="3C3906AD" w14:textId="405D25ED" w:rsidR="007B46C9" w:rsidRPr="000769DB" w:rsidRDefault="007B46C9" w:rsidP="00DF15E5">
            <w:pP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5" w:type="dxa"/>
          </w:tcPr>
          <w:p w14:paraId="72C1FD3A" w14:textId="11BEA1F7" w:rsidR="007B46C9" w:rsidRPr="000769DB" w:rsidRDefault="007B46C9" w:rsidP="00DF15E5">
            <w:pP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tcPr>
          <w:p w14:paraId="171C86DE" w14:textId="2B19416C" w:rsidR="007B46C9" w:rsidRPr="000769DB" w:rsidRDefault="007B46C9" w:rsidP="00DF15E5">
            <w:pP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7" w:type="dxa"/>
            <w:vAlign w:val="center"/>
            <w:hideMark/>
          </w:tcPr>
          <w:p w14:paraId="3C6EC299"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-1.0205</w:t>
            </w:r>
          </w:p>
        </w:tc>
        <w:tc>
          <w:tcPr>
            <w:tcW w:w="1335" w:type="dxa"/>
          </w:tcPr>
          <w:p w14:paraId="002C3A28" w14:textId="3DD18370"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r>
      <w:tr w:rsidR="007B46C9" w:rsidRPr="000769DB" w14:paraId="451E24FE" w14:textId="77777777" w:rsidTr="00DF15E5">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shd w:val="clear" w:color="auto" w:fill="F2F2F2" w:themeFill="background2"/>
            <w:vAlign w:val="center"/>
            <w:hideMark/>
          </w:tcPr>
          <w:p w14:paraId="47C68747" w14:textId="77777777" w:rsidR="007B46C9" w:rsidRPr="000769DB" w:rsidRDefault="007B46C9" w:rsidP="007B46C9">
            <w:pPr>
              <w:ind w:left="720"/>
              <w:rPr>
                <w:sz w:val="20"/>
                <w:szCs w:val="20"/>
              </w:rPr>
            </w:pPr>
            <w:r w:rsidRPr="000769DB">
              <w:rPr>
                <w:sz w:val="20"/>
                <w:szCs w:val="20"/>
              </w:rPr>
              <w:t>Public transport</w:t>
            </w:r>
          </w:p>
        </w:tc>
        <w:tc>
          <w:tcPr>
            <w:tcW w:w="1244" w:type="dxa"/>
            <w:shd w:val="clear" w:color="auto" w:fill="F2F2F2" w:themeFill="background2"/>
          </w:tcPr>
          <w:p w14:paraId="26408D6E" w14:textId="4F3917F1" w:rsidR="007B46C9" w:rsidRPr="000769DB" w:rsidRDefault="007B46C9" w:rsidP="00DF15E5">
            <w:pP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5" w:type="dxa"/>
            <w:shd w:val="clear" w:color="auto" w:fill="F2F2F2" w:themeFill="background2"/>
          </w:tcPr>
          <w:p w14:paraId="157E7840" w14:textId="43FBB0E3" w:rsidR="007B46C9" w:rsidRPr="000769DB" w:rsidRDefault="007B46C9" w:rsidP="00DF15E5">
            <w:pP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shd w:val="clear" w:color="auto" w:fill="F2F2F2" w:themeFill="background2"/>
          </w:tcPr>
          <w:p w14:paraId="2FD7E713" w14:textId="721632B4" w:rsidR="007B46C9" w:rsidRPr="000769DB" w:rsidRDefault="007B46C9" w:rsidP="00DF15E5">
            <w:pP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7" w:type="dxa"/>
            <w:shd w:val="clear" w:color="auto" w:fill="F2F2F2" w:themeFill="background2"/>
            <w:vAlign w:val="center"/>
            <w:hideMark/>
          </w:tcPr>
          <w:p w14:paraId="08C883BF"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5.7072</w:t>
            </w:r>
          </w:p>
        </w:tc>
        <w:tc>
          <w:tcPr>
            <w:tcW w:w="1335" w:type="dxa"/>
            <w:shd w:val="clear" w:color="auto" w:fill="F2F2F2" w:themeFill="background2"/>
          </w:tcPr>
          <w:p w14:paraId="0F72E093" w14:textId="29920B9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r>
      <w:tr w:rsidR="007B46C9" w:rsidRPr="000769DB" w14:paraId="61C451AF" w14:textId="77777777" w:rsidTr="00DF15E5">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vAlign w:val="center"/>
            <w:hideMark/>
          </w:tcPr>
          <w:p w14:paraId="307E09F4" w14:textId="77777777" w:rsidR="007B46C9" w:rsidRPr="000769DB" w:rsidRDefault="007B46C9" w:rsidP="007B46C9">
            <w:pPr>
              <w:ind w:left="720"/>
              <w:rPr>
                <w:sz w:val="20"/>
                <w:szCs w:val="20"/>
              </w:rPr>
            </w:pPr>
            <w:r w:rsidRPr="000769DB">
              <w:rPr>
                <w:sz w:val="20"/>
                <w:szCs w:val="20"/>
              </w:rPr>
              <w:t>No transport</w:t>
            </w:r>
          </w:p>
        </w:tc>
        <w:tc>
          <w:tcPr>
            <w:tcW w:w="1244" w:type="dxa"/>
          </w:tcPr>
          <w:p w14:paraId="6E509BC5" w14:textId="6186C629" w:rsidR="007B46C9" w:rsidRPr="000769DB" w:rsidRDefault="007B46C9" w:rsidP="00DF15E5">
            <w:pP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5" w:type="dxa"/>
          </w:tcPr>
          <w:p w14:paraId="2574D55F" w14:textId="10F08C65" w:rsidR="007B46C9" w:rsidRPr="000769DB" w:rsidRDefault="007B46C9" w:rsidP="00DF15E5">
            <w:pP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tcPr>
          <w:p w14:paraId="0E2A5A48" w14:textId="6C81A08F" w:rsidR="007B46C9" w:rsidRPr="000769DB" w:rsidRDefault="007B46C9" w:rsidP="00DF15E5">
            <w:pP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7" w:type="dxa"/>
            <w:vAlign w:val="center"/>
            <w:hideMark/>
          </w:tcPr>
          <w:p w14:paraId="09D63B8D"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-2.8437</w:t>
            </w:r>
          </w:p>
        </w:tc>
        <w:tc>
          <w:tcPr>
            <w:tcW w:w="1335" w:type="dxa"/>
          </w:tcPr>
          <w:p w14:paraId="7AB736F5" w14:textId="57C9802C"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r>
      <w:tr w:rsidR="00CC4E3D" w:rsidRPr="000769DB" w14:paraId="44F8A63D" w14:textId="77777777" w:rsidTr="005A1B8D">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shd w:val="clear" w:color="auto" w:fill="F2F2F2" w:themeFill="background2"/>
            <w:vAlign w:val="center"/>
            <w:hideMark/>
          </w:tcPr>
          <w:p w14:paraId="437E8A01" w14:textId="77777777" w:rsidR="00CC4E3D" w:rsidRPr="000769DB" w:rsidRDefault="00CC4E3D" w:rsidP="00EF36B1">
            <w:pPr>
              <w:rPr>
                <w:sz w:val="20"/>
                <w:szCs w:val="20"/>
              </w:rPr>
            </w:pPr>
            <w:r w:rsidRPr="000769DB">
              <w:rPr>
                <w:sz w:val="20"/>
                <w:szCs w:val="20"/>
              </w:rPr>
              <w:t>English</w:t>
            </w:r>
          </w:p>
        </w:tc>
        <w:tc>
          <w:tcPr>
            <w:tcW w:w="1244" w:type="dxa"/>
            <w:shd w:val="clear" w:color="auto" w:fill="F2F2F2" w:themeFill="background2"/>
            <w:vAlign w:val="center"/>
            <w:hideMark/>
          </w:tcPr>
          <w:p w14:paraId="688123A0" w14:textId="77777777" w:rsidR="00CC4E3D" w:rsidRPr="000769DB" w:rsidRDefault="00CC4E3D"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0.0363</w:t>
            </w:r>
          </w:p>
        </w:tc>
        <w:tc>
          <w:tcPr>
            <w:tcW w:w="1185" w:type="dxa"/>
            <w:shd w:val="clear" w:color="auto" w:fill="F2F2F2" w:themeFill="background2"/>
            <w:vAlign w:val="center"/>
            <w:hideMark/>
          </w:tcPr>
          <w:p w14:paraId="3D40941B" w14:textId="77777777" w:rsidR="00CC4E3D" w:rsidRPr="000769DB" w:rsidRDefault="00CC4E3D"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34.3760</w:t>
            </w:r>
          </w:p>
        </w:tc>
        <w:tc>
          <w:tcPr>
            <w:tcW w:w="1194" w:type="dxa"/>
            <w:shd w:val="clear" w:color="auto" w:fill="F2F2F2" w:themeFill="background2"/>
            <w:vAlign w:val="center"/>
            <w:hideMark/>
          </w:tcPr>
          <w:p w14:paraId="717EA79F" w14:textId="77777777" w:rsidR="00CC4E3D" w:rsidRPr="000769DB" w:rsidRDefault="00CC4E3D"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w:t>
            </w:r>
          </w:p>
        </w:tc>
        <w:tc>
          <w:tcPr>
            <w:tcW w:w="1187" w:type="dxa"/>
            <w:shd w:val="clear" w:color="auto" w:fill="F2F2F2" w:themeFill="background2"/>
            <w:vAlign w:val="center"/>
          </w:tcPr>
          <w:p w14:paraId="22F17A78" w14:textId="6862FF83" w:rsidR="00CC4E3D" w:rsidRPr="000769DB" w:rsidRDefault="00CC4E3D"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35" w:type="dxa"/>
            <w:shd w:val="clear" w:color="auto" w:fill="F2F2F2" w:themeFill="background2"/>
            <w:vAlign w:val="center"/>
            <w:hideMark/>
          </w:tcPr>
          <w:p w14:paraId="24F4233D" w14:textId="77777777" w:rsidR="00CC4E3D" w:rsidRPr="000769DB" w:rsidRDefault="00CC4E3D"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&lt;.0001</w:t>
            </w:r>
          </w:p>
        </w:tc>
      </w:tr>
      <w:tr w:rsidR="007B46C9" w:rsidRPr="000769DB" w14:paraId="7F21F48D" w14:textId="77777777" w:rsidTr="00DF15E5">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vAlign w:val="center"/>
            <w:hideMark/>
          </w:tcPr>
          <w:p w14:paraId="120E4C27" w14:textId="77777777" w:rsidR="007B46C9" w:rsidRPr="000769DB" w:rsidRDefault="007B46C9" w:rsidP="007B46C9">
            <w:pPr>
              <w:ind w:left="720"/>
              <w:rPr>
                <w:sz w:val="20"/>
                <w:szCs w:val="20"/>
              </w:rPr>
            </w:pPr>
            <w:r w:rsidRPr="000769DB">
              <w:rPr>
                <w:sz w:val="20"/>
                <w:szCs w:val="20"/>
              </w:rPr>
              <w:t>Good</w:t>
            </w:r>
          </w:p>
        </w:tc>
        <w:tc>
          <w:tcPr>
            <w:tcW w:w="1244" w:type="dxa"/>
          </w:tcPr>
          <w:p w14:paraId="498C2D6A" w14:textId="06EE43DA"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5" w:type="dxa"/>
          </w:tcPr>
          <w:p w14:paraId="21B70CA8" w14:textId="0B1F84AB"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tcPr>
          <w:p w14:paraId="066D5802" w14:textId="27BF25C9"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7" w:type="dxa"/>
            <w:vAlign w:val="center"/>
            <w:hideMark/>
          </w:tcPr>
          <w:p w14:paraId="2BD60970"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5.6358</w:t>
            </w:r>
          </w:p>
        </w:tc>
        <w:tc>
          <w:tcPr>
            <w:tcW w:w="1335" w:type="dxa"/>
          </w:tcPr>
          <w:p w14:paraId="4D34D6D1" w14:textId="473E82C5"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r>
      <w:tr w:rsidR="007B46C9" w:rsidRPr="000769DB" w14:paraId="551241A1" w14:textId="77777777" w:rsidTr="00DF15E5">
        <w:trPr>
          <w:trHeight w:hRule="exact" w:val="624"/>
        </w:trPr>
        <w:tc>
          <w:tcPr>
            <w:cnfStyle w:val="001000000000" w:firstRow="0" w:lastRow="0" w:firstColumn="1" w:lastColumn="0" w:oddVBand="0" w:evenVBand="0" w:oddHBand="0" w:evenHBand="0" w:firstRowFirstColumn="0" w:firstRowLastColumn="0" w:lastRowFirstColumn="0" w:lastRowLastColumn="0"/>
            <w:tcW w:w="3097" w:type="dxa"/>
            <w:shd w:val="clear" w:color="auto" w:fill="F2F2F2" w:themeFill="background2"/>
            <w:vAlign w:val="center"/>
            <w:hideMark/>
          </w:tcPr>
          <w:p w14:paraId="54AFC340" w14:textId="77777777" w:rsidR="007B46C9" w:rsidRPr="000769DB" w:rsidRDefault="007B46C9" w:rsidP="007B46C9">
            <w:pPr>
              <w:ind w:left="720"/>
              <w:rPr>
                <w:sz w:val="20"/>
                <w:szCs w:val="20"/>
              </w:rPr>
            </w:pPr>
            <w:r w:rsidRPr="000769DB">
              <w:rPr>
                <w:sz w:val="20"/>
                <w:szCs w:val="20"/>
              </w:rPr>
              <w:t>Combination of good and poor</w:t>
            </w:r>
          </w:p>
        </w:tc>
        <w:tc>
          <w:tcPr>
            <w:tcW w:w="1244" w:type="dxa"/>
            <w:shd w:val="clear" w:color="auto" w:fill="F2F2F2" w:themeFill="background2"/>
          </w:tcPr>
          <w:p w14:paraId="75E25C2B" w14:textId="56390D01"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5" w:type="dxa"/>
            <w:shd w:val="clear" w:color="auto" w:fill="F2F2F2" w:themeFill="background2"/>
          </w:tcPr>
          <w:p w14:paraId="07F6C95F" w14:textId="657060AD"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shd w:val="clear" w:color="auto" w:fill="F2F2F2" w:themeFill="background2"/>
          </w:tcPr>
          <w:p w14:paraId="2197FCC8" w14:textId="77EFE642"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7" w:type="dxa"/>
            <w:shd w:val="clear" w:color="auto" w:fill="F2F2F2" w:themeFill="background2"/>
            <w:vAlign w:val="center"/>
            <w:hideMark/>
          </w:tcPr>
          <w:p w14:paraId="5EC95221"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-3.5595</w:t>
            </w:r>
          </w:p>
        </w:tc>
        <w:tc>
          <w:tcPr>
            <w:tcW w:w="1335" w:type="dxa"/>
            <w:shd w:val="clear" w:color="auto" w:fill="F2F2F2" w:themeFill="background2"/>
          </w:tcPr>
          <w:p w14:paraId="6C60B525" w14:textId="3A0464DB"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r>
      <w:tr w:rsidR="007B46C9" w:rsidRPr="000769DB" w14:paraId="1F972D53" w14:textId="77777777" w:rsidTr="00DF15E5">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vAlign w:val="center"/>
            <w:hideMark/>
          </w:tcPr>
          <w:p w14:paraId="386C9AA0" w14:textId="77777777" w:rsidR="007B46C9" w:rsidRPr="000769DB" w:rsidRDefault="007B46C9" w:rsidP="007B46C9">
            <w:pPr>
              <w:ind w:left="720"/>
              <w:rPr>
                <w:sz w:val="20"/>
                <w:szCs w:val="20"/>
              </w:rPr>
            </w:pPr>
            <w:r w:rsidRPr="000769DB">
              <w:rPr>
                <w:sz w:val="20"/>
                <w:szCs w:val="20"/>
              </w:rPr>
              <w:t>Poor</w:t>
            </w:r>
          </w:p>
        </w:tc>
        <w:tc>
          <w:tcPr>
            <w:tcW w:w="1244" w:type="dxa"/>
          </w:tcPr>
          <w:p w14:paraId="3974BD7F" w14:textId="2856297F"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5" w:type="dxa"/>
          </w:tcPr>
          <w:p w14:paraId="4E969504" w14:textId="0EBC6625"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tcPr>
          <w:p w14:paraId="01DF992B" w14:textId="692A85F2"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7" w:type="dxa"/>
            <w:vAlign w:val="center"/>
            <w:hideMark/>
          </w:tcPr>
          <w:p w14:paraId="7A03AA82"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-4.5215</w:t>
            </w:r>
          </w:p>
        </w:tc>
        <w:tc>
          <w:tcPr>
            <w:tcW w:w="1335" w:type="dxa"/>
          </w:tcPr>
          <w:p w14:paraId="79B13DA7" w14:textId="7C2702A3"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r>
      <w:tr w:rsidR="00CC4E3D" w:rsidRPr="000769DB" w14:paraId="1F298840" w14:textId="77777777" w:rsidTr="005A1B8D">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shd w:val="clear" w:color="auto" w:fill="F2F2F2" w:themeFill="background2"/>
            <w:vAlign w:val="center"/>
            <w:hideMark/>
          </w:tcPr>
          <w:p w14:paraId="05B29429" w14:textId="77777777" w:rsidR="00CC4E3D" w:rsidRPr="000769DB" w:rsidRDefault="00CC4E3D" w:rsidP="00EF36B1">
            <w:pPr>
              <w:rPr>
                <w:sz w:val="20"/>
                <w:szCs w:val="20"/>
              </w:rPr>
            </w:pPr>
            <w:r w:rsidRPr="000769DB">
              <w:rPr>
                <w:sz w:val="20"/>
                <w:szCs w:val="20"/>
              </w:rPr>
              <w:t>Ex-offender</w:t>
            </w:r>
          </w:p>
        </w:tc>
        <w:tc>
          <w:tcPr>
            <w:tcW w:w="1244" w:type="dxa"/>
            <w:shd w:val="clear" w:color="auto" w:fill="F2F2F2" w:themeFill="background2"/>
            <w:vAlign w:val="center"/>
            <w:hideMark/>
          </w:tcPr>
          <w:p w14:paraId="2EEA958E" w14:textId="77777777" w:rsidR="00CC4E3D" w:rsidRPr="000769DB" w:rsidRDefault="00CC4E3D"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0.0249</w:t>
            </w:r>
          </w:p>
        </w:tc>
        <w:tc>
          <w:tcPr>
            <w:tcW w:w="1185" w:type="dxa"/>
            <w:shd w:val="clear" w:color="auto" w:fill="F2F2F2" w:themeFill="background2"/>
            <w:vAlign w:val="center"/>
            <w:hideMark/>
          </w:tcPr>
          <w:p w14:paraId="787825F3" w14:textId="77777777" w:rsidR="00CC4E3D" w:rsidRPr="000769DB" w:rsidRDefault="00CC4E3D"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15.7291</w:t>
            </w:r>
          </w:p>
        </w:tc>
        <w:tc>
          <w:tcPr>
            <w:tcW w:w="1194" w:type="dxa"/>
            <w:shd w:val="clear" w:color="auto" w:fill="F2F2F2" w:themeFill="background2"/>
            <w:vAlign w:val="center"/>
            <w:hideMark/>
          </w:tcPr>
          <w:p w14:paraId="3454D26A" w14:textId="77777777" w:rsidR="00CC4E3D" w:rsidRPr="000769DB" w:rsidRDefault="00CC4E3D"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w:t>
            </w:r>
          </w:p>
        </w:tc>
        <w:tc>
          <w:tcPr>
            <w:tcW w:w="1187" w:type="dxa"/>
            <w:shd w:val="clear" w:color="auto" w:fill="F2F2F2" w:themeFill="background2"/>
            <w:vAlign w:val="center"/>
          </w:tcPr>
          <w:p w14:paraId="3518FF28" w14:textId="4BF53A7F" w:rsidR="00CC4E3D" w:rsidRPr="000769DB" w:rsidRDefault="007B46C9"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335" w:type="dxa"/>
            <w:shd w:val="clear" w:color="auto" w:fill="F2F2F2" w:themeFill="background2"/>
            <w:vAlign w:val="center"/>
            <w:hideMark/>
          </w:tcPr>
          <w:p w14:paraId="1B01626C" w14:textId="77777777" w:rsidR="00CC4E3D" w:rsidRPr="000769DB" w:rsidRDefault="00CC4E3D" w:rsidP="00EF36B1">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0.0003</w:t>
            </w:r>
          </w:p>
        </w:tc>
      </w:tr>
      <w:tr w:rsidR="007B46C9" w:rsidRPr="000769DB" w14:paraId="5E41987E" w14:textId="77777777" w:rsidTr="00DF15E5">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vAlign w:val="center"/>
            <w:hideMark/>
          </w:tcPr>
          <w:p w14:paraId="175CCFE0" w14:textId="77777777" w:rsidR="007B46C9" w:rsidRPr="000769DB" w:rsidRDefault="007B46C9" w:rsidP="007B46C9">
            <w:pPr>
              <w:ind w:left="720"/>
              <w:rPr>
                <w:sz w:val="20"/>
                <w:szCs w:val="20"/>
              </w:rPr>
            </w:pPr>
            <w:r w:rsidRPr="000769DB">
              <w:rPr>
                <w:sz w:val="20"/>
                <w:szCs w:val="20"/>
              </w:rPr>
              <w:t>Not an ex-offender</w:t>
            </w:r>
          </w:p>
        </w:tc>
        <w:tc>
          <w:tcPr>
            <w:tcW w:w="1244" w:type="dxa"/>
          </w:tcPr>
          <w:p w14:paraId="5E9F88EF" w14:textId="2627D3E4"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5" w:type="dxa"/>
          </w:tcPr>
          <w:p w14:paraId="29551A62" w14:textId="3CCDA89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tcPr>
          <w:p w14:paraId="40E1E81C" w14:textId="243D88A2"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7" w:type="dxa"/>
            <w:vAlign w:val="center"/>
            <w:hideMark/>
          </w:tcPr>
          <w:p w14:paraId="35925117"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2.7563</w:t>
            </w:r>
          </w:p>
        </w:tc>
        <w:tc>
          <w:tcPr>
            <w:tcW w:w="1335" w:type="dxa"/>
          </w:tcPr>
          <w:p w14:paraId="493DADCE" w14:textId="515E5F8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r>
      <w:tr w:rsidR="007B46C9" w:rsidRPr="000769DB" w14:paraId="0B57FB9A" w14:textId="77777777" w:rsidTr="00DF15E5">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shd w:val="clear" w:color="auto" w:fill="F2F2F2" w:themeFill="background2"/>
            <w:vAlign w:val="center"/>
            <w:hideMark/>
          </w:tcPr>
          <w:p w14:paraId="1583FFC1" w14:textId="77777777" w:rsidR="007B46C9" w:rsidRPr="000769DB" w:rsidRDefault="007B46C9" w:rsidP="007B46C9">
            <w:pPr>
              <w:ind w:left="720"/>
              <w:rPr>
                <w:sz w:val="20"/>
                <w:szCs w:val="20"/>
              </w:rPr>
            </w:pPr>
            <w:r w:rsidRPr="000769DB">
              <w:rPr>
                <w:sz w:val="20"/>
                <w:szCs w:val="20"/>
              </w:rPr>
              <w:t>Declined to answer</w:t>
            </w:r>
          </w:p>
        </w:tc>
        <w:tc>
          <w:tcPr>
            <w:tcW w:w="1244" w:type="dxa"/>
            <w:shd w:val="clear" w:color="auto" w:fill="F2F2F2" w:themeFill="background2"/>
          </w:tcPr>
          <w:p w14:paraId="03F74AC3" w14:textId="508BBD95"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5" w:type="dxa"/>
            <w:shd w:val="clear" w:color="auto" w:fill="F2F2F2" w:themeFill="background2"/>
          </w:tcPr>
          <w:p w14:paraId="40FBBE6E" w14:textId="1B15B7B3"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shd w:val="clear" w:color="auto" w:fill="F2F2F2" w:themeFill="background2"/>
          </w:tcPr>
          <w:p w14:paraId="14C56685" w14:textId="2D1431B1"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7" w:type="dxa"/>
            <w:shd w:val="clear" w:color="auto" w:fill="F2F2F2" w:themeFill="background2"/>
            <w:vAlign w:val="center"/>
            <w:hideMark/>
          </w:tcPr>
          <w:p w14:paraId="73FAA6A6"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-3.8195</w:t>
            </w:r>
          </w:p>
        </w:tc>
        <w:tc>
          <w:tcPr>
            <w:tcW w:w="1335" w:type="dxa"/>
            <w:shd w:val="clear" w:color="auto" w:fill="F2F2F2" w:themeFill="background2"/>
          </w:tcPr>
          <w:p w14:paraId="71D82031" w14:textId="27D9471A"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r>
      <w:tr w:rsidR="007B46C9" w:rsidRPr="000769DB" w14:paraId="28815128" w14:textId="77777777" w:rsidTr="00DF15E5">
        <w:trPr>
          <w:trHeight w:hRule="exact" w:val="312"/>
        </w:trPr>
        <w:tc>
          <w:tcPr>
            <w:cnfStyle w:val="001000000000" w:firstRow="0" w:lastRow="0" w:firstColumn="1" w:lastColumn="0" w:oddVBand="0" w:evenVBand="0" w:oddHBand="0" w:evenHBand="0" w:firstRowFirstColumn="0" w:firstRowLastColumn="0" w:lastRowFirstColumn="0" w:lastRowLastColumn="0"/>
            <w:tcW w:w="3097" w:type="dxa"/>
            <w:tcBorders>
              <w:bottom w:val="single" w:sz="4" w:space="0" w:color="auto"/>
            </w:tcBorders>
            <w:vAlign w:val="center"/>
            <w:hideMark/>
          </w:tcPr>
          <w:p w14:paraId="495C09E7" w14:textId="77777777" w:rsidR="007B46C9" w:rsidRPr="000769DB" w:rsidRDefault="007B46C9" w:rsidP="007B46C9">
            <w:pPr>
              <w:ind w:left="720"/>
              <w:rPr>
                <w:sz w:val="20"/>
                <w:szCs w:val="20"/>
              </w:rPr>
            </w:pPr>
            <w:r w:rsidRPr="000769DB">
              <w:rPr>
                <w:sz w:val="20"/>
                <w:szCs w:val="20"/>
              </w:rPr>
              <w:t>Ex-offender</w:t>
            </w:r>
          </w:p>
        </w:tc>
        <w:tc>
          <w:tcPr>
            <w:tcW w:w="1244" w:type="dxa"/>
            <w:tcBorders>
              <w:bottom w:val="single" w:sz="4" w:space="0" w:color="auto"/>
            </w:tcBorders>
          </w:tcPr>
          <w:p w14:paraId="6AF4BD47" w14:textId="185CE643"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5" w:type="dxa"/>
            <w:tcBorders>
              <w:bottom w:val="single" w:sz="4" w:space="0" w:color="auto"/>
            </w:tcBorders>
          </w:tcPr>
          <w:p w14:paraId="4A0E4F3E" w14:textId="274BF3C9"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94" w:type="dxa"/>
            <w:tcBorders>
              <w:bottom w:val="single" w:sz="4" w:space="0" w:color="auto"/>
            </w:tcBorders>
          </w:tcPr>
          <w:p w14:paraId="2202E082" w14:textId="0F786816"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c>
          <w:tcPr>
            <w:tcW w:w="1187" w:type="dxa"/>
            <w:tcBorders>
              <w:bottom w:val="single" w:sz="4" w:space="0" w:color="auto"/>
            </w:tcBorders>
            <w:vAlign w:val="center"/>
            <w:hideMark/>
          </w:tcPr>
          <w:p w14:paraId="636B8CAD" w14:textId="77777777"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sidRPr="000769DB">
              <w:rPr>
                <w:sz w:val="20"/>
                <w:szCs w:val="20"/>
              </w:rPr>
              <w:t>-1.0322</w:t>
            </w:r>
          </w:p>
        </w:tc>
        <w:tc>
          <w:tcPr>
            <w:tcW w:w="1335" w:type="dxa"/>
            <w:tcBorders>
              <w:bottom w:val="single" w:sz="4" w:space="0" w:color="auto"/>
            </w:tcBorders>
          </w:tcPr>
          <w:p w14:paraId="3000C48E" w14:textId="746A3D9F" w:rsidR="007B46C9" w:rsidRPr="000769DB" w:rsidRDefault="007B46C9" w:rsidP="007B46C9">
            <w:pPr>
              <w:jc w:val="center"/>
              <w:cnfStyle w:val="000000000000" w:firstRow="0" w:lastRow="0" w:firstColumn="0" w:lastColumn="0" w:oddVBand="0" w:evenVBand="0" w:oddHBand="0" w:evenHBand="0" w:firstRowFirstColumn="0" w:firstRowLastColumn="0" w:lastRowFirstColumn="0" w:lastRowLastColumn="0"/>
              <w:rPr>
                <w:sz w:val="20"/>
                <w:szCs w:val="20"/>
              </w:rPr>
            </w:pPr>
            <w:r>
              <w:rPr>
                <w:color w:val="FFFFFF" w:themeColor="background1"/>
                <w:sz w:val="20"/>
                <w:szCs w:val="20"/>
              </w:rPr>
              <w:t>—</w:t>
            </w:r>
          </w:p>
        </w:tc>
      </w:tr>
    </w:tbl>
    <w:p w14:paraId="04132FA5" w14:textId="77777777" w:rsidR="00CC4E3D" w:rsidRPr="000769DB" w:rsidRDefault="00CC4E3D" w:rsidP="000769DB"/>
    <w:p w14:paraId="6F1784AF" w14:textId="77777777" w:rsidR="00CC4E3D" w:rsidRDefault="00CC4E3D" w:rsidP="00CC4E3D">
      <w:pPr>
        <w:sectPr w:rsidR="00CC4E3D" w:rsidSect="00CC4E3D">
          <w:footnotePr>
            <w:numFmt w:val="lowerRoman"/>
          </w:footnotePr>
          <w:pgSz w:w="11906" w:h="16838"/>
          <w:pgMar w:top="1985" w:right="1440" w:bottom="1701" w:left="1440" w:header="624" w:footer="284" w:gutter="0"/>
          <w:cols w:space="720"/>
        </w:sectPr>
      </w:pPr>
    </w:p>
    <w:p w14:paraId="0E55C836" w14:textId="63BFBFEE" w:rsidR="00EB07E1" w:rsidRDefault="00CC4E3D" w:rsidP="00FD4CA8">
      <w:pPr>
        <w:pStyle w:val="Caption"/>
      </w:pPr>
      <w:bookmarkStart w:id="632" w:name="_Toc490579439"/>
      <w:bookmarkStart w:id="633" w:name="_Toc509402476"/>
      <w:bookmarkStart w:id="634" w:name="_Toc535512788"/>
      <w:bookmarkStart w:id="635" w:name="_Toc535513424"/>
      <w:bookmarkStart w:id="636" w:name="_Toc23841496"/>
      <w:r>
        <w:lastRenderedPageBreak/>
        <w:t xml:space="preserve">Figure C. </w:t>
      </w:r>
      <w:r>
        <w:rPr>
          <w:noProof/>
        </w:rPr>
        <w:fldChar w:fldCharType="begin"/>
      </w:r>
      <w:r>
        <w:rPr>
          <w:noProof/>
        </w:rPr>
        <w:instrText xml:space="preserve"> SEQ Figure_C. \* ARABIC </w:instrText>
      </w:r>
      <w:r>
        <w:rPr>
          <w:noProof/>
        </w:rPr>
        <w:fldChar w:fldCharType="separate"/>
      </w:r>
      <w:r w:rsidR="00D84A2A">
        <w:rPr>
          <w:noProof/>
        </w:rPr>
        <w:t>1</w:t>
      </w:r>
      <w:r>
        <w:rPr>
          <w:noProof/>
        </w:rPr>
        <w:fldChar w:fldCharType="end"/>
      </w:r>
      <w:r>
        <w:tab/>
        <w:t>Implementation, data capture and analysis timeline</w:t>
      </w:r>
      <w:bookmarkEnd w:id="632"/>
      <w:bookmarkEnd w:id="633"/>
      <w:bookmarkEnd w:id="634"/>
      <w:bookmarkEnd w:id="635"/>
      <w:bookmarkEnd w:id="636"/>
    </w:p>
    <w:p w14:paraId="4A216E78" w14:textId="1DCAACE1" w:rsidR="00A75A0C" w:rsidRPr="00A75A0C" w:rsidRDefault="00A75A0C" w:rsidP="009C0E68">
      <w:r w:rsidRPr="005A1B8D">
        <w:rPr>
          <w:noProof/>
          <w:color w:val="FFFFFF" w:themeColor="background1"/>
          <w:lang w:eastAsia="en-AU"/>
        </w:rPr>
        <w:drawing>
          <wp:anchor distT="0" distB="0" distL="114300" distR="114300" simplePos="0" relativeHeight="251662336" behindDoc="0" locked="0" layoutInCell="1" allowOverlap="1" wp14:anchorId="1C95D47D" wp14:editId="4BAFF66A">
            <wp:simplePos x="0" y="0"/>
            <wp:positionH relativeFrom="margin">
              <wp:posOffset>-3175</wp:posOffset>
            </wp:positionH>
            <wp:positionV relativeFrom="paragraph">
              <wp:posOffset>20955</wp:posOffset>
            </wp:positionV>
            <wp:extent cx="8905875" cy="3609975"/>
            <wp:effectExtent l="0" t="0" r="9525" b="9525"/>
            <wp:wrapNone/>
            <wp:docPr id="25" name="Picture 25" descr="Diagrammatic representation of TtW implementation, data capture and analysis timeline. [Details in text behi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905875" cy="3609975"/>
                    </a:xfrm>
                    <a:prstGeom prst="rect">
                      <a:avLst/>
                    </a:prstGeom>
                    <a:noFill/>
                    <a:ln>
                      <a:noFill/>
                    </a:ln>
                  </pic:spPr>
                </pic:pic>
              </a:graphicData>
            </a:graphic>
            <wp14:sizeRelH relativeFrom="margin">
              <wp14:pctWidth>0</wp14:pctWidth>
            </wp14:sizeRelH>
          </wp:anchor>
        </w:drawing>
      </w:r>
    </w:p>
    <w:p w14:paraId="5D99F3BA" w14:textId="29FE4492" w:rsidR="00CC4E3D" w:rsidRPr="005A1B8D" w:rsidRDefault="00CC4E3D" w:rsidP="00CC4E3D">
      <w:pPr>
        <w:rPr>
          <w:color w:val="FFFFFF" w:themeColor="background1"/>
        </w:rPr>
      </w:pPr>
      <w:r w:rsidRPr="005A1B8D">
        <w:rPr>
          <w:color w:val="FFFFFF" w:themeColor="background1"/>
        </w:rPr>
        <w:t>Diagrammatic representation of TtW implementation, data capture and analysis timeline.</w:t>
      </w:r>
    </w:p>
    <w:p w14:paraId="7C7E0BF8" w14:textId="13AFCE4A" w:rsidR="00CC4E3D" w:rsidRPr="005A1B8D" w:rsidRDefault="00CC4E3D" w:rsidP="00CC4E3D">
      <w:pPr>
        <w:rPr>
          <w:color w:val="FFFFFF" w:themeColor="background1"/>
        </w:rPr>
      </w:pPr>
      <w:r w:rsidRPr="005A1B8D">
        <w:rPr>
          <w:color w:val="FFFFFF" w:themeColor="background1"/>
        </w:rPr>
        <w:t>The diagram has a header row of months from January 2016 to March 2017. Each row below shows the relevant timeline.Row 2: TtW rollout phases 1–4 (11 February, 11 March, 30 March, 1 May)Row 3: TtW contract start dates and number of contracts (15 February: 7; 29 February: 4; 14 March: 27; 31 March: 4; 3/4 May: 1)</w:t>
      </w:r>
    </w:p>
    <w:p w14:paraId="5F6BE76B" w14:textId="6EE6F44F" w:rsidR="00CC4E3D" w:rsidRPr="005A1B8D" w:rsidRDefault="00CC4E3D" w:rsidP="00CC4E3D">
      <w:pPr>
        <w:rPr>
          <w:color w:val="FFFFFF" w:themeColor="background1"/>
        </w:rPr>
      </w:pPr>
      <w:r w:rsidRPr="005A1B8D">
        <w:rPr>
          <w:color w:val="FFFFFF" w:themeColor="background1"/>
        </w:rPr>
        <w:t>Row4: TtW participant caseload snapshots at 31 July 2016, 31 January 2017Row 5: TtW inflow period (six months from February – July 2016) and 6 months tracking period (including 30 days to commence in services)Row 6: jobactive matched inflow (same rules as Row 5 for TtW)</w:t>
      </w:r>
    </w:p>
    <w:p w14:paraId="4999EE14" w14:textId="77777777" w:rsidR="00CC4E3D" w:rsidRPr="005A1B8D" w:rsidRDefault="00CC4E3D" w:rsidP="00CC4E3D">
      <w:pPr>
        <w:rPr>
          <w:color w:val="FFFFFF" w:themeColor="background1"/>
        </w:rPr>
      </w:pPr>
      <w:r w:rsidRPr="005A1B8D">
        <w:rPr>
          <w:color w:val="FFFFFF" w:themeColor="background1"/>
        </w:rPr>
        <w:t>Row 7: outcome performance periods (quarters from March 2016 to March 2017)</w:t>
      </w:r>
    </w:p>
    <w:p w14:paraId="4C131F8A" w14:textId="45ACD5A7" w:rsidR="00CC4E3D" w:rsidRPr="005A1B8D" w:rsidRDefault="00CC4E3D" w:rsidP="00CC4E3D">
      <w:pPr>
        <w:rPr>
          <w:color w:val="FFFFFF" w:themeColor="background1"/>
        </w:rPr>
      </w:pPr>
    </w:p>
    <w:p w14:paraId="128D548B" w14:textId="7F00D98A" w:rsidR="009C0E68" w:rsidRPr="005A1B8D" w:rsidRDefault="009C0E68" w:rsidP="00CC4E3D">
      <w:pPr>
        <w:rPr>
          <w:color w:val="FFFFFF" w:themeColor="background1"/>
        </w:rPr>
      </w:pPr>
    </w:p>
    <w:p w14:paraId="14ADC7C1" w14:textId="69B651B2" w:rsidR="00CC4E3D" w:rsidRDefault="00CC4E3D" w:rsidP="00F44ADC">
      <w:pPr>
        <w:spacing w:after="240"/>
        <w:rPr>
          <w:rFonts w:eastAsiaTheme="majorEastAsia"/>
        </w:rPr>
        <w:sectPr w:rsidR="00CC4E3D">
          <w:pgSz w:w="16838" w:h="11906" w:orient="landscape"/>
          <w:pgMar w:top="1440" w:right="1440" w:bottom="1440" w:left="1440" w:header="0" w:footer="0" w:gutter="0"/>
          <w:cols w:space="720"/>
        </w:sectPr>
      </w:pPr>
    </w:p>
    <w:p w14:paraId="69D4E9B0" w14:textId="77777777" w:rsidR="00CC4E3D" w:rsidRDefault="00CC4E3D" w:rsidP="00CC4E3D">
      <w:pPr>
        <w:pStyle w:val="Heading1"/>
      </w:pPr>
      <w:bookmarkStart w:id="637" w:name="_Toc509402645"/>
      <w:bookmarkStart w:id="638" w:name="_Toc535498944"/>
      <w:bookmarkStart w:id="639" w:name="_Toc23841424"/>
      <w:r>
        <w:lastRenderedPageBreak/>
        <w:t>Appendix D — TtW outcome types</w:t>
      </w:r>
      <w:bookmarkEnd w:id="637"/>
      <w:bookmarkEnd w:id="638"/>
      <w:bookmarkEnd w:id="639"/>
    </w:p>
    <w:p w14:paraId="2815F615" w14:textId="77777777" w:rsidR="00CC4E3D" w:rsidRDefault="00CC4E3D" w:rsidP="00CC4E3D">
      <w:r>
        <w:t xml:space="preserve">There are two ways to achieve an </w:t>
      </w:r>
      <w:r>
        <w:rPr>
          <w:b/>
        </w:rPr>
        <w:t>approved education outcome</w:t>
      </w:r>
      <w:r>
        <w:t>:</w:t>
      </w:r>
    </w:p>
    <w:p w14:paraId="6D8E41BE" w14:textId="77777777" w:rsidR="00CC4E3D" w:rsidRPr="00C62132" w:rsidRDefault="00CC4E3D" w:rsidP="00E803E7">
      <w:pPr>
        <w:pStyle w:val="ListBullet"/>
        <w:rPr>
          <w:rFonts w:eastAsiaTheme="minorHAnsi"/>
        </w:rPr>
      </w:pPr>
      <w:r w:rsidRPr="00C62132">
        <w:rPr>
          <w:rFonts w:eastAsiaTheme="minorHAnsi"/>
        </w:rPr>
        <w:t xml:space="preserve">26 </w:t>
      </w:r>
      <w:r w:rsidRPr="000D25E6">
        <w:t>consecutive</w:t>
      </w:r>
      <w:r w:rsidRPr="00C62132">
        <w:rPr>
          <w:rFonts w:eastAsiaTheme="minorHAnsi"/>
        </w:rPr>
        <w:t xml:space="preserve"> weeks of full</w:t>
      </w:r>
      <w:r>
        <w:rPr>
          <w:rFonts w:eastAsiaTheme="minorHAnsi"/>
        </w:rPr>
        <w:t>-</w:t>
      </w:r>
      <w:r w:rsidRPr="00C62132">
        <w:rPr>
          <w:rFonts w:eastAsiaTheme="minorHAnsi"/>
        </w:rPr>
        <w:t xml:space="preserve">time participation in, or attainment of: </w:t>
      </w:r>
    </w:p>
    <w:p w14:paraId="057D061F" w14:textId="77777777" w:rsidR="00CC4E3D" w:rsidRPr="00266751" w:rsidRDefault="00CC4E3D" w:rsidP="00CC4E3D">
      <w:pPr>
        <w:pStyle w:val="ListBullet2"/>
        <w:spacing w:after="120"/>
        <w:rPr>
          <w:rFonts w:eastAsiaTheme="minorHAnsi"/>
        </w:rPr>
      </w:pPr>
      <w:r w:rsidRPr="00266751">
        <w:rPr>
          <w:rFonts w:eastAsiaTheme="minorHAnsi"/>
        </w:rPr>
        <w:t xml:space="preserve">a Certificate III course or higher (this includes a </w:t>
      </w:r>
      <w:r>
        <w:rPr>
          <w:rFonts w:eastAsiaTheme="minorHAnsi"/>
        </w:rPr>
        <w:t>d</w:t>
      </w:r>
      <w:r w:rsidRPr="00266751">
        <w:rPr>
          <w:rFonts w:eastAsiaTheme="minorHAnsi"/>
        </w:rPr>
        <w:t xml:space="preserve">iploma, </w:t>
      </w:r>
      <w:r>
        <w:rPr>
          <w:rFonts w:eastAsiaTheme="minorHAnsi"/>
        </w:rPr>
        <w:t>a</w:t>
      </w:r>
      <w:r w:rsidRPr="00266751">
        <w:rPr>
          <w:rFonts w:eastAsiaTheme="minorHAnsi"/>
        </w:rPr>
        <w:t xml:space="preserve">dvanced </w:t>
      </w:r>
      <w:r>
        <w:rPr>
          <w:rFonts w:eastAsiaTheme="minorHAnsi"/>
        </w:rPr>
        <w:t>d</w:t>
      </w:r>
      <w:r w:rsidRPr="00266751">
        <w:rPr>
          <w:rFonts w:eastAsiaTheme="minorHAnsi"/>
        </w:rPr>
        <w:t xml:space="preserve">iploma, </w:t>
      </w:r>
      <w:r>
        <w:rPr>
          <w:rFonts w:eastAsiaTheme="minorHAnsi"/>
        </w:rPr>
        <w:t>a</w:t>
      </w:r>
      <w:r w:rsidRPr="00266751">
        <w:rPr>
          <w:rFonts w:eastAsiaTheme="minorHAnsi"/>
        </w:rPr>
        <w:t xml:space="preserve">ssociate </w:t>
      </w:r>
      <w:r>
        <w:rPr>
          <w:rFonts w:eastAsiaTheme="minorHAnsi"/>
        </w:rPr>
        <w:t>d</w:t>
      </w:r>
      <w:r w:rsidRPr="00266751">
        <w:rPr>
          <w:rFonts w:eastAsiaTheme="minorHAnsi"/>
        </w:rPr>
        <w:t xml:space="preserve">egree or </w:t>
      </w:r>
      <w:r>
        <w:rPr>
          <w:rFonts w:eastAsiaTheme="minorHAnsi"/>
        </w:rPr>
        <w:t>b</w:t>
      </w:r>
      <w:r w:rsidRPr="00266751">
        <w:rPr>
          <w:rFonts w:eastAsiaTheme="minorHAnsi"/>
        </w:rPr>
        <w:t xml:space="preserve">achelor </w:t>
      </w:r>
      <w:r>
        <w:rPr>
          <w:rFonts w:eastAsiaTheme="minorHAnsi"/>
        </w:rPr>
        <w:t>d</w:t>
      </w:r>
      <w:r w:rsidRPr="00266751">
        <w:rPr>
          <w:rFonts w:eastAsiaTheme="minorHAnsi"/>
        </w:rPr>
        <w:t>egree</w:t>
      </w:r>
      <w:r>
        <w:rPr>
          <w:rFonts w:eastAsiaTheme="minorHAnsi"/>
        </w:rPr>
        <w:t>;</w:t>
      </w:r>
      <w:r w:rsidRPr="00266751">
        <w:rPr>
          <w:rFonts w:eastAsiaTheme="minorHAnsi"/>
        </w:rPr>
        <w:t xml:space="preserve"> </w:t>
      </w:r>
      <w:r>
        <w:rPr>
          <w:rFonts w:eastAsiaTheme="minorHAnsi"/>
        </w:rPr>
        <w:t>i</w:t>
      </w:r>
      <w:r w:rsidRPr="00266751">
        <w:rPr>
          <w:rFonts w:eastAsiaTheme="minorHAnsi"/>
        </w:rPr>
        <w:t xml:space="preserve">t does not include university bridging or preparation courses), </w:t>
      </w:r>
      <w:r w:rsidRPr="00266751">
        <w:rPr>
          <w:rFonts w:eastAsiaTheme="minorHAnsi"/>
          <w:b/>
        </w:rPr>
        <w:t>or</w:t>
      </w:r>
      <w:r w:rsidRPr="00266751">
        <w:rPr>
          <w:rFonts w:eastAsiaTheme="minorHAnsi"/>
        </w:rPr>
        <w:t xml:space="preserve"> </w:t>
      </w:r>
    </w:p>
    <w:p w14:paraId="28607C8D" w14:textId="77777777" w:rsidR="00CC4E3D" w:rsidRPr="00266751" w:rsidRDefault="00CC4E3D" w:rsidP="00CC4E3D">
      <w:pPr>
        <w:pStyle w:val="ListBullet2"/>
        <w:spacing w:after="120"/>
        <w:rPr>
          <w:rFonts w:eastAsiaTheme="minorHAnsi"/>
        </w:rPr>
      </w:pPr>
      <w:r w:rsidRPr="00266751">
        <w:rPr>
          <w:rFonts w:eastAsiaTheme="minorHAnsi"/>
        </w:rPr>
        <w:t>secondary education leading to Year 1</w:t>
      </w:r>
      <w:r>
        <w:rPr>
          <w:rFonts w:eastAsiaTheme="minorHAnsi"/>
        </w:rPr>
        <w:t>2 </w:t>
      </w:r>
      <w:r w:rsidRPr="00266751">
        <w:rPr>
          <w:rFonts w:eastAsiaTheme="minorHAnsi"/>
        </w:rPr>
        <w:t>(participation outcomes can be claimed for, for example, Year 10, Year 1</w:t>
      </w:r>
      <w:r>
        <w:rPr>
          <w:rFonts w:eastAsiaTheme="minorHAnsi"/>
        </w:rPr>
        <w:t>1 </w:t>
      </w:r>
      <w:r w:rsidRPr="00266751">
        <w:rPr>
          <w:rFonts w:eastAsiaTheme="minorHAnsi"/>
        </w:rPr>
        <w:t xml:space="preserve">or Year 12, but attainment </w:t>
      </w:r>
      <w:r>
        <w:rPr>
          <w:rFonts w:eastAsiaTheme="minorHAnsi"/>
        </w:rPr>
        <w:t>can</w:t>
      </w:r>
      <w:r w:rsidRPr="00266751">
        <w:rPr>
          <w:rFonts w:eastAsiaTheme="minorHAnsi"/>
        </w:rPr>
        <w:t xml:space="preserve"> only be claimed for completing Year 12), </w:t>
      </w:r>
      <w:r w:rsidRPr="00266751">
        <w:rPr>
          <w:rFonts w:eastAsiaTheme="minorHAnsi"/>
          <w:b/>
        </w:rPr>
        <w:t>or</w:t>
      </w:r>
      <w:r w:rsidRPr="00266751">
        <w:rPr>
          <w:rFonts w:eastAsiaTheme="minorHAnsi"/>
        </w:rPr>
        <w:t xml:space="preserve"> </w:t>
      </w:r>
    </w:p>
    <w:p w14:paraId="1896E3EC" w14:textId="77777777" w:rsidR="00CC4E3D" w:rsidRPr="00266751" w:rsidRDefault="00CC4E3D" w:rsidP="00E803E7">
      <w:pPr>
        <w:pStyle w:val="ListBullet"/>
        <w:rPr>
          <w:rFonts w:eastAsiaTheme="minorHAnsi"/>
        </w:rPr>
      </w:pPr>
      <w:r w:rsidRPr="00266751">
        <w:rPr>
          <w:rFonts w:eastAsiaTheme="minorHAnsi"/>
        </w:rPr>
        <w:t xml:space="preserve">26 </w:t>
      </w:r>
      <w:r w:rsidRPr="00266751">
        <w:rPr>
          <w:rFonts w:eastAsiaTheme="minorHAnsi"/>
          <w:b/>
        </w:rPr>
        <w:t>consecutive</w:t>
      </w:r>
      <w:r w:rsidRPr="00266751">
        <w:rPr>
          <w:rFonts w:eastAsiaTheme="minorHAnsi"/>
        </w:rPr>
        <w:t xml:space="preserve"> weeks of full-time participation in the Skills for Education and Employment (SEE) program or Adult Migrant Education Program (AMEP). SEE and AMEP can only track towards a </w:t>
      </w:r>
      <w:r>
        <w:rPr>
          <w:rFonts w:eastAsiaTheme="minorHAnsi"/>
        </w:rPr>
        <w:t>p</w:t>
      </w:r>
      <w:r w:rsidRPr="00266751">
        <w:rPr>
          <w:rFonts w:eastAsiaTheme="minorHAnsi"/>
        </w:rPr>
        <w:t xml:space="preserve">articipation </w:t>
      </w:r>
      <w:r>
        <w:rPr>
          <w:rFonts w:eastAsiaTheme="minorHAnsi"/>
        </w:rPr>
        <w:t>o</w:t>
      </w:r>
      <w:r w:rsidRPr="00266751">
        <w:rPr>
          <w:rFonts w:eastAsiaTheme="minorHAnsi"/>
        </w:rPr>
        <w:t>utcome</w:t>
      </w:r>
      <w:r>
        <w:rPr>
          <w:rFonts w:eastAsiaTheme="minorHAnsi"/>
        </w:rPr>
        <w:t>,</w:t>
      </w:r>
      <w:r w:rsidRPr="00266751">
        <w:rPr>
          <w:rFonts w:eastAsiaTheme="minorHAnsi"/>
        </w:rPr>
        <w:t xml:space="preserve"> not an </w:t>
      </w:r>
      <w:r>
        <w:rPr>
          <w:rFonts w:eastAsiaTheme="minorHAnsi"/>
        </w:rPr>
        <w:t>a</w:t>
      </w:r>
      <w:r w:rsidRPr="00266751">
        <w:rPr>
          <w:rFonts w:eastAsiaTheme="minorHAnsi"/>
        </w:rPr>
        <w:t xml:space="preserve">ttainment </w:t>
      </w:r>
      <w:r>
        <w:rPr>
          <w:rFonts w:eastAsiaTheme="minorHAnsi"/>
        </w:rPr>
        <w:t>o</w:t>
      </w:r>
      <w:r w:rsidRPr="00266751">
        <w:rPr>
          <w:rFonts w:eastAsiaTheme="minorHAnsi"/>
        </w:rPr>
        <w:t xml:space="preserve">utcome. </w:t>
      </w:r>
    </w:p>
    <w:p w14:paraId="6FB29F23" w14:textId="77777777" w:rsidR="00CC4E3D" w:rsidRDefault="00CC4E3D" w:rsidP="00CC4E3D">
      <w:pPr>
        <w:rPr>
          <w:rFonts w:eastAsiaTheme="minorHAnsi"/>
        </w:rPr>
      </w:pPr>
      <w:r>
        <w:t>Providers can claim an education participation outcome or an education attainment outcome, but not both, for a qualifying course of study.</w:t>
      </w:r>
    </w:p>
    <w:p w14:paraId="328FE9B7" w14:textId="77777777" w:rsidR="00CC4E3D" w:rsidRDefault="00CC4E3D" w:rsidP="00CC4E3D">
      <w:pPr>
        <w:autoSpaceDE w:val="0"/>
        <w:autoSpaceDN w:val="0"/>
        <w:adjustRightInd w:val="0"/>
      </w:pPr>
      <w:r>
        <w:rPr>
          <w:rFonts w:ascii="Calibri" w:hAnsi="Calibri" w:cs="Calibri"/>
          <w:color w:val="000000"/>
        </w:rPr>
        <w:t xml:space="preserve">An </w:t>
      </w:r>
      <w:r>
        <w:rPr>
          <w:rFonts w:ascii="Calibri" w:hAnsi="Calibri" w:cs="Calibri"/>
          <w:b/>
          <w:color w:val="000000"/>
        </w:rPr>
        <w:t>employment outcome</w:t>
      </w:r>
      <w:r>
        <w:rPr>
          <w:rFonts w:ascii="Calibri" w:hAnsi="Calibri" w:cs="Calibri"/>
          <w:color w:val="000000"/>
        </w:rPr>
        <w:t xml:space="preserve"> consists of 12 </w:t>
      </w:r>
      <w:r>
        <w:rPr>
          <w:rFonts w:ascii="Calibri" w:hAnsi="Calibri" w:cs="Calibri"/>
          <w:b/>
          <w:color w:val="000000"/>
        </w:rPr>
        <w:t>cumulative</w:t>
      </w:r>
      <w:r>
        <w:rPr>
          <w:rFonts w:ascii="Calibri" w:hAnsi="Calibri" w:cs="Calibri"/>
          <w:color w:val="000000"/>
        </w:rPr>
        <w:t xml:space="preserve"> weeks</w:t>
      </w:r>
      <w:r>
        <w:rPr>
          <w:rStyle w:val="FootnoteReference"/>
          <w:rFonts w:ascii="Calibri" w:hAnsi="Calibri" w:cs="Calibri"/>
          <w:color w:val="000000"/>
        </w:rPr>
        <w:footnoteReference w:id="37"/>
      </w:r>
      <w:r>
        <w:rPr>
          <w:rFonts w:ascii="Calibri" w:hAnsi="Calibri" w:cs="Calibri"/>
          <w:color w:val="000000"/>
        </w:rPr>
        <w:t xml:space="preserve"> of employment (which includes apprenticeships, traineeships and unsubsidised self-employment) during a participant’s time in the service. The 12 cumulative weeks can comprise multiple periods of at least four weeks. </w:t>
      </w:r>
    </w:p>
    <w:p w14:paraId="5605EFD0" w14:textId="77777777" w:rsidR="00CC4E3D" w:rsidRDefault="00CC4E3D" w:rsidP="00CC4E3D">
      <w:r>
        <w:t xml:space="preserve">A </w:t>
      </w:r>
      <w:r>
        <w:rPr>
          <w:b/>
        </w:rPr>
        <w:t>hybrid outcome</w:t>
      </w:r>
      <w:r>
        <w:t xml:space="preserve"> is 12 </w:t>
      </w:r>
      <w:r>
        <w:rPr>
          <w:b/>
        </w:rPr>
        <w:t>consecutive</w:t>
      </w:r>
      <w:r>
        <w:t xml:space="preserve"> weeks combining education and employment. </w:t>
      </w:r>
    </w:p>
    <w:p w14:paraId="3CCDF2B4" w14:textId="77777777" w:rsidR="00CC4E3D" w:rsidRDefault="00CC4E3D" w:rsidP="00CC4E3D">
      <w:r>
        <w:rPr>
          <w:rFonts w:ascii="Calibri" w:hAnsi="Calibri" w:cs="Calibri"/>
          <w:color w:val="000000"/>
        </w:rPr>
        <w:t xml:space="preserve">TtW pays a </w:t>
      </w:r>
      <w:r>
        <w:rPr>
          <w:rFonts w:ascii="Calibri" w:hAnsi="Calibri" w:cs="Calibri"/>
          <w:b/>
          <w:color w:val="000000"/>
        </w:rPr>
        <w:t>sustainability outcome</w:t>
      </w:r>
      <w:r>
        <w:rPr>
          <w:rFonts w:ascii="Calibri" w:hAnsi="Calibri" w:cs="Calibri"/>
          <w:color w:val="000000"/>
        </w:rPr>
        <w:t xml:space="preserve"> for employment outcomes (for an additional 7 consecutive fortnights) and hybrid outcomes (for an additional 7 consecutive fortnights) that follow a 12-week outcome. </w:t>
      </w:r>
      <w:r>
        <w:t xml:space="preserve">A 12-week employment outcome can lead to a hybrid sustainability outcome, and a 12-week hybrid outcome can lead to an employment sustainability outcome. It is important to note that these two sustainability outcomes do not count towards the Outcome Performance Target. </w:t>
      </w:r>
      <w:r>
        <w:rPr>
          <w:b/>
        </w:rPr>
        <w:t>Table D.1 </w:t>
      </w:r>
      <w:r>
        <w:t>summarises TtW outcomes achieved by quarter. Outcomes listed as ‘zero base rate’ are outcomes achieved within the providers’ targets. Outcomes listed as ‘standard rate’ are outcomes achieved above these targets, and therefore attract a ‘bonus’ outcome payment.</w:t>
      </w:r>
    </w:p>
    <w:p w14:paraId="43E4ABB2" w14:textId="77777777" w:rsidR="00CC4E3D" w:rsidRDefault="00CC4E3D" w:rsidP="00CC4E3D">
      <w:r>
        <w:br w:type="page"/>
      </w:r>
    </w:p>
    <w:p w14:paraId="369BB05E" w14:textId="227128DF" w:rsidR="00CC4E3D" w:rsidRDefault="00CC4E3D" w:rsidP="00FD4CA8">
      <w:pPr>
        <w:pStyle w:val="Caption"/>
      </w:pPr>
      <w:bookmarkStart w:id="640" w:name="_Toc509402990"/>
      <w:bookmarkStart w:id="641" w:name="_Toc535511500"/>
      <w:bookmarkStart w:id="642" w:name="_Toc535511560"/>
      <w:bookmarkStart w:id="643" w:name="_Toc535512789"/>
      <w:bookmarkStart w:id="644" w:name="_Toc535513425"/>
      <w:bookmarkStart w:id="645" w:name="_Toc23841448"/>
      <w:r>
        <w:lastRenderedPageBreak/>
        <w:t xml:space="preserve">Table D. </w:t>
      </w:r>
      <w:r>
        <w:rPr>
          <w:noProof/>
        </w:rPr>
        <w:fldChar w:fldCharType="begin"/>
      </w:r>
      <w:r>
        <w:rPr>
          <w:noProof/>
        </w:rPr>
        <w:instrText xml:space="preserve"> SEQ Table_D. \* ARABIC </w:instrText>
      </w:r>
      <w:r>
        <w:rPr>
          <w:noProof/>
        </w:rPr>
        <w:fldChar w:fldCharType="separate"/>
      </w:r>
      <w:r w:rsidR="00D84A2A">
        <w:rPr>
          <w:noProof/>
        </w:rPr>
        <w:t>1</w:t>
      </w:r>
      <w:r>
        <w:rPr>
          <w:noProof/>
        </w:rPr>
        <w:fldChar w:fldCharType="end"/>
      </w:r>
      <w:r>
        <w:tab/>
        <w:t>Outcomes achieved, by outcome type and quarter, to 31 March 2017</w:t>
      </w:r>
      <w:bookmarkEnd w:id="640"/>
      <w:bookmarkEnd w:id="641"/>
      <w:bookmarkEnd w:id="642"/>
      <w:bookmarkEnd w:id="643"/>
      <w:bookmarkEnd w:id="644"/>
      <w:bookmarkEnd w:id="645"/>
    </w:p>
    <w:tbl>
      <w:tblPr>
        <w:tblStyle w:val="JobsTable"/>
        <w:tblW w:w="4769" w:type="pct"/>
        <w:tblBorders>
          <w:bottom w:val="none" w:sz="0" w:space="0" w:color="auto"/>
        </w:tblBorders>
        <w:tblLook w:val="04A0" w:firstRow="1" w:lastRow="0" w:firstColumn="1" w:lastColumn="0" w:noHBand="0" w:noVBand="1"/>
        <w:tblDescription w:val="The metric is number of outcomes.&#10;12-week employment outcome zero base rate: Jun qtr 4; Sep qtr 427; Dec qtr 893; Mar qtr 1133; total 2457&#10;12-week employment outcome standard rate: Jun qtr 0; Sep qtr 0; Dec qtr 116; Mar qtr 201; total 317&#10;26-week employment outcome standard rate: Jun qtr 0; Sep qtr 5; Dec qtr 236; Mar qtr 714; total 955&#10;12-week hybrid outcome zero base rate: Jun qtr 0; Sep qtr 2; Dec qtr 13; Mar qtr 8; total 23&#10;12-week hybrid outcome standard rate: Jun qtr 0; Sep qtr 0; Dec qtr 3; Mar qtr 3; total 6&#10;26-week hybrid outcome standard rate: Jun qtr 0; Sep qtr 0; Dec qtr 0; Mar qtr 2; total 2&#10;Education outcome zero base rate*: Jun qtr 1; Sep qtr 105; Dec qtr; 276 Mar qtr 315; total 697&#10;Education outcome standard rate*: Jun qtr 2; Sep qtr 2; Dec qtr 99; Mar qtr 156; total 259&#10;Total outcomes: Jun qtr 7; Sep qtr 541; Dec qtr 1636; Mar qtr 2532; total 4716&#10;"/>
      </w:tblPr>
      <w:tblGrid>
        <w:gridCol w:w="3989"/>
        <w:gridCol w:w="972"/>
        <w:gridCol w:w="971"/>
        <w:gridCol w:w="964"/>
        <w:gridCol w:w="964"/>
        <w:gridCol w:w="749"/>
      </w:tblGrid>
      <w:tr w:rsidR="00CC4E3D" w:rsidRPr="00205968" w14:paraId="4A2881FD" w14:textId="77777777" w:rsidTr="005A1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15" w:type="pct"/>
            <w:hideMark/>
          </w:tcPr>
          <w:p w14:paraId="0DC9E4C9" w14:textId="77777777" w:rsidR="00CC4E3D" w:rsidRPr="00205968" w:rsidRDefault="00CC4E3D" w:rsidP="00F4277E">
            <w:pPr>
              <w:spacing w:before="60" w:after="60"/>
              <w:rPr>
                <w:b/>
                <w:bCs/>
                <w:sz w:val="20"/>
                <w:szCs w:val="20"/>
              </w:rPr>
            </w:pPr>
            <w:r w:rsidRPr="00205968">
              <w:rPr>
                <w:b/>
                <w:bCs/>
                <w:sz w:val="20"/>
                <w:szCs w:val="20"/>
              </w:rPr>
              <w:t>TtW outcome type</w:t>
            </w:r>
          </w:p>
        </w:tc>
        <w:tc>
          <w:tcPr>
            <w:tcW w:w="564" w:type="pct"/>
            <w:hideMark/>
          </w:tcPr>
          <w:p w14:paraId="155AB64F" w14:textId="77777777" w:rsidR="00CC4E3D" w:rsidRPr="00205968" w:rsidRDefault="00CC4E3D" w:rsidP="00F4277E">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205968">
              <w:rPr>
                <w:b/>
                <w:bCs/>
                <w:sz w:val="20"/>
                <w:szCs w:val="20"/>
              </w:rPr>
              <w:t>Jun qtr 2016</w:t>
            </w:r>
          </w:p>
        </w:tc>
        <w:tc>
          <w:tcPr>
            <w:tcW w:w="564" w:type="pct"/>
            <w:hideMark/>
          </w:tcPr>
          <w:p w14:paraId="5410AC85" w14:textId="77777777" w:rsidR="00CC4E3D" w:rsidRPr="00205968" w:rsidRDefault="00CC4E3D" w:rsidP="00F4277E">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205968">
              <w:rPr>
                <w:b/>
                <w:bCs/>
                <w:sz w:val="20"/>
                <w:szCs w:val="20"/>
              </w:rPr>
              <w:t>Sep qtr 2016</w:t>
            </w:r>
          </w:p>
        </w:tc>
        <w:tc>
          <w:tcPr>
            <w:tcW w:w="560" w:type="pct"/>
            <w:hideMark/>
          </w:tcPr>
          <w:p w14:paraId="1EB75085" w14:textId="77777777" w:rsidR="00CC4E3D" w:rsidRPr="00205968" w:rsidRDefault="00CC4E3D" w:rsidP="00F4277E">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205968">
              <w:rPr>
                <w:b/>
                <w:bCs/>
                <w:sz w:val="20"/>
                <w:szCs w:val="20"/>
              </w:rPr>
              <w:t>Dec qtr 2016</w:t>
            </w:r>
          </w:p>
        </w:tc>
        <w:tc>
          <w:tcPr>
            <w:tcW w:w="560" w:type="pct"/>
            <w:hideMark/>
          </w:tcPr>
          <w:p w14:paraId="7998CEDC" w14:textId="77777777" w:rsidR="00CC4E3D" w:rsidRPr="00205968" w:rsidRDefault="00CC4E3D" w:rsidP="00F4277E">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205968">
              <w:rPr>
                <w:b/>
                <w:bCs/>
                <w:sz w:val="20"/>
                <w:szCs w:val="20"/>
              </w:rPr>
              <w:t>Mar qtr 2017</w:t>
            </w:r>
          </w:p>
        </w:tc>
        <w:tc>
          <w:tcPr>
            <w:tcW w:w="435" w:type="pct"/>
            <w:hideMark/>
          </w:tcPr>
          <w:p w14:paraId="7644D83D" w14:textId="77777777" w:rsidR="00CC4E3D" w:rsidRPr="00205968" w:rsidRDefault="00CC4E3D" w:rsidP="00F4277E">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205968">
              <w:rPr>
                <w:b/>
                <w:bCs/>
                <w:sz w:val="20"/>
                <w:szCs w:val="20"/>
              </w:rPr>
              <w:t>Total</w:t>
            </w:r>
          </w:p>
        </w:tc>
      </w:tr>
      <w:tr w:rsidR="00CC4E3D" w:rsidRPr="00205968" w14:paraId="508CAF42" w14:textId="77777777" w:rsidTr="005A1B8D">
        <w:tc>
          <w:tcPr>
            <w:cnfStyle w:val="001000000000" w:firstRow="0" w:lastRow="0" w:firstColumn="1" w:lastColumn="0" w:oddVBand="0" w:evenVBand="0" w:oddHBand="0" w:evenHBand="0" w:firstRowFirstColumn="0" w:firstRowLastColumn="0" w:lastRowFirstColumn="0" w:lastRowLastColumn="0"/>
            <w:tcW w:w="2315" w:type="pct"/>
            <w:vAlign w:val="center"/>
            <w:hideMark/>
          </w:tcPr>
          <w:p w14:paraId="0F0F9B0F" w14:textId="77777777" w:rsidR="00CC4E3D" w:rsidRPr="00205968" w:rsidRDefault="00CC4E3D" w:rsidP="000769DB">
            <w:pPr>
              <w:spacing w:before="60" w:after="60"/>
              <w:rPr>
                <w:sz w:val="20"/>
                <w:szCs w:val="20"/>
              </w:rPr>
            </w:pPr>
            <w:r w:rsidRPr="00205968">
              <w:rPr>
                <w:sz w:val="20"/>
                <w:szCs w:val="20"/>
              </w:rPr>
              <w:t>12-week employment outcome zero base rate</w:t>
            </w:r>
          </w:p>
        </w:tc>
        <w:tc>
          <w:tcPr>
            <w:tcW w:w="564" w:type="pct"/>
            <w:vAlign w:val="center"/>
            <w:hideMark/>
          </w:tcPr>
          <w:p w14:paraId="64BC4140"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4</w:t>
            </w:r>
          </w:p>
        </w:tc>
        <w:tc>
          <w:tcPr>
            <w:tcW w:w="564" w:type="pct"/>
            <w:vAlign w:val="center"/>
            <w:hideMark/>
          </w:tcPr>
          <w:p w14:paraId="252013EF"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427</w:t>
            </w:r>
          </w:p>
        </w:tc>
        <w:tc>
          <w:tcPr>
            <w:tcW w:w="560" w:type="pct"/>
            <w:vAlign w:val="center"/>
            <w:hideMark/>
          </w:tcPr>
          <w:p w14:paraId="5AA98FF0"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893</w:t>
            </w:r>
          </w:p>
        </w:tc>
        <w:tc>
          <w:tcPr>
            <w:tcW w:w="560" w:type="pct"/>
            <w:vAlign w:val="center"/>
            <w:hideMark/>
          </w:tcPr>
          <w:p w14:paraId="3603DB68" w14:textId="73458824"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1</w:t>
            </w:r>
            <w:r w:rsidR="00F4277E">
              <w:rPr>
                <w:sz w:val="20"/>
                <w:szCs w:val="20"/>
              </w:rPr>
              <w:t>,</w:t>
            </w:r>
            <w:r w:rsidRPr="00205968">
              <w:rPr>
                <w:sz w:val="20"/>
                <w:szCs w:val="20"/>
              </w:rPr>
              <w:t>133</w:t>
            </w:r>
          </w:p>
        </w:tc>
        <w:tc>
          <w:tcPr>
            <w:tcW w:w="435" w:type="pct"/>
            <w:vAlign w:val="center"/>
            <w:hideMark/>
          </w:tcPr>
          <w:p w14:paraId="4D04E9DD" w14:textId="183F2BAB"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2</w:t>
            </w:r>
            <w:r w:rsidR="00F4277E">
              <w:rPr>
                <w:sz w:val="20"/>
                <w:szCs w:val="20"/>
              </w:rPr>
              <w:t>,</w:t>
            </w:r>
            <w:r w:rsidRPr="00205968">
              <w:rPr>
                <w:sz w:val="20"/>
                <w:szCs w:val="20"/>
              </w:rPr>
              <w:t>457</w:t>
            </w:r>
          </w:p>
        </w:tc>
      </w:tr>
      <w:tr w:rsidR="00CC4E3D" w:rsidRPr="00205968" w14:paraId="0565C893" w14:textId="77777777" w:rsidTr="005A1B8D">
        <w:tc>
          <w:tcPr>
            <w:cnfStyle w:val="001000000000" w:firstRow="0" w:lastRow="0" w:firstColumn="1" w:lastColumn="0" w:oddVBand="0" w:evenVBand="0" w:oddHBand="0" w:evenHBand="0" w:firstRowFirstColumn="0" w:firstRowLastColumn="0" w:lastRowFirstColumn="0" w:lastRowLastColumn="0"/>
            <w:tcW w:w="2315" w:type="pct"/>
            <w:shd w:val="clear" w:color="auto" w:fill="F2F2F2" w:themeFill="background2"/>
            <w:vAlign w:val="center"/>
            <w:hideMark/>
          </w:tcPr>
          <w:p w14:paraId="402C4700" w14:textId="77777777" w:rsidR="00CC4E3D" w:rsidRPr="00205968" w:rsidRDefault="00CC4E3D" w:rsidP="000769DB">
            <w:pPr>
              <w:spacing w:before="60" w:after="60"/>
              <w:rPr>
                <w:sz w:val="20"/>
                <w:szCs w:val="20"/>
              </w:rPr>
            </w:pPr>
            <w:r w:rsidRPr="00205968">
              <w:rPr>
                <w:sz w:val="20"/>
                <w:szCs w:val="20"/>
              </w:rPr>
              <w:t>12-week employment outcome standard rate</w:t>
            </w:r>
          </w:p>
        </w:tc>
        <w:tc>
          <w:tcPr>
            <w:tcW w:w="564" w:type="pct"/>
            <w:shd w:val="clear" w:color="auto" w:fill="F2F2F2" w:themeFill="background2"/>
            <w:vAlign w:val="center"/>
            <w:hideMark/>
          </w:tcPr>
          <w:p w14:paraId="7DACA489"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0</w:t>
            </w:r>
          </w:p>
        </w:tc>
        <w:tc>
          <w:tcPr>
            <w:tcW w:w="564" w:type="pct"/>
            <w:shd w:val="clear" w:color="auto" w:fill="F2F2F2" w:themeFill="background2"/>
            <w:vAlign w:val="center"/>
            <w:hideMark/>
          </w:tcPr>
          <w:p w14:paraId="63311E4B"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0</w:t>
            </w:r>
          </w:p>
        </w:tc>
        <w:tc>
          <w:tcPr>
            <w:tcW w:w="560" w:type="pct"/>
            <w:shd w:val="clear" w:color="auto" w:fill="F2F2F2" w:themeFill="background2"/>
            <w:vAlign w:val="center"/>
            <w:hideMark/>
          </w:tcPr>
          <w:p w14:paraId="6E640D44"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116</w:t>
            </w:r>
          </w:p>
        </w:tc>
        <w:tc>
          <w:tcPr>
            <w:tcW w:w="560" w:type="pct"/>
            <w:shd w:val="clear" w:color="auto" w:fill="F2F2F2" w:themeFill="background2"/>
            <w:vAlign w:val="center"/>
            <w:hideMark/>
          </w:tcPr>
          <w:p w14:paraId="0F5DEABC"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201</w:t>
            </w:r>
          </w:p>
        </w:tc>
        <w:tc>
          <w:tcPr>
            <w:tcW w:w="435" w:type="pct"/>
            <w:shd w:val="clear" w:color="auto" w:fill="F2F2F2" w:themeFill="background2"/>
            <w:vAlign w:val="center"/>
            <w:hideMark/>
          </w:tcPr>
          <w:p w14:paraId="2102D9AF"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317</w:t>
            </w:r>
          </w:p>
        </w:tc>
      </w:tr>
      <w:tr w:rsidR="00CC4E3D" w:rsidRPr="00205968" w14:paraId="4FFEDFC8" w14:textId="77777777" w:rsidTr="005A1B8D">
        <w:tc>
          <w:tcPr>
            <w:cnfStyle w:val="001000000000" w:firstRow="0" w:lastRow="0" w:firstColumn="1" w:lastColumn="0" w:oddVBand="0" w:evenVBand="0" w:oddHBand="0" w:evenHBand="0" w:firstRowFirstColumn="0" w:firstRowLastColumn="0" w:lastRowFirstColumn="0" w:lastRowLastColumn="0"/>
            <w:tcW w:w="2315" w:type="pct"/>
            <w:vAlign w:val="center"/>
            <w:hideMark/>
          </w:tcPr>
          <w:p w14:paraId="2CCC5325" w14:textId="77777777" w:rsidR="00CC4E3D" w:rsidRPr="00205968" w:rsidRDefault="00CC4E3D" w:rsidP="000769DB">
            <w:pPr>
              <w:spacing w:before="60" w:after="60"/>
              <w:rPr>
                <w:sz w:val="20"/>
                <w:szCs w:val="20"/>
              </w:rPr>
            </w:pPr>
            <w:r w:rsidRPr="00205968">
              <w:rPr>
                <w:sz w:val="20"/>
                <w:szCs w:val="20"/>
              </w:rPr>
              <w:t>26-week employment outcome standard rate</w:t>
            </w:r>
          </w:p>
        </w:tc>
        <w:tc>
          <w:tcPr>
            <w:tcW w:w="564" w:type="pct"/>
            <w:vAlign w:val="center"/>
            <w:hideMark/>
          </w:tcPr>
          <w:p w14:paraId="359E7E92"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0</w:t>
            </w:r>
          </w:p>
        </w:tc>
        <w:tc>
          <w:tcPr>
            <w:tcW w:w="564" w:type="pct"/>
            <w:vAlign w:val="center"/>
            <w:hideMark/>
          </w:tcPr>
          <w:p w14:paraId="1C6A6F7F"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5</w:t>
            </w:r>
          </w:p>
        </w:tc>
        <w:tc>
          <w:tcPr>
            <w:tcW w:w="560" w:type="pct"/>
            <w:vAlign w:val="center"/>
            <w:hideMark/>
          </w:tcPr>
          <w:p w14:paraId="3A44276A"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236</w:t>
            </w:r>
          </w:p>
        </w:tc>
        <w:tc>
          <w:tcPr>
            <w:tcW w:w="560" w:type="pct"/>
            <w:vAlign w:val="center"/>
            <w:hideMark/>
          </w:tcPr>
          <w:p w14:paraId="63A8E3E6"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714</w:t>
            </w:r>
          </w:p>
        </w:tc>
        <w:tc>
          <w:tcPr>
            <w:tcW w:w="435" w:type="pct"/>
            <w:vAlign w:val="center"/>
            <w:hideMark/>
          </w:tcPr>
          <w:p w14:paraId="613BD8F3"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955</w:t>
            </w:r>
          </w:p>
        </w:tc>
      </w:tr>
      <w:tr w:rsidR="00CC4E3D" w:rsidRPr="00205968" w14:paraId="7AA93CA1" w14:textId="77777777" w:rsidTr="005A1B8D">
        <w:tc>
          <w:tcPr>
            <w:cnfStyle w:val="001000000000" w:firstRow="0" w:lastRow="0" w:firstColumn="1" w:lastColumn="0" w:oddVBand="0" w:evenVBand="0" w:oddHBand="0" w:evenHBand="0" w:firstRowFirstColumn="0" w:firstRowLastColumn="0" w:lastRowFirstColumn="0" w:lastRowLastColumn="0"/>
            <w:tcW w:w="2315" w:type="pct"/>
            <w:shd w:val="clear" w:color="auto" w:fill="F2F2F2" w:themeFill="background2"/>
            <w:vAlign w:val="center"/>
            <w:hideMark/>
          </w:tcPr>
          <w:p w14:paraId="7FDBDF02" w14:textId="77777777" w:rsidR="00CC4E3D" w:rsidRPr="00205968" w:rsidRDefault="00CC4E3D" w:rsidP="000769DB">
            <w:pPr>
              <w:spacing w:before="60" w:after="60"/>
              <w:rPr>
                <w:sz w:val="20"/>
                <w:szCs w:val="20"/>
              </w:rPr>
            </w:pPr>
            <w:r w:rsidRPr="00205968">
              <w:rPr>
                <w:sz w:val="20"/>
                <w:szCs w:val="20"/>
              </w:rPr>
              <w:t>12-week hybrid outcome zero base rate</w:t>
            </w:r>
          </w:p>
        </w:tc>
        <w:tc>
          <w:tcPr>
            <w:tcW w:w="564" w:type="pct"/>
            <w:shd w:val="clear" w:color="auto" w:fill="F2F2F2" w:themeFill="background2"/>
            <w:vAlign w:val="center"/>
            <w:hideMark/>
          </w:tcPr>
          <w:p w14:paraId="31074A63"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0</w:t>
            </w:r>
          </w:p>
        </w:tc>
        <w:tc>
          <w:tcPr>
            <w:tcW w:w="564" w:type="pct"/>
            <w:shd w:val="clear" w:color="auto" w:fill="F2F2F2" w:themeFill="background2"/>
            <w:vAlign w:val="center"/>
            <w:hideMark/>
          </w:tcPr>
          <w:p w14:paraId="7FBD78C6"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2</w:t>
            </w:r>
          </w:p>
        </w:tc>
        <w:tc>
          <w:tcPr>
            <w:tcW w:w="560" w:type="pct"/>
            <w:shd w:val="clear" w:color="auto" w:fill="F2F2F2" w:themeFill="background2"/>
            <w:vAlign w:val="center"/>
            <w:hideMark/>
          </w:tcPr>
          <w:p w14:paraId="22CF48B4"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13</w:t>
            </w:r>
          </w:p>
        </w:tc>
        <w:tc>
          <w:tcPr>
            <w:tcW w:w="560" w:type="pct"/>
            <w:shd w:val="clear" w:color="auto" w:fill="F2F2F2" w:themeFill="background2"/>
            <w:vAlign w:val="center"/>
            <w:hideMark/>
          </w:tcPr>
          <w:p w14:paraId="0524F623"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8</w:t>
            </w:r>
          </w:p>
        </w:tc>
        <w:tc>
          <w:tcPr>
            <w:tcW w:w="435" w:type="pct"/>
            <w:shd w:val="clear" w:color="auto" w:fill="F2F2F2" w:themeFill="background2"/>
            <w:vAlign w:val="center"/>
            <w:hideMark/>
          </w:tcPr>
          <w:p w14:paraId="760360E6"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23</w:t>
            </w:r>
          </w:p>
        </w:tc>
      </w:tr>
      <w:tr w:rsidR="00CC4E3D" w:rsidRPr="00205968" w14:paraId="3E39D239" w14:textId="77777777" w:rsidTr="005A1B8D">
        <w:tc>
          <w:tcPr>
            <w:cnfStyle w:val="001000000000" w:firstRow="0" w:lastRow="0" w:firstColumn="1" w:lastColumn="0" w:oddVBand="0" w:evenVBand="0" w:oddHBand="0" w:evenHBand="0" w:firstRowFirstColumn="0" w:firstRowLastColumn="0" w:lastRowFirstColumn="0" w:lastRowLastColumn="0"/>
            <w:tcW w:w="2315" w:type="pct"/>
            <w:vAlign w:val="center"/>
            <w:hideMark/>
          </w:tcPr>
          <w:p w14:paraId="4987EE0A" w14:textId="77777777" w:rsidR="00CC4E3D" w:rsidRPr="00205968" w:rsidRDefault="00CC4E3D" w:rsidP="000769DB">
            <w:pPr>
              <w:spacing w:before="60" w:after="60"/>
              <w:rPr>
                <w:sz w:val="20"/>
                <w:szCs w:val="20"/>
              </w:rPr>
            </w:pPr>
            <w:r w:rsidRPr="00205968">
              <w:rPr>
                <w:sz w:val="20"/>
                <w:szCs w:val="20"/>
              </w:rPr>
              <w:t>12-week hybrid outcome standard rate</w:t>
            </w:r>
          </w:p>
        </w:tc>
        <w:tc>
          <w:tcPr>
            <w:tcW w:w="564" w:type="pct"/>
            <w:vAlign w:val="center"/>
            <w:hideMark/>
          </w:tcPr>
          <w:p w14:paraId="7EC3D1B7"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0</w:t>
            </w:r>
          </w:p>
        </w:tc>
        <w:tc>
          <w:tcPr>
            <w:tcW w:w="564" w:type="pct"/>
            <w:vAlign w:val="center"/>
            <w:hideMark/>
          </w:tcPr>
          <w:p w14:paraId="395162C0"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0</w:t>
            </w:r>
          </w:p>
        </w:tc>
        <w:tc>
          <w:tcPr>
            <w:tcW w:w="560" w:type="pct"/>
            <w:vAlign w:val="center"/>
            <w:hideMark/>
          </w:tcPr>
          <w:p w14:paraId="0246309A"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3</w:t>
            </w:r>
          </w:p>
        </w:tc>
        <w:tc>
          <w:tcPr>
            <w:tcW w:w="560" w:type="pct"/>
            <w:vAlign w:val="center"/>
            <w:hideMark/>
          </w:tcPr>
          <w:p w14:paraId="59C3370C"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3</w:t>
            </w:r>
          </w:p>
        </w:tc>
        <w:tc>
          <w:tcPr>
            <w:tcW w:w="435" w:type="pct"/>
            <w:vAlign w:val="center"/>
            <w:hideMark/>
          </w:tcPr>
          <w:p w14:paraId="31239C8E"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6</w:t>
            </w:r>
          </w:p>
        </w:tc>
      </w:tr>
      <w:tr w:rsidR="00CC4E3D" w:rsidRPr="00205968" w14:paraId="28C72F30" w14:textId="77777777" w:rsidTr="005A1B8D">
        <w:tc>
          <w:tcPr>
            <w:cnfStyle w:val="001000000000" w:firstRow="0" w:lastRow="0" w:firstColumn="1" w:lastColumn="0" w:oddVBand="0" w:evenVBand="0" w:oddHBand="0" w:evenHBand="0" w:firstRowFirstColumn="0" w:firstRowLastColumn="0" w:lastRowFirstColumn="0" w:lastRowLastColumn="0"/>
            <w:tcW w:w="2315" w:type="pct"/>
            <w:shd w:val="clear" w:color="auto" w:fill="F2F2F2" w:themeFill="background2"/>
            <w:vAlign w:val="center"/>
            <w:hideMark/>
          </w:tcPr>
          <w:p w14:paraId="4B4297FE" w14:textId="77777777" w:rsidR="00CC4E3D" w:rsidRPr="00205968" w:rsidRDefault="00CC4E3D" w:rsidP="000769DB">
            <w:pPr>
              <w:spacing w:before="60" w:after="60"/>
              <w:rPr>
                <w:sz w:val="20"/>
                <w:szCs w:val="20"/>
              </w:rPr>
            </w:pPr>
            <w:r w:rsidRPr="00205968">
              <w:rPr>
                <w:sz w:val="20"/>
                <w:szCs w:val="20"/>
              </w:rPr>
              <w:t>26-week hybrid outcome standard rate</w:t>
            </w:r>
          </w:p>
        </w:tc>
        <w:tc>
          <w:tcPr>
            <w:tcW w:w="564" w:type="pct"/>
            <w:shd w:val="clear" w:color="auto" w:fill="F2F2F2" w:themeFill="background2"/>
            <w:vAlign w:val="center"/>
            <w:hideMark/>
          </w:tcPr>
          <w:p w14:paraId="54CDC975"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0</w:t>
            </w:r>
          </w:p>
        </w:tc>
        <w:tc>
          <w:tcPr>
            <w:tcW w:w="564" w:type="pct"/>
            <w:shd w:val="clear" w:color="auto" w:fill="F2F2F2" w:themeFill="background2"/>
            <w:vAlign w:val="center"/>
            <w:hideMark/>
          </w:tcPr>
          <w:p w14:paraId="75B673B4"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0</w:t>
            </w:r>
          </w:p>
        </w:tc>
        <w:tc>
          <w:tcPr>
            <w:tcW w:w="560" w:type="pct"/>
            <w:shd w:val="clear" w:color="auto" w:fill="F2F2F2" w:themeFill="background2"/>
            <w:vAlign w:val="center"/>
            <w:hideMark/>
          </w:tcPr>
          <w:p w14:paraId="7381B74D"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0</w:t>
            </w:r>
          </w:p>
        </w:tc>
        <w:tc>
          <w:tcPr>
            <w:tcW w:w="560" w:type="pct"/>
            <w:shd w:val="clear" w:color="auto" w:fill="F2F2F2" w:themeFill="background2"/>
            <w:vAlign w:val="center"/>
            <w:hideMark/>
          </w:tcPr>
          <w:p w14:paraId="5261E900"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2</w:t>
            </w:r>
          </w:p>
        </w:tc>
        <w:tc>
          <w:tcPr>
            <w:tcW w:w="435" w:type="pct"/>
            <w:shd w:val="clear" w:color="auto" w:fill="F2F2F2" w:themeFill="background2"/>
            <w:vAlign w:val="center"/>
            <w:hideMark/>
          </w:tcPr>
          <w:p w14:paraId="113491B9"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2</w:t>
            </w:r>
          </w:p>
        </w:tc>
      </w:tr>
      <w:tr w:rsidR="00CC4E3D" w:rsidRPr="00205968" w14:paraId="284526B2" w14:textId="77777777" w:rsidTr="005A1B8D">
        <w:tc>
          <w:tcPr>
            <w:cnfStyle w:val="001000000000" w:firstRow="0" w:lastRow="0" w:firstColumn="1" w:lastColumn="0" w:oddVBand="0" w:evenVBand="0" w:oddHBand="0" w:evenHBand="0" w:firstRowFirstColumn="0" w:firstRowLastColumn="0" w:lastRowFirstColumn="0" w:lastRowLastColumn="0"/>
            <w:tcW w:w="2315" w:type="pct"/>
            <w:vAlign w:val="center"/>
            <w:hideMark/>
          </w:tcPr>
          <w:p w14:paraId="7C6A1B20" w14:textId="77777777" w:rsidR="00CC4E3D" w:rsidRPr="00205968" w:rsidRDefault="00CC4E3D" w:rsidP="000769DB">
            <w:pPr>
              <w:spacing w:before="60" w:after="60"/>
              <w:rPr>
                <w:sz w:val="20"/>
                <w:szCs w:val="20"/>
              </w:rPr>
            </w:pPr>
            <w:r w:rsidRPr="00205968">
              <w:rPr>
                <w:sz w:val="20"/>
                <w:szCs w:val="20"/>
              </w:rPr>
              <w:t>Education outcome zero base rate*</w:t>
            </w:r>
          </w:p>
        </w:tc>
        <w:tc>
          <w:tcPr>
            <w:tcW w:w="564" w:type="pct"/>
            <w:vAlign w:val="center"/>
            <w:hideMark/>
          </w:tcPr>
          <w:p w14:paraId="0D9FA0E6"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1</w:t>
            </w:r>
          </w:p>
        </w:tc>
        <w:tc>
          <w:tcPr>
            <w:tcW w:w="564" w:type="pct"/>
            <w:vAlign w:val="center"/>
            <w:hideMark/>
          </w:tcPr>
          <w:p w14:paraId="3FEC5E36"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105</w:t>
            </w:r>
          </w:p>
        </w:tc>
        <w:tc>
          <w:tcPr>
            <w:tcW w:w="560" w:type="pct"/>
            <w:vAlign w:val="center"/>
            <w:hideMark/>
          </w:tcPr>
          <w:p w14:paraId="69E72278"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276</w:t>
            </w:r>
          </w:p>
        </w:tc>
        <w:tc>
          <w:tcPr>
            <w:tcW w:w="560" w:type="pct"/>
            <w:vAlign w:val="center"/>
            <w:hideMark/>
          </w:tcPr>
          <w:p w14:paraId="6322422A"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315</w:t>
            </w:r>
          </w:p>
        </w:tc>
        <w:tc>
          <w:tcPr>
            <w:tcW w:w="435" w:type="pct"/>
            <w:vAlign w:val="center"/>
            <w:hideMark/>
          </w:tcPr>
          <w:p w14:paraId="345126AA"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697</w:t>
            </w:r>
          </w:p>
        </w:tc>
      </w:tr>
      <w:tr w:rsidR="00CC4E3D" w:rsidRPr="00205968" w14:paraId="4147CBF8" w14:textId="77777777" w:rsidTr="005A1B8D">
        <w:tc>
          <w:tcPr>
            <w:cnfStyle w:val="001000000000" w:firstRow="0" w:lastRow="0" w:firstColumn="1" w:lastColumn="0" w:oddVBand="0" w:evenVBand="0" w:oddHBand="0" w:evenHBand="0" w:firstRowFirstColumn="0" w:firstRowLastColumn="0" w:lastRowFirstColumn="0" w:lastRowLastColumn="0"/>
            <w:tcW w:w="2315" w:type="pct"/>
            <w:shd w:val="clear" w:color="auto" w:fill="F2F2F2" w:themeFill="background2"/>
            <w:vAlign w:val="center"/>
            <w:hideMark/>
          </w:tcPr>
          <w:p w14:paraId="7FEA3375" w14:textId="77777777" w:rsidR="00CC4E3D" w:rsidRPr="00205968" w:rsidRDefault="00CC4E3D" w:rsidP="000769DB">
            <w:pPr>
              <w:spacing w:before="60" w:after="60"/>
              <w:rPr>
                <w:sz w:val="20"/>
                <w:szCs w:val="20"/>
              </w:rPr>
            </w:pPr>
            <w:r w:rsidRPr="00205968">
              <w:rPr>
                <w:sz w:val="20"/>
                <w:szCs w:val="20"/>
              </w:rPr>
              <w:t>Education outcome standard rate*</w:t>
            </w:r>
          </w:p>
        </w:tc>
        <w:tc>
          <w:tcPr>
            <w:tcW w:w="564" w:type="pct"/>
            <w:shd w:val="clear" w:color="auto" w:fill="F2F2F2" w:themeFill="background2"/>
            <w:vAlign w:val="center"/>
            <w:hideMark/>
          </w:tcPr>
          <w:p w14:paraId="56C50391"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2</w:t>
            </w:r>
          </w:p>
        </w:tc>
        <w:tc>
          <w:tcPr>
            <w:tcW w:w="564" w:type="pct"/>
            <w:shd w:val="clear" w:color="auto" w:fill="F2F2F2" w:themeFill="background2"/>
            <w:vAlign w:val="center"/>
            <w:hideMark/>
          </w:tcPr>
          <w:p w14:paraId="5F26B973"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2</w:t>
            </w:r>
          </w:p>
        </w:tc>
        <w:tc>
          <w:tcPr>
            <w:tcW w:w="560" w:type="pct"/>
            <w:shd w:val="clear" w:color="auto" w:fill="F2F2F2" w:themeFill="background2"/>
            <w:vAlign w:val="center"/>
            <w:hideMark/>
          </w:tcPr>
          <w:p w14:paraId="6BA56091"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99</w:t>
            </w:r>
          </w:p>
        </w:tc>
        <w:tc>
          <w:tcPr>
            <w:tcW w:w="560" w:type="pct"/>
            <w:shd w:val="clear" w:color="auto" w:fill="F2F2F2" w:themeFill="background2"/>
            <w:vAlign w:val="center"/>
            <w:hideMark/>
          </w:tcPr>
          <w:p w14:paraId="42769B2E"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156</w:t>
            </w:r>
          </w:p>
        </w:tc>
        <w:tc>
          <w:tcPr>
            <w:tcW w:w="435" w:type="pct"/>
            <w:shd w:val="clear" w:color="auto" w:fill="F2F2F2" w:themeFill="background2"/>
            <w:vAlign w:val="center"/>
            <w:hideMark/>
          </w:tcPr>
          <w:p w14:paraId="5B2BFAF7"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259</w:t>
            </w:r>
          </w:p>
        </w:tc>
      </w:tr>
      <w:tr w:rsidR="00CC4E3D" w:rsidRPr="00205968" w14:paraId="1F37841D" w14:textId="77777777" w:rsidTr="005A1B8D">
        <w:tc>
          <w:tcPr>
            <w:cnfStyle w:val="001000000000" w:firstRow="0" w:lastRow="0" w:firstColumn="1" w:lastColumn="0" w:oddVBand="0" w:evenVBand="0" w:oddHBand="0" w:evenHBand="0" w:firstRowFirstColumn="0" w:firstRowLastColumn="0" w:lastRowFirstColumn="0" w:lastRowLastColumn="0"/>
            <w:tcW w:w="2315" w:type="pct"/>
            <w:tcBorders>
              <w:bottom w:val="single" w:sz="4" w:space="0" w:color="auto"/>
            </w:tcBorders>
            <w:vAlign w:val="center"/>
            <w:hideMark/>
          </w:tcPr>
          <w:p w14:paraId="7A68B4B1" w14:textId="77777777" w:rsidR="00CC4E3D" w:rsidRPr="00205968" w:rsidRDefault="00CC4E3D" w:rsidP="000769DB">
            <w:pPr>
              <w:spacing w:before="60" w:after="60"/>
              <w:rPr>
                <w:sz w:val="20"/>
                <w:szCs w:val="20"/>
              </w:rPr>
            </w:pPr>
            <w:r w:rsidRPr="00205968">
              <w:rPr>
                <w:sz w:val="20"/>
                <w:szCs w:val="20"/>
              </w:rPr>
              <w:t>Total outcomes</w:t>
            </w:r>
          </w:p>
        </w:tc>
        <w:tc>
          <w:tcPr>
            <w:tcW w:w="564" w:type="pct"/>
            <w:tcBorders>
              <w:bottom w:val="single" w:sz="4" w:space="0" w:color="auto"/>
            </w:tcBorders>
            <w:noWrap/>
            <w:vAlign w:val="center"/>
            <w:hideMark/>
          </w:tcPr>
          <w:p w14:paraId="1DE8F512"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7</w:t>
            </w:r>
          </w:p>
        </w:tc>
        <w:tc>
          <w:tcPr>
            <w:tcW w:w="564" w:type="pct"/>
            <w:tcBorders>
              <w:bottom w:val="single" w:sz="4" w:space="0" w:color="auto"/>
            </w:tcBorders>
            <w:noWrap/>
            <w:vAlign w:val="center"/>
            <w:hideMark/>
          </w:tcPr>
          <w:p w14:paraId="0D0E764E" w14:textId="7777777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541</w:t>
            </w:r>
          </w:p>
        </w:tc>
        <w:tc>
          <w:tcPr>
            <w:tcW w:w="560" w:type="pct"/>
            <w:tcBorders>
              <w:bottom w:val="single" w:sz="4" w:space="0" w:color="auto"/>
            </w:tcBorders>
            <w:noWrap/>
            <w:vAlign w:val="center"/>
            <w:hideMark/>
          </w:tcPr>
          <w:p w14:paraId="7EDD3BBD" w14:textId="68AB3D27"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1</w:t>
            </w:r>
            <w:r w:rsidR="00F4277E">
              <w:rPr>
                <w:sz w:val="20"/>
                <w:szCs w:val="20"/>
              </w:rPr>
              <w:t>,</w:t>
            </w:r>
            <w:r w:rsidRPr="00205968">
              <w:rPr>
                <w:sz w:val="20"/>
                <w:szCs w:val="20"/>
              </w:rPr>
              <w:t>636</w:t>
            </w:r>
          </w:p>
        </w:tc>
        <w:tc>
          <w:tcPr>
            <w:tcW w:w="560" w:type="pct"/>
            <w:tcBorders>
              <w:bottom w:val="single" w:sz="4" w:space="0" w:color="auto"/>
            </w:tcBorders>
            <w:noWrap/>
            <w:vAlign w:val="center"/>
            <w:hideMark/>
          </w:tcPr>
          <w:p w14:paraId="0849C4B7" w14:textId="305E5FAD"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2</w:t>
            </w:r>
            <w:r w:rsidR="00F4277E">
              <w:rPr>
                <w:sz w:val="20"/>
                <w:szCs w:val="20"/>
              </w:rPr>
              <w:t>,</w:t>
            </w:r>
            <w:r w:rsidRPr="00205968">
              <w:rPr>
                <w:sz w:val="20"/>
                <w:szCs w:val="20"/>
              </w:rPr>
              <w:t>532</w:t>
            </w:r>
          </w:p>
        </w:tc>
        <w:tc>
          <w:tcPr>
            <w:tcW w:w="435" w:type="pct"/>
            <w:tcBorders>
              <w:bottom w:val="single" w:sz="4" w:space="0" w:color="auto"/>
            </w:tcBorders>
            <w:noWrap/>
            <w:vAlign w:val="center"/>
            <w:hideMark/>
          </w:tcPr>
          <w:p w14:paraId="110C481F" w14:textId="3615CB3A" w:rsidR="00CC4E3D" w:rsidRPr="00205968" w:rsidRDefault="00CC4E3D" w:rsidP="000769DB">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205968">
              <w:rPr>
                <w:sz w:val="20"/>
                <w:szCs w:val="20"/>
              </w:rPr>
              <w:t>4</w:t>
            </w:r>
            <w:r w:rsidR="00F4277E">
              <w:rPr>
                <w:sz w:val="20"/>
                <w:szCs w:val="20"/>
              </w:rPr>
              <w:t>,</w:t>
            </w:r>
            <w:r w:rsidRPr="00205968">
              <w:rPr>
                <w:sz w:val="20"/>
                <w:szCs w:val="20"/>
              </w:rPr>
              <w:t>716</w:t>
            </w:r>
          </w:p>
        </w:tc>
      </w:tr>
    </w:tbl>
    <w:p w14:paraId="2FD3FE83" w14:textId="7C5318B1" w:rsidR="00CC4E3D" w:rsidRDefault="00CC4E3D" w:rsidP="00376321">
      <w:pPr>
        <w:pStyle w:val="Note"/>
        <w:ind w:left="142" w:hanging="142"/>
      </w:pPr>
      <w:r>
        <w:t>* Providers can claim an education outcome for attainment (completion of a qualifying course) or participation (26 weeks study in a qualifying course).</w:t>
      </w:r>
    </w:p>
    <w:p w14:paraId="50BE223A" w14:textId="14F16D3F" w:rsidR="00F4277E" w:rsidRDefault="00F4277E" w:rsidP="00CC4E3D">
      <w:pPr>
        <w:pStyle w:val="Note"/>
      </w:pPr>
      <w:r w:rsidRPr="00E60011">
        <w:rPr>
          <w:b/>
        </w:rPr>
        <w:t>Source: Department of Employment, Skills, Small and Family Business administrative data</w:t>
      </w:r>
      <w:r w:rsidR="00A53A25">
        <w:rPr>
          <w:b/>
        </w:rPr>
        <w:t>.</w:t>
      </w:r>
    </w:p>
    <w:p w14:paraId="72D7C758" w14:textId="77777777" w:rsidR="00CC4E3D" w:rsidRDefault="00CC4E3D" w:rsidP="00CC4E3D">
      <w:pPr>
        <w:rPr>
          <w:b/>
        </w:rPr>
      </w:pPr>
      <w:r>
        <w:rPr>
          <w:b/>
        </w:rPr>
        <w:br w:type="page"/>
      </w:r>
    </w:p>
    <w:p w14:paraId="5B07806A" w14:textId="77777777" w:rsidR="00CC4E3D" w:rsidRDefault="00CC4E3D" w:rsidP="00CC4E3D">
      <w:pPr>
        <w:pStyle w:val="Heading1"/>
      </w:pPr>
      <w:bookmarkStart w:id="646" w:name="_Toc509402646"/>
      <w:bookmarkStart w:id="647" w:name="_Toc535498945"/>
      <w:bookmarkStart w:id="648" w:name="_Toc23841425"/>
      <w:r>
        <w:lastRenderedPageBreak/>
        <w:t xml:space="preserve">Appendix E — </w:t>
      </w:r>
      <w:r w:rsidRPr="008C506A">
        <w:t>Education activity types</w:t>
      </w:r>
      <w:bookmarkEnd w:id="646"/>
      <w:r>
        <w:t xml:space="preserve"> in TtW</w:t>
      </w:r>
      <w:bookmarkEnd w:id="647"/>
      <w:bookmarkEnd w:id="648"/>
    </w:p>
    <w:p w14:paraId="49D64FAE" w14:textId="478A2491" w:rsidR="00CC4E3D" w:rsidRPr="0089638B" w:rsidRDefault="00CC4E3D" w:rsidP="00FD4CA8">
      <w:pPr>
        <w:pStyle w:val="Caption"/>
        <w:rPr>
          <w:color w:val="FFFFFF" w:themeColor="background1"/>
          <w:sz w:val="18"/>
          <w:szCs w:val="18"/>
        </w:rPr>
      </w:pPr>
      <w:bookmarkStart w:id="649" w:name="_Toc535512790"/>
      <w:bookmarkStart w:id="650" w:name="_Toc535513426"/>
      <w:bookmarkStart w:id="651" w:name="_Toc23841497"/>
      <w:r>
        <w:t xml:space="preserve">Figure E. </w:t>
      </w:r>
      <w:r>
        <w:rPr>
          <w:noProof/>
        </w:rPr>
        <w:fldChar w:fldCharType="begin"/>
      </w:r>
      <w:r>
        <w:rPr>
          <w:noProof/>
        </w:rPr>
        <w:instrText xml:space="preserve"> SEQ Figure_E. \* ARABIC </w:instrText>
      </w:r>
      <w:r>
        <w:rPr>
          <w:noProof/>
        </w:rPr>
        <w:fldChar w:fldCharType="separate"/>
      </w:r>
      <w:r w:rsidR="00D84A2A">
        <w:rPr>
          <w:noProof/>
        </w:rPr>
        <w:t>1</w:t>
      </w:r>
      <w:r>
        <w:rPr>
          <w:noProof/>
        </w:rPr>
        <w:fldChar w:fldCharType="end"/>
      </w:r>
      <w:r>
        <w:tab/>
        <w:t>Education activity types</w:t>
      </w:r>
      <w:bookmarkEnd w:id="649"/>
      <w:bookmarkEnd w:id="650"/>
      <w:bookmarkEnd w:id="651"/>
    </w:p>
    <w:p w14:paraId="3DBB92A3" w14:textId="27CE7D9F" w:rsidR="00CC4E3D" w:rsidRPr="0089638B" w:rsidRDefault="00A75A0C" w:rsidP="00CC4E3D">
      <w:pPr>
        <w:pStyle w:val="FigureCaption"/>
        <w:rPr>
          <w:b w:val="0"/>
          <w:noProof/>
          <w:color w:val="FFFFFF" w:themeColor="background1"/>
          <w:lang w:eastAsia="en-AU"/>
        </w:rPr>
      </w:pPr>
      <w:r w:rsidRPr="0089638B">
        <w:rPr>
          <w:noProof/>
          <w:color w:val="FFFFFF" w:themeColor="background1"/>
          <w:lang w:eastAsia="en-AU"/>
        </w:rPr>
        <w:drawing>
          <wp:anchor distT="0" distB="0" distL="114300" distR="114300" simplePos="0" relativeHeight="251655168" behindDoc="0" locked="0" layoutInCell="1" allowOverlap="1" wp14:anchorId="5AB94446" wp14:editId="301B3442">
            <wp:simplePos x="0" y="0"/>
            <wp:positionH relativeFrom="margin">
              <wp:align>left</wp:align>
            </wp:positionH>
            <wp:positionV relativeFrom="paragraph">
              <wp:posOffset>4445</wp:posOffset>
            </wp:positionV>
            <wp:extent cx="5180877" cy="7227736"/>
            <wp:effectExtent l="0" t="0" r="1270" b="0"/>
            <wp:wrapNone/>
            <wp:docPr id="26" name="Picture 26" descr="Diagrammatic representation of breakdown of participation in activity types and subtypes. [Details in text behind 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D.1.png"/>
                    <pic:cNvPicPr/>
                  </pic:nvPicPr>
                  <pic:blipFill>
                    <a:blip r:embed="rId74">
                      <a:extLst>
                        <a:ext uri="{28A0092B-C50C-407E-A947-70E740481C1C}">
                          <a14:useLocalDpi xmlns:a14="http://schemas.microsoft.com/office/drawing/2010/main" val="0"/>
                        </a:ext>
                      </a:extLst>
                    </a:blip>
                    <a:stretch>
                      <a:fillRect/>
                    </a:stretch>
                  </pic:blipFill>
                  <pic:spPr>
                    <a:xfrm>
                      <a:off x="0" y="0"/>
                      <a:ext cx="5180877" cy="7227736"/>
                    </a:xfrm>
                    <a:prstGeom prst="rect">
                      <a:avLst/>
                    </a:prstGeom>
                  </pic:spPr>
                </pic:pic>
              </a:graphicData>
            </a:graphic>
            <wp14:sizeRelH relativeFrom="margin">
              <wp14:pctWidth>0</wp14:pctWidth>
            </wp14:sizeRelH>
            <wp14:sizeRelV relativeFrom="margin">
              <wp14:pctHeight>0</wp14:pctHeight>
            </wp14:sizeRelV>
          </wp:anchor>
        </w:drawing>
      </w:r>
      <w:r w:rsidR="00CC4E3D" w:rsidRPr="0089638B">
        <w:rPr>
          <w:b w:val="0"/>
          <w:noProof/>
          <w:color w:val="FFFFFF" w:themeColor="background1"/>
          <w:lang w:eastAsia="en-AU"/>
        </w:rPr>
        <w:t>Row 1: 14,590 participants commenced in TtW.</w:t>
      </w:r>
    </w:p>
    <w:p w14:paraId="5FF55B8B" w14:textId="7CC0A2D7" w:rsidR="00CC4E3D" w:rsidRPr="0089638B" w:rsidRDefault="00CC4E3D" w:rsidP="00CC4E3D">
      <w:pPr>
        <w:pStyle w:val="FigureCaption"/>
        <w:rPr>
          <w:b w:val="0"/>
          <w:noProof/>
          <w:color w:val="FFFFFF" w:themeColor="background1"/>
          <w:lang w:eastAsia="en-AU"/>
        </w:rPr>
      </w:pPr>
      <w:r w:rsidRPr="0089638B">
        <w:rPr>
          <w:b w:val="0"/>
          <w:noProof/>
          <w:color w:val="FFFFFF" w:themeColor="background1"/>
          <w:lang w:eastAsia="en-AU"/>
        </w:rPr>
        <w:t>Row 2: 5646 (or 39%) had confirmed placements in 11,124 activities during the study period.</w:t>
      </w:r>
    </w:p>
    <w:p w14:paraId="62C5C5A6" w14:textId="780D0D91" w:rsidR="00CC4E3D" w:rsidRPr="0089638B" w:rsidRDefault="00CC4E3D" w:rsidP="00CC4E3D">
      <w:pPr>
        <w:pStyle w:val="FigureCaption"/>
        <w:rPr>
          <w:b w:val="0"/>
          <w:noProof/>
          <w:color w:val="FFFFFF" w:themeColor="background1"/>
          <w:lang w:eastAsia="en-AU"/>
        </w:rPr>
      </w:pPr>
      <w:r w:rsidRPr="0089638B">
        <w:rPr>
          <w:b w:val="0"/>
          <w:noProof/>
          <w:color w:val="FFFFFF" w:themeColor="background1"/>
          <w:lang w:eastAsia="en-AU"/>
        </w:rPr>
        <w:t>Row 3: Activity types: 3699 were accredited education and training (vocational) activities (type 1); 425 were other government programs activities (type 2); 4903 were non-accredited education and training (vocational) activities (type 3); 2097 were other activity types (type 4).</w:t>
      </w:r>
    </w:p>
    <w:p w14:paraId="583C6F8F" w14:textId="0CB7743A" w:rsidR="00CC4E3D" w:rsidRPr="0089638B" w:rsidRDefault="00CC4E3D" w:rsidP="00CC4E3D">
      <w:pPr>
        <w:pStyle w:val="FigureCaption"/>
        <w:rPr>
          <w:b w:val="0"/>
          <w:noProof/>
          <w:color w:val="FFFFFF" w:themeColor="background1"/>
          <w:lang w:eastAsia="en-AU"/>
        </w:rPr>
      </w:pPr>
      <w:r w:rsidRPr="0089638B">
        <w:rPr>
          <w:b w:val="0"/>
          <w:noProof/>
          <w:color w:val="FFFFFF" w:themeColor="background1"/>
          <w:lang w:eastAsia="en-AU"/>
        </w:rPr>
        <w:t>Row 4: Education activity subtypes.</w:t>
      </w:r>
    </w:p>
    <w:p w14:paraId="21909D43" w14:textId="041E6878" w:rsidR="00CC4E3D" w:rsidRPr="0089638B" w:rsidRDefault="00CC4E3D" w:rsidP="00CC4E3D">
      <w:pPr>
        <w:pStyle w:val="FigureCaption"/>
        <w:rPr>
          <w:b w:val="0"/>
          <w:noProof/>
          <w:color w:val="FFFFFF" w:themeColor="background1"/>
          <w:lang w:eastAsia="en-AU"/>
        </w:rPr>
      </w:pPr>
      <w:r w:rsidRPr="0089638B">
        <w:rPr>
          <w:b w:val="0"/>
          <w:noProof/>
          <w:color w:val="FFFFFF" w:themeColor="background1"/>
          <w:lang w:eastAsia="en-AU"/>
        </w:rPr>
        <w:t>1. For accredited education and training, the subtypes are: Certificate I, Certificate II, Certificate III, Certificate IV, Diploma, Primary school, Secondary school, Accredited units including training for tickets or licences, Accredited skill set, Accredited units—LLN, Certificate I — LLN, Certificate II — LLN, Certificate III — LLN, Certificate IV — LLN, Advanced diploma, Associate degree, Bachelor degree.</w:t>
      </w:r>
    </w:p>
    <w:p w14:paraId="43EDE4C9" w14:textId="17735498" w:rsidR="00CC4E3D" w:rsidRPr="0089638B" w:rsidRDefault="00CC4E3D" w:rsidP="00CC4E3D">
      <w:pPr>
        <w:pStyle w:val="FigureCaption"/>
        <w:rPr>
          <w:b w:val="0"/>
          <w:noProof/>
          <w:color w:val="FFFFFF" w:themeColor="background1"/>
          <w:lang w:eastAsia="en-AU"/>
        </w:rPr>
      </w:pPr>
      <w:r w:rsidRPr="0089638B">
        <w:rPr>
          <w:b w:val="0"/>
          <w:noProof/>
          <w:color w:val="FFFFFF" w:themeColor="background1"/>
          <w:lang w:eastAsia="en-AU"/>
        </w:rPr>
        <w:t>2. For other government programs the subtypes are: Adult Migrant English Program, Skills for Education and Employment, Vocational, training and employment centres, Australian Apprenticeships Support Network, Innovative Community Action Networks —flexible, Skilling Queenslanders — community work skills, Empowering YOUth Initiatives, Other government programs.</w:t>
      </w:r>
    </w:p>
    <w:p w14:paraId="186EDDDF" w14:textId="24D18A1D" w:rsidR="00CC4E3D" w:rsidRPr="0089638B" w:rsidRDefault="00CC4E3D" w:rsidP="00CC4E3D">
      <w:pPr>
        <w:pStyle w:val="FigureCaption"/>
        <w:rPr>
          <w:b w:val="0"/>
          <w:noProof/>
          <w:color w:val="FFFFFF" w:themeColor="background1"/>
          <w:lang w:eastAsia="en-AU"/>
        </w:rPr>
      </w:pPr>
      <w:r w:rsidRPr="0089638B">
        <w:rPr>
          <w:b w:val="0"/>
          <w:noProof/>
          <w:color w:val="FFFFFF" w:themeColor="background1"/>
          <w:lang w:eastAsia="en-AU"/>
        </w:rPr>
        <w:t>3. For non-accredited vocational activities the subtypes are: Adult Migrant English Program, Skills for Education and Employment, Vocational, training and employment centres, Australian Apprenticeships Support Network, Innovative Community Action Networks — flexible, Skilling Queenslanders — community work skills, Empowering YOUth Initiatives, Other government programs.</w:t>
      </w:r>
    </w:p>
    <w:p w14:paraId="7042683C" w14:textId="77777777" w:rsidR="00CC4E3D" w:rsidRPr="0089638B" w:rsidRDefault="00CC4E3D" w:rsidP="00CC4E3D">
      <w:pPr>
        <w:pStyle w:val="FigureCaption"/>
        <w:rPr>
          <w:b w:val="0"/>
          <w:noProof/>
          <w:color w:val="FFFFFF" w:themeColor="background1"/>
          <w:lang w:eastAsia="en-AU"/>
        </w:rPr>
      </w:pPr>
      <w:r w:rsidRPr="0089638B">
        <w:rPr>
          <w:b w:val="0"/>
          <w:noProof/>
          <w:color w:val="FFFFFF" w:themeColor="background1"/>
          <w:lang w:eastAsia="en-AU"/>
        </w:rPr>
        <w:t>4. For other activity types the subtypes are: Approved non-government programs, Interventions, National Work Experience Programme, Non-vocational assistance, Part-time/casual paid employment, Voluntary work in community/non-profit sector, Work experience (other).</w:t>
      </w:r>
    </w:p>
    <w:p w14:paraId="3EA5B6CA" w14:textId="77777777" w:rsidR="00CC4E3D" w:rsidRPr="0089638B" w:rsidRDefault="00CC4E3D" w:rsidP="00CC4E3D">
      <w:pPr>
        <w:pStyle w:val="FigureCaption"/>
        <w:rPr>
          <w:b w:val="0"/>
          <w:noProof/>
          <w:color w:val="FFFFFF" w:themeColor="background1"/>
          <w:lang w:eastAsia="en-AU"/>
        </w:rPr>
      </w:pPr>
      <w:r w:rsidRPr="0089638B">
        <w:rPr>
          <w:b w:val="0"/>
          <w:noProof/>
          <w:color w:val="FFFFFF" w:themeColor="background1"/>
          <w:lang w:eastAsia="en-AU"/>
        </w:rPr>
        <w:t>Row 5: Approved for education outcome. These are subsets of type 1 and type 2 activities:</w:t>
      </w:r>
    </w:p>
    <w:p w14:paraId="766239EC" w14:textId="77777777" w:rsidR="00CC4E3D" w:rsidRPr="0089638B" w:rsidRDefault="00CC4E3D" w:rsidP="00CC4E3D">
      <w:pPr>
        <w:pStyle w:val="FigureCaption"/>
        <w:rPr>
          <w:b w:val="0"/>
          <w:noProof/>
          <w:color w:val="FFFFFF" w:themeColor="background1"/>
          <w:lang w:eastAsia="en-AU"/>
        </w:rPr>
      </w:pPr>
      <w:r w:rsidRPr="0089638B">
        <w:rPr>
          <w:b w:val="0"/>
          <w:noProof/>
          <w:color w:val="FFFFFF" w:themeColor="background1"/>
          <w:lang w:eastAsia="en-AU"/>
        </w:rPr>
        <w:t>For type 1: Certificate III, Certificate IV, Diploma, Primary school, Secondary school, Certificate III — LLN, Certificate IV — LLN.</w:t>
      </w:r>
    </w:p>
    <w:p w14:paraId="31550B12" w14:textId="77777777" w:rsidR="00CC4E3D" w:rsidRPr="0089638B" w:rsidRDefault="00CC4E3D" w:rsidP="00CC4E3D">
      <w:pPr>
        <w:pStyle w:val="FigureCaption"/>
        <w:rPr>
          <w:b w:val="0"/>
          <w:noProof/>
          <w:color w:val="FFFFFF" w:themeColor="background1"/>
          <w:lang w:eastAsia="en-AU"/>
        </w:rPr>
      </w:pPr>
      <w:r w:rsidRPr="0089638B">
        <w:rPr>
          <w:b w:val="0"/>
          <w:noProof/>
          <w:color w:val="FFFFFF" w:themeColor="background1"/>
          <w:lang w:eastAsia="en-AU"/>
        </w:rPr>
        <w:t>For type 2: Advanced diploma, Associate degree, Bachelor degree Adult Migrant English Program, Skills for Education and Employment.</w:t>
      </w:r>
    </w:p>
    <w:p w14:paraId="26968097" w14:textId="77777777" w:rsidR="00CC4E3D" w:rsidRPr="00BF038B" w:rsidRDefault="00CC4E3D" w:rsidP="00CC4E3D">
      <w:pPr>
        <w:rPr>
          <w:color w:val="F2F2F2" w:themeColor="background2"/>
        </w:rPr>
        <w:sectPr w:rsidR="00CC4E3D" w:rsidRPr="00BF038B" w:rsidSect="00CC4E3D">
          <w:footnotePr>
            <w:numFmt w:val="lowerRoman"/>
          </w:footnotePr>
          <w:type w:val="continuous"/>
          <w:pgSz w:w="11906" w:h="16838"/>
          <w:pgMar w:top="1985" w:right="1440" w:bottom="1701" w:left="1440" w:header="709" w:footer="284" w:gutter="0"/>
          <w:cols w:space="720"/>
        </w:sectPr>
      </w:pPr>
      <w:r w:rsidRPr="0089638B">
        <w:rPr>
          <w:noProof/>
          <w:color w:val="FFFFFF" w:themeColor="background1"/>
          <w:lang w:eastAsia="en-AU"/>
        </w:rPr>
        <w:t>Row 6: 3053 activity placements qualify for education outcomes that count towards annual outcome performance targets.</w:t>
      </w:r>
    </w:p>
    <w:p w14:paraId="76CFEC88" w14:textId="77777777" w:rsidR="00CC4E3D" w:rsidRDefault="00CC4E3D" w:rsidP="00CC4E3D">
      <w:pPr>
        <w:pStyle w:val="Heading1"/>
      </w:pPr>
      <w:bookmarkStart w:id="652" w:name="_Toc509402647"/>
      <w:bookmarkStart w:id="653" w:name="_Toc535498946"/>
      <w:bookmarkStart w:id="654" w:name="_Toc23841426"/>
      <w:r>
        <w:lastRenderedPageBreak/>
        <w:t>Appendix F — Labour market attachment and positive outcome measures</w:t>
      </w:r>
      <w:bookmarkEnd w:id="652"/>
      <w:bookmarkEnd w:id="653"/>
      <w:bookmarkEnd w:id="654"/>
    </w:p>
    <w:p w14:paraId="21B208C8" w14:textId="77777777" w:rsidR="00CC4E3D" w:rsidRPr="001F4939" w:rsidRDefault="00CC4E3D" w:rsidP="001F4939">
      <w:pPr>
        <w:pStyle w:val="Heading2"/>
      </w:pPr>
      <w:bookmarkStart w:id="655" w:name="_Toc509402648"/>
      <w:bookmarkStart w:id="656" w:name="_Toc535498947"/>
      <w:bookmarkStart w:id="657" w:name="_Toc23841427"/>
      <w:r w:rsidRPr="001F4939">
        <w:t>Constructing the labour market attachment measure</w:t>
      </w:r>
      <w:bookmarkEnd w:id="655"/>
      <w:bookmarkEnd w:id="656"/>
      <w:bookmarkEnd w:id="657"/>
    </w:p>
    <w:p w14:paraId="46079F5F" w14:textId="77777777" w:rsidR="00CC4E3D" w:rsidRDefault="00CC4E3D" w:rsidP="00CC4E3D">
      <w:r>
        <w:t xml:space="preserve">The labour market attachment indicator constructed for the TtW and jobactive matched populations is based on the following criteria: </w:t>
      </w:r>
    </w:p>
    <w:p w14:paraId="2D79DAA0" w14:textId="77777777" w:rsidR="00CC4E3D" w:rsidRDefault="00CC4E3D" w:rsidP="00E803E7">
      <w:pPr>
        <w:pStyle w:val="ListBullet"/>
      </w:pPr>
      <w:r>
        <w:t>earnings reported to DHS</w:t>
      </w:r>
    </w:p>
    <w:p w14:paraId="36C5012B" w14:textId="77777777" w:rsidR="00CC4E3D" w:rsidRDefault="00CC4E3D" w:rsidP="00E803E7">
      <w:pPr>
        <w:pStyle w:val="ListBullet"/>
      </w:pPr>
      <w:r>
        <w:t>reduction in base rate of income support payment recorded in DHS administrative data</w:t>
      </w:r>
    </w:p>
    <w:p w14:paraId="3ECAAEAE" w14:textId="77777777" w:rsidR="00CC4E3D" w:rsidRDefault="00CC4E3D" w:rsidP="00E803E7">
      <w:pPr>
        <w:pStyle w:val="ListBullet"/>
      </w:pPr>
      <w:r>
        <w:t>periods of no income support payment recorded in DHS administrative data following receipt of 100 per cent of base payment rate</w:t>
      </w:r>
    </w:p>
    <w:p w14:paraId="009C1DCF" w14:textId="41FEEBC5" w:rsidR="00CC4E3D" w:rsidRDefault="00CC4E3D" w:rsidP="00E803E7">
      <w:pPr>
        <w:pStyle w:val="ListBullet"/>
      </w:pPr>
      <w:r>
        <w:t xml:space="preserve">part-time/casual employment recorded as an activity in the </w:t>
      </w:r>
      <w:r w:rsidR="00AC1C42">
        <w:t>d</w:t>
      </w:r>
      <w:r>
        <w:t>epartment’s IT system</w:t>
      </w:r>
    </w:p>
    <w:p w14:paraId="00304474" w14:textId="774B63F2" w:rsidR="00CC4E3D" w:rsidRDefault="00CC4E3D" w:rsidP="00E803E7">
      <w:pPr>
        <w:pStyle w:val="ListBullet"/>
      </w:pPr>
      <w:r>
        <w:t xml:space="preserve">a job placement recorded as confirmed in the </w:t>
      </w:r>
      <w:r w:rsidR="00AC1C42">
        <w:t>d</w:t>
      </w:r>
      <w:r>
        <w:t>epartment’s IT system.</w:t>
      </w:r>
    </w:p>
    <w:p w14:paraId="56BEB6BC" w14:textId="77777777" w:rsidR="00CC4E3D" w:rsidRDefault="00CC4E3D" w:rsidP="00CC4E3D">
      <w:pPr>
        <w:rPr>
          <w:rFonts w:cstheme="minorHAnsi"/>
        </w:rPr>
      </w:pPr>
      <w:r>
        <w:rPr>
          <w:rFonts w:cstheme="minorHAnsi"/>
        </w:rPr>
        <w:t xml:space="preserve">The evaluation tracked these criteria for each participant across the study period (as described in </w:t>
      </w:r>
      <w:r>
        <w:rPr>
          <w:rFonts w:cstheme="minorHAnsi"/>
          <w:b/>
        </w:rPr>
        <w:t>Appendix D</w:t>
      </w:r>
      <w:r>
        <w:rPr>
          <w:rFonts w:cstheme="minorHAnsi"/>
        </w:rPr>
        <w:t xml:space="preserve">). If any of the criteria were satisfied during the tracking period, the participant was judged to have engaged in some paid work and was allocated a labour market attachment indicator equal to 1. If there was no evidence of paid work across all of the criteria, the labour market attachment indicator was set to 0. A more detailed analysis of some of these criteria across the study period is in </w:t>
      </w:r>
      <w:r>
        <w:rPr>
          <w:rFonts w:cstheme="minorHAnsi"/>
          <w:b/>
        </w:rPr>
        <w:t>Appendix H</w:t>
      </w:r>
      <w:r>
        <w:rPr>
          <w:rFonts w:cstheme="minorHAnsi"/>
        </w:rPr>
        <w:t>.</w:t>
      </w:r>
    </w:p>
    <w:p w14:paraId="6D753028" w14:textId="77777777" w:rsidR="00CC4E3D" w:rsidRPr="001F4939" w:rsidRDefault="00CC4E3D" w:rsidP="001F4939">
      <w:pPr>
        <w:pStyle w:val="Heading2"/>
      </w:pPr>
      <w:bookmarkStart w:id="658" w:name="_Toc509402649"/>
      <w:bookmarkStart w:id="659" w:name="_Toc535498948"/>
      <w:bookmarkStart w:id="660" w:name="_Toc23841428"/>
      <w:r w:rsidRPr="001F4939">
        <w:t>Logistic regression modelling</w:t>
      </w:r>
      <w:bookmarkEnd w:id="658"/>
      <w:bookmarkEnd w:id="659"/>
      <w:bookmarkEnd w:id="660"/>
    </w:p>
    <w:p w14:paraId="43C56B83" w14:textId="77777777" w:rsidR="00CC4E3D" w:rsidRDefault="00CC4E3D" w:rsidP="00CC4E3D">
      <w:pPr>
        <w:rPr>
          <w:rFonts w:cstheme="minorHAnsi"/>
        </w:rPr>
      </w:pPr>
      <w:r>
        <w:rPr>
          <w:rFonts w:cstheme="minorHAnsi"/>
        </w:rPr>
        <w:t>Logistic regression modelling was used to estimate the likelihood of TtW participants being engaged in the labour market compared with job seekers in the matched jobactive population. The modelling controlled for a range of job seeker characteristics. The 20 variables tested in the logistic models were:</w:t>
      </w:r>
    </w:p>
    <w:p w14:paraId="07BA5989" w14:textId="77777777" w:rsidR="00CC4E3D" w:rsidRPr="00261492" w:rsidRDefault="00CC4E3D" w:rsidP="00BB5489">
      <w:pPr>
        <w:pStyle w:val="ListBullet"/>
        <w:ind w:left="357" w:hanging="357"/>
        <w:contextualSpacing/>
      </w:pPr>
      <w:r w:rsidRPr="00261492">
        <w:t>Program name</w:t>
      </w:r>
      <w:r>
        <w:t xml:space="preserve"> — </w:t>
      </w:r>
      <w:r w:rsidRPr="00261492">
        <w:t xml:space="preserve">TtW or jobactive </w:t>
      </w:r>
    </w:p>
    <w:p w14:paraId="13098130" w14:textId="77777777" w:rsidR="00CC4E3D" w:rsidRPr="00261492" w:rsidRDefault="00CC4E3D" w:rsidP="00BB5489">
      <w:pPr>
        <w:pStyle w:val="ListBullet"/>
        <w:ind w:left="357" w:hanging="357"/>
        <w:contextualSpacing/>
      </w:pPr>
      <w:r w:rsidRPr="00261492">
        <w:t>Gender</w:t>
      </w:r>
    </w:p>
    <w:p w14:paraId="6EADCC8D" w14:textId="77777777" w:rsidR="00CC4E3D" w:rsidRPr="00261492" w:rsidRDefault="00CC4E3D" w:rsidP="00BB5489">
      <w:pPr>
        <w:pStyle w:val="ListBullet"/>
        <w:ind w:left="357" w:hanging="357"/>
        <w:contextualSpacing/>
      </w:pPr>
      <w:r w:rsidRPr="00261492">
        <w:t>Age at referral</w:t>
      </w:r>
    </w:p>
    <w:p w14:paraId="1C8D2D51" w14:textId="77777777" w:rsidR="00CC4E3D" w:rsidRPr="00261492" w:rsidRDefault="00CC4E3D" w:rsidP="00BB5489">
      <w:pPr>
        <w:pStyle w:val="ListBullet"/>
        <w:ind w:left="357" w:hanging="357"/>
        <w:contextualSpacing/>
      </w:pPr>
      <w:r w:rsidRPr="005B7B50">
        <w:t>JSCI</w:t>
      </w:r>
      <w:r>
        <w:t xml:space="preserve"> — </w:t>
      </w:r>
      <w:r w:rsidRPr="00261492">
        <w:t>Access to transport</w:t>
      </w:r>
    </w:p>
    <w:p w14:paraId="6F104C12" w14:textId="77777777" w:rsidR="00CC4E3D" w:rsidRPr="00261492" w:rsidRDefault="00CC4E3D" w:rsidP="00BB5489">
      <w:pPr>
        <w:pStyle w:val="ListBullet"/>
        <w:ind w:left="357" w:hanging="357"/>
        <w:contextualSpacing/>
      </w:pPr>
      <w:r w:rsidRPr="00261492">
        <w:t>JSCI</w:t>
      </w:r>
      <w:r>
        <w:t xml:space="preserve"> — </w:t>
      </w:r>
      <w:r w:rsidRPr="00261492">
        <w:t>Self</w:t>
      </w:r>
      <w:r>
        <w:t>-</w:t>
      </w:r>
      <w:r w:rsidRPr="00261492">
        <w:t xml:space="preserve">reported Indigenous status </w:t>
      </w:r>
    </w:p>
    <w:p w14:paraId="5F4351F6" w14:textId="77777777" w:rsidR="00CC4E3D" w:rsidRPr="00261492" w:rsidRDefault="00CC4E3D" w:rsidP="00BB5489">
      <w:pPr>
        <w:pStyle w:val="ListBullet"/>
        <w:ind w:left="357" w:hanging="357"/>
        <w:contextualSpacing/>
      </w:pPr>
      <w:r w:rsidRPr="00261492">
        <w:t>JSCI</w:t>
      </w:r>
      <w:r>
        <w:t xml:space="preserve"> — </w:t>
      </w:r>
      <w:r w:rsidRPr="00261492">
        <w:t xml:space="preserve">Income support and crisis payment </w:t>
      </w:r>
    </w:p>
    <w:p w14:paraId="34AC3B49" w14:textId="77777777" w:rsidR="00CC4E3D" w:rsidRPr="00261492" w:rsidRDefault="00CC4E3D" w:rsidP="00BB5489">
      <w:pPr>
        <w:pStyle w:val="ListBullet"/>
        <w:ind w:left="357" w:hanging="357"/>
        <w:contextualSpacing/>
      </w:pPr>
      <w:r w:rsidRPr="00261492">
        <w:t>JSCI</w:t>
      </w:r>
      <w:r>
        <w:t xml:space="preserve"> — </w:t>
      </w:r>
      <w:r w:rsidRPr="00261492">
        <w:t>Country of birth</w:t>
      </w:r>
    </w:p>
    <w:p w14:paraId="4E6B2F18" w14:textId="77777777" w:rsidR="00CC4E3D" w:rsidRPr="00261492" w:rsidRDefault="00CC4E3D" w:rsidP="00BB5489">
      <w:pPr>
        <w:pStyle w:val="ListBullet"/>
        <w:ind w:left="357" w:hanging="357"/>
        <w:contextualSpacing/>
      </w:pPr>
      <w:r w:rsidRPr="00261492">
        <w:t>JSCI</w:t>
      </w:r>
      <w:r>
        <w:t xml:space="preserve"> — </w:t>
      </w:r>
      <w:r w:rsidRPr="00261492">
        <w:t>Disability/mental condition</w:t>
      </w:r>
    </w:p>
    <w:p w14:paraId="00FA81D1" w14:textId="77777777" w:rsidR="00CC4E3D" w:rsidRPr="00261492" w:rsidRDefault="00CC4E3D" w:rsidP="00BB5489">
      <w:pPr>
        <w:pStyle w:val="ListBullet"/>
        <w:ind w:left="357" w:hanging="357"/>
        <w:contextualSpacing/>
      </w:pPr>
      <w:r w:rsidRPr="00261492">
        <w:t>JSCI</w:t>
      </w:r>
      <w:r>
        <w:t xml:space="preserve"> — </w:t>
      </w:r>
      <w:r w:rsidRPr="00261492">
        <w:t>Duration on income support</w:t>
      </w:r>
    </w:p>
    <w:p w14:paraId="2552D717" w14:textId="77777777" w:rsidR="00CC4E3D" w:rsidRPr="00261492" w:rsidRDefault="00CC4E3D" w:rsidP="00BB5489">
      <w:pPr>
        <w:pStyle w:val="ListBullet"/>
        <w:ind w:left="357" w:hanging="357"/>
        <w:contextualSpacing/>
      </w:pPr>
      <w:r w:rsidRPr="00261492">
        <w:t>JSCI</w:t>
      </w:r>
      <w:r>
        <w:t xml:space="preserve"> — </w:t>
      </w:r>
      <w:r w:rsidRPr="00261492">
        <w:t xml:space="preserve">Educational attainment </w:t>
      </w:r>
    </w:p>
    <w:p w14:paraId="76124E9E" w14:textId="77777777" w:rsidR="00CC4E3D" w:rsidRPr="00261492" w:rsidRDefault="00CC4E3D" w:rsidP="00BB5489">
      <w:pPr>
        <w:pStyle w:val="ListBullet"/>
        <w:ind w:left="357" w:hanging="357"/>
        <w:contextualSpacing/>
      </w:pPr>
      <w:r w:rsidRPr="00261492">
        <w:t>JSCI</w:t>
      </w:r>
      <w:r>
        <w:t xml:space="preserve"> — </w:t>
      </w:r>
      <w:r w:rsidRPr="00261492">
        <w:t>English language and literacy</w:t>
      </w:r>
    </w:p>
    <w:p w14:paraId="375EF0C2" w14:textId="77777777" w:rsidR="00CC4E3D" w:rsidRPr="00261492" w:rsidRDefault="00CC4E3D" w:rsidP="00BB5489">
      <w:pPr>
        <w:pStyle w:val="ListBullet"/>
        <w:ind w:left="357" w:hanging="357"/>
        <w:contextualSpacing/>
      </w:pPr>
      <w:r w:rsidRPr="00261492">
        <w:t>JSCI</w:t>
      </w:r>
      <w:r>
        <w:t xml:space="preserve"> — </w:t>
      </w:r>
      <w:r w:rsidRPr="00261492">
        <w:t>Criminal conviction</w:t>
      </w:r>
    </w:p>
    <w:p w14:paraId="50470D2E" w14:textId="77777777" w:rsidR="00CC4E3D" w:rsidRPr="00261492" w:rsidRDefault="00CC4E3D" w:rsidP="00BB5489">
      <w:pPr>
        <w:pStyle w:val="ListBullet"/>
        <w:ind w:left="357" w:hanging="357"/>
        <w:contextualSpacing/>
      </w:pPr>
      <w:r w:rsidRPr="00261492">
        <w:lastRenderedPageBreak/>
        <w:t>JSCI</w:t>
      </w:r>
      <w:r>
        <w:t xml:space="preserve"> — </w:t>
      </w:r>
      <w:r w:rsidRPr="00261492">
        <w:t xml:space="preserve">Family status </w:t>
      </w:r>
    </w:p>
    <w:p w14:paraId="50D17B39" w14:textId="77777777" w:rsidR="00CC4E3D" w:rsidRPr="00261492" w:rsidRDefault="00CC4E3D" w:rsidP="00BB5489">
      <w:pPr>
        <w:pStyle w:val="ListBullet"/>
        <w:ind w:left="357" w:hanging="357"/>
        <w:contextualSpacing/>
      </w:pPr>
      <w:r w:rsidRPr="00261492">
        <w:t>JSCI</w:t>
      </w:r>
      <w:r>
        <w:t xml:space="preserve"> — </w:t>
      </w:r>
      <w:r w:rsidRPr="00261492">
        <w:t>Proximity to labour market</w:t>
      </w:r>
    </w:p>
    <w:p w14:paraId="0F710790" w14:textId="77777777" w:rsidR="00CC4E3D" w:rsidRPr="00261492" w:rsidRDefault="00CC4E3D" w:rsidP="00BB5489">
      <w:pPr>
        <w:pStyle w:val="ListBullet"/>
        <w:ind w:left="357" w:hanging="357"/>
        <w:contextualSpacing/>
      </w:pPr>
      <w:r w:rsidRPr="00261492">
        <w:t>JSCI</w:t>
      </w:r>
      <w:r>
        <w:t xml:space="preserve"> — </w:t>
      </w:r>
      <w:r w:rsidRPr="00261492">
        <w:t>Vocational qualification</w:t>
      </w:r>
    </w:p>
    <w:p w14:paraId="7E3BC838" w14:textId="77777777" w:rsidR="00CC4E3D" w:rsidRPr="00261492" w:rsidRDefault="00CC4E3D" w:rsidP="00BB5489">
      <w:pPr>
        <w:pStyle w:val="ListBullet"/>
        <w:ind w:left="357" w:hanging="357"/>
        <w:contextualSpacing/>
      </w:pPr>
      <w:r w:rsidRPr="00261492">
        <w:t>JSCI</w:t>
      </w:r>
      <w:r>
        <w:t xml:space="preserve"> — </w:t>
      </w:r>
      <w:r w:rsidRPr="00261492">
        <w:t>Stability of residence</w:t>
      </w:r>
    </w:p>
    <w:p w14:paraId="567D134A" w14:textId="77777777" w:rsidR="00CC4E3D" w:rsidRPr="00261492" w:rsidRDefault="00CC4E3D" w:rsidP="00BB5489">
      <w:pPr>
        <w:pStyle w:val="ListBullet"/>
        <w:ind w:left="357" w:hanging="357"/>
        <w:contextualSpacing/>
      </w:pPr>
      <w:r w:rsidRPr="00261492">
        <w:t>JSCI</w:t>
      </w:r>
      <w:r>
        <w:t xml:space="preserve"> — </w:t>
      </w:r>
      <w:r w:rsidRPr="00261492">
        <w:t>Working experience</w:t>
      </w:r>
    </w:p>
    <w:p w14:paraId="1759DCF8" w14:textId="77777777" w:rsidR="00CC4E3D" w:rsidRPr="00261492" w:rsidRDefault="00CC4E3D" w:rsidP="00BB5489">
      <w:pPr>
        <w:pStyle w:val="ListBullet"/>
        <w:ind w:left="357" w:hanging="357"/>
        <w:contextualSpacing/>
      </w:pPr>
      <w:r w:rsidRPr="00261492">
        <w:t xml:space="preserve">On income support during month of referral </w:t>
      </w:r>
    </w:p>
    <w:p w14:paraId="6D7EDCD3" w14:textId="77777777" w:rsidR="00CC4E3D" w:rsidRPr="00261492" w:rsidRDefault="00CC4E3D" w:rsidP="00BB5489">
      <w:pPr>
        <w:pStyle w:val="ListBullet"/>
        <w:ind w:left="357" w:hanging="357"/>
        <w:contextualSpacing/>
      </w:pPr>
      <w:r w:rsidRPr="00261492">
        <w:t>Income reported to Centrelink</w:t>
      </w:r>
      <w:r>
        <w:softHyphen/>
        <w:t xml:space="preserve"> a</w:t>
      </w:r>
      <w:r w:rsidRPr="00261492">
        <w:t>t referral</w:t>
      </w:r>
    </w:p>
    <w:p w14:paraId="36EA767A" w14:textId="77777777" w:rsidR="00CC4E3D" w:rsidRPr="00514077" w:rsidRDefault="00CC4E3D" w:rsidP="00BB5489">
      <w:pPr>
        <w:pStyle w:val="ListBullet"/>
        <w:ind w:left="357" w:hanging="357"/>
        <w:contextualSpacing/>
        <w:rPr>
          <w:rFonts w:cstheme="minorHAnsi"/>
        </w:rPr>
      </w:pPr>
      <w:r w:rsidRPr="00261492">
        <w:t>Placed in outcome qualifying education activity during month</w:t>
      </w:r>
      <w:r>
        <w:t>s</w:t>
      </w:r>
      <w:r w:rsidRPr="00261492">
        <w:t xml:space="preserve"> 1</w:t>
      </w:r>
      <w:r>
        <w:t>–</w:t>
      </w:r>
      <w:r w:rsidRPr="00261492">
        <w:t xml:space="preserve">6 </w:t>
      </w:r>
      <w:r>
        <w:t xml:space="preserve">of </w:t>
      </w:r>
      <w:r w:rsidRPr="00261492">
        <w:t>participation</w:t>
      </w:r>
      <w:r>
        <w:t>.</w:t>
      </w:r>
    </w:p>
    <w:p w14:paraId="5BCFE87B" w14:textId="77777777" w:rsidR="00CC4E3D" w:rsidRDefault="00CC4E3D" w:rsidP="00CC4E3D">
      <w:r>
        <w:t>The refined model included the key variables of interests and most influential job seeker characteristics identified by a stepwise selection method. These were:</w:t>
      </w:r>
    </w:p>
    <w:p w14:paraId="52169F6F" w14:textId="77777777" w:rsidR="00CC4E3D" w:rsidRDefault="00CC4E3D" w:rsidP="00BB5489">
      <w:pPr>
        <w:pStyle w:val="ListBullet"/>
        <w:ind w:left="357" w:hanging="357"/>
        <w:contextualSpacing/>
      </w:pPr>
      <w:r w:rsidRPr="008B083A">
        <w:t>Program name</w:t>
      </w:r>
      <w:r>
        <w:t xml:space="preserve"> — </w:t>
      </w:r>
      <w:r w:rsidRPr="008B083A">
        <w:t>TtW or jobactive</w:t>
      </w:r>
    </w:p>
    <w:p w14:paraId="48EF3C9E" w14:textId="77777777" w:rsidR="00CC4E3D" w:rsidRPr="008B083A" w:rsidRDefault="00CC4E3D" w:rsidP="00BB5489">
      <w:pPr>
        <w:pStyle w:val="ListBullet"/>
        <w:ind w:left="357" w:hanging="357"/>
        <w:contextualSpacing/>
      </w:pPr>
      <w:r>
        <w:t>Age</w:t>
      </w:r>
      <w:r w:rsidRPr="008B083A">
        <w:t xml:space="preserve"> </w:t>
      </w:r>
    </w:p>
    <w:p w14:paraId="1CF54454" w14:textId="77777777" w:rsidR="00CC4E3D" w:rsidRPr="008B083A" w:rsidRDefault="00CC4E3D" w:rsidP="00BB5489">
      <w:pPr>
        <w:pStyle w:val="ListBullet"/>
        <w:ind w:left="357" w:hanging="357"/>
        <w:contextualSpacing/>
      </w:pPr>
      <w:r w:rsidRPr="008B083A">
        <w:t>Gender</w:t>
      </w:r>
    </w:p>
    <w:p w14:paraId="084B1692" w14:textId="77777777" w:rsidR="00CC4E3D" w:rsidRPr="008B083A" w:rsidRDefault="00CC4E3D" w:rsidP="00BB5489">
      <w:pPr>
        <w:pStyle w:val="ListBullet"/>
        <w:ind w:left="357" w:hanging="357"/>
        <w:contextualSpacing/>
      </w:pPr>
      <w:r w:rsidRPr="008B083A">
        <w:t>JSCI</w:t>
      </w:r>
      <w:r>
        <w:t xml:space="preserve"> — </w:t>
      </w:r>
      <w:r w:rsidRPr="008B083A">
        <w:t>Access to transport</w:t>
      </w:r>
    </w:p>
    <w:p w14:paraId="43ADA087" w14:textId="77777777" w:rsidR="00CC4E3D" w:rsidRPr="008B083A" w:rsidRDefault="00CC4E3D" w:rsidP="00BB5489">
      <w:pPr>
        <w:pStyle w:val="ListBullet"/>
        <w:ind w:left="357" w:hanging="357"/>
        <w:contextualSpacing/>
      </w:pPr>
      <w:r w:rsidRPr="008B083A">
        <w:t>JSCI</w:t>
      </w:r>
      <w:r>
        <w:t xml:space="preserve"> — </w:t>
      </w:r>
      <w:r w:rsidRPr="008B083A">
        <w:t xml:space="preserve">Self-reported Indigenous status </w:t>
      </w:r>
    </w:p>
    <w:p w14:paraId="76F42B70" w14:textId="77777777" w:rsidR="00CC4E3D" w:rsidRPr="008B083A" w:rsidRDefault="00CC4E3D" w:rsidP="00BB5489">
      <w:pPr>
        <w:pStyle w:val="ListBullet"/>
        <w:ind w:left="357" w:hanging="357"/>
        <w:contextualSpacing/>
      </w:pPr>
      <w:r w:rsidRPr="008B083A">
        <w:t>JSCI</w:t>
      </w:r>
      <w:r>
        <w:t xml:space="preserve"> — </w:t>
      </w:r>
      <w:r w:rsidRPr="008B083A">
        <w:t xml:space="preserve">Income support and crisis payment </w:t>
      </w:r>
    </w:p>
    <w:p w14:paraId="10336412" w14:textId="77777777" w:rsidR="00CC4E3D" w:rsidRDefault="00CC4E3D" w:rsidP="00BB5489">
      <w:pPr>
        <w:pStyle w:val="ListBullet"/>
        <w:ind w:left="357" w:hanging="357"/>
        <w:contextualSpacing/>
      </w:pPr>
      <w:r w:rsidRPr="008B083A">
        <w:t>JSCI</w:t>
      </w:r>
      <w:r>
        <w:t xml:space="preserve"> — </w:t>
      </w:r>
      <w:r w:rsidRPr="008B083A">
        <w:t>Duration on income support</w:t>
      </w:r>
    </w:p>
    <w:p w14:paraId="1E92CE19" w14:textId="77777777" w:rsidR="00CC4E3D" w:rsidRPr="00261492" w:rsidRDefault="00CC4E3D" w:rsidP="00BB5489">
      <w:pPr>
        <w:pStyle w:val="ListBullet"/>
        <w:ind w:left="357" w:hanging="357"/>
        <w:contextualSpacing/>
      </w:pPr>
      <w:r w:rsidRPr="00261492">
        <w:t>JSCI</w:t>
      </w:r>
      <w:r>
        <w:t xml:space="preserve"> — </w:t>
      </w:r>
      <w:r w:rsidRPr="00261492">
        <w:t>Stability of residence</w:t>
      </w:r>
    </w:p>
    <w:p w14:paraId="00F95A78" w14:textId="77777777" w:rsidR="00CC4E3D" w:rsidRPr="00261492" w:rsidRDefault="00CC4E3D" w:rsidP="00BB5489">
      <w:pPr>
        <w:pStyle w:val="ListBullet"/>
        <w:ind w:left="357" w:hanging="357"/>
        <w:contextualSpacing/>
      </w:pPr>
      <w:r w:rsidRPr="00261492">
        <w:t>JSCI</w:t>
      </w:r>
      <w:r>
        <w:t xml:space="preserve"> — </w:t>
      </w:r>
      <w:r w:rsidRPr="00261492">
        <w:t>Disability/mental condition</w:t>
      </w:r>
    </w:p>
    <w:p w14:paraId="791068B6" w14:textId="77777777" w:rsidR="00CC4E3D" w:rsidRPr="008B083A" w:rsidRDefault="00CC4E3D" w:rsidP="00BB5489">
      <w:pPr>
        <w:pStyle w:val="ListBullet"/>
        <w:ind w:left="357" w:hanging="357"/>
        <w:contextualSpacing/>
      </w:pPr>
      <w:r w:rsidRPr="008B083A">
        <w:t>JSCI</w:t>
      </w:r>
      <w:r>
        <w:t xml:space="preserve"> — </w:t>
      </w:r>
      <w:r w:rsidRPr="008B083A">
        <w:t xml:space="preserve">Educational attainment </w:t>
      </w:r>
    </w:p>
    <w:p w14:paraId="058DF406" w14:textId="77777777" w:rsidR="00CC4E3D" w:rsidRPr="008B083A" w:rsidRDefault="00CC4E3D" w:rsidP="00BB5489">
      <w:pPr>
        <w:pStyle w:val="ListBullet"/>
        <w:ind w:left="357" w:hanging="357"/>
        <w:contextualSpacing/>
      </w:pPr>
      <w:r w:rsidRPr="008B083A">
        <w:t>JSCI</w:t>
      </w:r>
      <w:r>
        <w:t xml:space="preserve"> — </w:t>
      </w:r>
      <w:r w:rsidRPr="008B083A">
        <w:t>English language and literacy</w:t>
      </w:r>
    </w:p>
    <w:p w14:paraId="31D74A65" w14:textId="77777777" w:rsidR="00CC4E3D" w:rsidRPr="008B083A" w:rsidRDefault="00CC4E3D" w:rsidP="00BB5489">
      <w:pPr>
        <w:pStyle w:val="ListBullet"/>
        <w:ind w:left="357" w:hanging="357"/>
        <w:contextualSpacing/>
      </w:pPr>
      <w:r w:rsidRPr="008B083A">
        <w:t>JSCI</w:t>
      </w:r>
      <w:r>
        <w:t xml:space="preserve"> — </w:t>
      </w:r>
      <w:r w:rsidRPr="008B083A">
        <w:t>Criminal conviction</w:t>
      </w:r>
    </w:p>
    <w:p w14:paraId="2B4DD1B8" w14:textId="77777777" w:rsidR="00CC4E3D" w:rsidRPr="008B083A" w:rsidRDefault="00CC4E3D" w:rsidP="00BB5489">
      <w:pPr>
        <w:pStyle w:val="ListBullet"/>
        <w:ind w:left="357" w:hanging="357"/>
        <w:contextualSpacing/>
      </w:pPr>
      <w:r w:rsidRPr="008B083A">
        <w:t>JSCI</w:t>
      </w:r>
      <w:r>
        <w:t xml:space="preserve"> — </w:t>
      </w:r>
      <w:r w:rsidRPr="008B083A">
        <w:t>Working experience</w:t>
      </w:r>
    </w:p>
    <w:p w14:paraId="063A629E" w14:textId="77777777" w:rsidR="00F4277E" w:rsidRDefault="00F4277E">
      <w:pPr>
        <w:rPr>
          <w:rFonts w:ascii="Calibri" w:eastAsiaTheme="majorEastAsia" w:hAnsi="Calibri" w:cstheme="majorBidi"/>
          <w:b/>
          <w:bCs/>
          <w:iCs/>
          <w:szCs w:val="32"/>
        </w:rPr>
      </w:pPr>
      <w:bookmarkStart w:id="661" w:name="_Toc509402991"/>
      <w:bookmarkStart w:id="662" w:name="_Toc535511501"/>
      <w:bookmarkStart w:id="663" w:name="_Toc535511561"/>
      <w:bookmarkStart w:id="664" w:name="_Toc535512791"/>
      <w:bookmarkStart w:id="665" w:name="_Toc535513427"/>
      <w:r>
        <w:br w:type="page"/>
      </w:r>
    </w:p>
    <w:p w14:paraId="63734F31" w14:textId="0FA34929" w:rsidR="00CC4E3D" w:rsidRDefault="00CC4E3D" w:rsidP="00FD4CA8">
      <w:pPr>
        <w:pStyle w:val="Caption"/>
      </w:pPr>
      <w:bookmarkStart w:id="666" w:name="_Toc23841449"/>
      <w:r>
        <w:lastRenderedPageBreak/>
        <w:t xml:space="preserve">Table F. </w:t>
      </w:r>
      <w:r>
        <w:rPr>
          <w:noProof/>
        </w:rPr>
        <w:fldChar w:fldCharType="begin"/>
      </w:r>
      <w:r>
        <w:rPr>
          <w:noProof/>
        </w:rPr>
        <w:instrText xml:space="preserve"> SEQ Table_F. \* ARABIC </w:instrText>
      </w:r>
      <w:r>
        <w:rPr>
          <w:noProof/>
        </w:rPr>
        <w:fldChar w:fldCharType="separate"/>
      </w:r>
      <w:r w:rsidR="00D84A2A">
        <w:rPr>
          <w:noProof/>
        </w:rPr>
        <w:t>1</w:t>
      </w:r>
      <w:r>
        <w:rPr>
          <w:noProof/>
        </w:rPr>
        <w:fldChar w:fldCharType="end"/>
      </w:r>
      <w:r>
        <w:tab/>
        <w:t>Logistic regression — labour market attachment</w:t>
      </w:r>
      <w:bookmarkEnd w:id="661"/>
      <w:bookmarkEnd w:id="662"/>
      <w:bookmarkEnd w:id="663"/>
      <w:bookmarkEnd w:id="664"/>
      <w:bookmarkEnd w:id="665"/>
      <w:bookmarkEnd w:id="666"/>
      <w:r>
        <w:t xml:space="preserve"> </w:t>
      </w:r>
    </w:p>
    <w:tbl>
      <w:tblPr>
        <w:tblStyle w:val="JobsTable"/>
        <w:tblW w:w="9105" w:type="dxa"/>
        <w:tblBorders>
          <w:bottom w:val="none" w:sz="0" w:space="0" w:color="auto"/>
        </w:tblBorders>
        <w:tblLayout w:type="fixed"/>
        <w:tblLook w:val="0420" w:firstRow="1" w:lastRow="0" w:firstColumn="0" w:lastColumn="0" w:noHBand="0" w:noVBand="1"/>
        <w:tblDescription w:val="The metrics are odds ratio, lower 95% confidence limit (lower), upper 95% confidence limit (upper).&#10;Results are as follows:&#10;TtW vs jobactive: odds ratio 1.142*; lower 95% confidence limit 1.08; upper 1.208&#10;Age: odds ratio 1.037*; lower 1.015; upper 1.06&#10;Female vs male odds ratio 0.982; lower 0.927; upper 1.04&#10;Declined to answer vs does not identify as Indigenous: odds ratio 0.917; lower 0.783; upper 1.075&#10;Identifies as Indigenous vs does not identify as Indigenous: odds ratio 0.608*; lower 0.559; upper 0.662&#10;Year 12 or above vs below Year 12: odds ratio 1.391*; lower 1.289; upper 1.501&#10;No transport vs public transport: odds ratio 0.857; lower 0.76; upper 0.966&#10;Private transport vs public transport: odds ratio 1.464*; lower 1.379; upper 1.553&#10;Stable residence vs unstable: odds ratio 1.053; lower 0.962; upper 1.153&#10;Work experience — full time vs unpaid part time: odds ratio 1.632*; lower 1.504; upper 1.771&#10;Work experience — none vs unpaid part time: odds ratio 1.836*; lower 1.692; upper 1.992&#10;Income support duration — less than 12 months vs no income support: odds ratio 0.886; lower 0.705; upper 1.114&#10;Income support duration — 12 months or more vs no income support: odds ratio 0.797*; lower 0.639 0.995&#10;Ex-offender — no vs yes: odds ratio 1.64*; lower 1.463; upper 1.839&#10;Ex-offender — unknown vs yes: odds ratio 1.545*; lower 1.212; upper 1.968&#10;Disability — no answer vs some disability: odds ratio 1.767*; lower 1.247; upper 2.503&#10;Disability — none vs some disability: odds ratio 1.231*; lower 1.11; upper 1.365&#10;English — combined vs poor: odds ratio 1.008; lower 0.788; upper 1.289&#10;English — good vs poor: odds ratio 1.585*; lower 1.295; upper 1.941&#10;Income support and crisis payment — received crisis payment vs other: odds ratio 0.593*; lower 0.46; upper 0.763&#10;Income support and crisis payment — more than once on income support vs other: odds ratio 1.016; lower 0.94; upper 1.097&#10;"/>
      </w:tblPr>
      <w:tblGrid>
        <w:gridCol w:w="4252"/>
        <w:gridCol w:w="1425"/>
        <w:gridCol w:w="1717"/>
        <w:gridCol w:w="1711"/>
      </w:tblGrid>
      <w:tr w:rsidR="00CC4E3D" w:rsidRPr="00205968" w14:paraId="7107E91D" w14:textId="77777777" w:rsidTr="0089638B">
        <w:trPr>
          <w:cnfStyle w:val="100000000000" w:firstRow="1" w:lastRow="0" w:firstColumn="0" w:lastColumn="0" w:oddVBand="0" w:evenVBand="0" w:oddHBand="0" w:evenHBand="0" w:firstRowFirstColumn="0" w:firstRowLastColumn="0" w:lastRowFirstColumn="0" w:lastRowLastColumn="0"/>
          <w:tblHeader/>
        </w:trPr>
        <w:tc>
          <w:tcPr>
            <w:tcW w:w="4252" w:type="dxa"/>
            <w:vAlign w:val="center"/>
            <w:hideMark/>
          </w:tcPr>
          <w:p w14:paraId="59B1F25A" w14:textId="77777777" w:rsidR="00CC4E3D" w:rsidRPr="00205968" w:rsidRDefault="00CC4E3D" w:rsidP="000769DB">
            <w:pPr>
              <w:rPr>
                <w:b/>
                <w:bCs/>
                <w:sz w:val="18"/>
                <w:szCs w:val="18"/>
              </w:rPr>
            </w:pPr>
            <w:r w:rsidRPr="00205968">
              <w:rPr>
                <w:b/>
                <w:bCs/>
                <w:sz w:val="18"/>
                <w:szCs w:val="18"/>
              </w:rPr>
              <w:t>Effect</w:t>
            </w:r>
          </w:p>
        </w:tc>
        <w:tc>
          <w:tcPr>
            <w:tcW w:w="1425" w:type="dxa"/>
            <w:vAlign w:val="center"/>
            <w:hideMark/>
          </w:tcPr>
          <w:p w14:paraId="1AAB4196" w14:textId="77777777" w:rsidR="00CC4E3D" w:rsidRPr="00205968" w:rsidRDefault="00CC4E3D" w:rsidP="000769DB">
            <w:pPr>
              <w:jc w:val="center"/>
              <w:rPr>
                <w:b/>
                <w:bCs/>
                <w:sz w:val="18"/>
                <w:szCs w:val="18"/>
              </w:rPr>
            </w:pPr>
            <w:r w:rsidRPr="00205968">
              <w:rPr>
                <w:b/>
                <w:bCs/>
                <w:sz w:val="18"/>
                <w:szCs w:val="18"/>
              </w:rPr>
              <w:t>Odds ratio</w:t>
            </w:r>
          </w:p>
        </w:tc>
        <w:tc>
          <w:tcPr>
            <w:tcW w:w="1717" w:type="dxa"/>
            <w:vAlign w:val="center"/>
            <w:hideMark/>
          </w:tcPr>
          <w:p w14:paraId="36FFD7A2" w14:textId="77777777" w:rsidR="00CC4E3D" w:rsidRPr="00205968" w:rsidRDefault="00CC4E3D" w:rsidP="000769DB">
            <w:pPr>
              <w:jc w:val="center"/>
              <w:rPr>
                <w:b/>
                <w:bCs/>
                <w:sz w:val="18"/>
                <w:szCs w:val="18"/>
              </w:rPr>
            </w:pPr>
            <w:r w:rsidRPr="00205968">
              <w:rPr>
                <w:b/>
                <w:bCs/>
                <w:sz w:val="18"/>
                <w:szCs w:val="18"/>
              </w:rPr>
              <w:t>Lower 95% confidence limit</w:t>
            </w:r>
          </w:p>
        </w:tc>
        <w:tc>
          <w:tcPr>
            <w:tcW w:w="1711" w:type="dxa"/>
            <w:vAlign w:val="center"/>
            <w:hideMark/>
          </w:tcPr>
          <w:p w14:paraId="100027EA" w14:textId="77777777" w:rsidR="00CC4E3D" w:rsidRPr="00205968" w:rsidRDefault="00CC4E3D" w:rsidP="000769DB">
            <w:pPr>
              <w:jc w:val="center"/>
              <w:rPr>
                <w:b/>
                <w:bCs/>
                <w:sz w:val="18"/>
                <w:szCs w:val="18"/>
              </w:rPr>
            </w:pPr>
            <w:r w:rsidRPr="00205968">
              <w:rPr>
                <w:b/>
                <w:bCs/>
                <w:sz w:val="18"/>
                <w:szCs w:val="18"/>
              </w:rPr>
              <w:t>Upper 95% confidence limit</w:t>
            </w:r>
          </w:p>
        </w:tc>
      </w:tr>
      <w:tr w:rsidR="00CC4E3D" w:rsidRPr="00205968" w14:paraId="1133D3F6" w14:textId="77777777" w:rsidTr="0089638B">
        <w:tc>
          <w:tcPr>
            <w:tcW w:w="4252" w:type="dxa"/>
            <w:vAlign w:val="center"/>
          </w:tcPr>
          <w:p w14:paraId="5786E4B6" w14:textId="77777777" w:rsidR="00CC4E3D" w:rsidRPr="00205968" w:rsidRDefault="00CC4E3D" w:rsidP="000769DB">
            <w:pPr>
              <w:rPr>
                <w:sz w:val="18"/>
                <w:szCs w:val="18"/>
              </w:rPr>
            </w:pPr>
            <w:r w:rsidRPr="00205968">
              <w:rPr>
                <w:sz w:val="18"/>
                <w:szCs w:val="18"/>
              </w:rPr>
              <w:t>TtW vs jobactive</w:t>
            </w:r>
          </w:p>
        </w:tc>
        <w:tc>
          <w:tcPr>
            <w:tcW w:w="1425" w:type="dxa"/>
            <w:vAlign w:val="center"/>
          </w:tcPr>
          <w:p w14:paraId="6D00F899" w14:textId="77777777" w:rsidR="00CC4E3D" w:rsidRPr="00205968" w:rsidRDefault="00CC4E3D" w:rsidP="000769DB">
            <w:pPr>
              <w:jc w:val="center"/>
              <w:rPr>
                <w:sz w:val="18"/>
                <w:szCs w:val="18"/>
              </w:rPr>
            </w:pPr>
            <w:r w:rsidRPr="00205968">
              <w:rPr>
                <w:sz w:val="18"/>
                <w:szCs w:val="18"/>
              </w:rPr>
              <w:t>1.142*</w:t>
            </w:r>
          </w:p>
        </w:tc>
        <w:tc>
          <w:tcPr>
            <w:tcW w:w="1717" w:type="dxa"/>
            <w:vAlign w:val="center"/>
          </w:tcPr>
          <w:p w14:paraId="594E07A8" w14:textId="77777777" w:rsidR="00CC4E3D" w:rsidRPr="00205968" w:rsidRDefault="00CC4E3D" w:rsidP="000769DB">
            <w:pPr>
              <w:jc w:val="center"/>
              <w:rPr>
                <w:sz w:val="18"/>
                <w:szCs w:val="18"/>
              </w:rPr>
            </w:pPr>
            <w:r w:rsidRPr="00205968">
              <w:rPr>
                <w:sz w:val="18"/>
                <w:szCs w:val="18"/>
              </w:rPr>
              <w:t>1.08</w:t>
            </w:r>
          </w:p>
        </w:tc>
        <w:tc>
          <w:tcPr>
            <w:tcW w:w="1711" w:type="dxa"/>
            <w:vAlign w:val="center"/>
          </w:tcPr>
          <w:p w14:paraId="21889E76" w14:textId="77777777" w:rsidR="00CC4E3D" w:rsidRPr="00205968" w:rsidRDefault="00CC4E3D" w:rsidP="000769DB">
            <w:pPr>
              <w:jc w:val="center"/>
              <w:rPr>
                <w:sz w:val="18"/>
                <w:szCs w:val="18"/>
              </w:rPr>
            </w:pPr>
            <w:r w:rsidRPr="00205968">
              <w:rPr>
                <w:sz w:val="18"/>
                <w:szCs w:val="18"/>
              </w:rPr>
              <w:t>1.208</w:t>
            </w:r>
          </w:p>
        </w:tc>
      </w:tr>
      <w:tr w:rsidR="00CC4E3D" w:rsidRPr="00205968" w14:paraId="2B2790F9" w14:textId="77777777" w:rsidTr="0089638B">
        <w:tc>
          <w:tcPr>
            <w:tcW w:w="4252" w:type="dxa"/>
            <w:shd w:val="clear" w:color="auto" w:fill="F2F2F2" w:themeFill="background2"/>
            <w:vAlign w:val="center"/>
          </w:tcPr>
          <w:p w14:paraId="0C573599" w14:textId="77777777" w:rsidR="00CC4E3D" w:rsidRPr="00205968" w:rsidRDefault="00CC4E3D" w:rsidP="000769DB">
            <w:pPr>
              <w:rPr>
                <w:sz w:val="18"/>
                <w:szCs w:val="18"/>
              </w:rPr>
            </w:pPr>
            <w:r w:rsidRPr="00205968">
              <w:rPr>
                <w:sz w:val="18"/>
                <w:szCs w:val="18"/>
              </w:rPr>
              <w:t>Age</w:t>
            </w:r>
          </w:p>
        </w:tc>
        <w:tc>
          <w:tcPr>
            <w:tcW w:w="1425" w:type="dxa"/>
            <w:shd w:val="clear" w:color="auto" w:fill="F2F2F2" w:themeFill="background2"/>
            <w:vAlign w:val="center"/>
          </w:tcPr>
          <w:p w14:paraId="08AFEF06" w14:textId="77777777" w:rsidR="00CC4E3D" w:rsidRPr="00205968" w:rsidRDefault="00CC4E3D" w:rsidP="000769DB">
            <w:pPr>
              <w:jc w:val="center"/>
              <w:rPr>
                <w:sz w:val="18"/>
                <w:szCs w:val="18"/>
              </w:rPr>
            </w:pPr>
            <w:r w:rsidRPr="00205968">
              <w:rPr>
                <w:sz w:val="18"/>
                <w:szCs w:val="18"/>
              </w:rPr>
              <w:t>1.037*</w:t>
            </w:r>
          </w:p>
        </w:tc>
        <w:tc>
          <w:tcPr>
            <w:tcW w:w="1717" w:type="dxa"/>
            <w:shd w:val="clear" w:color="auto" w:fill="F2F2F2" w:themeFill="background2"/>
            <w:vAlign w:val="center"/>
          </w:tcPr>
          <w:p w14:paraId="607174BF" w14:textId="77777777" w:rsidR="00CC4E3D" w:rsidRPr="00205968" w:rsidRDefault="00CC4E3D" w:rsidP="000769DB">
            <w:pPr>
              <w:jc w:val="center"/>
              <w:rPr>
                <w:sz w:val="18"/>
                <w:szCs w:val="18"/>
              </w:rPr>
            </w:pPr>
            <w:r w:rsidRPr="00205968">
              <w:rPr>
                <w:sz w:val="18"/>
                <w:szCs w:val="18"/>
              </w:rPr>
              <w:t>1.015</w:t>
            </w:r>
          </w:p>
        </w:tc>
        <w:tc>
          <w:tcPr>
            <w:tcW w:w="1711" w:type="dxa"/>
            <w:shd w:val="clear" w:color="auto" w:fill="F2F2F2" w:themeFill="background2"/>
            <w:vAlign w:val="center"/>
          </w:tcPr>
          <w:p w14:paraId="7B98ACBC" w14:textId="77777777" w:rsidR="00CC4E3D" w:rsidRPr="00205968" w:rsidRDefault="00CC4E3D" w:rsidP="000769DB">
            <w:pPr>
              <w:jc w:val="center"/>
              <w:rPr>
                <w:sz w:val="18"/>
                <w:szCs w:val="18"/>
              </w:rPr>
            </w:pPr>
            <w:r w:rsidRPr="00205968">
              <w:rPr>
                <w:sz w:val="18"/>
                <w:szCs w:val="18"/>
              </w:rPr>
              <w:t>1.06</w:t>
            </w:r>
          </w:p>
        </w:tc>
      </w:tr>
      <w:tr w:rsidR="00CC4E3D" w:rsidRPr="00205968" w14:paraId="31069A33" w14:textId="77777777" w:rsidTr="0089638B">
        <w:tc>
          <w:tcPr>
            <w:tcW w:w="4252" w:type="dxa"/>
            <w:vAlign w:val="center"/>
          </w:tcPr>
          <w:p w14:paraId="27F170DB" w14:textId="77777777" w:rsidR="00CC4E3D" w:rsidRPr="00205968" w:rsidRDefault="00CC4E3D" w:rsidP="000769DB">
            <w:pPr>
              <w:rPr>
                <w:sz w:val="18"/>
                <w:szCs w:val="18"/>
              </w:rPr>
            </w:pPr>
            <w:r w:rsidRPr="00205968">
              <w:rPr>
                <w:sz w:val="18"/>
                <w:szCs w:val="18"/>
              </w:rPr>
              <w:t>Female vs male</w:t>
            </w:r>
          </w:p>
        </w:tc>
        <w:tc>
          <w:tcPr>
            <w:tcW w:w="1425" w:type="dxa"/>
            <w:vAlign w:val="center"/>
          </w:tcPr>
          <w:p w14:paraId="74835793" w14:textId="77777777" w:rsidR="00CC4E3D" w:rsidRPr="00205968" w:rsidRDefault="00CC4E3D" w:rsidP="000769DB">
            <w:pPr>
              <w:jc w:val="center"/>
              <w:rPr>
                <w:sz w:val="18"/>
                <w:szCs w:val="18"/>
              </w:rPr>
            </w:pPr>
            <w:r w:rsidRPr="00205968">
              <w:rPr>
                <w:sz w:val="18"/>
                <w:szCs w:val="18"/>
              </w:rPr>
              <w:t>0.982</w:t>
            </w:r>
          </w:p>
        </w:tc>
        <w:tc>
          <w:tcPr>
            <w:tcW w:w="1717" w:type="dxa"/>
            <w:vAlign w:val="center"/>
          </w:tcPr>
          <w:p w14:paraId="6DC39052" w14:textId="77777777" w:rsidR="00CC4E3D" w:rsidRPr="00205968" w:rsidRDefault="00CC4E3D" w:rsidP="000769DB">
            <w:pPr>
              <w:jc w:val="center"/>
              <w:rPr>
                <w:sz w:val="18"/>
                <w:szCs w:val="18"/>
              </w:rPr>
            </w:pPr>
            <w:r w:rsidRPr="00205968">
              <w:rPr>
                <w:sz w:val="18"/>
                <w:szCs w:val="18"/>
              </w:rPr>
              <w:t>0.927</w:t>
            </w:r>
          </w:p>
        </w:tc>
        <w:tc>
          <w:tcPr>
            <w:tcW w:w="1711" w:type="dxa"/>
            <w:vAlign w:val="center"/>
          </w:tcPr>
          <w:p w14:paraId="0284859D" w14:textId="77777777" w:rsidR="00CC4E3D" w:rsidRPr="00205968" w:rsidRDefault="00CC4E3D" w:rsidP="000769DB">
            <w:pPr>
              <w:jc w:val="center"/>
              <w:rPr>
                <w:sz w:val="18"/>
                <w:szCs w:val="18"/>
              </w:rPr>
            </w:pPr>
            <w:r w:rsidRPr="00205968">
              <w:rPr>
                <w:sz w:val="18"/>
                <w:szCs w:val="18"/>
              </w:rPr>
              <w:t>1.04</w:t>
            </w:r>
          </w:p>
        </w:tc>
      </w:tr>
      <w:tr w:rsidR="00CC4E3D" w:rsidRPr="00205968" w14:paraId="54A57C98" w14:textId="77777777" w:rsidTr="0089638B">
        <w:tc>
          <w:tcPr>
            <w:tcW w:w="4252" w:type="dxa"/>
            <w:shd w:val="clear" w:color="auto" w:fill="F2F2F2" w:themeFill="background2"/>
            <w:vAlign w:val="center"/>
          </w:tcPr>
          <w:p w14:paraId="655658EA" w14:textId="77777777" w:rsidR="00CC4E3D" w:rsidRPr="00205968" w:rsidRDefault="00CC4E3D" w:rsidP="000769DB">
            <w:pPr>
              <w:rPr>
                <w:sz w:val="18"/>
                <w:szCs w:val="18"/>
              </w:rPr>
            </w:pPr>
            <w:r w:rsidRPr="00205968">
              <w:rPr>
                <w:sz w:val="18"/>
                <w:szCs w:val="18"/>
              </w:rPr>
              <w:t>Declined to answer vs does not identify as</w:t>
            </w:r>
          </w:p>
          <w:p w14:paraId="3C9DF74E" w14:textId="77777777" w:rsidR="00CC4E3D" w:rsidRPr="00205968" w:rsidRDefault="00CC4E3D" w:rsidP="000769DB">
            <w:pPr>
              <w:rPr>
                <w:sz w:val="18"/>
                <w:szCs w:val="18"/>
              </w:rPr>
            </w:pPr>
            <w:r w:rsidRPr="00205968">
              <w:rPr>
                <w:sz w:val="18"/>
                <w:szCs w:val="18"/>
              </w:rPr>
              <w:t>Indigenous</w:t>
            </w:r>
          </w:p>
        </w:tc>
        <w:tc>
          <w:tcPr>
            <w:tcW w:w="1425" w:type="dxa"/>
            <w:shd w:val="clear" w:color="auto" w:fill="F2F2F2" w:themeFill="background2"/>
            <w:vAlign w:val="center"/>
          </w:tcPr>
          <w:p w14:paraId="13252D33" w14:textId="77777777" w:rsidR="00CC4E3D" w:rsidRPr="00205968" w:rsidRDefault="00CC4E3D" w:rsidP="000769DB">
            <w:pPr>
              <w:jc w:val="center"/>
              <w:rPr>
                <w:sz w:val="18"/>
                <w:szCs w:val="18"/>
              </w:rPr>
            </w:pPr>
            <w:r w:rsidRPr="00205968">
              <w:rPr>
                <w:sz w:val="18"/>
                <w:szCs w:val="18"/>
              </w:rPr>
              <w:t>0.917</w:t>
            </w:r>
          </w:p>
        </w:tc>
        <w:tc>
          <w:tcPr>
            <w:tcW w:w="1717" w:type="dxa"/>
            <w:shd w:val="clear" w:color="auto" w:fill="F2F2F2" w:themeFill="background2"/>
            <w:vAlign w:val="center"/>
          </w:tcPr>
          <w:p w14:paraId="1443CA68" w14:textId="77777777" w:rsidR="00CC4E3D" w:rsidRPr="00205968" w:rsidRDefault="00CC4E3D" w:rsidP="000769DB">
            <w:pPr>
              <w:jc w:val="center"/>
              <w:rPr>
                <w:sz w:val="18"/>
                <w:szCs w:val="18"/>
              </w:rPr>
            </w:pPr>
            <w:r w:rsidRPr="00205968">
              <w:rPr>
                <w:sz w:val="18"/>
                <w:szCs w:val="18"/>
              </w:rPr>
              <w:t>0.783</w:t>
            </w:r>
          </w:p>
        </w:tc>
        <w:tc>
          <w:tcPr>
            <w:tcW w:w="1711" w:type="dxa"/>
            <w:shd w:val="clear" w:color="auto" w:fill="F2F2F2" w:themeFill="background2"/>
            <w:vAlign w:val="center"/>
          </w:tcPr>
          <w:p w14:paraId="07B8B933" w14:textId="77777777" w:rsidR="00CC4E3D" w:rsidRPr="00205968" w:rsidRDefault="00CC4E3D" w:rsidP="000769DB">
            <w:pPr>
              <w:jc w:val="center"/>
              <w:rPr>
                <w:sz w:val="18"/>
                <w:szCs w:val="18"/>
              </w:rPr>
            </w:pPr>
            <w:r w:rsidRPr="00205968">
              <w:rPr>
                <w:sz w:val="18"/>
                <w:szCs w:val="18"/>
              </w:rPr>
              <w:t>1.075</w:t>
            </w:r>
          </w:p>
        </w:tc>
      </w:tr>
      <w:tr w:rsidR="00CC4E3D" w:rsidRPr="00205968" w14:paraId="52EBD233" w14:textId="77777777" w:rsidTr="0089638B">
        <w:tc>
          <w:tcPr>
            <w:tcW w:w="4252" w:type="dxa"/>
            <w:vAlign w:val="center"/>
          </w:tcPr>
          <w:p w14:paraId="6BA9AD5B" w14:textId="77777777" w:rsidR="00CC4E3D" w:rsidRPr="00205968" w:rsidRDefault="00CC4E3D" w:rsidP="000769DB">
            <w:pPr>
              <w:rPr>
                <w:sz w:val="18"/>
                <w:szCs w:val="18"/>
              </w:rPr>
            </w:pPr>
            <w:r w:rsidRPr="00205968">
              <w:rPr>
                <w:sz w:val="18"/>
                <w:szCs w:val="18"/>
              </w:rPr>
              <w:t>Identifies as Indigenous vs does not identify as Indigenous</w:t>
            </w:r>
          </w:p>
        </w:tc>
        <w:tc>
          <w:tcPr>
            <w:tcW w:w="1425" w:type="dxa"/>
            <w:vAlign w:val="center"/>
          </w:tcPr>
          <w:p w14:paraId="676C699A" w14:textId="77777777" w:rsidR="00CC4E3D" w:rsidRPr="00205968" w:rsidRDefault="00CC4E3D" w:rsidP="000769DB">
            <w:pPr>
              <w:jc w:val="center"/>
              <w:rPr>
                <w:sz w:val="18"/>
                <w:szCs w:val="18"/>
              </w:rPr>
            </w:pPr>
            <w:r w:rsidRPr="00205968">
              <w:rPr>
                <w:sz w:val="18"/>
                <w:szCs w:val="18"/>
              </w:rPr>
              <w:t>0.608*</w:t>
            </w:r>
          </w:p>
        </w:tc>
        <w:tc>
          <w:tcPr>
            <w:tcW w:w="1717" w:type="dxa"/>
            <w:vAlign w:val="center"/>
          </w:tcPr>
          <w:p w14:paraId="451C285D" w14:textId="77777777" w:rsidR="00CC4E3D" w:rsidRPr="00205968" w:rsidRDefault="00CC4E3D" w:rsidP="000769DB">
            <w:pPr>
              <w:jc w:val="center"/>
              <w:rPr>
                <w:sz w:val="18"/>
                <w:szCs w:val="18"/>
              </w:rPr>
            </w:pPr>
            <w:r w:rsidRPr="00205968">
              <w:rPr>
                <w:sz w:val="18"/>
                <w:szCs w:val="18"/>
              </w:rPr>
              <w:t>0.559</w:t>
            </w:r>
          </w:p>
        </w:tc>
        <w:tc>
          <w:tcPr>
            <w:tcW w:w="1711" w:type="dxa"/>
            <w:vAlign w:val="center"/>
          </w:tcPr>
          <w:p w14:paraId="64455572" w14:textId="77777777" w:rsidR="00CC4E3D" w:rsidRPr="00205968" w:rsidRDefault="00CC4E3D" w:rsidP="000769DB">
            <w:pPr>
              <w:jc w:val="center"/>
              <w:rPr>
                <w:sz w:val="18"/>
                <w:szCs w:val="18"/>
              </w:rPr>
            </w:pPr>
            <w:r w:rsidRPr="00205968">
              <w:rPr>
                <w:sz w:val="18"/>
                <w:szCs w:val="18"/>
              </w:rPr>
              <w:t>0.662</w:t>
            </w:r>
          </w:p>
        </w:tc>
      </w:tr>
      <w:tr w:rsidR="00CC4E3D" w:rsidRPr="00205968" w14:paraId="362C48C0" w14:textId="77777777" w:rsidTr="0089638B">
        <w:tc>
          <w:tcPr>
            <w:tcW w:w="4252" w:type="dxa"/>
            <w:shd w:val="clear" w:color="auto" w:fill="F2F2F2" w:themeFill="background2"/>
            <w:vAlign w:val="center"/>
          </w:tcPr>
          <w:p w14:paraId="38CF488E" w14:textId="77777777" w:rsidR="00F4277E" w:rsidRDefault="00CC4E3D" w:rsidP="000769DB">
            <w:pPr>
              <w:rPr>
                <w:sz w:val="18"/>
                <w:szCs w:val="18"/>
              </w:rPr>
            </w:pPr>
            <w:r w:rsidRPr="00205968">
              <w:rPr>
                <w:sz w:val="18"/>
                <w:szCs w:val="18"/>
              </w:rPr>
              <w:t xml:space="preserve">Education attainment: Year 12 or above vs below </w:t>
            </w:r>
          </w:p>
          <w:p w14:paraId="3BEBDBEC" w14:textId="1CEC85A2" w:rsidR="00CC4E3D" w:rsidRPr="00205968" w:rsidRDefault="00CC4E3D" w:rsidP="000769DB">
            <w:pPr>
              <w:rPr>
                <w:sz w:val="18"/>
                <w:szCs w:val="18"/>
              </w:rPr>
            </w:pPr>
            <w:r w:rsidRPr="00205968">
              <w:rPr>
                <w:sz w:val="18"/>
                <w:szCs w:val="18"/>
              </w:rPr>
              <w:t>Year 12</w:t>
            </w:r>
          </w:p>
        </w:tc>
        <w:tc>
          <w:tcPr>
            <w:tcW w:w="1425" w:type="dxa"/>
            <w:shd w:val="clear" w:color="auto" w:fill="F2F2F2" w:themeFill="background2"/>
            <w:vAlign w:val="center"/>
          </w:tcPr>
          <w:p w14:paraId="6260CE10" w14:textId="77777777" w:rsidR="00CC4E3D" w:rsidRPr="00205968" w:rsidRDefault="00CC4E3D" w:rsidP="000769DB">
            <w:pPr>
              <w:jc w:val="center"/>
              <w:rPr>
                <w:sz w:val="18"/>
                <w:szCs w:val="18"/>
              </w:rPr>
            </w:pPr>
            <w:r w:rsidRPr="00205968">
              <w:rPr>
                <w:sz w:val="18"/>
                <w:szCs w:val="18"/>
              </w:rPr>
              <w:t>1.391*</w:t>
            </w:r>
          </w:p>
        </w:tc>
        <w:tc>
          <w:tcPr>
            <w:tcW w:w="1717" w:type="dxa"/>
            <w:shd w:val="clear" w:color="auto" w:fill="F2F2F2" w:themeFill="background2"/>
            <w:vAlign w:val="center"/>
          </w:tcPr>
          <w:p w14:paraId="36CE3A24" w14:textId="77777777" w:rsidR="00CC4E3D" w:rsidRPr="00205968" w:rsidRDefault="00CC4E3D" w:rsidP="000769DB">
            <w:pPr>
              <w:jc w:val="center"/>
              <w:rPr>
                <w:sz w:val="18"/>
                <w:szCs w:val="18"/>
              </w:rPr>
            </w:pPr>
            <w:r w:rsidRPr="00205968">
              <w:rPr>
                <w:sz w:val="18"/>
                <w:szCs w:val="18"/>
              </w:rPr>
              <w:t>1.289</w:t>
            </w:r>
          </w:p>
        </w:tc>
        <w:tc>
          <w:tcPr>
            <w:tcW w:w="1711" w:type="dxa"/>
            <w:shd w:val="clear" w:color="auto" w:fill="F2F2F2" w:themeFill="background2"/>
            <w:vAlign w:val="center"/>
          </w:tcPr>
          <w:p w14:paraId="20995A5C" w14:textId="77777777" w:rsidR="00CC4E3D" w:rsidRPr="00205968" w:rsidRDefault="00CC4E3D" w:rsidP="000769DB">
            <w:pPr>
              <w:jc w:val="center"/>
              <w:rPr>
                <w:sz w:val="18"/>
                <w:szCs w:val="18"/>
              </w:rPr>
            </w:pPr>
            <w:r w:rsidRPr="00205968">
              <w:rPr>
                <w:sz w:val="18"/>
                <w:szCs w:val="18"/>
              </w:rPr>
              <w:t>1.501</w:t>
            </w:r>
          </w:p>
        </w:tc>
      </w:tr>
      <w:tr w:rsidR="00CC4E3D" w:rsidRPr="00205968" w14:paraId="4ED872A8" w14:textId="77777777" w:rsidTr="0089638B">
        <w:tc>
          <w:tcPr>
            <w:tcW w:w="4252" w:type="dxa"/>
            <w:vAlign w:val="center"/>
          </w:tcPr>
          <w:p w14:paraId="5BEFB29C" w14:textId="77777777" w:rsidR="00CC4E3D" w:rsidRPr="00205968" w:rsidRDefault="00CC4E3D" w:rsidP="000769DB">
            <w:pPr>
              <w:rPr>
                <w:sz w:val="18"/>
                <w:szCs w:val="18"/>
              </w:rPr>
            </w:pPr>
            <w:r w:rsidRPr="00205968">
              <w:rPr>
                <w:sz w:val="18"/>
                <w:szCs w:val="18"/>
              </w:rPr>
              <w:t>No transport vs public transport</w:t>
            </w:r>
          </w:p>
        </w:tc>
        <w:tc>
          <w:tcPr>
            <w:tcW w:w="1425" w:type="dxa"/>
            <w:vAlign w:val="center"/>
          </w:tcPr>
          <w:p w14:paraId="15A3E1BE" w14:textId="77777777" w:rsidR="00CC4E3D" w:rsidRPr="00205968" w:rsidRDefault="00CC4E3D" w:rsidP="000769DB">
            <w:pPr>
              <w:jc w:val="center"/>
              <w:rPr>
                <w:sz w:val="18"/>
                <w:szCs w:val="18"/>
              </w:rPr>
            </w:pPr>
            <w:r w:rsidRPr="00205968">
              <w:rPr>
                <w:sz w:val="18"/>
                <w:szCs w:val="18"/>
              </w:rPr>
              <w:t>0.857</w:t>
            </w:r>
          </w:p>
        </w:tc>
        <w:tc>
          <w:tcPr>
            <w:tcW w:w="1717" w:type="dxa"/>
            <w:vAlign w:val="center"/>
          </w:tcPr>
          <w:p w14:paraId="4B17EC0C" w14:textId="77777777" w:rsidR="00CC4E3D" w:rsidRPr="00205968" w:rsidRDefault="00CC4E3D" w:rsidP="000769DB">
            <w:pPr>
              <w:jc w:val="center"/>
              <w:rPr>
                <w:sz w:val="18"/>
                <w:szCs w:val="18"/>
              </w:rPr>
            </w:pPr>
            <w:r w:rsidRPr="00205968">
              <w:rPr>
                <w:sz w:val="18"/>
                <w:szCs w:val="18"/>
              </w:rPr>
              <w:t>0.76</w:t>
            </w:r>
          </w:p>
        </w:tc>
        <w:tc>
          <w:tcPr>
            <w:tcW w:w="1711" w:type="dxa"/>
            <w:vAlign w:val="center"/>
          </w:tcPr>
          <w:p w14:paraId="6FC760C6" w14:textId="77777777" w:rsidR="00CC4E3D" w:rsidRPr="00205968" w:rsidRDefault="00CC4E3D" w:rsidP="000769DB">
            <w:pPr>
              <w:jc w:val="center"/>
              <w:rPr>
                <w:sz w:val="18"/>
                <w:szCs w:val="18"/>
              </w:rPr>
            </w:pPr>
            <w:r w:rsidRPr="00205968">
              <w:rPr>
                <w:sz w:val="18"/>
                <w:szCs w:val="18"/>
              </w:rPr>
              <w:t>0.966</w:t>
            </w:r>
          </w:p>
        </w:tc>
      </w:tr>
      <w:tr w:rsidR="00CC4E3D" w:rsidRPr="00205968" w14:paraId="22AAA3AA" w14:textId="77777777" w:rsidTr="0089638B">
        <w:tc>
          <w:tcPr>
            <w:tcW w:w="4252" w:type="dxa"/>
            <w:shd w:val="clear" w:color="auto" w:fill="F2F2F2" w:themeFill="background2"/>
            <w:vAlign w:val="center"/>
          </w:tcPr>
          <w:p w14:paraId="60B37211" w14:textId="77777777" w:rsidR="00CC4E3D" w:rsidRPr="00205968" w:rsidRDefault="00CC4E3D" w:rsidP="000769DB">
            <w:pPr>
              <w:rPr>
                <w:sz w:val="18"/>
                <w:szCs w:val="18"/>
              </w:rPr>
            </w:pPr>
            <w:r w:rsidRPr="00205968">
              <w:rPr>
                <w:sz w:val="18"/>
                <w:szCs w:val="18"/>
              </w:rPr>
              <w:t>Private transport vs public transport</w:t>
            </w:r>
          </w:p>
        </w:tc>
        <w:tc>
          <w:tcPr>
            <w:tcW w:w="1425" w:type="dxa"/>
            <w:shd w:val="clear" w:color="auto" w:fill="F2F2F2" w:themeFill="background2"/>
            <w:vAlign w:val="center"/>
          </w:tcPr>
          <w:p w14:paraId="5F2BEA9D" w14:textId="77777777" w:rsidR="00CC4E3D" w:rsidRPr="00205968" w:rsidRDefault="00CC4E3D" w:rsidP="000769DB">
            <w:pPr>
              <w:jc w:val="center"/>
              <w:rPr>
                <w:sz w:val="18"/>
                <w:szCs w:val="18"/>
              </w:rPr>
            </w:pPr>
            <w:r w:rsidRPr="00205968">
              <w:rPr>
                <w:sz w:val="18"/>
                <w:szCs w:val="18"/>
              </w:rPr>
              <w:t>1.464*</w:t>
            </w:r>
          </w:p>
        </w:tc>
        <w:tc>
          <w:tcPr>
            <w:tcW w:w="1717" w:type="dxa"/>
            <w:shd w:val="clear" w:color="auto" w:fill="F2F2F2" w:themeFill="background2"/>
            <w:vAlign w:val="center"/>
          </w:tcPr>
          <w:p w14:paraId="32D46D37" w14:textId="77777777" w:rsidR="00CC4E3D" w:rsidRPr="00205968" w:rsidRDefault="00CC4E3D" w:rsidP="000769DB">
            <w:pPr>
              <w:jc w:val="center"/>
              <w:rPr>
                <w:sz w:val="18"/>
                <w:szCs w:val="18"/>
              </w:rPr>
            </w:pPr>
            <w:r w:rsidRPr="00205968">
              <w:rPr>
                <w:sz w:val="18"/>
                <w:szCs w:val="18"/>
              </w:rPr>
              <w:t>1.379</w:t>
            </w:r>
          </w:p>
        </w:tc>
        <w:tc>
          <w:tcPr>
            <w:tcW w:w="1711" w:type="dxa"/>
            <w:shd w:val="clear" w:color="auto" w:fill="F2F2F2" w:themeFill="background2"/>
            <w:vAlign w:val="center"/>
          </w:tcPr>
          <w:p w14:paraId="1A6EAB34" w14:textId="77777777" w:rsidR="00CC4E3D" w:rsidRPr="00205968" w:rsidRDefault="00CC4E3D" w:rsidP="000769DB">
            <w:pPr>
              <w:jc w:val="center"/>
              <w:rPr>
                <w:sz w:val="18"/>
                <w:szCs w:val="18"/>
              </w:rPr>
            </w:pPr>
            <w:r w:rsidRPr="00205968">
              <w:rPr>
                <w:sz w:val="18"/>
                <w:szCs w:val="18"/>
              </w:rPr>
              <w:t>1.553</w:t>
            </w:r>
          </w:p>
        </w:tc>
      </w:tr>
      <w:tr w:rsidR="00CC4E3D" w:rsidRPr="00205968" w14:paraId="5652A13E" w14:textId="77777777" w:rsidTr="0089638B">
        <w:tc>
          <w:tcPr>
            <w:tcW w:w="4252" w:type="dxa"/>
            <w:vAlign w:val="center"/>
          </w:tcPr>
          <w:p w14:paraId="075565F6" w14:textId="77777777" w:rsidR="00CC4E3D" w:rsidRPr="00205968" w:rsidRDefault="00CC4E3D" w:rsidP="000769DB">
            <w:pPr>
              <w:rPr>
                <w:sz w:val="18"/>
                <w:szCs w:val="18"/>
              </w:rPr>
            </w:pPr>
            <w:r w:rsidRPr="00205968">
              <w:rPr>
                <w:sz w:val="18"/>
                <w:szCs w:val="18"/>
              </w:rPr>
              <w:t>Stable residence vs unstable</w:t>
            </w:r>
          </w:p>
        </w:tc>
        <w:tc>
          <w:tcPr>
            <w:tcW w:w="1425" w:type="dxa"/>
            <w:vAlign w:val="center"/>
          </w:tcPr>
          <w:p w14:paraId="7235407E" w14:textId="77777777" w:rsidR="00CC4E3D" w:rsidRPr="00205968" w:rsidRDefault="00CC4E3D" w:rsidP="000769DB">
            <w:pPr>
              <w:jc w:val="center"/>
              <w:rPr>
                <w:sz w:val="18"/>
                <w:szCs w:val="18"/>
              </w:rPr>
            </w:pPr>
            <w:r w:rsidRPr="00205968">
              <w:rPr>
                <w:sz w:val="18"/>
                <w:szCs w:val="18"/>
              </w:rPr>
              <w:t>1.053</w:t>
            </w:r>
          </w:p>
        </w:tc>
        <w:tc>
          <w:tcPr>
            <w:tcW w:w="1717" w:type="dxa"/>
            <w:vAlign w:val="center"/>
          </w:tcPr>
          <w:p w14:paraId="7FF80F77" w14:textId="77777777" w:rsidR="00CC4E3D" w:rsidRPr="00205968" w:rsidRDefault="00CC4E3D" w:rsidP="000769DB">
            <w:pPr>
              <w:jc w:val="center"/>
              <w:rPr>
                <w:sz w:val="18"/>
                <w:szCs w:val="18"/>
              </w:rPr>
            </w:pPr>
            <w:r w:rsidRPr="00205968">
              <w:rPr>
                <w:sz w:val="18"/>
                <w:szCs w:val="18"/>
              </w:rPr>
              <w:t>0.962</w:t>
            </w:r>
          </w:p>
        </w:tc>
        <w:tc>
          <w:tcPr>
            <w:tcW w:w="1711" w:type="dxa"/>
            <w:vAlign w:val="center"/>
          </w:tcPr>
          <w:p w14:paraId="6A76456F" w14:textId="77777777" w:rsidR="00CC4E3D" w:rsidRPr="00205968" w:rsidRDefault="00CC4E3D" w:rsidP="000769DB">
            <w:pPr>
              <w:jc w:val="center"/>
              <w:rPr>
                <w:sz w:val="18"/>
                <w:szCs w:val="18"/>
              </w:rPr>
            </w:pPr>
            <w:r w:rsidRPr="00205968">
              <w:rPr>
                <w:sz w:val="18"/>
                <w:szCs w:val="18"/>
              </w:rPr>
              <w:t>1.153</w:t>
            </w:r>
          </w:p>
        </w:tc>
      </w:tr>
      <w:tr w:rsidR="00CC4E3D" w:rsidRPr="00205968" w14:paraId="4F0D87D0" w14:textId="77777777" w:rsidTr="0089638B">
        <w:tc>
          <w:tcPr>
            <w:tcW w:w="4252" w:type="dxa"/>
            <w:shd w:val="clear" w:color="auto" w:fill="F2F2F2" w:themeFill="background2"/>
            <w:vAlign w:val="center"/>
          </w:tcPr>
          <w:p w14:paraId="3B00B345" w14:textId="77777777" w:rsidR="00CC4E3D" w:rsidRPr="00205968" w:rsidRDefault="00CC4E3D" w:rsidP="000769DB">
            <w:pPr>
              <w:rPr>
                <w:sz w:val="18"/>
                <w:szCs w:val="18"/>
              </w:rPr>
            </w:pPr>
            <w:r w:rsidRPr="00205968">
              <w:rPr>
                <w:sz w:val="18"/>
                <w:szCs w:val="18"/>
              </w:rPr>
              <w:t>Work experience: full time vs unpaid part time</w:t>
            </w:r>
          </w:p>
        </w:tc>
        <w:tc>
          <w:tcPr>
            <w:tcW w:w="1425" w:type="dxa"/>
            <w:shd w:val="clear" w:color="auto" w:fill="F2F2F2" w:themeFill="background2"/>
            <w:vAlign w:val="center"/>
          </w:tcPr>
          <w:p w14:paraId="24EA3F8D" w14:textId="77777777" w:rsidR="00CC4E3D" w:rsidRPr="00205968" w:rsidRDefault="00CC4E3D" w:rsidP="000769DB">
            <w:pPr>
              <w:jc w:val="center"/>
              <w:rPr>
                <w:sz w:val="18"/>
                <w:szCs w:val="18"/>
              </w:rPr>
            </w:pPr>
            <w:r w:rsidRPr="00205968">
              <w:rPr>
                <w:sz w:val="18"/>
                <w:szCs w:val="18"/>
              </w:rPr>
              <w:t>1.632*</w:t>
            </w:r>
          </w:p>
        </w:tc>
        <w:tc>
          <w:tcPr>
            <w:tcW w:w="1717" w:type="dxa"/>
            <w:shd w:val="clear" w:color="auto" w:fill="F2F2F2" w:themeFill="background2"/>
            <w:vAlign w:val="center"/>
          </w:tcPr>
          <w:p w14:paraId="4994C3C3" w14:textId="77777777" w:rsidR="00CC4E3D" w:rsidRPr="00205968" w:rsidRDefault="00CC4E3D" w:rsidP="000769DB">
            <w:pPr>
              <w:jc w:val="center"/>
              <w:rPr>
                <w:sz w:val="18"/>
                <w:szCs w:val="18"/>
              </w:rPr>
            </w:pPr>
            <w:r w:rsidRPr="00205968">
              <w:rPr>
                <w:sz w:val="18"/>
                <w:szCs w:val="18"/>
              </w:rPr>
              <w:t>1.504</w:t>
            </w:r>
          </w:p>
        </w:tc>
        <w:tc>
          <w:tcPr>
            <w:tcW w:w="1711" w:type="dxa"/>
            <w:shd w:val="clear" w:color="auto" w:fill="F2F2F2" w:themeFill="background2"/>
            <w:vAlign w:val="center"/>
          </w:tcPr>
          <w:p w14:paraId="6B26EAE0" w14:textId="77777777" w:rsidR="00CC4E3D" w:rsidRPr="00205968" w:rsidRDefault="00CC4E3D" w:rsidP="000769DB">
            <w:pPr>
              <w:jc w:val="center"/>
              <w:rPr>
                <w:sz w:val="18"/>
                <w:szCs w:val="18"/>
              </w:rPr>
            </w:pPr>
            <w:r w:rsidRPr="00205968">
              <w:rPr>
                <w:sz w:val="18"/>
                <w:szCs w:val="18"/>
              </w:rPr>
              <w:t>1.771</w:t>
            </w:r>
          </w:p>
        </w:tc>
      </w:tr>
      <w:tr w:rsidR="00CC4E3D" w:rsidRPr="00205968" w14:paraId="0E70EB73" w14:textId="77777777" w:rsidTr="0089638B">
        <w:tc>
          <w:tcPr>
            <w:tcW w:w="4252" w:type="dxa"/>
            <w:vAlign w:val="center"/>
          </w:tcPr>
          <w:p w14:paraId="55201AE4" w14:textId="77777777" w:rsidR="00CC4E3D" w:rsidRPr="00205968" w:rsidRDefault="00CC4E3D" w:rsidP="000769DB">
            <w:pPr>
              <w:rPr>
                <w:sz w:val="18"/>
                <w:szCs w:val="18"/>
              </w:rPr>
            </w:pPr>
            <w:r w:rsidRPr="00205968">
              <w:rPr>
                <w:sz w:val="18"/>
                <w:szCs w:val="18"/>
              </w:rPr>
              <w:t xml:space="preserve">Work experience: none vs unpaid part time </w:t>
            </w:r>
          </w:p>
        </w:tc>
        <w:tc>
          <w:tcPr>
            <w:tcW w:w="1425" w:type="dxa"/>
            <w:vAlign w:val="center"/>
          </w:tcPr>
          <w:p w14:paraId="4BB47EFC" w14:textId="77777777" w:rsidR="00CC4E3D" w:rsidRPr="00205968" w:rsidRDefault="00CC4E3D" w:rsidP="000769DB">
            <w:pPr>
              <w:jc w:val="center"/>
              <w:rPr>
                <w:sz w:val="18"/>
                <w:szCs w:val="18"/>
              </w:rPr>
            </w:pPr>
            <w:r w:rsidRPr="00205968">
              <w:rPr>
                <w:sz w:val="18"/>
                <w:szCs w:val="18"/>
              </w:rPr>
              <w:t>1.836*</w:t>
            </w:r>
          </w:p>
        </w:tc>
        <w:tc>
          <w:tcPr>
            <w:tcW w:w="1717" w:type="dxa"/>
            <w:vAlign w:val="center"/>
          </w:tcPr>
          <w:p w14:paraId="66786170" w14:textId="77777777" w:rsidR="00CC4E3D" w:rsidRPr="00205968" w:rsidRDefault="00CC4E3D" w:rsidP="000769DB">
            <w:pPr>
              <w:jc w:val="center"/>
              <w:rPr>
                <w:sz w:val="18"/>
                <w:szCs w:val="18"/>
              </w:rPr>
            </w:pPr>
            <w:r w:rsidRPr="00205968">
              <w:rPr>
                <w:sz w:val="18"/>
                <w:szCs w:val="18"/>
              </w:rPr>
              <w:t>1.692</w:t>
            </w:r>
          </w:p>
        </w:tc>
        <w:tc>
          <w:tcPr>
            <w:tcW w:w="1711" w:type="dxa"/>
            <w:vAlign w:val="center"/>
          </w:tcPr>
          <w:p w14:paraId="333EE200" w14:textId="77777777" w:rsidR="00CC4E3D" w:rsidRPr="00205968" w:rsidRDefault="00CC4E3D" w:rsidP="000769DB">
            <w:pPr>
              <w:jc w:val="center"/>
              <w:rPr>
                <w:sz w:val="18"/>
                <w:szCs w:val="18"/>
              </w:rPr>
            </w:pPr>
            <w:r w:rsidRPr="00205968">
              <w:rPr>
                <w:sz w:val="18"/>
                <w:szCs w:val="18"/>
              </w:rPr>
              <w:t>1.992</w:t>
            </w:r>
          </w:p>
        </w:tc>
      </w:tr>
      <w:tr w:rsidR="00CC4E3D" w:rsidRPr="00205968" w14:paraId="5564519A" w14:textId="77777777" w:rsidTr="0089638B">
        <w:tc>
          <w:tcPr>
            <w:tcW w:w="4252" w:type="dxa"/>
            <w:shd w:val="clear" w:color="auto" w:fill="F2F2F2" w:themeFill="background2"/>
            <w:vAlign w:val="center"/>
          </w:tcPr>
          <w:p w14:paraId="1D055F44" w14:textId="77777777" w:rsidR="00CC4E3D" w:rsidRPr="00205968" w:rsidRDefault="00CC4E3D" w:rsidP="000769DB">
            <w:pPr>
              <w:rPr>
                <w:sz w:val="18"/>
                <w:szCs w:val="18"/>
              </w:rPr>
            </w:pPr>
            <w:r w:rsidRPr="00205968">
              <w:rPr>
                <w:sz w:val="18"/>
                <w:szCs w:val="18"/>
              </w:rPr>
              <w:t>Income support duration: less than 12 months vs no income support</w:t>
            </w:r>
          </w:p>
        </w:tc>
        <w:tc>
          <w:tcPr>
            <w:tcW w:w="1425" w:type="dxa"/>
            <w:shd w:val="clear" w:color="auto" w:fill="F2F2F2" w:themeFill="background2"/>
            <w:vAlign w:val="center"/>
          </w:tcPr>
          <w:p w14:paraId="722467ED" w14:textId="77777777" w:rsidR="00CC4E3D" w:rsidRPr="00205968" w:rsidRDefault="00CC4E3D" w:rsidP="000769DB">
            <w:pPr>
              <w:jc w:val="center"/>
              <w:rPr>
                <w:sz w:val="18"/>
                <w:szCs w:val="18"/>
              </w:rPr>
            </w:pPr>
            <w:r w:rsidRPr="00205968">
              <w:rPr>
                <w:sz w:val="18"/>
                <w:szCs w:val="18"/>
              </w:rPr>
              <w:t>0.886</w:t>
            </w:r>
          </w:p>
        </w:tc>
        <w:tc>
          <w:tcPr>
            <w:tcW w:w="1717" w:type="dxa"/>
            <w:shd w:val="clear" w:color="auto" w:fill="F2F2F2" w:themeFill="background2"/>
            <w:vAlign w:val="center"/>
          </w:tcPr>
          <w:p w14:paraId="79B3E016" w14:textId="77777777" w:rsidR="00CC4E3D" w:rsidRPr="00205968" w:rsidRDefault="00CC4E3D" w:rsidP="000769DB">
            <w:pPr>
              <w:jc w:val="center"/>
              <w:rPr>
                <w:sz w:val="18"/>
                <w:szCs w:val="18"/>
              </w:rPr>
            </w:pPr>
            <w:r w:rsidRPr="00205968">
              <w:rPr>
                <w:sz w:val="18"/>
                <w:szCs w:val="18"/>
              </w:rPr>
              <w:t>0.705</w:t>
            </w:r>
          </w:p>
        </w:tc>
        <w:tc>
          <w:tcPr>
            <w:tcW w:w="1711" w:type="dxa"/>
            <w:shd w:val="clear" w:color="auto" w:fill="F2F2F2" w:themeFill="background2"/>
            <w:vAlign w:val="center"/>
          </w:tcPr>
          <w:p w14:paraId="04A8A8E7" w14:textId="77777777" w:rsidR="00CC4E3D" w:rsidRPr="00205968" w:rsidRDefault="00CC4E3D" w:rsidP="000769DB">
            <w:pPr>
              <w:jc w:val="center"/>
              <w:rPr>
                <w:sz w:val="18"/>
                <w:szCs w:val="18"/>
              </w:rPr>
            </w:pPr>
            <w:r w:rsidRPr="00205968">
              <w:rPr>
                <w:sz w:val="18"/>
                <w:szCs w:val="18"/>
              </w:rPr>
              <w:t>1.114</w:t>
            </w:r>
          </w:p>
        </w:tc>
      </w:tr>
      <w:tr w:rsidR="00CC4E3D" w:rsidRPr="00205968" w14:paraId="1B03B551" w14:textId="77777777" w:rsidTr="0089638B">
        <w:tc>
          <w:tcPr>
            <w:tcW w:w="4252" w:type="dxa"/>
            <w:vAlign w:val="center"/>
          </w:tcPr>
          <w:p w14:paraId="049B56D1" w14:textId="77777777" w:rsidR="00CC4E3D" w:rsidRPr="00205968" w:rsidRDefault="00CC4E3D" w:rsidP="000769DB">
            <w:pPr>
              <w:rPr>
                <w:sz w:val="18"/>
                <w:szCs w:val="18"/>
              </w:rPr>
            </w:pPr>
            <w:r w:rsidRPr="00205968">
              <w:rPr>
                <w:sz w:val="18"/>
                <w:szCs w:val="18"/>
              </w:rPr>
              <w:t>Income support duration: 12 months or more vs no income support</w:t>
            </w:r>
          </w:p>
        </w:tc>
        <w:tc>
          <w:tcPr>
            <w:tcW w:w="1425" w:type="dxa"/>
            <w:vAlign w:val="center"/>
          </w:tcPr>
          <w:p w14:paraId="565E498B" w14:textId="77777777" w:rsidR="00CC4E3D" w:rsidRPr="00205968" w:rsidRDefault="00CC4E3D" w:rsidP="000769DB">
            <w:pPr>
              <w:jc w:val="center"/>
              <w:rPr>
                <w:sz w:val="18"/>
                <w:szCs w:val="18"/>
              </w:rPr>
            </w:pPr>
            <w:r w:rsidRPr="00205968">
              <w:rPr>
                <w:sz w:val="18"/>
                <w:szCs w:val="18"/>
              </w:rPr>
              <w:t>0.797*</w:t>
            </w:r>
          </w:p>
        </w:tc>
        <w:tc>
          <w:tcPr>
            <w:tcW w:w="1717" w:type="dxa"/>
            <w:vAlign w:val="center"/>
          </w:tcPr>
          <w:p w14:paraId="7A384D7B" w14:textId="77777777" w:rsidR="00CC4E3D" w:rsidRPr="00205968" w:rsidRDefault="00CC4E3D" w:rsidP="000769DB">
            <w:pPr>
              <w:jc w:val="center"/>
              <w:rPr>
                <w:sz w:val="18"/>
                <w:szCs w:val="18"/>
              </w:rPr>
            </w:pPr>
            <w:r w:rsidRPr="00205968">
              <w:rPr>
                <w:sz w:val="18"/>
                <w:szCs w:val="18"/>
              </w:rPr>
              <w:t>0.639</w:t>
            </w:r>
          </w:p>
        </w:tc>
        <w:tc>
          <w:tcPr>
            <w:tcW w:w="1711" w:type="dxa"/>
            <w:vAlign w:val="center"/>
          </w:tcPr>
          <w:p w14:paraId="5D016EC7" w14:textId="77777777" w:rsidR="00CC4E3D" w:rsidRPr="00205968" w:rsidRDefault="00CC4E3D" w:rsidP="000769DB">
            <w:pPr>
              <w:jc w:val="center"/>
              <w:rPr>
                <w:sz w:val="18"/>
                <w:szCs w:val="18"/>
              </w:rPr>
            </w:pPr>
            <w:r w:rsidRPr="00205968">
              <w:rPr>
                <w:sz w:val="18"/>
                <w:szCs w:val="18"/>
              </w:rPr>
              <w:t>0.995</w:t>
            </w:r>
          </w:p>
        </w:tc>
      </w:tr>
      <w:tr w:rsidR="00CC4E3D" w:rsidRPr="00205968" w14:paraId="346F586C" w14:textId="77777777" w:rsidTr="0089638B">
        <w:tc>
          <w:tcPr>
            <w:tcW w:w="4252" w:type="dxa"/>
            <w:shd w:val="clear" w:color="auto" w:fill="F2F2F2" w:themeFill="background2"/>
            <w:vAlign w:val="center"/>
          </w:tcPr>
          <w:p w14:paraId="784FA2EA" w14:textId="77777777" w:rsidR="00CC4E3D" w:rsidRPr="00205968" w:rsidRDefault="00CC4E3D" w:rsidP="000769DB">
            <w:pPr>
              <w:rPr>
                <w:sz w:val="18"/>
                <w:szCs w:val="18"/>
              </w:rPr>
            </w:pPr>
            <w:r w:rsidRPr="00205968">
              <w:rPr>
                <w:sz w:val="18"/>
                <w:szCs w:val="18"/>
              </w:rPr>
              <w:t>Ex-offender: no vs yes</w:t>
            </w:r>
          </w:p>
        </w:tc>
        <w:tc>
          <w:tcPr>
            <w:tcW w:w="1425" w:type="dxa"/>
            <w:shd w:val="clear" w:color="auto" w:fill="F2F2F2" w:themeFill="background2"/>
            <w:vAlign w:val="center"/>
          </w:tcPr>
          <w:p w14:paraId="2229D795" w14:textId="77777777" w:rsidR="00CC4E3D" w:rsidRPr="00205968" w:rsidRDefault="00CC4E3D" w:rsidP="000769DB">
            <w:pPr>
              <w:jc w:val="center"/>
              <w:rPr>
                <w:sz w:val="18"/>
                <w:szCs w:val="18"/>
              </w:rPr>
            </w:pPr>
            <w:r w:rsidRPr="00205968">
              <w:rPr>
                <w:sz w:val="18"/>
                <w:szCs w:val="18"/>
              </w:rPr>
              <w:t>1.64*</w:t>
            </w:r>
          </w:p>
        </w:tc>
        <w:tc>
          <w:tcPr>
            <w:tcW w:w="1717" w:type="dxa"/>
            <w:shd w:val="clear" w:color="auto" w:fill="F2F2F2" w:themeFill="background2"/>
            <w:vAlign w:val="center"/>
          </w:tcPr>
          <w:p w14:paraId="3A402A3F" w14:textId="77777777" w:rsidR="00CC4E3D" w:rsidRPr="00205968" w:rsidRDefault="00CC4E3D" w:rsidP="000769DB">
            <w:pPr>
              <w:jc w:val="center"/>
              <w:rPr>
                <w:sz w:val="18"/>
                <w:szCs w:val="18"/>
              </w:rPr>
            </w:pPr>
            <w:r w:rsidRPr="00205968">
              <w:rPr>
                <w:sz w:val="18"/>
                <w:szCs w:val="18"/>
              </w:rPr>
              <w:t>1.463</w:t>
            </w:r>
          </w:p>
        </w:tc>
        <w:tc>
          <w:tcPr>
            <w:tcW w:w="1711" w:type="dxa"/>
            <w:shd w:val="clear" w:color="auto" w:fill="F2F2F2" w:themeFill="background2"/>
            <w:vAlign w:val="center"/>
          </w:tcPr>
          <w:p w14:paraId="4AA198CA" w14:textId="77777777" w:rsidR="00CC4E3D" w:rsidRPr="00205968" w:rsidRDefault="00CC4E3D" w:rsidP="000769DB">
            <w:pPr>
              <w:jc w:val="center"/>
              <w:rPr>
                <w:sz w:val="18"/>
                <w:szCs w:val="18"/>
              </w:rPr>
            </w:pPr>
            <w:r w:rsidRPr="00205968">
              <w:rPr>
                <w:sz w:val="18"/>
                <w:szCs w:val="18"/>
              </w:rPr>
              <w:t>1.839</w:t>
            </w:r>
          </w:p>
        </w:tc>
      </w:tr>
      <w:tr w:rsidR="00CC4E3D" w:rsidRPr="00205968" w14:paraId="749FBF46" w14:textId="77777777" w:rsidTr="0089638B">
        <w:tc>
          <w:tcPr>
            <w:tcW w:w="4252" w:type="dxa"/>
            <w:vAlign w:val="center"/>
          </w:tcPr>
          <w:p w14:paraId="2E9FF550" w14:textId="77777777" w:rsidR="00CC4E3D" w:rsidRPr="00205968" w:rsidRDefault="00CC4E3D" w:rsidP="000769DB">
            <w:pPr>
              <w:rPr>
                <w:sz w:val="18"/>
                <w:szCs w:val="18"/>
              </w:rPr>
            </w:pPr>
            <w:r w:rsidRPr="00205968">
              <w:rPr>
                <w:sz w:val="18"/>
                <w:szCs w:val="18"/>
              </w:rPr>
              <w:t>Ex-offender: unknown vs yes</w:t>
            </w:r>
          </w:p>
        </w:tc>
        <w:tc>
          <w:tcPr>
            <w:tcW w:w="1425" w:type="dxa"/>
            <w:vAlign w:val="center"/>
          </w:tcPr>
          <w:p w14:paraId="4992BBE1" w14:textId="77777777" w:rsidR="00CC4E3D" w:rsidRPr="00205968" w:rsidRDefault="00CC4E3D" w:rsidP="000769DB">
            <w:pPr>
              <w:jc w:val="center"/>
              <w:rPr>
                <w:sz w:val="18"/>
                <w:szCs w:val="18"/>
              </w:rPr>
            </w:pPr>
            <w:r w:rsidRPr="00205968">
              <w:rPr>
                <w:sz w:val="18"/>
                <w:szCs w:val="18"/>
              </w:rPr>
              <w:t>1.545*</w:t>
            </w:r>
          </w:p>
        </w:tc>
        <w:tc>
          <w:tcPr>
            <w:tcW w:w="1717" w:type="dxa"/>
            <w:vAlign w:val="center"/>
          </w:tcPr>
          <w:p w14:paraId="1D3E7AF6" w14:textId="77777777" w:rsidR="00CC4E3D" w:rsidRPr="00205968" w:rsidRDefault="00CC4E3D" w:rsidP="000769DB">
            <w:pPr>
              <w:jc w:val="center"/>
              <w:rPr>
                <w:sz w:val="18"/>
                <w:szCs w:val="18"/>
              </w:rPr>
            </w:pPr>
            <w:r w:rsidRPr="00205968">
              <w:rPr>
                <w:sz w:val="18"/>
                <w:szCs w:val="18"/>
              </w:rPr>
              <w:t>1.212</w:t>
            </w:r>
          </w:p>
        </w:tc>
        <w:tc>
          <w:tcPr>
            <w:tcW w:w="1711" w:type="dxa"/>
            <w:vAlign w:val="center"/>
          </w:tcPr>
          <w:p w14:paraId="00FFE924" w14:textId="77777777" w:rsidR="00CC4E3D" w:rsidRPr="00205968" w:rsidRDefault="00CC4E3D" w:rsidP="000769DB">
            <w:pPr>
              <w:jc w:val="center"/>
              <w:rPr>
                <w:sz w:val="18"/>
                <w:szCs w:val="18"/>
              </w:rPr>
            </w:pPr>
            <w:r w:rsidRPr="00205968">
              <w:rPr>
                <w:sz w:val="18"/>
                <w:szCs w:val="18"/>
              </w:rPr>
              <w:t>1.968</w:t>
            </w:r>
          </w:p>
        </w:tc>
      </w:tr>
      <w:tr w:rsidR="00CC4E3D" w:rsidRPr="00205968" w14:paraId="09610B7D" w14:textId="77777777" w:rsidTr="0089638B">
        <w:tc>
          <w:tcPr>
            <w:tcW w:w="4252" w:type="dxa"/>
            <w:shd w:val="clear" w:color="auto" w:fill="F2F2F2" w:themeFill="background2"/>
            <w:vAlign w:val="center"/>
          </w:tcPr>
          <w:p w14:paraId="2F79DF49" w14:textId="77777777" w:rsidR="00CC4E3D" w:rsidRPr="00205968" w:rsidRDefault="00CC4E3D" w:rsidP="000769DB">
            <w:pPr>
              <w:rPr>
                <w:sz w:val="18"/>
                <w:szCs w:val="18"/>
              </w:rPr>
            </w:pPr>
            <w:r w:rsidRPr="00205968">
              <w:rPr>
                <w:sz w:val="18"/>
                <w:szCs w:val="18"/>
              </w:rPr>
              <w:t>Disability: no answer vs some disability</w:t>
            </w:r>
          </w:p>
        </w:tc>
        <w:tc>
          <w:tcPr>
            <w:tcW w:w="1425" w:type="dxa"/>
            <w:shd w:val="clear" w:color="auto" w:fill="F2F2F2" w:themeFill="background2"/>
            <w:vAlign w:val="center"/>
          </w:tcPr>
          <w:p w14:paraId="7177C676" w14:textId="77777777" w:rsidR="00CC4E3D" w:rsidRPr="00205968" w:rsidRDefault="00CC4E3D" w:rsidP="000769DB">
            <w:pPr>
              <w:jc w:val="center"/>
              <w:rPr>
                <w:sz w:val="18"/>
                <w:szCs w:val="18"/>
              </w:rPr>
            </w:pPr>
            <w:r w:rsidRPr="00205968">
              <w:rPr>
                <w:sz w:val="18"/>
                <w:szCs w:val="18"/>
              </w:rPr>
              <w:t>1.767*</w:t>
            </w:r>
          </w:p>
        </w:tc>
        <w:tc>
          <w:tcPr>
            <w:tcW w:w="1717" w:type="dxa"/>
            <w:shd w:val="clear" w:color="auto" w:fill="F2F2F2" w:themeFill="background2"/>
            <w:vAlign w:val="center"/>
          </w:tcPr>
          <w:p w14:paraId="1B059FFF" w14:textId="77777777" w:rsidR="00CC4E3D" w:rsidRPr="00205968" w:rsidRDefault="00CC4E3D" w:rsidP="000769DB">
            <w:pPr>
              <w:jc w:val="center"/>
              <w:rPr>
                <w:sz w:val="18"/>
                <w:szCs w:val="18"/>
              </w:rPr>
            </w:pPr>
            <w:r w:rsidRPr="00205968">
              <w:rPr>
                <w:sz w:val="18"/>
                <w:szCs w:val="18"/>
              </w:rPr>
              <w:t>1.247</w:t>
            </w:r>
          </w:p>
        </w:tc>
        <w:tc>
          <w:tcPr>
            <w:tcW w:w="1711" w:type="dxa"/>
            <w:shd w:val="clear" w:color="auto" w:fill="F2F2F2" w:themeFill="background2"/>
            <w:vAlign w:val="center"/>
          </w:tcPr>
          <w:p w14:paraId="41D7A851" w14:textId="77777777" w:rsidR="00CC4E3D" w:rsidRPr="00205968" w:rsidRDefault="00CC4E3D" w:rsidP="000769DB">
            <w:pPr>
              <w:jc w:val="center"/>
              <w:rPr>
                <w:sz w:val="18"/>
                <w:szCs w:val="18"/>
              </w:rPr>
            </w:pPr>
            <w:r w:rsidRPr="00205968">
              <w:rPr>
                <w:sz w:val="18"/>
                <w:szCs w:val="18"/>
              </w:rPr>
              <w:t>2.503</w:t>
            </w:r>
          </w:p>
        </w:tc>
      </w:tr>
      <w:tr w:rsidR="00CC4E3D" w:rsidRPr="00205968" w14:paraId="1D6B7632" w14:textId="77777777" w:rsidTr="0089638B">
        <w:tc>
          <w:tcPr>
            <w:tcW w:w="4252" w:type="dxa"/>
            <w:vAlign w:val="center"/>
          </w:tcPr>
          <w:p w14:paraId="6B0268A3" w14:textId="77777777" w:rsidR="00CC4E3D" w:rsidRPr="00205968" w:rsidRDefault="00CC4E3D" w:rsidP="000769DB">
            <w:pPr>
              <w:rPr>
                <w:sz w:val="18"/>
                <w:szCs w:val="18"/>
              </w:rPr>
            </w:pPr>
            <w:r w:rsidRPr="00205968">
              <w:rPr>
                <w:sz w:val="18"/>
                <w:szCs w:val="18"/>
              </w:rPr>
              <w:t>Disability: none vs some disability</w:t>
            </w:r>
          </w:p>
        </w:tc>
        <w:tc>
          <w:tcPr>
            <w:tcW w:w="1425" w:type="dxa"/>
            <w:vAlign w:val="center"/>
          </w:tcPr>
          <w:p w14:paraId="56753830" w14:textId="77777777" w:rsidR="00CC4E3D" w:rsidRPr="00205968" w:rsidRDefault="00CC4E3D" w:rsidP="000769DB">
            <w:pPr>
              <w:jc w:val="center"/>
              <w:rPr>
                <w:sz w:val="18"/>
                <w:szCs w:val="18"/>
              </w:rPr>
            </w:pPr>
            <w:r w:rsidRPr="00205968">
              <w:rPr>
                <w:sz w:val="18"/>
                <w:szCs w:val="18"/>
              </w:rPr>
              <w:t>1.231*</w:t>
            </w:r>
          </w:p>
        </w:tc>
        <w:tc>
          <w:tcPr>
            <w:tcW w:w="1717" w:type="dxa"/>
            <w:vAlign w:val="center"/>
          </w:tcPr>
          <w:p w14:paraId="69F976C1" w14:textId="77777777" w:rsidR="00CC4E3D" w:rsidRPr="00205968" w:rsidRDefault="00CC4E3D" w:rsidP="000769DB">
            <w:pPr>
              <w:jc w:val="center"/>
              <w:rPr>
                <w:sz w:val="18"/>
                <w:szCs w:val="18"/>
              </w:rPr>
            </w:pPr>
            <w:r w:rsidRPr="00205968">
              <w:rPr>
                <w:sz w:val="18"/>
                <w:szCs w:val="18"/>
              </w:rPr>
              <w:t>1.11</w:t>
            </w:r>
          </w:p>
        </w:tc>
        <w:tc>
          <w:tcPr>
            <w:tcW w:w="1711" w:type="dxa"/>
            <w:vAlign w:val="center"/>
          </w:tcPr>
          <w:p w14:paraId="224DCAD8" w14:textId="77777777" w:rsidR="00CC4E3D" w:rsidRPr="00205968" w:rsidRDefault="00CC4E3D" w:rsidP="000769DB">
            <w:pPr>
              <w:jc w:val="center"/>
              <w:rPr>
                <w:sz w:val="18"/>
                <w:szCs w:val="18"/>
              </w:rPr>
            </w:pPr>
            <w:r w:rsidRPr="00205968">
              <w:rPr>
                <w:sz w:val="18"/>
                <w:szCs w:val="18"/>
              </w:rPr>
              <w:t>1.365</w:t>
            </w:r>
          </w:p>
        </w:tc>
      </w:tr>
      <w:tr w:rsidR="00CC4E3D" w:rsidRPr="00205968" w14:paraId="3F799AFB" w14:textId="77777777" w:rsidTr="0089638B">
        <w:tc>
          <w:tcPr>
            <w:tcW w:w="4252" w:type="dxa"/>
            <w:shd w:val="clear" w:color="auto" w:fill="F2F2F2" w:themeFill="background2"/>
            <w:vAlign w:val="center"/>
          </w:tcPr>
          <w:p w14:paraId="3EA218B5" w14:textId="77777777" w:rsidR="00CC4E3D" w:rsidRPr="00205968" w:rsidRDefault="00CC4E3D" w:rsidP="000769DB">
            <w:pPr>
              <w:rPr>
                <w:sz w:val="18"/>
                <w:szCs w:val="18"/>
              </w:rPr>
            </w:pPr>
            <w:r w:rsidRPr="00205968">
              <w:rPr>
                <w:sz w:val="18"/>
                <w:szCs w:val="18"/>
              </w:rPr>
              <w:t>English: combined vs poor</w:t>
            </w:r>
          </w:p>
        </w:tc>
        <w:tc>
          <w:tcPr>
            <w:tcW w:w="1425" w:type="dxa"/>
            <w:shd w:val="clear" w:color="auto" w:fill="F2F2F2" w:themeFill="background2"/>
            <w:vAlign w:val="center"/>
          </w:tcPr>
          <w:p w14:paraId="6B9AA899" w14:textId="77777777" w:rsidR="00CC4E3D" w:rsidRPr="00205968" w:rsidRDefault="00CC4E3D" w:rsidP="000769DB">
            <w:pPr>
              <w:jc w:val="center"/>
              <w:rPr>
                <w:sz w:val="18"/>
                <w:szCs w:val="18"/>
              </w:rPr>
            </w:pPr>
            <w:r w:rsidRPr="00205968">
              <w:rPr>
                <w:sz w:val="18"/>
                <w:szCs w:val="18"/>
              </w:rPr>
              <w:t>1.008</w:t>
            </w:r>
          </w:p>
        </w:tc>
        <w:tc>
          <w:tcPr>
            <w:tcW w:w="1717" w:type="dxa"/>
            <w:shd w:val="clear" w:color="auto" w:fill="F2F2F2" w:themeFill="background2"/>
            <w:vAlign w:val="center"/>
          </w:tcPr>
          <w:p w14:paraId="2742F569" w14:textId="77777777" w:rsidR="00CC4E3D" w:rsidRPr="00205968" w:rsidRDefault="00CC4E3D" w:rsidP="000769DB">
            <w:pPr>
              <w:jc w:val="center"/>
              <w:rPr>
                <w:sz w:val="18"/>
                <w:szCs w:val="18"/>
              </w:rPr>
            </w:pPr>
            <w:r w:rsidRPr="00205968">
              <w:rPr>
                <w:sz w:val="18"/>
                <w:szCs w:val="18"/>
              </w:rPr>
              <w:t>0.788</w:t>
            </w:r>
          </w:p>
        </w:tc>
        <w:tc>
          <w:tcPr>
            <w:tcW w:w="1711" w:type="dxa"/>
            <w:shd w:val="clear" w:color="auto" w:fill="F2F2F2" w:themeFill="background2"/>
            <w:vAlign w:val="center"/>
          </w:tcPr>
          <w:p w14:paraId="4ECD927D" w14:textId="77777777" w:rsidR="00CC4E3D" w:rsidRPr="00205968" w:rsidRDefault="00CC4E3D" w:rsidP="000769DB">
            <w:pPr>
              <w:jc w:val="center"/>
              <w:rPr>
                <w:sz w:val="18"/>
                <w:szCs w:val="18"/>
              </w:rPr>
            </w:pPr>
            <w:r w:rsidRPr="00205968">
              <w:rPr>
                <w:sz w:val="18"/>
                <w:szCs w:val="18"/>
              </w:rPr>
              <w:t>1.289</w:t>
            </w:r>
          </w:p>
        </w:tc>
      </w:tr>
      <w:tr w:rsidR="00CC4E3D" w:rsidRPr="00205968" w14:paraId="50A55D75" w14:textId="77777777" w:rsidTr="0089638B">
        <w:tc>
          <w:tcPr>
            <w:tcW w:w="4252" w:type="dxa"/>
            <w:vAlign w:val="center"/>
          </w:tcPr>
          <w:p w14:paraId="373B534B" w14:textId="77777777" w:rsidR="00CC4E3D" w:rsidRPr="00205968" w:rsidRDefault="00CC4E3D" w:rsidP="000769DB">
            <w:pPr>
              <w:rPr>
                <w:sz w:val="18"/>
                <w:szCs w:val="18"/>
              </w:rPr>
            </w:pPr>
            <w:r w:rsidRPr="00205968">
              <w:rPr>
                <w:sz w:val="18"/>
                <w:szCs w:val="18"/>
              </w:rPr>
              <w:t>English: good vs poor</w:t>
            </w:r>
          </w:p>
        </w:tc>
        <w:tc>
          <w:tcPr>
            <w:tcW w:w="1425" w:type="dxa"/>
            <w:vAlign w:val="center"/>
          </w:tcPr>
          <w:p w14:paraId="79F7425A" w14:textId="77777777" w:rsidR="00CC4E3D" w:rsidRPr="00205968" w:rsidRDefault="00CC4E3D" w:rsidP="000769DB">
            <w:pPr>
              <w:jc w:val="center"/>
              <w:rPr>
                <w:sz w:val="18"/>
                <w:szCs w:val="18"/>
              </w:rPr>
            </w:pPr>
            <w:r w:rsidRPr="00205968">
              <w:rPr>
                <w:sz w:val="18"/>
                <w:szCs w:val="18"/>
              </w:rPr>
              <w:t>1.585*</w:t>
            </w:r>
          </w:p>
        </w:tc>
        <w:tc>
          <w:tcPr>
            <w:tcW w:w="1717" w:type="dxa"/>
            <w:vAlign w:val="center"/>
          </w:tcPr>
          <w:p w14:paraId="1DB97C4B" w14:textId="77777777" w:rsidR="00CC4E3D" w:rsidRPr="00205968" w:rsidRDefault="00CC4E3D" w:rsidP="000769DB">
            <w:pPr>
              <w:jc w:val="center"/>
              <w:rPr>
                <w:sz w:val="18"/>
                <w:szCs w:val="18"/>
              </w:rPr>
            </w:pPr>
            <w:r w:rsidRPr="00205968">
              <w:rPr>
                <w:sz w:val="18"/>
                <w:szCs w:val="18"/>
              </w:rPr>
              <w:t>1.295</w:t>
            </w:r>
          </w:p>
        </w:tc>
        <w:tc>
          <w:tcPr>
            <w:tcW w:w="1711" w:type="dxa"/>
            <w:vAlign w:val="center"/>
          </w:tcPr>
          <w:p w14:paraId="6FE21DFD" w14:textId="77777777" w:rsidR="00CC4E3D" w:rsidRPr="00205968" w:rsidRDefault="00CC4E3D" w:rsidP="000769DB">
            <w:pPr>
              <w:jc w:val="center"/>
              <w:rPr>
                <w:sz w:val="18"/>
                <w:szCs w:val="18"/>
              </w:rPr>
            </w:pPr>
            <w:r w:rsidRPr="00205968">
              <w:rPr>
                <w:sz w:val="18"/>
                <w:szCs w:val="18"/>
              </w:rPr>
              <w:t>1.941</w:t>
            </w:r>
          </w:p>
        </w:tc>
      </w:tr>
      <w:tr w:rsidR="00CC4E3D" w:rsidRPr="00205968" w14:paraId="5023CD69" w14:textId="77777777" w:rsidTr="0089638B">
        <w:tc>
          <w:tcPr>
            <w:tcW w:w="4252" w:type="dxa"/>
            <w:shd w:val="clear" w:color="auto" w:fill="F2F2F2" w:themeFill="background2"/>
            <w:vAlign w:val="center"/>
          </w:tcPr>
          <w:p w14:paraId="72FF36BB" w14:textId="77777777" w:rsidR="00CC4E3D" w:rsidRPr="00205968" w:rsidRDefault="00CC4E3D" w:rsidP="000769DB">
            <w:pPr>
              <w:rPr>
                <w:sz w:val="18"/>
                <w:szCs w:val="18"/>
              </w:rPr>
            </w:pPr>
            <w:r w:rsidRPr="00205968">
              <w:rPr>
                <w:sz w:val="18"/>
                <w:szCs w:val="18"/>
              </w:rPr>
              <w:t>Income support and crisis payment: received crisis payment vs other</w:t>
            </w:r>
          </w:p>
        </w:tc>
        <w:tc>
          <w:tcPr>
            <w:tcW w:w="1425" w:type="dxa"/>
            <w:shd w:val="clear" w:color="auto" w:fill="F2F2F2" w:themeFill="background2"/>
            <w:vAlign w:val="center"/>
          </w:tcPr>
          <w:p w14:paraId="43E38CFC" w14:textId="77777777" w:rsidR="00CC4E3D" w:rsidRPr="00205968" w:rsidRDefault="00CC4E3D" w:rsidP="000769DB">
            <w:pPr>
              <w:jc w:val="center"/>
              <w:rPr>
                <w:sz w:val="18"/>
                <w:szCs w:val="18"/>
              </w:rPr>
            </w:pPr>
            <w:r w:rsidRPr="00205968">
              <w:rPr>
                <w:sz w:val="18"/>
                <w:szCs w:val="18"/>
              </w:rPr>
              <w:t>0.593*</w:t>
            </w:r>
          </w:p>
        </w:tc>
        <w:tc>
          <w:tcPr>
            <w:tcW w:w="1717" w:type="dxa"/>
            <w:shd w:val="clear" w:color="auto" w:fill="F2F2F2" w:themeFill="background2"/>
            <w:vAlign w:val="center"/>
          </w:tcPr>
          <w:p w14:paraId="0BA46C80" w14:textId="77777777" w:rsidR="00CC4E3D" w:rsidRPr="00205968" w:rsidRDefault="00CC4E3D" w:rsidP="000769DB">
            <w:pPr>
              <w:jc w:val="center"/>
              <w:rPr>
                <w:sz w:val="18"/>
                <w:szCs w:val="18"/>
              </w:rPr>
            </w:pPr>
            <w:r w:rsidRPr="00205968">
              <w:rPr>
                <w:sz w:val="18"/>
                <w:szCs w:val="18"/>
              </w:rPr>
              <w:t>0.46</w:t>
            </w:r>
          </w:p>
        </w:tc>
        <w:tc>
          <w:tcPr>
            <w:tcW w:w="1711" w:type="dxa"/>
            <w:shd w:val="clear" w:color="auto" w:fill="F2F2F2" w:themeFill="background2"/>
            <w:vAlign w:val="center"/>
          </w:tcPr>
          <w:p w14:paraId="3DE332E2" w14:textId="77777777" w:rsidR="00CC4E3D" w:rsidRPr="00205968" w:rsidRDefault="00CC4E3D" w:rsidP="000769DB">
            <w:pPr>
              <w:jc w:val="center"/>
              <w:rPr>
                <w:sz w:val="18"/>
                <w:szCs w:val="18"/>
              </w:rPr>
            </w:pPr>
            <w:r w:rsidRPr="00205968">
              <w:rPr>
                <w:sz w:val="18"/>
                <w:szCs w:val="18"/>
              </w:rPr>
              <w:t>0.763</w:t>
            </w:r>
          </w:p>
        </w:tc>
      </w:tr>
      <w:tr w:rsidR="00CC4E3D" w:rsidRPr="00205968" w14:paraId="2DDB8F37" w14:textId="77777777" w:rsidTr="0089638B">
        <w:tc>
          <w:tcPr>
            <w:tcW w:w="4252" w:type="dxa"/>
            <w:tcBorders>
              <w:bottom w:val="single" w:sz="4" w:space="0" w:color="auto"/>
            </w:tcBorders>
            <w:vAlign w:val="center"/>
          </w:tcPr>
          <w:p w14:paraId="088C0FA9" w14:textId="77777777" w:rsidR="00CC4E3D" w:rsidRPr="00205968" w:rsidRDefault="00CC4E3D" w:rsidP="000769DB">
            <w:pPr>
              <w:rPr>
                <w:sz w:val="18"/>
                <w:szCs w:val="18"/>
              </w:rPr>
            </w:pPr>
            <w:r w:rsidRPr="00205968">
              <w:rPr>
                <w:sz w:val="18"/>
                <w:szCs w:val="18"/>
              </w:rPr>
              <w:t>Income support and crisis payment: more than once on income support vs other</w:t>
            </w:r>
          </w:p>
        </w:tc>
        <w:tc>
          <w:tcPr>
            <w:tcW w:w="1425" w:type="dxa"/>
            <w:tcBorders>
              <w:bottom w:val="single" w:sz="4" w:space="0" w:color="auto"/>
            </w:tcBorders>
            <w:vAlign w:val="center"/>
          </w:tcPr>
          <w:p w14:paraId="00418A0F" w14:textId="77777777" w:rsidR="00CC4E3D" w:rsidRPr="00205968" w:rsidRDefault="00CC4E3D" w:rsidP="000769DB">
            <w:pPr>
              <w:jc w:val="center"/>
              <w:rPr>
                <w:sz w:val="18"/>
                <w:szCs w:val="18"/>
              </w:rPr>
            </w:pPr>
            <w:r w:rsidRPr="00205968">
              <w:rPr>
                <w:sz w:val="18"/>
                <w:szCs w:val="18"/>
              </w:rPr>
              <w:t>1.016</w:t>
            </w:r>
          </w:p>
        </w:tc>
        <w:tc>
          <w:tcPr>
            <w:tcW w:w="1717" w:type="dxa"/>
            <w:tcBorders>
              <w:bottom w:val="single" w:sz="4" w:space="0" w:color="auto"/>
            </w:tcBorders>
            <w:vAlign w:val="center"/>
          </w:tcPr>
          <w:p w14:paraId="6D5A15BF" w14:textId="77777777" w:rsidR="00CC4E3D" w:rsidRPr="00205968" w:rsidRDefault="00CC4E3D" w:rsidP="000769DB">
            <w:pPr>
              <w:jc w:val="center"/>
              <w:rPr>
                <w:sz w:val="18"/>
                <w:szCs w:val="18"/>
              </w:rPr>
            </w:pPr>
            <w:r w:rsidRPr="00205968">
              <w:rPr>
                <w:sz w:val="18"/>
                <w:szCs w:val="18"/>
              </w:rPr>
              <w:t>0.94</w:t>
            </w:r>
          </w:p>
        </w:tc>
        <w:tc>
          <w:tcPr>
            <w:tcW w:w="1711" w:type="dxa"/>
            <w:tcBorders>
              <w:bottom w:val="single" w:sz="4" w:space="0" w:color="auto"/>
            </w:tcBorders>
            <w:vAlign w:val="center"/>
          </w:tcPr>
          <w:p w14:paraId="34013859" w14:textId="77777777" w:rsidR="00CC4E3D" w:rsidRPr="00205968" w:rsidRDefault="00CC4E3D" w:rsidP="000769DB">
            <w:pPr>
              <w:jc w:val="center"/>
              <w:rPr>
                <w:sz w:val="18"/>
                <w:szCs w:val="18"/>
              </w:rPr>
            </w:pPr>
            <w:r w:rsidRPr="00205968">
              <w:rPr>
                <w:sz w:val="18"/>
                <w:szCs w:val="18"/>
              </w:rPr>
              <w:t>1.097</w:t>
            </w:r>
          </w:p>
        </w:tc>
      </w:tr>
    </w:tbl>
    <w:p w14:paraId="5B120580" w14:textId="77777777" w:rsidR="00CC4E3D" w:rsidRDefault="00CC4E3D" w:rsidP="00CC4E3D">
      <w:pPr>
        <w:pStyle w:val="Notes"/>
      </w:pPr>
      <w:r w:rsidRPr="00266751">
        <w:t>*</w:t>
      </w:r>
      <w:r>
        <w:t xml:space="preserve"> Effect is</w:t>
      </w:r>
      <w:r w:rsidRPr="00266751">
        <w:t xml:space="preserve"> </w:t>
      </w:r>
      <w:r w:rsidRPr="008A4218">
        <w:t>statistically</w:t>
      </w:r>
      <w:r w:rsidRPr="00266751">
        <w:t xml:space="preserve"> significant. </w:t>
      </w:r>
    </w:p>
    <w:p w14:paraId="5D69D524" w14:textId="77777777" w:rsidR="00CC4E3D" w:rsidRDefault="00CC4E3D" w:rsidP="00CC4E3D">
      <w:r w:rsidRPr="008C506A">
        <w:rPr>
          <w:b/>
        </w:rPr>
        <w:t xml:space="preserve">Table </w:t>
      </w:r>
      <w:r>
        <w:rPr>
          <w:b/>
        </w:rPr>
        <w:t>F.1 </w:t>
      </w:r>
      <w:r>
        <w:t xml:space="preserve">presents the odds ratios of the effects from the fitted model for the labour market attachment measure. Effect refers to the two variables compared in the ratio. The odds ratio is the relative change in probability of achieving a labour market attachment from the first effect to the second effect. An odds ratio greater than 1 indicates that job seekers with the first effect are more likely to achieve a labour market attachment than those with the second effect; the reverse is true for odds ratios less than 1. </w:t>
      </w:r>
      <w:r w:rsidRPr="0048098B">
        <w:t>Where the value 1 lies outside the lower and upper confidence limits, the relative change between the effects is statistically significant. The effects that are statistically significant are denoted with an asterisk (*).</w:t>
      </w:r>
    </w:p>
    <w:p w14:paraId="4022B785" w14:textId="77777777" w:rsidR="00CC4E3D" w:rsidRDefault="00CC4E3D" w:rsidP="00CC4E3D">
      <w:r>
        <w:t>The logistic regression shows participants in the initial six months of TtW were more likely to achieve a labour market outcome than those in the jobactive comparison group.</w:t>
      </w:r>
    </w:p>
    <w:p w14:paraId="0E7014BA" w14:textId="77777777" w:rsidR="00702ADF" w:rsidRDefault="00702ADF">
      <w:pPr>
        <w:rPr>
          <w:rFonts w:ascii="Calibri" w:eastAsiaTheme="majorEastAsia" w:hAnsi="Calibri" w:cstheme="majorBidi"/>
          <w:b/>
          <w:bCs/>
          <w:iCs/>
          <w:szCs w:val="32"/>
        </w:rPr>
      </w:pPr>
      <w:bookmarkStart w:id="667" w:name="_Toc509402992"/>
      <w:bookmarkStart w:id="668" w:name="_Toc535511502"/>
      <w:bookmarkStart w:id="669" w:name="_Toc535511562"/>
      <w:bookmarkStart w:id="670" w:name="_Toc535512792"/>
      <w:bookmarkStart w:id="671" w:name="_Toc535513428"/>
      <w:r>
        <w:br w:type="page"/>
      </w:r>
    </w:p>
    <w:p w14:paraId="0EE7434F" w14:textId="527FDDE2" w:rsidR="00CC4E3D" w:rsidRDefault="00CC4E3D" w:rsidP="00FD4CA8">
      <w:pPr>
        <w:pStyle w:val="Caption"/>
      </w:pPr>
      <w:bookmarkStart w:id="672" w:name="_Toc23841450"/>
      <w:r>
        <w:lastRenderedPageBreak/>
        <w:t xml:space="preserve">Table F. </w:t>
      </w:r>
      <w:r>
        <w:rPr>
          <w:noProof/>
        </w:rPr>
        <w:fldChar w:fldCharType="begin"/>
      </w:r>
      <w:r>
        <w:rPr>
          <w:noProof/>
        </w:rPr>
        <w:instrText xml:space="preserve"> SEQ Table_F. \* ARABIC </w:instrText>
      </w:r>
      <w:r>
        <w:rPr>
          <w:noProof/>
        </w:rPr>
        <w:fldChar w:fldCharType="separate"/>
      </w:r>
      <w:r w:rsidR="00D84A2A">
        <w:rPr>
          <w:noProof/>
        </w:rPr>
        <w:t>2</w:t>
      </w:r>
      <w:r>
        <w:rPr>
          <w:noProof/>
        </w:rPr>
        <w:fldChar w:fldCharType="end"/>
      </w:r>
      <w:r>
        <w:tab/>
        <w:t>Logistic regression — positive outcome</w:t>
      </w:r>
      <w:bookmarkEnd w:id="667"/>
      <w:bookmarkEnd w:id="668"/>
      <w:bookmarkEnd w:id="669"/>
      <w:bookmarkEnd w:id="670"/>
      <w:bookmarkEnd w:id="671"/>
      <w:bookmarkEnd w:id="672"/>
      <w:r>
        <w:t xml:space="preserve"> </w:t>
      </w:r>
    </w:p>
    <w:tbl>
      <w:tblPr>
        <w:tblStyle w:val="JobsTable"/>
        <w:tblW w:w="5000" w:type="pct"/>
        <w:tblBorders>
          <w:bottom w:val="none" w:sz="0" w:space="0" w:color="auto"/>
        </w:tblBorders>
        <w:tblLayout w:type="fixed"/>
        <w:tblLook w:val="0420" w:firstRow="1" w:lastRow="0" w:firstColumn="0" w:lastColumn="0" w:noHBand="0" w:noVBand="1"/>
        <w:tblDescription w:val="The metrics are odds ratio, lower 95% confidence limit (lower), upper 95% confidence limit (upper).&#10;Results are as follows:&#10;TtW vs jobactive: odds ratio 1.487*; lower 1.41; upper 1.569&#10;Age: odds ratio 1.003; lower 0.982; upper 1.024&#10;Female vs male odds ratio 1.09*; lower 1.032; upper 1.152&#10;Declined to answer vs does not identify as Indigenous: odds ratio 0.89; lower 0.764; upper 1.037&#10;Identifies as Indigenous vs does not identify as Indigenous: odds ratio 0.628*; lower 0.581; upper 0.679&#10;Year 12 or above vs below Year 12: odds ratio 1.294*; lower 1.2; upper 1.395&#10;No transport vs public transport: odds ratio 0.92 lower 0.825; upper 1.025&#10;Private transport vs public transport: odds ratio: odds ratio 1.33*; lower 1.255; upper 1.409&#10;Stable residence vs unstable: odds ratio 1.089*; lower 1.001; upper 1.186&#10;Work experience — full time vs unpaid part time: odds ratio 1.379*; lower 1.272; upper 1.496&#10;Work experience — none vs unpaid part time: odds ratio 1.525*; lower 1.406; upper 1.653&#10;Income support duration — less than 12 months vs no income support: odds ratio 1.03; lower 0.825; upper 1.287&#10;Income support duration — 12 months or more vs no income support: odds ratio 0.927; lower 0.748 1.149&#10;Ex-offender — no vs yes: odds ratio 1.567*; lower 1.412; upper 1.738&#10;Ex-offender — unknown vs yes: odds ratio 1.611*; lower 1.284; upper 2.021&#10;Disability — no answer vs some disability: odds ratio 1.602*; lower 1.144; upper 2.244&#10;Disability — none vs some disability: odds ratio 1.19*; lower 1.08; upper 1.311&#10;English — combined vs poor: odds ratio 0.823; lower 0.664; upper 1.02&#10;English — good vs poor: odds ratio 1.064; lower 0.892; upper 1.27&#10;Income support and crisis payment — received crisis payment vs other: odds ratio 0.613*; lower 0.492; upper 0.764&#10;Income support and crisis payment — more than once on income support vs other: odds ratio 0.974; lower 0.904; upper 1.048&#10;"/>
      </w:tblPr>
      <w:tblGrid>
        <w:gridCol w:w="4696"/>
        <w:gridCol w:w="1174"/>
        <w:gridCol w:w="1496"/>
        <w:gridCol w:w="1512"/>
      </w:tblGrid>
      <w:tr w:rsidR="00CC4E3D" w:rsidRPr="000769DB" w14:paraId="5CC306D9" w14:textId="77777777" w:rsidTr="0089638B">
        <w:trPr>
          <w:cnfStyle w:val="100000000000" w:firstRow="1" w:lastRow="0" w:firstColumn="0" w:lastColumn="0" w:oddVBand="0" w:evenVBand="0" w:oddHBand="0" w:evenHBand="0" w:firstRowFirstColumn="0" w:firstRowLastColumn="0" w:lastRowFirstColumn="0" w:lastRowLastColumn="0"/>
          <w:tblHeader/>
        </w:trPr>
        <w:tc>
          <w:tcPr>
            <w:tcW w:w="4536" w:type="dxa"/>
            <w:vAlign w:val="center"/>
            <w:hideMark/>
          </w:tcPr>
          <w:p w14:paraId="590DE6F1" w14:textId="77777777" w:rsidR="00CC4E3D" w:rsidRPr="000769DB" w:rsidRDefault="00CC4E3D" w:rsidP="000769DB">
            <w:pPr>
              <w:rPr>
                <w:b/>
                <w:bCs/>
                <w:sz w:val="20"/>
                <w:szCs w:val="20"/>
              </w:rPr>
            </w:pPr>
            <w:r w:rsidRPr="000769DB">
              <w:rPr>
                <w:b/>
                <w:bCs/>
                <w:sz w:val="20"/>
                <w:szCs w:val="20"/>
              </w:rPr>
              <w:t>Effect</w:t>
            </w:r>
          </w:p>
        </w:tc>
        <w:tc>
          <w:tcPr>
            <w:tcW w:w="1134" w:type="dxa"/>
            <w:vAlign w:val="center"/>
            <w:hideMark/>
          </w:tcPr>
          <w:p w14:paraId="0561A311" w14:textId="77777777" w:rsidR="00CC4E3D" w:rsidRPr="000769DB" w:rsidRDefault="00CC4E3D" w:rsidP="000769DB">
            <w:pPr>
              <w:jc w:val="center"/>
              <w:rPr>
                <w:b/>
                <w:bCs/>
                <w:sz w:val="20"/>
                <w:szCs w:val="20"/>
              </w:rPr>
            </w:pPr>
            <w:r w:rsidRPr="000769DB">
              <w:rPr>
                <w:b/>
                <w:bCs/>
                <w:sz w:val="20"/>
                <w:szCs w:val="20"/>
              </w:rPr>
              <w:t>Odds ratio</w:t>
            </w:r>
          </w:p>
        </w:tc>
        <w:tc>
          <w:tcPr>
            <w:tcW w:w="1445" w:type="dxa"/>
            <w:vAlign w:val="center"/>
            <w:hideMark/>
          </w:tcPr>
          <w:p w14:paraId="0DB96BCA" w14:textId="77777777" w:rsidR="00CC4E3D" w:rsidRPr="000769DB" w:rsidRDefault="00CC4E3D" w:rsidP="000769DB">
            <w:pPr>
              <w:jc w:val="center"/>
              <w:rPr>
                <w:b/>
                <w:bCs/>
                <w:sz w:val="20"/>
                <w:szCs w:val="20"/>
              </w:rPr>
            </w:pPr>
            <w:r w:rsidRPr="000769DB">
              <w:rPr>
                <w:b/>
                <w:bCs/>
                <w:sz w:val="20"/>
                <w:szCs w:val="20"/>
              </w:rPr>
              <w:t>Lower 95% confidence limit</w:t>
            </w:r>
          </w:p>
        </w:tc>
        <w:tc>
          <w:tcPr>
            <w:tcW w:w="1461" w:type="dxa"/>
            <w:vAlign w:val="center"/>
            <w:hideMark/>
          </w:tcPr>
          <w:p w14:paraId="1D68E918" w14:textId="77777777" w:rsidR="00CC4E3D" w:rsidRPr="000769DB" w:rsidRDefault="00CC4E3D" w:rsidP="000769DB">
            <w:pPr>
              <w:jc w:val="center"/>
              <w:rPr>
                <w:b/>
                <w:bCs/>
                <w:sz w:val="20"/>
                <w:szCs w:val="20"/>
              </w:rPr>
            </w:pPr>
            <w:r w:rsidRPr="000769DB">
              <w:rPr>
                <w:b/>
                <w:bCs/>
                <w:sz w:val="20"/>
                <w:szCs w:val="20"/>
              </w:rPr>
              <w:t>Upper 95% confidence limit</w:t>
            </w:r>
          </w:p>
        </w:tc>
      </w:tr>
      <w:tr w:rsidR="00CC4E3D" w:rsidRPr="000769DB" w14:paraId="44639742" w14:textId="77777777" w:rsidTr="0089638B">
        <w:tc>
          <w:tcPr>
            <w:tcW w:w="4536" w:type="dxa"/>
            <w:vAlign w:val="center"/>
          </w:tcPr>
          <w:p w14:paraId="40EA9776" w14:textId="77777777" w:rsidR="00CC4E3D" w:rsidRPr="000769DB" w:rsidRDefault="00CC4E3D" w:rsidP="000769DB">
            <w:pPr>
              <w:rPr>
                <w:sz w:val="20"/>
                <w:szCs w:val="20"/>
              </w:rPr>
            </w:pPr>
            <w:r w:rsidRPr="000769DB">
              <w:rPr>
                <w:sz w:val="20"/>
                <w:szCs w:val="20"/>
              </w:rPr>
              <w:t>TtW vs jobactive</w:t>
            </w:r>
          </w:p>
        </w:tc>
        <w:tc>
          <w:tcPr>
            <w:tcW w:w="1134" w:type="dxa"/>
            <w:vAlign w:val="center"/>
          </w:tcPr>
          <w:p w14:paraId="02C1618A" w14:textId="77777777" w:rsidR="00CC4E3D" w:rsidRPr="000769DB" w:rsidRDefault="00CC4E3D" w:rsidP="000769DB">
            <w:pPr>
              <w:jc w:val="center"/>
              <w:rPr>
                <w:sz w:val="20"/>
                <w:szCs w:val="20"/>
              </w:rPr>
            </w:pPr>
            <w:r w:rsidRPr="000769DB">
              <w:rPr>
                <w:sz w:val="20"/>
                <w:szCs w:val="20"/>
              </w:rPr>
              <w:t>1.487*</w:t>
            </w:r>
          </w:p>
        </w:tc>
        <w:tc>
          <w:tcPr>
            <w:tcW w:w="1445" w:type="dxa"/>
            <w:vAlign w:val="center"/>
          </w:tcPr>
          <w:p w14:paraId="4FC78C2D" w14:textId="77777777" w:rsidR="00CC4E3D" w:rsidRPr="000769DB" w:rsidRDefault="00CC4E3D" w:rsidP="000769DB">
            <w:pPr>
              <w:jc w:val="center"/>
              <w:rPr>
                <w:sz w:val="20"/>
                <w:szCs w:val="20"/>
              </w:rPr>
            </w:pPr>
            <w:r w:rsidRPr="000769DB">
              <w:rPr>
                <w:sz w:val="20"/>
                <w:szCs w:val="20"/>
              </w:rPr>
              <w:t>1.41</w:t>
            </w:r>
          </w:p>
        </w:tc>
        <w:tc>
          <w:tcPr>
            <w:tcW w:w="1461" w:type="dxa"/>
            <w:vAlign w:val="center"/>
          </w:tcPr>
          <w:p w14:paraId="35597829" w14:textId="77777777" w:rsidR="00CC4E3D" w:rsidRPr="000769DB" w:rsidRDefault="00CC4E3D" w:rsidP="000769DB">
            <w:pPr>
              <w:jc w:val="center"/>
              <w:rPr>
                <w:sz w:val="20"/>
                <w:szCs w:val="20"/>
              </w:rPr>
            </w:pPr>
            <w:r w:rsidRPr="000769DB">
              <w:rPr>
                <w:sz w:val="20"/>
                <w:szCs w:val="20"/>
              </w:rPr>
              <w:t>1.569</w:t>
            </w:r>
          </w:p>
        </w:tc>
      </w:tr>
      <w:tr w:rsidR="00CC4E3D" w:rsidRPr="000769DB" w14:paraId="7AD46565" w14:textId="77777777" w:rsidTr="0089638B">
        <w:tc>
          <w:tcPr>
            <w:tcW w:w="4536" w:type="dxa"/>
            <w:shd w:val="clear" w:color="auto" w:fill="F2F2F2" w:themeFill="background2"/>
            <w:vAlign w:val="center"/>
          </w:tcPr>
          <w:p w14:paraId="3BAE9B10" w14:textId="77777777" w:rsidR="00CC4E3D" w:rsidRPr="000769DB" w:rsidRDefault="00CC4E3D" w:rsidP="000769DB">
            <w:pPr>
              <w:rPr>
                <w:sz w:val="20"/>
                <w:szCs w:val="20"/>
              </w:rPr>
            </w:pPr>
            <w:r w:rsidRPr="000769DB">
              <w:rPr>
                <w:sz w:val="20"/>
                <w:szCs w:val="20"/>
              </w:rPr>
              <w:t>Age</w:t>
            </w:r>
          </w:p>
        </w:tc>
        <w:tc>
          <w:tcPr>
            <w:tcW w:w="1134" w:type="dxa"/>
            <w:shd w:val="clear" w:color="auto" w:fill="F2F2F2" w:themeFill="background2"/>
            <w:vAlign w:val="center"/>
          </w:tcPr>
          <w:p w14:paraId="347F97B8" w14:textId="77777777" w:rsidR="00CC4E3D" w:rsidRPr="000769DB" w:rsidRDefault="00CC4E3D" w:rsidP="000769DB">
            <w:pPr>
              <w:jc w:val="center"/>
              <w:rPr>
                <w:sz w:val="20"/>
                <w:szCs w:val="20"/>
              </w:rPr>
            </w:pPr>
            <w:r w:rsidRPr="000769DB">
              <w:rPr>
                <w:sz w:val="20"/>
                <w:szCs w:val="20"/>
              </w:rPr>
              <w:t>1.003</w:t>
            </w:r>
          </w:p>
        </w:tc>
        <w:tc>
          <w:tcPr>
            <w:tcW w:w="1445" w:type="dxa"/>
            <w:shd w:val="clear" w:color="auto" w:fill="F2F2F2" w:themeFill="background2"/>
            <w:vAlign w:val="center"/>
          </w:tcPr>
          <w:p w14:paraId="1DEC3EB2" w14:textId="77777777" w:rsidR="00CC4E3D" w:rsidRPr="000769DB" w:rsidRDefault="00CC4E3D" w:rsidP="000769DB">
            <w:pPr>
              <w:jc w:val="center"/>
              <w:rPr>
                <w:sz w:val="20"/>
                <w:szCs w:val="20"/>
              </w:rPr>
            </w:pPr>
            <w:r w:rsidRPr="000769DB">
              <w:rPr>
                <w:sz w:val="20"/>
                <w:szCs w:val="20"/>
              </w:rPr>
              <w:t>0.982</w:t>
            </w:r>
          </w:p>
        </w:tc>
        <w:tc>
          <w:tcPr>
            <w:tcW w:w="1461" w:type="dxa"/>
            <w:shd w:val="clear" w:color="auto" w:fill="F2F2F2" w:themeFill="background2"/>
            <w:vAlign w:val="center"/>
          </w:tcPr>
          <w:p w14:paraId="0B2DE5C5" w14:textId="77777777" w:rsidR="00CC4E3D" w:rsidRPr="000769DB" w:rsidRDefault="00CC4E3D" w:rsidP="000769DB">
            <w:pPr>
              <w:jc w:val="center"/>
              <w:rPr>
                <w:sz w:val="20"/>
                <w:szCs w:val="20"/>
              </w:rPr>
            </w:pPr>
            <w:r w:rsidRPr="000769DB">
              <w:rPr>
                <w:sz w:val="20"/>
                <w:szCs w:val="20"/>
              </w:rPr>
              <w:t>1.024</w:t>
            </w:r>
          </w:p>
        </w:tc>
      </w:tr>
      <w:tr w:rsidR="00CC4E3D" w:rsidRPr="000769DB" w14:paraId="679800FD" w14:textId="77777777" w:rsidTr="0089638B">
        <w:tc>
          <w:tcPr>
            <w:tcW w:w="4536" w:type="dxa"/>
            <w:vAlign w:val="center"/>
          </w:tcPr>
          <w:p w14:paraId="4142C1B0" w14:textId="77777777" w:rsidR="00CC4E3D" w:rsidRPr="000769DB" w:rsidRDefault="00CC4E3D" w:rsidP="000769DB">
            <w:pPr>
              <w:rPr>
                <w:sz w:val="20"/>
                <w:szCs w:val="20"/>
              </w:rPr>
            </w:pPr>
            <w:r w:rsidRPr="000769DB">
              <w:rPr>
                <w:sz w:val="20"/>
                <w:szCs w:val="20"/>
              </w:rPr>
              <w:t>Female vs male</w:t>
            </w:r>
          </w:p>
        </w:tc>
        <w:tc>
          <w:tcPr>
            <w:tcW w:w="1134" w:type="dxa"/>
            <w:vAlign w:val="center"/>
          </w:tcPr>
          <w:p w14:paraId="390D494A" w14:textId="77777777" w:rsidR="00CC4E3D" w:rsidRPr="000769DB" w:rsidRDefault="00CC4E3D" w:rsidP="000769DB">
            <w:pPr>
              <w:jc w:val="center"/>
              <w:rPr>
                <w:sz w:val="20"/>
                <w:szCs w:val="20"/>
              </w:rPr>
            </w:pPr>
            <w:r w:rsidRPr="000769DB">
              <w:rPr>
                <w:sz w:val="20"/>
                <w:szCs w:val="20"/>
              </w:rPr>
              <w:t>1.09*</w:t>
            </w:r>
          </w:p>
        </w:tc>
        <w:tc>
          <w:tcPr>
            <w:tcW w:w="1445" w:type="dxa"/>
            <w:vAlign w:val="center"/>
          </w:tcPr>
          <w:p w14:paraId="4DC1793E" w14:textId="77777777" w:rsidR="00CC4E3D" w:rsidRPr="000769DB" w:rsidRDefault="00CC4E3D" w:rsidP="000769DB">
            <w:pPr>
              <w:jc w:val="center"/>
              <w:rPr>
                <w:sz w:val="20"/>
                <w:szCs w:val="20"/>
              </w:rPr>
            </w:pPr>
            <w:r w:rsidRPr="000769DB">
              <w:rPr>
                <w:sz w:val="20"/>
                <w:szCs w:val="20"/>
              </w:rPr>
              <w:t>1.032</w:t>
            </w:r>
          </w:p>
        </w:tc>
        <w:tc>
          <w:tcPr>
            <w:tcW w:w="1461" w:type="dxa"/>
            <w:vAlign w:val="center"/>
          </w:tcPr>
          <w:p w14:paraId="125525CE" w14:textId="77777777" w:rsidR="00CC4E3D" w:rsidRPr="000769DB" w:rsidRDefault="00CC4E3D" w:rsidP="000769DB">
            <w:pPr>
              <w:jc w:val="center"/>
              <w:rPr>
                <w:sz w:val="20"/>
                <w:szCs w:val="20"/>
              </w:rPr>
            </w:pPr>
            <w:r w:rsidRPr="000769DB">
              <w:rPr>
                <w:sz w:val="20"/>
                <w:szCs w:val="20"/>
              </w:rPr>
              <w:t>1.152</w:t>
            </w:r>
          </w:p>
        </w:tc>
      </w:tr>
      <w:tr w:rsidR="00CC4E3D" w:rsidRPr="000769DB" w14:paraId="3383ABF8" w14:textId="77777777" w:rsidTr="0089638B">
        <w:tc>
          <w:tcPr>
            <w:tcW w:w="4536" w:type="dxa"/>
            <w:shd w:val="clear" w:color="auto" w:fill="F2F2F2" w:themeFill="background2"/>
            <w:vAlign w:val="center"/>
          </w:tcPr>
          <w:p w14:paraId="4D6AC9BE" w14:textId="77777777" w:rsidR="00CC4E3D" w:rsidRPr="000769DB" w:rsidRDefault="00CC4E3D" w:rsidP="000769DB">
            <w:pPr>
              <w:rPr>
                <w:sz w:val="20"/>
                <w:szCs w:val="20"/>
              </w:rPr>
            </w:pPr>
            <w:r w:rsidRPr="000769DB">
              <w:rPr>
                <w:sz w:val="20"/>
                <w:szCs w:val="20"/>
              </w:rPr>
              <w:t>Declined to answer vs does not identify as Indigenous</w:t>
            </w:r>
          </w:p>
        </w:tc>
        <w:tc>
          <w:tcPr>
            <w:tcW w:w="1134" w:type="dxa"/>
            <w:shd w:val="clear" w:color="auto" w:fill="F2F2F2" w:themeFill="background2"/>
            <w:vAlign w:val="center"/>
          </w:tcPr>
          <w:p w14:paraId="14CA6414" w14:textId="77777777" w:rsidR="00CC4E3D" w:rsidRPr="000769DB" w:rsidRDefault="00CC4E3D" w:rsidP="000769DB">
            <w:pPr>
              <w:jc w:val="center"/>
              <w:rPr>
                <w:sz w:val="20"/>
                <w:szCs w:val="20"/>
              </w:rPr>
            </w:pPr>
            <w:r w:rsidRPr="000769DB">
              <w:rPr>
                <w:sz w:val="20"/>
                <w:szCs w:val="20"/>
              </w:rPr>
              <w:t>0.89</w:t>
            </w:r>
          </w:p>
        </w:tc>
        <w:tc>
          <w:tcPr>
            <w:tcW w:w="1445" w:type="dxa"/>
            <w:shd w:val="clear" w:color="auto" w:fill="F2F2F2" w:themeFill="background2"/>
            <w:vAlign w:val="center"/>
          </w:tcPr>
          <w:p w14:paraId="336E15E1" w14:textId="77777777" w:rsidR="00CC4E3D" w:rsidRPr="000769DB" w:rsidRDefault="00CC4E3D" w:rsidP="000769DB">
            <w:pPr>
              <w:jc w:val="center"/>
              <w:rPr>
                <w:sz w:val="20"/>
                <w:szCs w:val="20"/>
              </w:rPr>
            </w:pPr>
            <w:r w:rsidRPr="000769DB">
              <w:rPr>
                <w:sz w:val="20"/>
                <w:szCs w:val="20"/>
              </w:rPr>
              <w:t>0.764</w:t>
            </w:r>
          </w:p>
        </w:tc>
        <w:tc>
          <w:tcPr>
            <w:tcW w:w="1461" w:type="dxa"/>
            <w:shd w:val="clear" w:color="auto" w:fill="F2F2F2" w:themeFill="background2"/>
            <w:vAlign w:val="center"/>
          </w:tcPr>
          <w:p w14:paraId="214A1E93" w14:textId="77777777" w:rsidR="00CC4E3D" w:rsidRPr="000769DB" w:rsidRDefault="00CC4E3D" w:rsidP="000769DB">
            <w:pPr>
              <w:jc w:val="center"/>
              <w:rPr>
                <w:sz w:val="20"/>
                <w:szCs w:val="20"/>
              </w:rPr>
            </w:pPr>
            <w:r w:rsidRPr="000769DB">
              <w:rPr>
                <w:sz w:val="20"/>
                <w:szCs w:val="20"/>
              </w:rPr>
              <w:t>1.037</w:t>
            </w:r>
          </w:p>
        </w:tc>
      </w:tr>
      <w:tr w:rsidR="00CC4E3D" w:rsidRPr="000769DB" w14:paraId="0D69CF76" w14:textId="77777777" w:rsidTr="0089638B">
        <w:tc>
          <w:tcPr>
            <w:tcW w:w="4536" w:type="dxa"/>
            <w:vAlign w:val="center"/>
          </w:tcPr>
          <w:p w14:paraId="5D691645" w14:textId="77777777" w:rsidR="00CC4E3D" w:rsidRPr="000769DB" w:rsidRDefault="00CC4E3D" w:rsidP="000769DB">
            <w:pPr>
              <w:rPr>
                <w:sz w:val="20"/>
                <w:szCs w:val="20"/>
              </w:rPr>
            </w:pPr>
            <w:r w:rsidRPr="000769DB">
              <w:rPr>
                <w:sz w:val="20"/>
                <w:szCs w:val="20"/>
              </w:rPr>
              <w:t>Identifies as Indigenous vs does not identify as Indigenous</w:t>
            </w:r>
          </w:p>
        </w:tc>
        <w:tc>
          <w:tcPr>
            <w:tcW w:w="1134" w:type="dxa"/>
            <w:vAlign w:val="center"/>
          </w:tcPr>
          <w:p w14:paraId="2388325B" w14:textId="77777777" w:rsidR="00CC4E3D" w:rsidRPr="000769DB" w:rsidRDefault="00CC4E3D" w:rsidP="000769DB">
            <w:pPr>
              <w:jc w:val="center"/>
              <w:rPr>
                <w:sz w:val="20"/>
                <w:szCs w:val="20"/>
              </w:rPr>
            </w:pPr>
            <w:r w:rsidRPr="000769DB">
              <w:rPr>
                <w:sz w:val="20"/>
                <w:szCs w:val="20"/>
              </w:rPr>
              <w:t>0.628*</w:t>
            </w:r>
          </w:p>
        </w:tc>
        <w:tc>
          <w:tcPr>
            <w:tcW w:w="1445" w:type="dxa"/>
            <w:vAlign w:val="center"/>
          </w:tcPr>
          <w:p w14:paraId="3B008601" w14:textId="77777777" w:rsidR="00CC4E3D" w:rsidRPr="000769DB" w:rsidRDefault="00CC4E3D" w:rsidP="000769DB">
            <w:pPr>
              <w:jc w:val="center"/>
              <w:rPr>
                <w:sz w:val="20"/>
                <w:szCs w:val="20"/>
              </w:rPr>
            </w:pPr>
            <w:r w:rsidRPr="000769DB">
              <w:rPr>
                <w:sz w:val="20"/>
                <w:szCs w:val="20"/>
              </w:rPr>
              <w:t>0.581</w:t>
            </w:r>
          </w:p>
        </w:tc>
        <w:tc>
          <w:tcPr>
            <w:tcW w:w="1461" w:type="dxa"/>
            <w:vAlign w:val="center"/>
          </w:tcPr>
          <w:p w14:paraId="1E21B001" w14:textId="77777777" w:rsidR="00CC4E3D" w:rsidRPr="000769DB" w:rsidRDefault="00CC4E3D" w:rsidP="000769DB">
            <w:pPr>
              <w:jc w:val="center"/>
              <w:rPr>
                <w:sz w:val="20"/>
                <w:szCs w:val="20"/>
              </w:rPr>
            </w:pPr>
            <w:r w:rsidRPr="000769DB">
              <w:rPr>
                <w:sz w:val="20"/>
                <w:szCs w:val="20"/>
              </w:rPr>
              <w:t>0.679</w:t>
            </w:r>
          </w:p>
        </w:tc>
      </w:tr>
      <w:tr w:rsidR="00CC4E3D" w:rsidRPr="000769DB" w14:paraId="759D4F07" w14:textId="77777777" w:rsidTr="0089638B">
        <w:tc>
          <w:tcPr>
            <w:tcW w:w="4536" w:type="dxa"/>
            <w:shd w:val="clear" w:color="auto" w:fill="F2F2F2" w:themeFill="background2"/>
            <w:vAlign w:val="center"/>
          </w:tcPr>
          <w:p w14:paraId="5C3DE169" w14:textId="77777777" w:rsidR="00702ADF" w:rsidRDefault="00CC4E3D" w:rsidP="000769DB">
            <w:pPr>
              <w:rPr>
                <w:sz w:val="20"/>
                <w:szCs w:val="20"/>
              </w:rPr>
            </w:pPr>
            <w:r w:rsidRPr="000769DB">
              <w:rPr>
                <w:sz w:val="20"/>
                <w:szCs w:val="20"/>
              </w:rPr>
              <w:t xml:space="preserve">Education attainment: Year 12 or above vs below </w:t>
            </w:r>
          </w:p>
          <w:p w14:paraId="2F48A514" w14:textId="5E89819A" w:rsidR="00CC4E3D" w:rsidRPr="000769DB" w:rsidRDefault="00CC4E3D" w:rsidP="000769DB">
            <w:pPr>
              <w:rPr>
                <w:sz w:val="20"/>
                <w:szCs w:val="20"/>
              </w:rPr>
            </w:pPr>
            <w:r w:rsidRPr="000769DB">
              <w:rPr>
                <w:sz w:val="20"/>
                <w:szCs w:val="20"/>
              </w:rPr>
              <w:t>Year 12</w:t>
            </w:r>
          </w:p>
        </w:tc>
        <w:tc>
          <w:tcPr>
            <w:tcW w:w="1134" w:type="dxa"/>
            <w:shd w:val="clear" w:color="auto" w:fill="F2F2F2" w:themeFill="background2"/>
            <w:vAlign w:val="center"/>
          </w:tcPr>
          <w:p w14:paraId="10F1C77C" w14:textId="77777777" w:rsidR="00CC4E3D" w:rsidRPr="000769DB" w:rsidRDefault="00CC4E3D" w:rsidP="000769DB">
            <w:pPr>
              <w:jc w:val="center"/>
              <w:rPr>
                <w:sz w:val="20"/>
                <w:szCs w:val="20"/>
              </w:rPr>
            </w:pPr>
            <w:r w:rsidRPr="000769DB">
              <w:rPr>
                <w:sz w:val="20"/>
                <w:szCs w:val="20"/>
              </w:rPr>
              <w:t>1.294*</w:t>
            </w:r>
          </w:p>
        </w:tc>
        <w:tc>
          <w:tcPr>
            <w:tcW w:w="1445" w:type="dxa"/>
            <w:shd w:val="clear" w:color="auto" w:fill="F2F2F2" w:themeFill="background2"/>
            <w:vAlign w:val="center"/>
          </w:tcPr>
          <w:p w14:paraId="267EA402" w14:textId="77777777" w:rsidR="00CC4E3D" w:rsidRPr="000769DB" w:rsidRDefault="00CC4E3D" w:rsidP="000769DB">
            <w:pPr>
              <w:jc w:val="center"/>
              <w:rPr>
                <w:sz w:val="20"/>
                <w:szCs w:val="20"/>
              </w:rPr>
            </w:pPr>
            <w:r w:rsidRPr="000769DB">
              <w:rPr>
                <w:sz w:val="20"/>
                <w:szCs w:val="20"/>
              </w:rPr>
              <w:t>1.2</w:t>
            </w:r>
          </w:p>
        </w:tc>
        <w:tc>
          <w:tcPr>
            <w:tcW w:w="1461" w:type="dxa"/>
            <w:shd w:val="clear" w:color="auto" w:fill="F2F2F2" w:themeFill="background2"/>
            <w:vAlign w:val="center"/>
          </w:tcPr>
          <w:p w14:paraId="6366B0E6" w14:textId="77777777" w:rsidR="00CC4E3D" w:rsidRPr="000769DB" w:rsidRDefault="00CC4E3D" w:rsidP="000769DB">
            <w:pPr>
              <w:jc w:val="center"/>
              <w:rPr>
                <w:sz w:val="20"/>
                <w:szCs w:val="20"/>
              </w:rPr>
            </w:pPr>
            <w:r w:rsidRPr="000769DB">
              <w:rPr>
                <w:sz w:val="20"/>
                <w:szCs w:val="20"/>
              </w:rPr>
              <w:t>1.395</w:t>
            </w:r>
          </w:p>
        </w:tc>
      </w:tr>
      <w:tr w:rsidR="00CC4E3D" w:rsidRPr="000769DB" w14:paraId="4C56FC4C" w14:textId="77777777" w:rsidTr="0089638B">
        <w:tc>
          <w:tcPr>
            <w:tcW w:w="4536" w:type="dxa"/>
            <w:vAlign w:val="center"/>
          </w:tcPr>
          <w:p w14:paraId="2EEDB9D4" w14:textId="77777777" w:rsidR="00CC4E3D" w:rsidRPr="000769DB" w:rsidRDefault="00CC4E3D" w:rsidP="000769DB">
            <w:pPr>
              <w:rPr>
                <w:sz w:val="20"/>
                <w:szCs w:val="20"/>
              </w:rPr>
            </w:pPr>
            <w:r w:rsidRPr="000769DB">
              <w:rPr>
                <w:sz w:val="20"/>
                <w:szCs w:val="20"/>
              </w:rPr>
              <w:t>No transport vs public transport</w:t>
            </w:r>
          </w:p>
        </w:tc>
        <w:tc>
          <w:tcPr>
            <w:tcW w:w="1134" w:type="dxa"/>
            <w:vAlign w:val="center"/>
          </w:tcPr>
          <w:p w14:paraId="70FEBE46" w14:textId="77777777" w:rsidR="00CC4E3D" w:rsidRPr="000769DB" w:rsidRDefault="00CC4E3D" w:rsidP="000769DB">
            <w:pPr>
              <w:jc w:val="center"/>
              <w:rPr>
                <w:sz w:val="20"/>
                <w:szCs w:val="20"/>
              </w:rPr>
            </w:pPr>
            <w:r w:rsidRPr="000769DB">
              <w:rPr>
                <w:sz w:val="20"/>
                <w:szCs w:val="20"/>
              </w:rPr>
              <w:t>0.92</w:t>
            </w:r>
          </w:p>
        </w:tc>
        <w:tc>
          <w:tcPr>
            <w:tcW w:w="1445" w:type="dxa"/>
            <w:vAlign w:val="center"/>
          </w:tcPr>
          <w:p w14:paraId="77D66F79" w14:textId="77777777" w:rsidR="00CC4E3D" w:rsidRPr="000769DB" w:rsidRDefault="00CC4E3D" w:rsidP="000769DB">
            <w:pPr>
              <w:jc w:val="center"/>
              <w:rPr>
                <w:sz w:val="20"/>
                <w:szCs w:val="20"/>
              </w:rPr>
            </w:pPr>
            <w:r w:rsidRPr="000769DB">
              <w:rPr>
                <w:sz w:val="20"/>
                <w:szCs w:val="20"/>
              </w:rPr>
              <w:t>0.825</w:t>
            </w:r>
          </w:p>
        </w:tc>
        <w:tc>
          <w:tcPr>
            <w:tcW w:w="1461" w:type="dxa"/>
            <w:vAlign w:val="center"/>
          </w:tcPr>
          <w:p w14:paraId="787F7275" w14:textId="77777777" w:rsidR="00CC4E3D" w:rsidRPr="000769DB" w:rsidRDefault="00CC4E3D" w:rsidP="000769DB">
            <w:pPr>
              <w:jc w:val="center"/>
              <w:rPr>
                <w:sz w:val="20"/>
                <w:szCs w:val="20"/>
              </w:rPr>
            </w:pPr>
            <w:r w:rsidRPr="000769DB">
              <w:rPr>
                <w:sz w:val="20"/>
                <w:szCs w:val="20"/>
              </w:rPr>
              <w:t>1.025</w:t>
            </w:r>
          </w:p>
        </w:tc>
      </w:tr>
      <w:tr w:rsidR="00CC4E3D" w:rsidRPr="000769DB" w14:paraId="09DFDDF8" w14:textId="77777777" w:rsidTr="0089638B">
        <w:tc>
          <w:tcPr>
            <w:tcW w:w="4536" w:type="dxa"/>
            <w:shd w:val="clear" w:color="auto" w:fill="F2F2F2" w:themeFill="background2"/>
            <w:vAlign w:val="center"/>
          </w:tcPr>
          <w:p w14:paraId="4019CAF3" w14:textId="77777777" w:rsidR="00CC4E3D" w:rsidRPr="000769DB" w:rsidRDefault="00CC4E3D" w:rsidP="000769DB">
            <w:pPr>
              <w:rPr>
                <w:sz w:val="20"/>
                <w:szCs w:val="20"/>
              </w:rPr>
            </w:pPr>
            <w:r w:rsidRPr="000769DB">
              <w:rPr>
                <w:sz w:val="20"/>
                <w:szCs w:val="20"/>
              </w:rPr>
              <w:t>Private transport vs public transport</w:t>
            </w:r>
          </w:p>
        </w:tc>
        <w:tc>
          <w:tcPr>
            <w:tcW w:w="1134" w:type="dxa"/>
            <w:shd w:val="clear" w:color="auto" w:fill="F2F2F2" w:themeFill="background2"/>
            <w:vAlign w:val="center"/>
          </w:tcPr>
          <w:p w14:paraId="388B8FDD" w14:textId="77777777" w:rsidR="00CC4E3D" w:rsidRPr="000769DB" w:rsidRDefault="00CC4E3D" w:rsidP="000769DB">
            <w:pPr>
              <w:jc w:val="center"/>
              <w:rPr>
                <w:sz w:val="20"/>
                <w:szCs w:val="20"/>
              </w:rPr>
            </w:pPr>
            <w:r w:rsidRPr="000769DB">
              <w:rPr>
                <w:sz w:val="20"/>
                <w:szCs w:val="20"/>
              </w:rPr>
              <w:t>1.33*</w:t>
            </w:r>
          </w:p>
        </w:tc>
        <w:tc>
          <w:tcPr>
            <w:tcW w:w="1445" w:type="dxa"/>
            <w:shd w:val="clear" w:color="auto" w:fill="F2F2F2" w:themeFill="background2"/>
            <w:vAlign w:val="center"/>
          </w:tcPr>
          <w:p w14:paraId="5D1AE4FB" w14:textId="77777777" w:rsidR="00CC4E3D" w:rsidRPr="000769DB" w:rsidRDefault="00CC4E3D" w:rsidP="000769DB">
            <w:pPr>
              <w:jc w:val="center"/>
              <w:rPr>
                <w:sz w:val="20"/>
                <w:szCs w:val="20"/>
              </w:rPr>
            </w:pPr>
            <w:r w:rsidRPr="000769DB">
              <w:rPr>
                <w:sz w:val="20"/>
                <w:szCs w:val="20"/>
              </w:rPr>
              <w:t>1.255</w:t>
            </w:r>
          </w:p>
        </w:tc>
        <w:tc>
          <w:tcPr>
            <w:tcW w:w="1461" w:type="dxa"/>
            <w:shd w:val="clear" w:color="auto" w:fill="F2F2F2" w:themeFill="background2"/>
            <w:vAlign w:val="center"/>
          </w:tcPr>
          <w:p w14:paraId="6BCF46E6" w14:textId="77777777" w:rsidR="00CC4E3D" w:rsidRPr="000769DB" w:rsidRDefault="00CC4E3D" w:rsidP="000769DB">
            <w:pPr>
              <w:jc w:val="center"/>
              <w:rPr>
                <w:sz w:val="20"/>
                <w:szCs w:val="20"/>
              </w:rPr>
            </w:pPr>
            <w:r w:rsidRPr="000769DB">
              <w:rPr>
                <w:sz w:val="20"/>
                <w:szCs w:val="20"/>
              </w:rPr>
              <w:t>1.409</w:t>
            </w:r>
          </w:p>
        </w:tc>
      </w:tr>
      <w:tr w:rsidR="00CC4E3D" w:rsidRPr="000769DB" w14:paraId="53DC9E7D" w14:textId="77777777" w:rsidTr="0089638B">
        <w:tc>
          <w:tcPr>
            <w:tcW w:w="4536" w:type="dxa"/>
            <w:vAlign w:val="center"/>
          </w:tcPr>
          <w:p w14:paraId="6C5322AC" w14:textId="77777777" w:rsidR="00CC4E3D" w:rsidRPr="000769DB" w:rsidRDefault="00CC4E3D" w:rsidP="000769DB">
            <w:pPr>
              <w:rPr>
                <w:sz w:val="20"/>
                <w:szCs w:val="20"/>
              </w:rPr>
            </w:pPr>
            <w:r w:rsidRPr="000769DB">
              <w:rPr>
                <w:sz w:val="20"/>
                <w:szCs w:val="20"/>
              </w:rPr>
              <w:t>Stable residence vs unstable</w:t>
            </w:r>
          </w:p>
        </w:tc>
        <w:tc>
          <w:tcPr>
            <w:tcW w:w="1134" w:type="dxa"/>
            <w:vAlign w:val="center"/>
          </w:tcPr>
          <w:p w14:paraId="4C66076F" w14:textId="77777777" w:rsidR="00CC4E3D" w:rsidRPr="000769DB" w:rsidRDefault="00CC4E3D" w:rsidP="000769DB">
            <w:pPr>
              <w:jc w:val="center"/>
              <w:rPr>
                <w:sz w:val="20"/>
                <w:szCs w:val="20"/>
              </w:rPr>
            </w:pPr>
            <w:r w:rsidRPr="000769DB">
              <w:rPr>
                <w:sz w:val="20"/>
                <w:szCs w:val="20"/>
              </w:rPr>
              <w:t>1.089*</w:t>
            </w:r>
          </w:p>
        </w:tc>
        <w:tc>
          <w:tcPr>
            <w:tcW w:w="1445" w:type="dxa"/>
            <w:vAlign w:val="center"/>
          </w:tcPr>
          <w:p w14:paraId="01381D59" w14:textId="77777777" w:rsidR="00CC4E3D" w:rsidRPr="000769DB" w:rsidRDefault="00CC4E3D" w:rsidP="000769DB">
            <w:pPr>
              <w:jc w:val="center"/>
              <w:rPr>
                <w:sz w:val="20"/>
                <w:szCs w:val="20"/>
              </w:rPr>
            </w:pPr>
            <w:r w:rsidRPr="000769DB">
              <w:rPr>
                <w:sz w:val="20"/>
                <w:szCs w:val="20"/>
              </w:rPr>
              <w:t>1.001</w:t>
            </w:r>
          </w:p>
        </w:tc>
        <w:tc>
          <w:tcPr>
            <w:tcW w:w="1461" w:type="dxa"/>
            <w:vAlign w:val="center"/>
          </w:tcPr>
          <w:p w14:paraId="60CA81A6" w14:textId="77777777" w:rsidR="00CC4E3D" w:rsidRPr="000769DB" w:rsidRDefault="00CC4E3D" w:rsidP="000769DB">
            <w:pPr>
              <w:jc w:val="center"/>
              <w:rPr>
                <w:sz w:val="20"/>
                <w:szCs w:val="20"/>
              </w:rPr>
            </w:pPr>
            <w:r w:rsidRPr="000769DB">
              <w:rPr>
                <w:sz w:val="20"/>
                <w:szCs w:val="20"/>
              </w:rPr>
              <w:t>1.186</w:t>
            </w:r>
          </w:p>
        </w:tc>
      </w:tr>
      <w:tr w:rsidR="00CC4E3D" w:rsidRPr="000769DB" w14:paraId="4CFF628C" w14:textId="77777777" w:rsidTr="0089638B">
        <w:tc>
          <w:tcPr>
            <w:tcW w:w="4536" w:type="dxa"/>
            <w:shd w:val="clear" w:color="auto" w:fill="F2F2F2" w:themeFill="background2"/>
            <w:vAlign w:val="center"/>
          </w:tcPr>
          <w:p w14:paraId="51B8F6E7" w14:textId="77777777" w:rsidR="00CC4E3D" w:rsidRPr="000769DB" w:rsidRDefault="00CC4E3D" w:rsidP="000769DB">
            <w:pPr>
              <w:rPr>
                <w:sz w:val="20"/>
                <w:szCs w:val="20"/>
              </w:rPr>
            </w:pPr>
            <w:r w:rsidRPr="000769DB">
              <w:rPr>
                <w:sz w:val="20"/>
                <w:szCs w:val="20"/>
              </w:rPr>
              <w:t>Work experience: full time vs unpaid part time</w:t>
            </w:r>
          </w:p>
        </w:tc>
        <w:tc>
          <w:tcPr>
            <w:tcW w:w="1134" w:type="dxa"/>
            <w:shd w:val="clear" w:color="auto" w:fill="F2F2F2" w:themeFill="background2"/>
            <w:vAlign w:val="center"/>
          </w:tcPr>
          <w:p w14:paraId="3FE4DF6C" w14:textId="77777777" w:rsidR="00CC4E3D" w:rsidRPr="000769DB" w:rsidRDefault="00CC4E3D" w:rsidP="000769DB">
            <w:pPr>
              <w:jc w:val="center"/>
              <w:rPr>
                <w:sz w:val="20"/>
                <w:szCs w:val="20"/>
              </w:rPr>
            </w:pPr>
            <w:r w:rsidRPr="000769DB">
              <w:rPr>
                <w:sz w:val="20"/>
                <w:szCs w:val="20"/>
              </w:rPr>
              <w:t>1.379*</w:t>
            </w:r>
          </w:p>
        </w:tc>
        <w:tc>
          <w:tcPr>
            <w:tcW w:w="1445" w:type="dxa"/>
            <w:shd w:val="clear" w:color="auto" w:fill="F2F2F2" w:themeFill="background2"/>
            <w:vAlign w:val="center"/>
          </w:tcPr>
          <w:p w14:paraId="4A5C1477" w14:textId="77777777" w:rsidR="00CC4E3D" w:rsidRPr="000769DB" w:rsidRDefault="00CC4E3D" w:rsidP="000769DB">
            <w:pPr>
              <w:jc w:val="center"/>
              <w:rPr>
                <w:sz w:val="20"/>
                <w:szCs w:val="20"/>
              </w:rPr>
            </w:pPr>
            <w:r w:rsidRPr="000769DB">
              <w:rPr>
                <w:sz w:val="20"/>
                <w:szCs w:val="20"/>
              </w:rPr>
              <w:t>1.272</w:t>
            </w:r>
          </w:p>
        </w:tc>
        <w:tc>
          <w:tcPr>
            <w:tcW w:w="1461" w:type="dxa"/>
            <w:shd w:val="clear" w:color="auto" w:fill="F2F2F2" w:themeFill="background2"/>
            <w:vAlign w:val="center"/>
          </w:tcPr>
          <w:p w14:paraId="4989F817" w14:textId="77777777" w:rsidR="00CC4E3D" w:rsidRPr="000769DB" w:rsidRDefault="00CC4E3D" w:rsidP="000769DB">
            <w:pPr>
              <w:jc w:val="center"/>
              <w:rPr>
                <w:sz w:val="20"/>
                <w:szCs w:val="20"/>
              </w:rPr>
            </w:pPr>
            <w:r w:rsidRPr="000769DB">
              <w:rPr>
                <w:sz w:val="20"/>
                <w:szCs w:val="20"/>
              </w:rPr>
              <w:t>1.496</w:t>
            </w:r>
          </w:p>
        </w:tc>
      </w:tr>
      <w:tr w:rsidR="00CC4E3D" w:rsidRPr="000769DB" w14:paraId="34D9193F" w14:textId="77777777" w:rsidTr="0089638B">
        <w:tc>
          <w:tcPr>
            <w:tcW w:w="4536" w:type="dxa"/>
            <w:vAlign w:val="center"/>
          </w:tcPr>
          <w:p w14:paraId="7C7466AD" w14:textId="77777777" w:rsidR="00CC4E3D" w:rsidRPr="000769DB" w:rsidRDefault="00CC4E3D" w:rsidP="000769DB">
            <w:pPr>
              <w:rPr>
                <w:sz w:val="20"/>
                <w:szCs w:val="20"/>
              </w:rPr>
            </w:pPr>
            <w:r w:rsidRPr="000769DB">
              <w:rPr>
                <w:sz w:val="20"/>
                <w:szCs w:val="20"/>
              </w:rPr>
              <w:t xml:space="preserve">Work experience: none vs unpaid part time </w:t>
            </w:r>
          </w:p>
        </w:tc>
        <w:tc>
          <w:tcPr>
            <w:tcW w:w="1134" w:type="dxa"/>
            <w:vAlign w:val="center"/>
          </w:tcPr>
          <w:p w14:paraId="1894088A" w14:textId="77777777" w:rsidR="00CC4E3D" w:rsidRPr="000769DB" w:rsidRDefault="00CC4E3D" w:rsidP="000769DB">
            <w:pPr>
              <w:jc w:val="center"/>
              <w:rPr>
                <w:sz w:val="20"/>
                <w:szCs w:val="20"/>
              </w:rPr>
            </w:pPr>
            <w:r w:rsidRPr="000769DB">
              <w:rPr>
                <w:sz w:val="20"/>
                <w:szCs w:val="20"/>
              </w:rPr>
              <w:t>1.525*</w:t>
            </w:r>
          </w:p>
        </w:tc>
        <w:tc>
          <w:tcPr>
            <w:tcW w:w="1445" w:type="dxa"/>
            <w:vAlign w:val="center"/>
          </w:tcPr>
          <w:p w14:paraId="02185C32" w14:textId="77777777" w:rsidR="00CC4E3D" w:rsidRPr="000769DB" w:rsidRDefault="00CC4E3D" w:rsidP="000769DB">
            <w:pPr>
              <w:jc w:val="center"/>
              <w:rPr>
                <w:sz w:val="20"/>
                <w:szCs w:val="20"/>
              </w:rPr>
            </w:pPr>
            <w:r w:rsidRPr="000769DB">
              <w:rPr>
                <w:sz w:val="20"/>
                <w:szCs w:val="20"/>
              </w:rPr>
              <w:t>1.406</w:t>
            </w:r>
          </w:p>
        </w:tc>
        <w:tc>
          <w:tcPr>
            <w:tcW w:w="1461" w:type="dxa"/>
            <w:vAlign w:val="center"/>
          </w:tcPr>
          <w:p w14:paraId="7B959745" w14:textId="77777777" w:rsidR="00CC4E3D" w:rsidRPr="000769DB" w:rsidRDefault="00CC4E3D" w:rsidP="000769DB">
            <w:pPr>
              <w:jc w:val="center"/>
              <w:rPr>
                <w:sz w:val="20"/>
                <w:szCs w:val="20"/>
              </w:rPr>
            </w:pPr>
            <w:r w:rsidRPr="000769DB">
              <w:rPr>
                <w:sz w:val="20"/>
                <w:szCs w:val="20"/>
              </w:rPr>
              <w:t>1.653</w:t>
            </w:r>
          </w:p>
        </w:tc>
      </w:tr>
      <w:tr w:rsidR="00CC4E3D" w:rsidRPr="000769DB" w14:paraId="78B72669" w14:textId="77777777" w:rsidTr="0089638B">
        <w:tc>
          <w:tcPr>
            <w:tcW w:w="4536" w:type="dxa"/>
            <w:shd w:val="clear" w:color="auto" w:fill="F2F2F2" w:themeFill="background2"/>
            <w:vAlign w:val="center"/>
          </w:tcPr>
          <w:p w14:paraId="07AA54F1" w14:textId="77777777" w:rsidR="00CC4E3D" w:rsidRPr="000769DB" w:rsidRDefault="00CC4E3D" w:rsidP="000769DB">
            <w:pPr>
              <w:rPr>
                <w:sz w:val="20"/>
                <w:szCs w:val="20"/>
              </w:rPr>
            </w:pPr>
            <w:r w:rsidRPr="000769DB">
              <w:rPr>
                <w:sz w:val="20"/>
                <w:szCs w:val="20"/>
              </w:rPr>
              <w:t>Income support duration: less than 12 months vs no income support</w:t>
            </w:r>
          </w:p>
        </w:tc>
        <w:tc>
          <w:tcPr>
            <w:tcW w:w="1134" w:type="dxa"/>
            <w:shd w:val="clear" w:color="auto" w:fill="F2F2F2" w:themeFill="background2"/>
            <w:vAlign w:val="center"/>
          </w:tcPr>
          <w:p w14:paraId="2C8946DE" w14:textId="77777777" w:rsidR="00CC4E3D" w:rsidRPr="000769DB" w:rsidRDefault="00CC4E3D" w:rsidP="000769DB">
            <w:pPr>
              <w:jc w:val="center"/>
              <w:rPr>
                <w:sz w:val="20"/>
                <w:szCs w:val="20"/>
              </w:rPr>
            </w:pPr>
            <w:r w:rsidRPr="000769DB">
              <w:rPr>
                <w:sz w:val="20"/>
                <w:szCs w:val="20"/>
              </w:rPr>
              <w:t>1.03</w:t>
            </w:r>
          </w:p>
        </w:tc>
        <w:tc>
          <w:tcPr>
            <w:tcW w:w="1445" w:type="dxa"/>
            <w:shd w:val="clear" w:color="auto" w:fill="F2F2F2" w:themeFill="background2"/>
            <w:vAlign w:val="center"/>
          </w:tcPr>
          <w:p w14:paraId="297077A9" w14:textId="77777777" w:rsidR="00CC4E3D" w:rsidRPr="000769DB" w:rsidRDefault="00CC4E3D" w:rsidP="000769DB">
            <w:pPr>
              <w:jc w:val="center"/>
              <w:rPr>
                <w:sz w:val="20"/>
                <w:szCs w:val="20"/>
              </w:rPr>
            </w:pPr>
            <w:r w:rsidRPr="000769DB">
              <w:rPr>
                <w:sz w:val="20"/>
                <w:szCs w:val="20"/>
              </w:rPr>
              <w:t>0.825</w:t>
            </w:r>
          </w:p>
        </w:tc>
        <w:tc>
          <w:tcPr>
            <w:tcW w:w="1461" w:type="dxa"/>
            <w:shd w:val="clear" w:color="auto" w:fill="F2F2F2" w:themeFill="background2"/>
            <w:vAlign w:val="center"/>
          </w:tcPr>
          <w:p w14:paraId="5AAB4D09" w14:textId="77777777" w:rsidR="00CC4E3D" w:rsidRPr="000769DB" w:rsidRDefault="00CC4E3D" w:rsidP="000769DB">
            <w:pPr>
              <w:jc w:val="center"/>
              <w:rPr>
                <w:sz w:val="20"/>
                <w:szCs w:val="20"/>
              </w:rPr>
            </w:pPr>
            <w:r w:rsidRPr="000769DB">
              <w:rPr>
                <w:sz w:val="20"/>
                <w:szCs w:val="20"/>
              </w:rPr>
              <w:t>1.287</w:t>
            </w:r>
          </w:p>
        </w:tc>
      </w:tr>
      <w:tr w:rsidR="00CC4E3D" w:rsidRPr="000769DB" w14:paraId="42991E85" w14:textId="77777777" w:rsidTr="0089638B">
        <w:tc>
          <w:tcPr>
            <w:tcW w:w="4536" w:type="dxa"/>
            <w:vAlign w:val="center"/>
          </w:tcPr>
          <w:p w14:paraId="254989AD" w14:textId="77777777" w:rsidR="00CC4E3D" w:rsidRPr="000769DB" w:rsidRDefault="00CC4E3D" w:rsidP="000769DB">
            <w:pPr>
              <w:rPr>
                <w:sz w:val="20"/>
                <w:szCs w:val="20"/>
              </w:rPr>
            </w:pPr>
            <w:r w:rsidRPr="000769DB">
              <w:rPr>
                <w:sz w:val="20"/>
                <w:szCs w:val="20"/>
              </w:rPr>
              <w:t>Income support duration: 12 months or more vs no income support</w:t>
            </w:r>
          </w:p>
        </w:tc>
        <w:tc>
          <w:tcPr>
            <w:tcW w:w="1134" w:type="dxa"/>
            <w:vAlign w:val="center"/>
          </w:tcPr>
          <w:p w14:paraId="11336B52" w14:textId="77777777" w:rsidR="00CC4E3D" w:rsidRPr="000769DB" w:rsidRDefault="00CC4E3D" w:rsidP="000769DB">
            <w:pPr>
              <w:jc w:val="center"/>
              <w:rPr>
                <w:sz w:val="20"/>
                <w:szCs w:val="20"/>
              </w:rPr>
            </w:pPr>
            <w:r w:rsidRPr="000769DB">
              <w:rPr>
                <w:sz w:val="20"/>
                <w:szCs w:val="20"/>
              </w:rPr>
              <w:t>0.927</w:t>
            </w:r>
          </w:p>
        </w:tc>
        <w:tc>
          <w:tcPr>
            <w:tcW w:w="1445" w:type="dxa"/>
            <w:vAlign w:val="center"/>
          </w:tcPr>
          <w:p w14:paraId="7CA8E87A" w14:textId="77777777" w:rsidR="00CC4E3D" w:rsidRPr="000769DB" w:rsidRDefault="00CC4E3D" w:rsidP="000769DB">
            <w:pPr>
              <w:jc w:val="center"/>
              <w:rPr>
                <w:sz w:val="20"/>
                <w:szCs w:val="20"/>
              </w:rPr>
            </w:pPr>
            <w:r w:rsidRPr="000769DB">
              <w:rPr>
                <w:sz w:val="20"/>
                <w:szCs w:val="20"/>
              </w:rPr>
              <w:t>0.748</w:t>
            </w:r>
          </w:p>
        </w:tc>
        <w:tc>
          <w:tcPr>
            <w:tcW w:w="1461" w:type="dxa"/>
            <w:vAlign w:val="center"/>
          </w:tcPr>
          <w:p w14:paraId="76EB794B" w14:textId="77777777" w:rsidR="00CC4E3D" w:rsidRPr="000769DB" w:rsidRDefault="00CC4E3D" w:rsidP="000769DB">
            <w:pPr>
              <w:jc w:val="center"/>
              <w:rPr>
                <w:sz w:val="20"/>
                <w:szCs w:val="20"/>
              </w:rPr>
            </w:pPr>
            <w:r w:rsidRPr="000769DB">
              <w:rPr>
                <w:sz w:val="20"/>
                <w:szCs w:val="20"/>
              </w:rPr>
              <w:t>1.149</w:t>
            </w:r>
          </w:p>
        </w:tc>
      </w:tr>
      <w:tr w:rsidR="00CC4E3D" w:rsidRPr="000769DB" w14:paraId="4FC56FB9" w14:textId="77777777" w:rsidTr="0089638B">
        <w:tc>
          <w:tcPr>
            <w:tcW w:w="4536" w:type="dxa"/>
            <w:shd w:val="clear" w:color="auto" w:fill="F2F2F2" w:themeFill="background2"/>
            <w:vAlign w:val="center"/>
          </w:tcPr>
          <w:p w14:paraId="073499EE" w14:textId="77777777" w:rsidR="00CC4E3D" w:rsidRPr="000769DB" w:rsidRDefault="00CC4E3D" w:rsidP="000769DB">
            <w:pPr>
              <w:rPr>
                <w:sz w:val="20"/>
                <w:szCs w:val="20"/>
              </w:rPr>
            </w:pPr>
            <w:r w:rsidRPr="000769DB">
              <w:rPr>
                <w:sz w:val="20"/>
                <w:szCs w:val="20"/>
              </w:rPr>
              <w:t>Ex-offender: no vs yes</w:t>
            </w:r>
          </w:p>
        </w:tc>
        <w:tc>
          <w:tcPr>
            <w:tcW w:w="1134" w:type="dxa"/>
            <w:shd w:val="clear" w:color="auto" w:fill="F2F2F2" w:themeFill="background2"/>
            <w:vAlign w:val="center"/>
          </w:tcPr>
          <w:p w14:paraId="0801E920" w14:textId="77777777" w:rsidR="00CC4E3D" w:rsidRPr="000769DB" w:rsidRDefault="00CC4E3D" w:rsidP="000769DB">
            <w:pPr>
              <w:jc w:val="center"/>
              <w:rPr>
                <w:sz w:val="20"/>
                <w:szCs w:val="20"/>
              </w:rPr>
            </w:pPr>
            <w:r w:rsidRPr="000769DB">
              <w:rPr>
                <w:sz w:val="20"/>
                <w:szCs w:val="20"/>
              </w:rPr>
              <w:t>1.567*</w:t>
            </w:r>
          </w:p>
        </w:tc>
        <w:tc>
          <w:tcPr>
            <w:tcW w:w="1445" w:type="dxa"/>
            <w:shd w:val="clear" w:color="auto" w:fill="F2F2F2" w:themeFill="background2"/>
            <w:vAlign w:val="center"/>
          </w:tcPr>
          <w:p w14:paraId="4C5923CD" w14:textId="77777777" w:rsidR="00CC4E3D" w:rsidRPr="000769DB" w:rsidRDefault="00CC4E3D" w:rsidP="000769DB">
            <w:pPr>
              <w:jc w:val="center"/>
              <w:rPr>
                <w:sz w:val="20"/>
                <w:szCs w:val="20"/>
              </w:rPr>
            </w:pPr>
            <w:r w:rsidRPr="000769DB">
              <w:rPr>
                <w:sz w:val="20"/>
                <w:szCs w:val="20"/>
              </w:rPr>
              <w:t>1.412</w:t>
            </w:r>
          </w:p>
        </w:tc>
        <w:tc>
          <w:tcPr>
            <w:tcW w:w="1461" w:type="dxa"/>
            <w:shd w:val="clear" w:color="auto" w:fill="F2F2F2" w:themeFill="background2"/>
            <w:vAlign w:val="center"/>
          </w:tcPr>
          <w:p w14:paraId="12BF4BA3" w14:textId="77777777" w:rsidR="00CC4E3D" w:rsidRPr="000769DB" w:rsidRDefault="00CC4E3D" w:rsidP="000769DB">
            <w:pPr>
              <w:jc w:val="center"/>
              <w:rPr>
                <w:sz w:val="20"/>
                <w:szCs w:val="20"/>
              </w:rPr>
            </w:pPr>
            <w:r w:rsidRPr="000769DB">
              <w:rPr>
                <w:sz w:val="20"/>
                <w:szCs w:val="20"/>
              </w:rPr>
              <w:t>1.738</w:t>
            </w:r>
          </w:p>
        </w:tc>
      </w:tr>
      <w:tr w:rsidR="00CC4E3D" w:rsidRPr="000769DB" w14:paraId="2A2575D9" w14:textId="77777777" w:rsidTr="0089638B">
        <w:tc>
          <w:tcPr>
            <w:tcW w:w="4536" w:type="dxa"/>
            <w:vAlign w:val="center"/>
          </w:tcPr>
          <w:p w14:paraId="645BFF4C" w14:textId="77777777" w:rsidR="00CC4E3D" w:rsidRPr="000769DB" w:rsidRDefault="00CC4E3D" w:rsidP="000769DB">
            <w:pPr>
              <w:rPr>
                <w:sz w:val="20"/>
                <w:szCs w:val="20"/>
              </w:rPr>
            </w:pPr>
            <w:r w:rsidRPr="000769DB">
              <w:rPr>
                <w:sz w:val="20"/>
                <w:szCs w:val="20"/>
              </w:rPr>
              <w:t>Ex-offender: unknown vs yes</w:t>
            </w:r>
          </w:p>
        </w:tc>
        <w:tc>
          <w:tcPr>
            <w:tcW w:w="1134" w:type="dxa"/>
            <w:vAlign w:val="center"/>
          </w:tcPr>
          <w:p w14:paraId="385DE073" w14:textId="77777777" w:rsidR="00CC4E3D" w:rsidRPr="000769DB" w:rsidRDefault="00CC4E3D" w:rsidP="000769DB">
            <w:pPr>
              <w:jc w:val="center"/>
              <w:rPr>
                <w:sz w:val="20"/>
                <w:szCs w:val="20"/>
              </w:rPr>
            </w:pPr>
            <w:r w:rsidRPr="000769DB">
              <w:rPr>
                <w:sz w:val="20"/>
                <w:szCs w:val="20"/>
              </w:rPr>
              <w:t>1.611*</w:t>
            </w:r>
          </w:p>
        </w:tc>
        <w:tc>
          <w:tcPr>
            <w:tcW w:w="1445" w:type="dxa"/>
            <w:vAlign w:val="center"/>
          </w:tcPr>
          <w:p w14:paraId="04786D74" w14:textId="77777777" w:rsidR="00CC4E3D" w:rsidRPr="000769DB" w:rsidRDefault="00CC4E3D" w:rsidP="000769DB">
            <w:pPr>
              <w:jc w:val="center"/>
              <w:rPr>
                <w:sz w:val="20"/>
                <w:szCs w:val="20"/>
              </w:rPr>
            </w:pPr>
            <w:r w:rsidRPr="000769DB">
              <w:rPr>
                <w:sz w:val="20"/>
                <w:szCs w:val="20"/>
              </w:rPr>
              <w:t>1.284</w:t>
            </w:r>
          </w:p>
        </w:tc>
        <w:tc>
          <w:tcPr>
            <w:tcW w:w="1461" w:type="dxa"/>
            <w:vAlign w:val="center"/>
          </w:tcPr>
          <w:p w14:paraId="1B0BAE2B" w14:textId="77777777" w:rsidR="00CC4E3D" w:rsidRPr="000769DB" w:rsidRDefault="00CC4E3D" w:rsidP="000769DB">
            <w:pPr>
              <w:jc w:val="center"/>
              <w:rPr>
                <w:sz w:val="20"/>
                <w:szCs w:val="20"/>
              </w:rPr>
            </w:pPr>
            <w:r w:rsidRPr="000769DB">
              <w:rPr>
                <w:sz w:val="20"/>
                <w:szCs w:val="20"/>
              </w:rPr>
              <w:t>2.021</w:t>
            </w:r>
          </w:p>
        </w:tc>
      </w:tr>
      <w:tr w:rsidR="00CC4E3D" w:rsidRPr="000769DB" w14:paraId="67FDC887" w14:textId="77777777" w:rsidTr="0089638B">
        <w:tc>
          <w:tcPr>
            <w:tcW w:w="4536" w:type="dxa"/>
            <w:shd w:val="clear" w:color="auto" w:fill="F2F2F2" w:themeFill="background2"/>
            <w:vAlign w:val="center"/>
          </w:tcPr>
          <w:p w14:paraId="7A26D195" w14:textId="77777777" w:rsidR="00CC4E3D" w:rsidRPr="000769DB" w:rsidRDefault="00CC4E3D" w:rsidP="000769DB">
            <w:pPr>
              <w:rPr>
                <w:sz w:val="20"/>
                <w:szCs w:val="20"/>
              </w:rPr>
            </w:pPr>
            <w:r w:rsidRPr="000769DB">
              <w:rPr>
                <w:sz w:val="20"/>
                <w:szCs w:val="20"/>
              </w:rPr>
              <w:t>Disability: no answer vs some disability</w:t>
            </w:r>
          </w:p>
        </w:tc>
        <w:tc>
          <w:tcPr>
            <w:tcW w:w="1134" w:type="dxa"/>
            <w:shd w:val="clear" w:color="auto" w:fill="F2F2F2" w:themeFill="background2"/>
            <w:vAlign w:val="center"/>
          </w:tcPr>
          <w:p w14:paraId="3E433378" w14:textId="77777777" w:rsidR="00CC4E3D" w:rsidRPr="000769DB" w:rsidRDefault="00CC4E3D" w:rsidP="000769DB">
            <w:pPr>
              <w:jc w:val="center"/>
              <w:rPr>
                <w:sz w:val="20"/>
                <w:szCs w:val="20"/>
              </w:rPr>
            </w:pPr>
            <w:r w:rsidRPr="000769DB">
              <w:rPr>
                <w:sz w:val="20"/>
                <w:szCs w:val="20"/>
              </w:rPr>
              <w:t>1.602*</w:t>
            </w:r>
          </w:p>
        </w:tc>
        <w:tc>
          <w:tcPr>
            <w:tcW w:w="1445" w:type="dxa"/>
            <w:shd w:val="clear" w:color="auto" w:fill="F2F2F2" w:themeFill="background2"/>
            <w:vAlign w:val="center"/>
          </w:tcPr>
          <w:p w14:paraId="331A63A1" w14:textId="77777777" w:rsidR="00CC4E3D" w:rsidRPr="000769DB" w:rsidRDefault="00CC4E3D" w:rsidP="000769DB">
            <w:pPr>
              <w:jc w:val="center"/>
              <w:rPr>
                <w:sz w:val="20"/>
                <w:szCs w:val="20"/>
              </w:rPr>
            </w:pPr>
            <w:r w:rsidRPr="000769DB">
              <w:rPr>
                <w:sz w:val="20"/>
                <w:szCs w:val="20"/>
              </w:rPr>
              <w:t>1.144</w:t>
            </w:r>
          </w:p>
        </w:tc>
        <w:tc>
          <w:tcPr>
            <w:tcW w:w="1461" w:type="dxa"/>
            <w:shd w:val="clear" w:color="auto" w:fill="F2F2F2" w:themeFill="background2"/>
            <w:vAlign w:val="center"/>
          </w:tcPr>
          <w:p w14:paraId="166CD395" w14:textId="77777777" w:rsidR="00CC4E3D" w:rsidRPr="000769DB" w:rsidRDefault="00CC4E3D" w:rsidP="000769DB">
            <w:pPr>
              <w:jc w:val="center"/>
              <w:rPr>
                <w:sz w:val="20"/>
                <w:szCs w:val="20"/>
              </w:rPr>
            </w:pPr>
            <w:r w:rsidRPr="000769DB">
              <w:rPr>
                <w:sz w:val="20"/>
                <w:szCs w:val="20"/>
              </w:rPr>
              <w:t>2.244</w:t>
            </w:r>
          </w:p>
        </w:tc>
      </w:tr>
      <w:tr w:rsidR="00CC4E3D" w:rsidRPr="000769DB" w14:paraId="5200DC21" w14:textId="77777777" w:rsidTr="0089638B">
        <w:tc>
          <w:tcPr>
            <w:tcW w:w="4536" w:type="dxa"/>
            <w:vAlign w:val="center"/>
          </w:tcPr>
          <w:p w14:paraId="0E02D53D" w14:textId="77777777" w:rsidR="00CC4E3D" w:rsidRPr="000769DB" w:rsidRDefault="00CC4E3D" w:rsidP="000769DB">
            <w:pPr>
              <w:rPr>
                <w:sz w:val="20"/>
                <w:szCs w:val="20"/>
              </w:rPr>
            </w:pPr>
            <w:r w:rsidRPr="000769DB">
              <w:rPr>
                <w:sz w:val="20"/>
                <w:szCs w:val="20"/>
              </w:rPr>
              <w:t>Disability: none vs some disability</w:t>
            </w:r>
          </w:p>
        </w:tc>
        <w:tc>
          <w:tcPr>
            <w:tcW w:w="1134" w:type="dxa"/>
            <w:vAlign w:val="center"/>
          </w:tcPr>
          <w:p w14:paraId="1DBB31BF" w14:textId="77777777" w:rsidR="00CC4E3D" w:rsidRPr="000769DB" w:rsidRDefault="00CC4E3D" w:rsidP="000769DB">
            <w:pPr>
              <w:jc w:val="center"/>
              <w:rPr>
                <w:sz w:val="20"/>
                <w:szCs w:val="20"/>
              </w:rPr>
            </w:pPr>
            <w:r w:rsidRPr="000769DB">
              <w:rPr>
                <w:sz w:val="20"/>
                <w:szCs w:val="20"/>
              </w:rPr>
              <w:t>1.19*</w:t>
            </w:r>
          </w:p>
        </w:tc>
        <w:tc>
          <w:tcPr>
            <w:tcW w:w="1445" w:type="dxa"/>
            <w:vAlign w:val="center"/>
          </w:tcPr>
          <w:p w14:paraId="317022C9" w14:textId="77777777" w:rsidR="00CC4E3D" w:rsidRPr="000769DB" w:rsidRDefault="00CC4E3D" w:rsidP="000769DB">
            <w:pPr>
              <w:jc w:val="center"/>
              <w:rPr>
                <w:sz w:val="20"/>
                <w:szCs w:val="20"/>
              </w:rPr>
            </w:pPr>
            <w:r w:rsidRPr="000769DB">
              <w:rPr>
                <w:sz w:val="20"/>
                <w:szCs w:val="20"/>
              </w:rPr>
              <w:t>1.08</w:t>
            </w:r>
          </w:p>
        </w:tc>
        <w:tc>
          <w:tcPr>
            <w:tcW w:w="1461" w:type="dxa"/>
            <w:vAlign w:val="center"/>
          </w:tcPr>
          <w:p w14:paraId="35F34DEA" w14:textId="77777777" w:rsidR="00CC4E3D" w:rsidRPr="000769DB" w:rsidRDefault="00CC4E3D" w:rsidP="000769DB">
            <w:pPr>
              <w:jc w:val="center"/>
              <w:rPr>
                <w:sz w:val="20"/>
                <w:szCs w:val="20"/>
              </w:rPr>
            </w:pPr>
            <w:r w:rsidRPr="000769DB">
              <w:rPr>
                <w:sz w:val="20"/>
                <w:szCs w:val="20"/>
              </w:rPr>
              <w:t>1.311</w:t>
            </w:r>
          </w:p>
        </w:tc>
      </w:tr>
      <w:tr w:rsidR="00CC4E3D" w:rsidRPr="000769DB" w14:paraId="44DB5589" w14:textId="77777777" w:rsidTr="0089638B">
        <w:tc>
          <w:tcPr>
            <w:tcW w:w="4536" w:type="dxa"/>
            <w:shd w:val="clear" w:color="auto" w:fill="F2F2F2" w:themeFill="background2"/>
            <w:vAlign w:val="center"/>
          </w:tcPr>
          <w:p w14:paraId="0609BAD4" w14:textId="77777777" w:rsidR="00CC4E3D" w:rsidRPr="000769DB" w:rsidRDefault="00CC4E3D" w:rsidP="000769DB">
            <w:pPr>
              <w:rPr>
                <w:sz w:val="20"/>
                <w:szCs w:val="20"/>
              </w:rPr>
            </w:pPr>
            <w:r w:rsidRPr="000769DB">
              <w:rPr>
                <w:sz w:val="20"/>
                <w:szCs w:val="20"/>
              </w:rPr>
              <w:t>English: combined vs poor</w:t>
            </w:r>
          </w:p>
        </w:tc>
        <w:tc>
          <w:tcPr>
            <w:tcW w:w="1134" w:type="dxa"/>
            <w:shd w:val="clear" w:color="auto" w:fill="F2F2F2" w:themeFill="background2"/>
            <w:vAlign w:val="center"/>
          </w:tcPr>
          <w:p w14:paraId="3E510C84" w14:textId="77777777" w:rsidR="00CC4E3D" w:rsidRPr="000769DB" w:rsidRDefault="00CC4E3D" w:rsidP="000769DB">
            <w:pPr>
              <w:jc w:val="center"/>
              <w:rPr>
                <w:sz w:val="20"/>
                <w:szCs w:val="20"/>
              </w:rPr>
            </w:pPr>
            <w:r w:rsidRPr="000769DB">
              <w:rPr>
                <w:sz w:val="20"/>
                <w:szCs w:val="20"/>
              </w:rPr>
              <w:t>0.823</w:t>
            </w:r>
          </w:p>
        </w:tc>
        <w:tc>
          <w:tcPr>
            <w:tcW w:w="1445" w:type="dxa"/>
            <w:shd w:val="clear" w:color="auto" w:fill="F2F2F2" w:themeFill="background2"/>
            <w:vAlign w:val="center"/>
          </w:tcPr>
          <w:p w14:paraId="4659F1F4" w14:textId="77777777" w:rsidR="00CC4E3D" w:rsidRPr="000769DB" w:rsidRDefault="00CC4E3D" w:rsidP="000769DB">
            <w:pPr>
              <w:jc w:val="center"/>
              <w:rPr>
                <w:sz w:val="20"/>
                <w:szCs w:val="20"/>
              </w:rPr>
            </w:pPr>
            <w:r w:rsidRPr="000769DB">
              <w:rPr>
                <w:sz w:val="20"/>
                <w:szCs w:val="20"/>
              </w:rPr>
              <w:t>0.664</w:t>
            </w:r>
          </w:p>
        </w:tc>
        <w:tc>
          <w:tcPr>
            <w:tcW w:w="1461" w:type="dxa"/>
            <w:shd w:val="clear" w:color="auto" w:fill="F2F2F2" w:themeFill="background2"/>
            <w:vAlign w:val="center"/>
          </w:tcPr>
          <w:p w14:paraId="03A3FADB" w14:textId="77777777" w:rsidR="00CC4E3D" w:rsidRPr="000769DB" w:rsidRDefault="00CC4E3D" w:rsidP="000769DB">
            <w:pPr>
              <w:jc w:val="center"/>
              <w:rPr>
                <w:sz w:val="20"/>
                <w:szCs w:val="20"/>
              </w:rPr>
            </w:pPr>
            <w:r w:rsidRPr="000769DB">
              <w:rPr>
                <w:sz w:val="20"/>
                <w:szCs w:val="20"/>
              </w:rPr>
              <w:t>1.02</w:t>
            </w:r>
          </w:p>
        </w:tc>
      </w:tr>
      <w:tr w:rsidR="00CC4E3D" w:rsidRPr="000769DB" w14:paraId="7976EA48" w14:textId="77777777" w:rsidTr="0089638B">
        <w:tc>
          <w:tcPr>
            <w:tcW w:w="4536" w:type="dxa"/>
            <w:vAlign w:val="center"/>
          </w:tcPr>
          <w:p w14:paraId="2D6D4888" w14:textId="77777777" w:rsidR="00CC4E3D" w:rsidRPr="000769DB" w:rsidRDefault="00CC4E3D" w:rsidP="000769DB">
            <w:pPr>
              <w:rPr>
                <w:sz w:val="20"/>
                <w:szCs w:val="20"/>
              </w:rPr>
            </w:pPr>
            <w:r w:rsidRPr="000769DB">
              <w:rPr>
                <w:sz w:val="20"/>
                <w:szCs w:val="20"/>
              </w:rPr>
              <w:t>English: good vs poor</w:t>
            </w:r>
          </w:p>
        </w:tc>
        <w:tc>
          <w:tcPr>
            <w:tcW w:w="1134" w:type="dxa"/>
            <w:vAlign w:val="center"/>
          </w:tcPr>
          <w:p w14:paraId="54844220" w14:textId="77777777" w:rsidR="00CC4E3D" w:rsidRPr="000769DB" w:rsidRDefault="00CC4E3D" w:rsidP="000769DB">
            <w:pPr>
              <w:jc w:val="center"/>
              <w:rPr>
                <w:sz w:val="20"/>
                <w:szCs w:val="20"/>
              </w:rPr>
            </w:pPr>
            <w:r w:rsidRPr="000769DB">
              <w:rPr>
                <w:sz w:val="20"/>
                <w:szCs w:val="20"/>
              </w:rPr>
              <w:t>1.064</w:t>
            </w:r>
          </w:p>
        </w:tc>
        <w:tc>
          <w:tcPr>
            <w:tcW w:w="1445" w:type="dxa"/>
            <w:vAlign w:val="center"/>
          </w:tcPr>
          <w:p w14:paraId="70E9B2B8" w14:textId="77777777" w:rsidR="00CC4E3D" w:rsidRPr="000769DB" w:rsidRDefault="00CC4E3D" w:rsidP="000769DB">
            <w:pPr>
              <w:jc w:val="center"/>
              <w:rPr>
                <w:sz w:val="20"/>
                <w:szCs w:val="20"/>
              </w:rPr>
            </w:pPr>
            <w:r w:rsidRPr="000769DB">
              <w:rPr>
                <w:sz w:val="20"/>
                <w:szCs w:val="20"/>
              </w:rPr>
              <w:t>0.892</w:t>
            </w:r>
          </w:p>
        </w:tc>
        <w:tc>
          <w:tcPr>
            <w:tcW w:w="1461" w:type="dxa"/>
            <w:vAlign w:val="center"/>
          </w:tcPr>
          <w:p w14:paraId="507A28AA" w14:textId="77777777" w:rsidR="00CC4E3D" w:rsidRPr="000769DB" w:rsidRDefault="00CC4E3D" w:rsidP="000769DB">
            <w:pPr>
              <w:jc w:val="center"/>
              <w:rPr>
                <w:sz w:val="20"/>
                <w:szCs w:val="20"/>
              </w:rPr>
            </w:pPr>
            <w:r w:rsidRPr="000769DB">
              <w:rPr>
                <w:sz w:val="20"/>
                <w:szCs w:val="20"/>
              </w:rPr>
              <w:t>1.27</w:t>
            </w:r>
          </w:p>
        </w:tc>
      </w:tr>
      <w:tr w:rsidR="00CC4E3D" w:rsidRPr="000769DB" w14:paraId="298B77B8" w14:textId="77777777" w:rsidTr="0089638B">
        <w:tc>
          <w:tcPr>
            <w:tcW w:w="4536" w:type="dxa"/>
            <w:shd w:val="clear" w:color="auto" w:fill="F2F2F2" w:themeFill="background2"/>
            <w:vAlign w:val="center"/>
          </w:tcPr>
          <w:p w14:paraId="6206B4E7" w14:textId="77777777" w:rsidR="00CC4E3D" w:rsidRPr="000769DB" w:rsidRDefault="00CC4E3D" w:rsidP="000769DB">
            <w:pPr>
              <w:rPr>
                <w:sz w:val="20"/>
                <w:szCs w:val="20"/>
              </w:rPr>
            </w:pPr>
            <w:r w:rsidRPr="000769DB">
              <w:rPr>
                <w:sz w:val="20"/>
                <w:szCs w:val="20"/>
              </w:rPr>
              <w:t>Income support and crisis payment, received crisis payment vs other</w:t>
            </w:r>
          </w:p>
        </w:tc>
        <w:tc>
          <w:tcPr>
            <w:tcW w:w="1134" w:type="dxa"/>
            <w:shd w:val="clear" w:color="auto" w:fill="F2F2F2" w:themeFill="background2"/>
            <w:vAlign w:val="center"/>
          </w:tcPr>
          <w:p w14:paraId="3656FFB9" w14:textId="77777777" w:rsidR="00CC4E3D" w:rsidRPr="000769DB" w:rsidRDefault="00CC4E3D" w:rsidP="000769DB">
            <w:pPr>
              <w:jc w:val="center"/>
              <w:rPr>
                <w:sz w:val="20"/>
                <w:szCs w:val="20"/>
              </w:rPr>
            </w:pPr>
            <w:r w:rsidRPr="000769DB">
              <w:rPr>
                <w:sz w:val="20"/>
                <w:szCs w:val="20"/>
              </w:rPr>
              <w:t>0.613*</w:t>
            </w:r>
          </w:p>
        </w:tc>
        <w:tc>
          <w:tcPr>
            <w:tcW w:w="1445" w:type="dxa"/>
            <w:shd w:val="clear" w:color="auto" w:fill="F2F2F2" w:themeFill="background2"/>
            <w:vAlign w:val="center"/>
          </w:tcPr>
          <w:p w14:paraId="429D3512" w14:textId="77777777" w:rsidR="00CC4E3D" w:rsidRPr="000769DB" w:rsidRDefault="00CC4E3D" w:rsidP="000769DB">
            <w:pPr>
              <w:jc w:val="center"/>
              <w:rPr>
                <w:sz w:val="20"/>
                <w:szCs w:val="20"/>
              </w:rPr>
            </w:pPr>
            <w:r w:rsidRPr="000769DB">
              <w:rPr>
                <w:sz w:val="20"/>
                <w:szCs w:val="20"/>
              </w:rPr>
              <w:t>0.492</w:t>
            </w:r>
          </w:p>
        </w:tc>
        <w:tc>
          <w:tcPr>
            <w:tcW w:w="1461" w:type="dxa"/>
            <w:shd w:val="clear" w:color="auto" w:fill="F2F2F2" w:themeFill="background2"/>
            <w:vAlign w:val="center"/>
          </w:tcPr>
          <w:p w14:paraId="2409DDB7" w14:textId="77777777" w:rsidR="00CC4E3D" w:rsidRPr="000769DB" w:rsidRDefault="00CC4E3D" w:rsidP="000769DB">
            <w:pPr>
              <w:jc w:val="center"/>
              <w:rPr>
                <w:sz w:val="20"/>
                <w:szCs w:val="20"/>
              </w:rPr>
            </w:pPr>
            <w:r w:rsidRPr="000769DB">
              <w:rPr>
                <w:sz w:val="20"/>
                <w:szCs w:val="20"/>
              </w:rPr>
              <w:t>0.764</w:t>
            </w:r>
          </w:p>
        </w:tc>
      </w:tr>
      <w:tr w:rsidR="00CC4E3D" w:rsidRPr="000769DB" w14:paraId="76B78863" w14:textId="77777777" w:rsidTr="0089638B">
        <w:tc>
          <w:tcPr>
            <w:tcW w:w="4536" w:type="dxa"/>
            <w:tcBorders>
              <w:bottom w:val="single" w:sz="4" w:space="0" w:color="auto"/>
            </w:tcBorders>
            <w:vAlign w:val="center"/>
          </w:tcPr>
          <w:p w14:paraId="667C9732" w14:textId="77777777" w:rsidR="00CC4E3D" w:rsidRPr="000769DB" w:rsidRDefault="00CC4E3D" w:rsidP="000769DB">
            <w:pPr>
              <w:rPr>
                <w:sz w:val="20"/>
                <w:szCs w:val="20"/>
              </w:rPr>
            </w:pPr>
            <w:r w:rsidRPr="000769DB">
              <w:rPr>
                <w:sz w:val="20"/>
                <w:szCs w:val="20"/>
              </w:rPr>
              <w:t>Income support and crisis payment, more than once on income support vs other</w:t>
            </w:r>
          </w:p>
        </w:tc>
        <w:tc>
          <w:tcPr>
            <w:tcW w:w="1134" w:type="dxa"/>
            <w:tcBorders>
              <w:bottom w:val="single" w:sz="4" w:space="0" w:color="auto"/>
            </w:tcBorders>
            <w:vAlign w:val="center"/>
          </w:tcPr>
          <w:p w14:paraId="54C152B2" w14:textId="77777777" w:rsidR="00CC4E3D" w:rsidRPr="000769DB" w:rsidRDefault="00CC4E3D" w:rsidP="000769DB">
            <w:pPr>
              <w:jc w:val="center"/>
              <w:rPr>
                <w:sz w:val="20"/>
                <w:szCs w:val="20"/>
              </w:rPr>
            </w:pPr>
            <w:r w:rsidRPr="000769DB">
              <w:rPr>
                <w:sz w:val="20"/>
                <w:szCs w:val="20"/>
              </w:rPr>
              <w:t>0.974</w:t>
            </w:r>
          </w:p>
        </w:tc>
        <w:tc>
          <w:tcPr>
            <w:tcW w:w="1445" w:type="dxa"/>
            <w:tcBorders>
              <w:bottom w:val="single" w:sz="4" w:space="0" w:color="auto"/>
            </w:tcBorders>
            <w:vAlign w:val="center"/>
          </w:tcPr>
          <w:p w14:paraId="178E6855" w14:textId="77777777" w:rsidR="00CC4E3D" w:rsidRPr="000769DB" w:rsidRDefault="00CC4E3D" w:rsidP="000769DB">
            <w:pPr>
              <w:jc w:val="center"/>
              <w:rPr>
                <w:sz w:val="20"/>
                <w:szCs w:val="20"/>
              </w:rPr>
            </w:pPr>
            <w:r w:rsidRPr="000769DB">
              <w:rPr>
                <w:sz w:val="20"/>
                <w:szCs w:val="20"/>
              </w:rPr>
              <w:t>0.904</w:t>
            </w:r>
          </w:p>
        </w:tc>
        <w:tc>
          <w:tcPr>
            <w:tcW w:w="1461" w:type="dxa"/>
            <w:tcBorders>
              <w:bottom w:val="single" w:sz="4" w:space="0" w:color="auto"/>
            </w:tcBorders>
            <w:vAlign w:val="center"/>
          </w:tcPr>
          <w:p w14:paraId="4D454D69" w14:textId="77777777" w:rsidR="00CC4E3D" w:rsidRPr="000769DB" w:rsidRDefault="00CC4E3D" w:rsidP="000769DB">
            <w:pPr>
              <w:jc w:val="center"/>
              <w:rPr>
                <w:sz w:val="20"/>
                <w:szCs w:val="20"/>
              </w:rPr>
            </w:pPr>
            <w:r w:rsidRPr="000769DB">
              <w:rPr>
                <w:sz w:val="20"/>
                <w:szCs w:val="20"/>
              </w:rPr>
              <w:t>1.048</w:t>
            </w:r>
          </w:p>
        </w:tc>
      </w:tr>
    </w:tbl>
    <w:p w14:paraId="79F83699" w14:textId="77777777" w:rsidR="00CC4E3D" w:rsidRDefault="00CC4E3D" w:rsidP="00CC4E3D">
      <w:pPr>
        <w:pStyle w:val="Notes"/>
      </w:pPr>
      <w:r w:rsidRPr="00266751">
        <w:t>*</w:t>
      </w:r>
      <w:r>
        <w:t xml:space="preserve"> Effect is</w:t>
      </w:r>
      <w:r w:rsidRPr="00266751">
        <w:t xml:space="preserve"> </w:t>
      </w:r>
      <w:r w:rsidRPr="008A4218">
        <w:t>statistically</w:t>
      </w:r>
      <w:r w:rsidRPr="00266751">
        <w:t xml:space="preserve"> significant.</w:t>
      </w:r>
    </w:p>
    <w:p w14:paraId="16F6147F" w14:textId="77777777" w:rsidR="00CC4E3D" w:rsidRPr="008B083A" w:rsidRDefault="00CC4E3D" w:rsidP="00CC4E3D">
      <w:r>
        <w:t xml:space="preserve">Considering the high likelihood of people in the TtW age group engaging in education and training activities, a positive outcome measure was derived that includes both the labour market attachment measure and an indication of participants studying in education courses qualifying for an outcome payment. The evaluation used a logistic model to gauge the effects of job seeker characteristics on achieving a positive outcome using the same selection of variables as in the labour market attachment model. </w:t>
      </w:r>
    </w:p>
    <w:p w14:paraId="797D199C" w14:textId="77777777" w:rsidR="00CC4E3D" w:rsidRDefault="00CC4E3D" w:rsidP="00CC4E3D">
      <w:r>
        <w:rPr>
          <w:b/>
        </w:rPr>
        <w:t>Table F</w:t>
      </w:r>
      <w:r w:rsidRPr="00612F7B">
        <w:rPr>
          <w:b/>
        </w:rPr>
        <w:t>.2</w:t>
      </w:r>
      <w:r>
        <w:rPr>
          <w:b/>
        </w:rPr>
        <w:t xml:space="preserve"> </w:t>
      </w:r>
      <w:r>
        <w:t>shows the odds ratios for the effects in this model. E</w:t>
      </w:r>
      <w:r w:rsidRPr="0048098B">
        <w:t>ffects are statistically significant</w:t>
      </w:r>
      <w:r>
        <w:t xml:space="preserve"> </w:t>
      </w:r>
      <w:r w:rsidRPr="0048098B">
        <w:t xml:space="preserve">are denoted with an </w:t>
      </w:r>
      <w:r w:rsidRPr="0048098B">
        <w:rPr>
          <w:lang w:val="en"/>
        </w:rPr>
        <w:t>asterisk</w:t>
      </w:r>
      <w:r w:rsidRPr="0048098B">
        <w:t xml:space="preserve"> (*).</w:t>
      </w:r>
      <w:r>
        <w:t xml:space="preserve"> Participants in the initial six months of TtW were much more likely to achieve a positive outcome than those in the jobactive comparison group.</w:t>
      </w:r>
    </w:p>
    <w:p w14:paraId="4F4C6ED5" w14:textId="77777777" w:rsidR="00CC4E3D" w:rsidRPr="000769DB" w:rsidRDefault="00CC4E3D" w:rsidP="000769DB">
      <w:r>
        <w:br w:type="page"/>
      </w:r>
    </w:p>
    <w:p w14:paraId="4244B047" w14:textId="77777777" w:rsidR="00CC4E3D" w:rsidRPr="00157371" w:rsidRDefault="00CC4E3D" w:rsidP="00CC4E3D">
      <w:pPr>
        <w:pStyle w:val="Heading1"/>
      </w:pPr>
      <w:bookmarkStart w:id="673" w:name="_Toc509402650"/>
      <w:bookmarkStart w:id="674" w:name="_Toc535498949"/>
      <w:bookmarkStart w:id="675" w:name="_Toc23841429"/>
      <w:r w:rsidRPr="00157371">
        <w:lastRenderedPageBreak/>
        <w:t>Appendix G — Qualitative study discussion and locations</w:t>
      </w:r>
      <w:bookmarkEnd w:id="673"/>
      <w:bookmarkEnd w:id="674"/>
      <w:bookmarkEnd w:id="675"/>
    </w:p>
    <w:p w14:paraId="602B77E5" w14:textId="77777777" w:rsidR="00CC4E3D" w:rsidRPr="001F4939" w:rsidRDefault="00CC4E3D" w:rsidP="001F4939">
      <w:pPr>
        <w:pStyle w:val="Heading2"/>
      </w:pPr>
      <w:bookmarkStart w:id="676" w:name="_Toc535498950"/>
      <w:bookmarkStart w:id="677" w:name="_Toc23841430"/>
      <w:r w:rsidRPr="001F4939">
        <w:t>Questions guiding discussion on operational aspects of TtW post implementation</w:t>
      </w:r>
      <w:bookmarkEnd w:id="676"/>
      <w:bookmarkEnd w:id="677"/>
    </w:p>
    <w:p w14:paraId="7EA37FCD" w14:textId="77777777" w:rsidR="00CC4E3D" w:rsidRDefault="00CC4E3D" w:rsidP="00E803E7">
      <w:pPr>
        <w:pStyle w:val="ListBullet"/>
      </w:pPr>
      <w:r>
        <w:t>Were TtW providers concerned that an apparent lack of awareness among potential participants and DHS compounded the challenge in referring and engaging Group One participants?</w:t>
      </w:r>
    </w:p>
    <w:p w14:paraId="616AE617" w14:textId="77777777" w:rsidR="00CC4E3D" w:rsidRDefault="00CC4E3D" w:rsidP="00E803E7">
      <w:pPr>
        <w:pStyle w:val="ListBullet"/>
      </w:pPr>
      <w:r>
        <w:t>What did providers think about the Group Two cohort eligibility and what specific strategies were they using to attract Group Two participants?</w:t>
      </w:r>
    </w:p>
    <w:p w14:paraId="5D09DBB1" w14:textId="77777777" w:rsidR="00CC4E3D" w:rsidRDefault="00CC4E3D" w:rsidP="00E803E7">
      <w:pPr>
        <w:pStyle w:val="ListBullet"/>
      </w:pPr>
      <w:r>
        <w:t>What issues have resulted in the low number of Group Three participant referrals?</w:t>
      </w:r>
    </w:p>
    <w:p w14:paraId="5E3DFF3F" w14:textId="77777777" w:rsidR="00CC4E3D" w:rsidRDefault="00CC4E3D" w:rsidP="00E803E7">
      <w:pPr>
        <w:pStyle w:val="ListBullet"/>
      </w:pPr>
      <w:r>
        <w:t xml:space="preserve">Have providers identified any issues with the funding structure and servicing of TtW that may have had an impact on attracting participants? </w:t>
      </w:r>
    </w:p>
    <w:p w14:paraId="0B760DF3" w14:textId="77777777" w:rsidR="00CC4E3D" w:rsidRDefault="00CC4E3D" w:rsidP="00E803E7">
      <w:pPr>
        <w:pStyle w:val="ListBullet"/>
      </w:pPr>
      <w:r>
        <w:t>How were TtW providers able to manage caseloads compared with jobactive providers?</w:t>
      </w:r>
    </w:p>
    <w:p w14:paraId="4B01D2A2" w14:textId="77777777" w:rsidR="00CC4E3D" w:rsidRDefault="00CC4E3D" w:rsidP="00E803E7">
      <w:pPr>
        <w:pStyle w:val="ListBullet"/>
      </w:pPr>
      <w:r>
        <w:t>What were providers’ views about the TtW service’s operational guidelines, the Provider Portal and, to a lesser extent, the ESS Web?</w:t>
      </w:r>
    </w:p>
    <w:p w14:paraId="1FFA62E6" w14:textId="09AC3DA6" w:rsidR="00CC4E3D" w:rsidRDefault="00CC4E3D" w:rsidP="00E803E7">
      <w:pPr>
        <w:pStyle w:val="ListBullet"/>
      </w:pPr>
      <w:r>
        <w:t xml:space="preserve">Were providers happy about the level of support and information provided by the </w:t>
      </w:r>
      <w:r w:rsidR="00AC1C42">
        <w:t>d</w:t>
      </w:r>
      <w:r>
        <w:t>epartment, in particular the information disseminated directly by departmental staff?</w:t>
      </w:r>
    </w:p>
    <w:p w14:paraId="63B0E76C" w14:textId="39B36E3E" w:rsidR="00CC4E3D" w:rsidRDefault="00CC4E3D" w:rsidP="00FD4CA8">
      <w:pPr>
        <w:pStyle w:val="Caption"/>
      </w:pPr>
      <w:bookmarkStart w:id="678" w:name="_Toc535511503"/>
      <w:bookmarkStart w:id="679" w:name="_Toc535511563"/>
      <w:bookmarkStart w:id="680" w:name="_Toc535512793"/>
      <w:bookmarkStart w:id="681" w:name="_Toc535513429"/>
      <w:bookmarkStart w:id="682" w:name="_Toc23841451"/>
      <w:r>
        <w:t xml:space="preserve">Table G. </w:t>
      </w:r>
      <w:r>
        <w:rPr>
          <w:noProof/>
        </w:rPr>
        <w:fldChar w:fldCharType="begin"/>
      </w:r>
      <w:r>
        <w:rPr>
          <w:noProof/>
        </w:rPr>
        <w:instrText xml:space="preserve"> SEQ Table_G. \* ARABIC </w:instrText>
      </w:r>
      <w:r>
        <w:rPr>
          <w:noProof/>
        </w:rPr>
        <w:fldChar w:fldCharType="separate"/>
      </w:r>
      <w:r w:rsidR="00D84A2A">
        <w:rPr>
          <w:noProof/>
        </w:rPr>
        <w:t>1</w:t>
      </w:r>
      <w:r>
        <w:rPr>
          <w:noProof/>
        </w:rPr>
        <w:fldChar w:fldCharType="end"/>
      </w:r>
      <w:r w:rsidRPr="00676729">
        <w:tab/>
      </w:r>
      <w:r>
        <w:t xml:space="preserve">Qualitative discussions with TtW </w:t>
      </w:r>
      <w:r w:rsidRPr="00165EC0">
        <w:t>participants</w:t>
      </w:r>
      <w:r>
        <w:t xml:space="preserve"> and stakeholders</w:t>
      </w:r>
      <w:bookmarkEnd w:id="678"/>
      <w:bookmarkEnd w:id="679"/>
      <w:bookmarkEnd w:id="680"/>
      <w:bookmarkEnd w:id="681"/>
      <w:bookmarkEnd w:id="682"/>
      <w:r>
        <w:t xml:space="preserve"> </w:t>
      </w:r>
    </w:p>
    <w:tbl>
      <w:tblPr>
        <w:tblStyle w:val="JobsTable"/>
        <w:tblW w:w="9191" w:type="dxa"/>
        <w:tblBorders>
          <w:bottom w:val="none" w:sz="0" w:space="0" w:color="auto"/>
        </w:tblBorders>
        <w:tblLook w:val="0420" w:firstRow="1" w:lastRow="0" w:firstColumn="0" w:lastColumn="0" w:noHBand="0" w:noVBand="1"/>
        <w:tblDescription w:val="Area 1 Melbourne (Western): 6 focus group participants; 1 provider staff; 0 DHS staff&#10;Area 2 Melbourne (Western): 8 focus group participants; 4 provider staff; 2 DHS staff&#10;Area 3 Melbourne (South Eastern): 6 focus group participants; 7 provider staff; 0 DHS staff&#10;Area 4 Melbourne (South Eastern): 6 focus group participants; 3 provider staff; 3 DHS staff&#10;Area 5* New England and Northwest: 12 focus group participants; 4 provider staff; 1 DHS staff&#10;Area 6 Adelaide (North): 6 focus group participants; 4 provider staff; 0 DHS staff&#10;Area 7 Adelaide (North): 5 focus group participants; 5 0 DHS staff&#10;Area 8 Adelaide (North): 0 focus group participants; 3 provider staff; 3 DHS staff&#10;Area 9 Mid North Coast: 4 focus group participants; 3 provider staff; 2 DHS staff&#10;Area 9 Mid North Coast: 5 focus group participants; 2 provider staff; 3 DHS staff&#10;Area 10 Mid North Coast: 0 focus group participants; 3 provider staff; 0 DHS staff&#10;Area 11* Wide Bay and Sunshine Coast: 9 focus group participants; 2 provider staff; 5 DHS staff&#10;Area 12 Wide Bay and Sunshine Coast: 0 focus group participants; 4 provider staff; 0 DHS staff&#10;Total: 67 focus group participants; 45 provider staff; 19 DHS staff&#10;"/>
      </w:tblPr>
      <w:tblGrid>
        <w:gridCol w:w="1560"/>
        <w:gridCol w:w="2976"/>
        <w:gridCol w:w="1551"/>
        <w:gridCol w:w="1552"/>
        <w:gridCol w:w="1552"/>
      </w:tblGrid>
      <w:tr w:rsidR="00CC4E3D" w:rsidRPr="00205968" w14:paraId="61CFB6D0" w14:textId="77777777" w:rsidTr="0089638B">
        <w:trPr>
          <w:cnfStyle w:val="100000000000" w:firstRow="1" w:lastRow="0" w:firstColumn="0" w:lastColumn="0" w:oddVBand="0" w:evenVBand="0" w:oddHBand="0" w:evenHBand="0" w:firstRowFirstColumn="0" w:firstRowLastColumn="0" w:lastRowFirstColumn="0" w:lastRowLastColumn="0"/>
          <w:trHeight w:val="624"/>
          <w:tblHeader/>
        </w:trPr>
        <w:tc>
          <w:tcPr>
            <w:tcW w:w="1560" w:type="dxa"/>
            <w:hideMark/>
          </w:tcPr>
          <w:p w14:paraId="14AAFA38" w14:textId="77777777" w:rsidR="00CC4E3D" w:rsidRPr="00205968" w:rsidRDefault="00CC4E3D" w:rsidP="00702ADF">
            <w:pPr>
              <w:rPr>
                <w:b/>
                <w:bCs/>
                <w:sz w:val="18"/>
                <w:szCs w:val="18"/>
              </w:rPr>
            </w:pPr>
            <w:r w:rsidRPr="00205968">
              <w:rPr>
                <w:b/>
                <w:bCs/>
                <w:sz w:val="18"/>
                <w:szCs w:val="18"/>
              </w:rPr>
              <w:t>Area</w:t>
            </w:r>
          </w:p>
        </w:tc>
        <w:tc>
          <w:tcPr>
            <w:tcW w:w="2976" w:type="dxa"/>
            <w:hideMark/>
          </w:tcPr>
          <w:p w14:paraId="7E4E03F7" w14:textId="77777777" w:rsidR="00CC4E3D" w:rsidRPr="00205968" w:rsidRDefault="00CC4E3D" w:rsidP="0089638B">
            <w:pPr>
              <w:rPr>
                <w:b/>
                <w:bCs/>
                <w:sz w:val="18"/>
                <w:szCs w:val="18"/>
              </w:rPr>
            </w:pPr>
            <w:r w:rsidRPr="00205968">
              <w:rPr>
                <w:b/>
                <w:bCs/>
                <w:sz w:val="18"/>
                <w:szCs w:val="18"/>
              </w:rPr>
              <w:t>Employment region</w:t>
            </w:r>
          </w:p>
        </w:tc>
        <w:tc>
          <w:tcPr>
            <w:tcW w:w="1551" w:type="dxa"/>
            <w:hideMark/>
          </w:tcPr>
          <w:p w14:paraId="11FB21D4" w14:textId="77777777" w:rsidR="00CC4E3D" w:rsidRPr="00205968" w:rsidRDefault="00CC4E3D" w:rsidP="0089638B">
            <w:pPr>
              <w:rPr>
                <w:b/>
                <w:bCs/>
                <w:sz w:val="18"/>
                <w:szCs w:val="18"/>
              </w:rPr>
            </w:pPr>
            <w:r w:rsidRPr="00205968">
              <w:rPr>
                <w:b/>
                <w:bCs/>
                <w:sz w:val="18"/>
                <w:szCs w:val="18"/>
              </w:rPr>
              <w:t>Focus group participants</w:t>
            </w:r>
          </w:p>
        </w:tc>
        <w:tc>
          <w:tcPr>
            <w:tcW w:w="1552" w:type="dxa"/>
            <w:hideMark/>
          </w:tcPr>
          <w:p w14:paraId="6A4D88AC" w14:textId="77777777" w:rsidR="00CC4E3D" w:rsidRPr="00205968" w:rsidRDefault="00CC4E3D" w:rsidP="0089638B">
            <w:pPr>
              <w:rPr>
                <w:b/>
                <w:bCs/>
                <w:sz w:val="18"/>
                <w:szCs w:val="18"/>
              </w:rPr>
            </w:pPr>
            <w:r w:rsidRPr="00205968">
              <w:rPr>
                <w:b/>
                <w:bCs/>
                <w:sz w:val="18"/>
                <w:szCs w:val="18"/>
              </w:rPr>
              <w:t>Provider staff</w:t>
            </w:r>
          </w:p>
        </w:tc>
        <w:tc>
          <w:tcPr>
            <w:tcW w:w="1552" w:type="dxa"/>
            <w:hideMark/>
          </w:tcPr>
          <w:p w14:paraId="3B811357" w14:textId="77777777" w:rsidR="00CC4E3D" w:rsidRPr="00205968" w:rsidRDefault="00CC4E3D" w:rsidP="0089638B">
            <w:pPr>
              <w:rPr>
                <w:b/>
                <w:bCs/>
                <w:sz w:val="18"/>
                <w:szCs w:val="18"/>
              </w:rPr>
            </w:pPr>
            <w:r w:rsidRPr="00205968">
              <w:rPr>
                <w:b/>
                <w:bCs/>
                <w:sz w:val="18"/>
                <w:szCs w:val="18"/>
              </w:rPr>
              <w:t>DHS staff</w:t>
            </w:r>
          </w:p>
        </w:tc>
      </w:tr>
      <w:tr w:rsidR="00CC4E3D" w:rsidRPr="00205968" w14:paraId="0D2A7F02" w14:textId="77777777" w:rsidTr="0089638B">
        <w:trPr>
          <w:trHeight w:hRule="exact" w:val="312"/>
        </w:trPr>
        <w:tc>
          <w:tcPr>
            <w:tcW w:w="1560" w:type="dxa"/>
            <w:vAlign w:val="center"/>
            <w:hideMark/>
          </w:tcPr>
          <w:p w14:paraId="78A52AF7" w14:textId="77777777" w:rsidR="00CC4E3D" w:rsidRPr="00205968" w:rsidRDefault="00CC4E3D" w:rsidP="000769DB">
            <w:pPr>
              <w:rPr>
                <w:sz w:val="18"/>
                <w:szCs w:val="18"/>
              </w:rPr>
            </w:pPr>
            <w:r w:rsidRPr="00205968">
              <w:rPr>
                <w:sz w:val="18"/>
                <w:szCs w:val="18"/>
              </w:rPr>
              <w:t>Area 1</w:t>
            </w:r>
          </w:p>
        </w:tc>
        <w:tc>
          <w:tcPr>
            <w:tcW w:w="2976" w:type="dxa"/>
            <w:vAlign w:val="center"/>
            <w:hideMark/>
          </w:tcPr>
          <w:p w14:paraId="736E4B06" w14:textId="77777777" w:rsidR="00CC4E3D" w:rsidRPr="00205968" w:rsidRDefault="00CC4E3D" w:rsidP="0089638B">
            <w:pPr>
              <w:rPr>
                <w:sz w:val="18"/>
                <w:szCs w:val="18"/>
              </w:rPr>
            </w:pPr>
            <w:r w:rsidRPr="00205968">
              <w:rPr>
                <w:sz w:val="18"/>
                <w:szCs w:val="18"/>
              </w:rPr>
              <w:t>Melbourne (Western)</w:t>
            </w:r>
          </w:p>
        </w:tc>
        <w:tc>
          <w:tcPr>
            <w:tcW w:w="1551" w:type="dxa"/>
            <w:vAlign w:val="center"/>
            <w:hideMark/>
          </w:tcPr>
          <w:p w14:paraId="69412AC6" w14:textId="77777777" w:rsidR="00CC4E3D" w:rsidRPr="00205968" w:rsidRDefault="00CC4E3D" w:rsidP="0089638B">
            <w:pPr>
              <w:rPr>
                <w:sz w:val="18"/>
                <w:szCs w:val="18"/>
              </w:rPr>
            </w:pPr>
            <w:r w:rsidRPr="00205968">
              <w:rPr>
                <w:sz w:val="18"/>
                <w:szCs w:val="18"/>
              </w:rPr>
              <w:t>6</w:t>
            </w:r>
          </w:p>
        </w:tc>
        <w:tc>
          <w:tcPr>
            <w:tcW w:w="1552" w:type="dxa"/>
            <w:vAlign w:val="center"/>
            <w:hideMark/>
          </w:tcPr>
          <w:p w14:paraId="0412E90A" w14:textId="77777777" w:rsidR="00CC4E3D" w:rsidRPr="00205968" w:rsidRDefault="00CC4E3D" w:rsidP="0089638B">
            <w:pPr>
              <w:rPr>
                <w:sz w:val="18"/>
                <w:szCs w:val="18"/>
              </w:rPr>
            </w:pPr>
            <w:r w:rsidRPr="00205968">
              <w:rPr>
                <w:sz w:val="18"/>
                <w:szCs w:val="18"/>
              </w:rPr>
              <w:t>1</w:t>
            </w:r>
          </w:p>
        </w:tc>
        <w:tc>
          <w:tcPr>
            <w:tcW w:w="1552" w:type="dxa"/>
            <w:vAlign w:val="center"/>
            <w:hideMark/>
          </w:tcPr>
          <w:p w14:paraId="6482E8D1" w14:textId="47886ACA" w:rsidR="00CC4E3D" w:rsidRPr="00205968" w:rsidRDefault="007B46C9" w:rsidP="0089638B">
            <w:pPr>
              <w:rPr>
                <w:sz w:val="18"/>
                <w:szCs w:val="18"/>
              </w:rPr>
            </w:pPr>
            <w:r>
              <w:rPr>
                <w:color w:val="FFFFFF" w:themeColor="background1"/>
                <w:sz w:val="20"/>
                <w:szCs w:val="20"/>
              </w:rPr>
              <w:t>—</w:t>
            </w:r>
          </w:p>
        </w:tc>
      </w:tr>
      <w:tr w:rsidR="00CC4E3D" w:rsidRPr="00205968" w14:paraId="66042D8E" w14:textId="77777777" w:rsidTr="0089638B">
        <w:trPr>
          <w:trHeight w:hRule="exact" w:val="312"/>
        </w:trPr>
        <w:tc>
          <w:tcPr>
            <w:tcW w:w="1560" w:type="dxa"/>
            <w:shd w:val="clear" w:color="auto" w:fill="F2F2F2" w:themeFill="background2"/>
            <w:vAlign w:val="center"/>
            <w:hideMark/>
          </w:tcPr>
          <w:p w14:paraId="3257247A" w14:textId="77777777" w:rsidR="00CC4E3D" w:rsidRPr="00205968" w:rsidRDefault="00CC4E3D" w:rsidP="000769DB">
            <w:pPr>
              <w:rPr>
                <w:sz w:val="18"/>
                <w:szCs w:val="18"/>
              </w:rPr>
            </w:pPr>
            <w:r w:rsidRPr="00205968">
              <w:rPr>
                <w:sz w:val="18"/>
                <w:szCs w:val="18"/>
              </w:rPr>
              <w:t>Area 2</w:t>
            </w:r>
          </w:p>
        </w:tc>
        <w:tc>
          <w:tcPr>
            <w:tcW w:w="2976" w:type="dxa"/>
            <w:shd w:val="clear" w:color="auto" w:fill="F2F2F2" w:themeFill="background2"/>
            <w:vAlign w:val="center"/>
            <w:hideMark/>
          </w:tcPr>
          <w:p w14:paraId="541F315D" w14:textId="77777777" w:rsidR="00CC4E3D" w:rsidRPr="00205968" w:rsidRDefault="00CC4E3D" w:rsidP="0089638B">
            <w:pPr>
              <w:rPr>
                <w:sz w:val="18"/>
                <w:szCs w:val="18"/>
              </w:rPr>
            </w:pPr>
            <w:r w:rsidRPr="00205968">
              <w:rPr>
                <w:sz w:val="18"/>
                <w:szCs w:val="18"/>
              </w:rPr>
              <w:t>Melbourne (Western)</w:t>
            </w:r>
          </w:p>
        </w:tc>
        <w:tc>
          <w:tcPr>
            <w:tcW w:w="1551" w:type="dxa"/>
            <w:shd w:val="clear" w:color="auto" w:fill="F2F2F2" w:themeFill="background2"/>
            <w:vAlign w:val="center"/>
            <w:hideMark/>
          </w:tcPr>
          <w:p w14:paraId="4BB59CD8" w14:textId="77777777" w:rsidR="00CC4E3D" w:rsidRPr="00205968" w:rsidRDefault="00CC4E3D" w:rsidP="0089638B">
            <w:pPr>
              <w:rPr>
                <w:sz w:val="18"/>
                <w:szCs w:val="18"/>
              </w:rPr>
            </w:pPr>
            <w:r w:rsidRPr="00205968">
              <w:rPr>
                <w:sz w:val="18"/>
                <w:szCs w:val="18"/>
              </w:rPr>
              <w:t>8</w:t>
            </w:r>
          </w:p>
        </w:tc>
        <w:tc>
          <w:tcPr>
            <w:tcW w:w="1552" w:type="dxa"/>
            <w:shd w:val="clear" w:color="auto" w:fill="F2F2F2" w:themeFill="background2"/>
            <w:vAlign w:val="center"/>
            <w:hideMark/>
          </w:tcPr>
          <w:p w14:paraId="114EDF11" w14:textId="77777777" w:rsidR="00CC4E3D" w:rsidRPr="00205968" w:rsidRDefault="00CC4E3D" w:rsidP="0089638B">
            <w:pPr>
              <w:rPr>
                <w:sz w:val="18"/>
                <w:szCs w:val="18"/>
              </w:rPr>
            </w:pPr>
            <w:r w:rsidRPr="00205968">
              <w:rPr>
                <w:sz w:val="18"/>
                <w:szCs w:val="18"/>
              </w:rPr>
              <w:t>4</w:t>
            </w:r>
          </w:p>
        </w:tc>
        <w:tc>
          <w:tcPr>
            <w:tcW w:w="1552" w:type="dxa"/>
            <w:shd w:val="clear" w:color="auto" w:fill="F2F2F2" w:themeFill="background2"/>
            <w:vAlign w:val="center"/>
            <w:hideMark/>
          </w:tcPr>
          <w:p w14:paraId="19D0456D" w14:textId="77777777" w:rsidR="00CC4E3D" w:rsidRPr="00205968" w:rsidRDefault="00CC4E3D" w:rsidP="0089638B">
            <w:pPr>
              <w:rPr>
                <w:sz w:val="18"/>
                <w:szCs w:val="18"/>
              </w:rPr>
            </w:pPr>
            <w:r w:rsidRPr="00205968">
              <w:rPr>
                <w:sz w:val="18"/>
                <w:szCs w:val="18"/>
              </w:rPr>
              <w:t>2</w:t>
            </w:r>
          </w:p>
        </w:tc>
      </w:tr>
      <w:tr w:rsidR="00CC4E3D" w:rsidRPr="00205968" w14:paraId="285B2C43" w14:textId="77777777" w:rsidTr="0089638B">
        <w:trPr>
          <w:trHeight w:hRule="exact" w:val="312"/>
        </w:trPr>
        <w:tc>
          <w:tcPr>
            <w:tcW w:w="1560" w:type="dxa"/>
            <w:vAlign w:val="center"/>
            <w:hideMark/>
          </w:tcPr>
          <w:p w14:paraId="49547AF3" w14:textId="77777777" w:rsidR="00CC4E3D" w:rsidRPr="00205968" w:rsidRDefault="00CC4E3D" w:rsidP="000769DB">
            <w:pPr>
              <w:rPr>
                <w:sz w:val="18"/>
                <w:szCs w:val="18"/>
              </w:rPr>
            </w:pPr>
            <w:r w:rsidRPr="00205968">
              <w:rPr>
                <w:sz w:val="18"/>
                <w:szCs w:val="18"/>
              </w:rPr>
              <w:t>Area 3</w:t>
            </w:r>
          </w:p>
        </w:tc>
        <w:tc>
          <w:tcPr>
            <w:tcW w:w="2976" w:type="dxa"/>
            <w:vAlign w:val="center"/>
            <w:hideMark/>
          </w:tcPr>
          <w:p w14:paraId="48FD985D" w14:textId="77777777" w:rsidR="00CC4E3D" w:rsidRPr="00205968" w:rsidRDefault="00CC4E3D" w:rsidP="0089638B">
            <w:pPr>
              <w:rPr>
                <w:sz w:val="18"/>
                <w:szCs w:val="18"/>
              </w:rPr>
            </w:pPr>
            <w:r w:rsidRPr="00205968">
              <w:rPr>
                <w:sz w:val="18"/>
                <w:szCs w:val="18"/>
              </w:rPr>
              <w:t>Melbourne (South Eastern)</w:t>
            </w:r>
          </w:p>
        </w:tc>
        <w:tc>
          <w:tcPr>
            <w:tcW w:w="1551" w:type="dxa"/>
            <w:vAlign w:val="center"/>
            <w:hideMark/>
          </w:tcPr>
          <w:p w14:paraId="43CB0AB1" w14:textId="77777777" w:rsidR="00CC4E3D" w:rsidRPr="00205968" w:rsidRDefault="00CC4E3D" w:rsidP="0089638B">
            <w:pPr>
              <w:rPr>
                <w:sz w:val="18"/>
                <w:szCs w:val="18"/>
              </w:rPr>
            </w:pPr>
            <w:r w:rsidRPr="00205968">
              <w:rPr>
                <w:sz w:val="18"/>
                <w:szCs w:val="18"/>
              </w:rPr>
              <w:t>6</w:t>
            </w:r>
          </w:p>
        </w:tc>
        <w:tc>
          <w:tcPr>
            <w:tcW w:w="1552" w:type="dxa"/>
            <w:vAlign w:val="center"/>
            <w:hideMark/>
          </w:tcPr>
          <w:p w14:paraId="5F65F926" w14:textId="77777777" w:rsidR="00CC4E3D" w:rsidRPr="00205968" w:rsidRDefault="00CC4E3D" w:rsidP="0089638B">
            <w:pPr>
              <w:rPr>
                <w:sz w:val="18"/>
                <w:szCs w:val="18"/>
              </w:rPr>
            </w:pPr>
            <w:r w:rsidRPr="00205968">
              <w:rPr>
                <w:sz w:val="18"/>
                <w:szCs w:val="18"/>
              </w:rPr>
              <w:t>7</w:t>
            </w:r>
          </w:p>
        </w:tc>
        <w:tc>
          <w:tcPr>
            <w:tcW w:w="1552" w:type="dxa"/>
            <w:vAlign w:val="center"/>
            <w:hideMark/>
          </w:tcPr>
          <w:p w14:paraId="66140044" w14:textId="5629FFB7" w:rsidR="00CC4E3D" w:rsidRPr="00205968" w:rsidRDefault="007B46C9" w:rsidP="0089638B">
            <w:pPr>
              <w:rPr>
                <w:sz w:val="18"/>
                <w:szCs w:val="18"/>
              </w:rPr>
            </w:pPr>
            <w:r>
              <w:rPr>
                <w:color w:val="FFFFFF" w:themeColor="background1"/>
                <w:sz w:val="20"/>
                <w:szCs w:val="20"/>
              </w:rPr>
              <w:t>—</w:t>
            </w:r>
          </w:p>
        </w:tc>
      </w:tr>
      <w:tr w:rsidR="00CC4E3D" w:rsidRPr="00205968" w14:paraId="2DF8C554" w14:textId="77777777" w:rsidTr="0089638B">
        <w:trPr>
          <w:trHeight w:hRule="exact" w:val="312"/>
        </w:trPr>
        <w:tc>
          <w:tcPr>
            <w:tcW w:w="1560" w:type="dxa"/>
            <w:shd w:val="clear" w:color="auto" w:fill="F2F2F2" w:themeFill="background2"/>
            <w:vAlign w:val="center"/>
            <w:hideMark/>
          </w:tcPr>
          <w:p w14:paraId="4CBDCDF9" w14:textId="77777777" w:rsidR="00CC4E3D" w:rsidRPr="00205968" w:rsidRDefault="00CC4E3D" w:rsidP="000769DB">
            <w:pPr>
              <w:rPr>
                <w:sz w:val="18"/>
                <w:szCs w:val="18"/>
              </w:rPr>
            </w:pPr>
            <w:r w:rsidRPr="00205968">
              <w:rPr>
                <w:sz w:val="18"/>
                <w:szCs w:val="18"/>
              </w:rPr>
              <w:t>Area 4</w:t>
            </w:r>
          </w:p>
        </w:tc>
        <w:tc>
          <w:tcPr>
            <w:tcW w:w="2976" w:type="dxa"/>
            <w:shd w:val="clear" w:color="auto" w:fill="F2F2F2" w:themeFill="background2"/>
            <w:vAlign w:val="center"/>
            <w:hideMark/>
          </w:tcPr>
          <w:p w14:paraId="289395D0" w14:textId="77777777" w:rsidR="00CC4E3D" w:rsidRPr="00205968" w:rsidRDefault="00CC4E3D" w:rsidP="0089638B">
            <w:pPr>
              <w:rPr>
                <w:sz w:val="18"/>
                <w:szCs w:val="18"/>
              </w:rPr>
            </w:pPr>
            <w:r w:rsidRPr="00205968">
              <w:rPr>
                <w:sz w:val="18"/>
                <w:szCs w:val="18"/>
              </w:rPr>
              <w:t>Melbourne (South Eastern)</w:t>
            </w:r>
          </w:p>
        </w:tc>
        <w:tc>
          <w:tcPr>
            <w:tcW w:w="1551" w:type="dxa"/>
            <w:shd w:val="clear" w:color="auto" w:fill="F2F2F2" w:themeFill="background2"/>
            <w:vAlign w:val="center"/>
            <w:hideMark/>
          </w:tcPr>
          <w:p w14:paraId="40E7038F" w14:textId="77777777" w:rsidR="00CC4E3D" w:rsidRPr="00205968" w:rsidRDefault="00CC4E3D" w:rsidP="0089638B">
            <w:pPr>
              <w:rPr>
                <w:sz w:val="18"/>
                <w:szCs w:val="18"/>
              </w:rPr>
            </w:pPr>
            <w:r w:rsidRPr="00205968">
              <w:rPr>
                <w:sz w:val="18"/>
                <w:szCs w:val="18"/>
              </w:rPr>
              <w:t>6</w:t>
            </w:r>
          </w:p>
        </w:tc>
        <w:tc>
          <w:tcPr>
            <w:tcW w:w="1552" w:type="dxa"/>
            <w:shd w:val="clear" w:color="auto" w:fill="F2F2F2" w:themeFill="background2"/>
            <w:vAlign w:val="center"/>
            <w:hideMark/>
          </w:tcPr>
          <w:p w14:paraId="79806B39" w14:textId="77777777" w:rsidR="00CC4E3D" w:rsidRPr="00205968" w:rsidRDefault="00CC4E3D" w:rsidP="0089638B">
            <w:pPr>
              <w:rPr>
                <w:sz w:val="18"/>
                <w:szCs w:val="18"/>
              </w:rPr>
            </w:pPr>
            <w:r w:rsidRPr="00205968">
              <w:rPr>
                <w:sz w:val="18"/>
                <w:szCs w:val="18"/>
              </w:rPr>
              <w:t>3</w:t>
            </w:r>
          </w:p>
        </w:tc>
        <w:tc>
          <w:tcPr>
            <w:tcW w:w="1552" w:type="dxa"/>
            <w:shd w:val="clear" w:color="auto" w:fill="F2F2F2" w:themeFill="background2"/>
            <w:vAlign w:val="center"/>
            <w:hideMark/>
          </w:tcPr>
          <w:p w14:paraId="4E9E6796" w14:textId="77777777" w:rsidR="00CC4E3D" w:rsidRPr="00205968" w:rsidRDefault="00CC4E3D" w:rsidP="0089638B">
            <w:pPr>
              <w:rPr>
                <w:sz w:val="18"/>
                <w:szCs w:val="18"/>
              </w:rPr>
            </w:pPr>
            <w:r w:rsidRPr="00205968">
              <w:rPr>
                <w:sz w:val="18"/>
                <w:szCs w:val="18"/>
              </w:rPr>
              <w:t>3</w:t>
            </w:r>
          </w:p>
        </w:tc>
      </w:tr>
      <w:tr w:rsidR="00CC4E3D" w:rsidRPr="00205968" w14:paraId="5E37D3E7" w14:textId="77777777" w:rsidTr="0089638B">
        <w:trPr>
          <w:trHeight w:hRule="exact" w:val="312"/>
        </w:trPr>
        <w:tc>
          <w:tcPr>
            <w:tcW w:w="1560" w:type="dxa"/>
            <w:vAlign w:val="center"/>
            <w:hideMark/>
          </w:tcPr>
          <w:p w14:paraId="3BB6E735" w14:textId="77777777" w:rsidR="00CC4E3D" w:rsidRPr="00205968" w:rsidRDefault="00CC4E3D" w:rsidP="000769DB">
            <w:pPr>
              <w:rPr>
                <w:sz w:val="18"/>
                <w:szCs w:val="18"/>
              </w:rPr>
            </w:pPr>
            <w:r w:rsidRPr="00205968">
              <w:rPr>
                <w:sz w:val="18"/>
                <w:szCs w:val="18"/>
              </w:rPr>
              <w:t>Area 5*</w:t>
            </w:r>
          </w:p>
        </w:tc>
        <w:tc>
          <w:tcPr>
            <w:tcW w:w="2976" w:type="dxa"/>
            <w:vAlign w:val="center"/>
            <w:hideMark/>
          </w:tcPr>
          <w:p w14:paraId="72D09EDD" w14:textId="77777777" w:rsidR="00CC4E3D" w:rsidRPr="00205968" w:rsidRDefault="00CC4E3D" w:rsidP="0089638B">
            <w:pPr>
              <w:rPr>
                <w:sz w:val="18"/>
                <w:szCs w:val="18"/>
              </w:rPr>
            </w:pPr>
            <w:r w:rsidRPr="00205968">
              <w:rPr>
                <w:sz w:val="18"/>
                <w:szCs w:val="18"/>
              </w:rPr>
              <w:t>New England and Northwest</w:t>
            </w:r>
          </w:p>
        </w:tc>
        <w:tc>
          <w:tcPr>
            <w:tcW w:w="1551" w:type="dxa"/>
            <w:vAlign w:val="center"/>
            <w:hideMark/>
          </w:tcPr>
          <w:p w14:paraId="486B707B" w14:textId="77777777" w:rsidR="00CC4E3D" w:rsidRPr="00205968" w:rsidRDefault="00CC4E3D" w:rsidP="0089638B">
            <w:pPr>
              <w:rPr>
                <w:sz w:val="18"/>
                <w:szCs w:val="18"/>
              </w:rPr>
            </w:pPr>
            <w:r w:rsidRPr="00205968">
              <w:rPr>
                <w:sz w:val="18"/>
                <w:szCs w:val="18"/>
              </w:rPr>
              <w:t>12</w:t>
            </w:r>
          </w:p>
        </w:tc>
        <w:tc>
          <w:tcPr>
            <w:tcW w:w="1552" w:type="dxa"/>
            <w:vAlign w:val="center"/>
            <w:hideMark/>
          </w:tcPr>
          <w:p w14:paraId="5CC7039C" w14:textId="77777777" w:rsidR="00CC4E3D" w:rsidRPr="00205968" w:rsidRDefault="00CC4E3D" w:rsidP="0089638B">
            <w:pPr>
              <w:rPr>
                <w:sz w:val="18"/>
                <w:szCs w:val="18"/>
              </w:rPr>
            </w:pPr>
            <w:r w:rsidRPr="00205968">
              <w:rPr>
                <w:sz w:val="18"/>
                <w:szCs w:val="18"/>
              </w:rPr>
              <w:t>4</w:t>
            </w:r>
          </w:p>
        </w:tc>
        <w:tc>
          <w:tcPr>
            <w:tcW w:w="1552" w:type="dxa"/>
            <w:vAlign w:val="center"/>
            <w:hideMark/>
          </w:tcPr>
          <w:p w14:paraId="59E26B36" w14:textId="77777777" w:rsidR="00CC4E3D" w:rsidRPr="00205968" w:rsidRDefault="00CC4E3D" w:rsidP="0089638B">
            <w:pPr>
              <w:rPr>
                <w:sz w:val="18"/>
                <w:szCs w:val="18"/>
              </w:rPr>
            </w:pPr>
            <w:r w:rsidRPr="00205968">
              <w:rPr>
                <w:sz w:val="18"/>
                <w:szCs w:val="18"/>
              </w:rPr>
              <w:t>1</w:t>
            </w:r>
          </w:p>
        </w:tc>
      </w:tr>
      <w:tr w:rsidR="007B46C9" w:rsidRPr="00205968" w14:paraId="5F28FAC6" w14:textId="77777777" w:rsidTr="00DF15E5">
        <w:trPr>
          <w:trHeight w:hRule="exact" w:val="312"/>
        </w:trPr>
        <w:tc>
          <w:tcPr>
            <w:tcW w:w="1560" w:type="dxa"/>
            <w:shd w:val="clear" w:color="auto" w:fill="F2F2F2" w:themeFill="background2"/>
            <w:vAlign w:val="center"/>
            <w:hideMark/>
          </w:tcPr>
          <w:p w14:paraId="1EC9243B" w14:textId="77777777" w:rsidR="007B46C9" w:rsidRPr="00205968" w:rsidRDefault="007B46C9" w:rsidP="007B46C9">
            <w:pPr>
              <w:rPr>
                <w:sz w:val="18"/>
                <w:szCs w:val="18"/>
              </w:rPr>
            </w:pPr>
            <w:r w:rsidRPr="00205968">
              <w:rPr>
                <w:sz w:val="18"/>
                <w:szCs w:val="18"/>
              </w:rPr>
              <w:t>Area 6</w:t>
            </w:r>
          </w:p>
        </w:tc>
        <w:tc>
          <w:tcPr>
            <w:tcW w:w="2976" w:type="dxa"/>
            <w:shd w:val="clear" w:color="auto" w:fill="F2F2F2" w:themeFill="background2"/>
            <w:vAlign w:val="center"/>
            <w:hideMark/>
          </w:tcPr>
          <w:p w14:paraId="257FA0B6" w14:textId="77777777" w:rsidR="007B46C9" w:rsidRPr="00205968" w:rsidRDefault="007B46C9" w:rsidP="007B46C9">
            <w:pPr>
              <w:rPr>
                <w:sz w:val="18"/>
                <w:szCs w:val="18"/>
              </w:rPr>
            </w:pPr>
            <w:r w:rsidRPr="00205968">
              <w:rPr>
                <w:sz w:val="18"/>
                <w:szCs w:val="18"/>
              </w:rPr>
              <w:t>Adelaide (North)</w:t>
            </w:r>
          </w:p>
        </w:tc>
        <w:tc>
          <w:tcPr>
            <w:tcW w:w="1551" w:type="dxa"/>
            <w:shd w:val="clear" w:color="auto" w:fill="F2F2F2" w:themeFill="background2"/>
            <w:vAlign w:val="center"/>
            <w:hideMark/>
          </w:tcPr>
          <w:p w14:paraId="2C451F37" w14:textId="77777777" w:rsidR="007B46C9" w:rsidRPr="00205968" w:rsidRDefault="007B46C9" w:rsidP="007B46C9">
            <w:pPr>
              <w:rPr>
                <w:sz w:val="18"/>
                <w:szCs w:val="18"/>
              </w:rPr>
            </w:pPr>
            <w:r w:rsidRPr="00205968">
              <w:rPr>
                <w:sz w:val="18"/>
                <w:szCs w:val="18"/>
              </w:rPr>
              <w:t>6</w:t>
            </w:r>
          </w:p>
        </w:tc>
        <w:tc>
          <w:tcPr>
            <w:tcW w:w="1552" w:type="dxa"/>
            <w:shd w:val="clear" w:color="auto" w:fill="F2F2F2" w:themeFill="background2"/>
            <w:vAlign w:val="center"/>
            <w:hideMark/>
          </w:tcPr>
          <w:p w14:paraId="72CB4430" w14:textId="77777777" w:rsidR="007B46C9" w:rsidRPr="00205968" w:rsidRDefault="007B46C9" w:rsidP="007B46C9">
            <w:pPr>
              <w:rPr>
                <w:sz w:val="18"/>
                <w:szCs w:val="18"/>
              </w:rPr>
            </w:pPr>
            <w:r w:rsidRPr="00205968">
              <w:rPr>
                <w:sz w:val="18"/>
                <w:szCs w:val="18"/>
              </w:rPr>
              <w:t>4</w:t>
            </w:r>
          </w:p>
        </w:tc>
        <w:tc>
          <w:tcPr>
            <w:tcW w:w="1552" w:type="dxa"/>
            <w:shd w:val="clear" w:color="auto" w:fill="F2F2F2" w:themeFill="background2"/>
          </w:tcPr>
          <w:p w14:paraId="7B03E304" w14:textId="5DCD8FC7" w:rsidR="007B46C9" w:rsidRPr="00205968" w:rsidRDefault="007B46C9" w:rsidP="007B46C9">
            <w:pPr>
              <w:rPr>
                <w:sz w:val="18"/>
                <w:szCs w:val="18"/>
              </w:rPr>
            </w:pPr>
            <w:r>
              <w:rPr>
                <w:color w:val="FFFFFF" w:themeColor="background1"/>
                <w:sz w:val="20"/>
                <w:szCs w:val="20"/>
              </w:rPr>
              <w:t>—</w:t>
            </w:r>
          </w:p>
        </w:tc>
      </w:tr>
      <w:tr w:rsidR="007B46C9" w:rsidRPr="00205968" w14:paraId="40613E88" w14:textId="77777777" w:rsidTr="00DF15E5">
        <w:trPr>
          <w:trHeight w:hRule="exact" w:val="312"/>
        </w:trPr>
        <w:tc>
          <w:tcPr>
            <w:tcW w:w="1560" w:type="dxa"/>
            <w:vAlign w:val="center"/>
            <w:hideMark/>
          </w:tcPr>
          <w:p w14:paraId="4229748B" w14:textId="77777777" w:rsidR="007B46C9" w:rsidRPr="00205968" w:rsidRDefault="007B46C9" w:rsidP="007B46C9">
            <w:pPr>
              <w:rPr>
                <w:sz w:val="18"/>
                <w:szCs w:val="18"/>
              </w:rPr>
            </w:pPr>
            <w:r w:rsidRPr="00205968">
              <w:rPr>
                <w:sz w:val="18"/>
                <w:szCs w:val="18"/>
              </w:rPr>
              <w:t>Area 7</w:t>
            </w:r>
          </w:p>
        </w:tc>
        <w:tc>
          <w:tcPr>
            <w:tcW w:w="2976" w:type="dxa"/>
            <w:vAlign w:val="center"/>
            <w:hideMark/>
          </w:tcPr>
          <w:p w14:paraId="4B68C094" w14:textId="77777777" w:rsidR="007B46C9" w:rsidRPr="00205968" w:rsidRDefault="007B46C9" w:rsidP="007B46C9">
            <w:pPr>
              <w:rPr>
                <w:sz w:val="18"/>
                <w:szCs w:val="18"/>
              </w:rPr>
            </w:pPr>
            <w:r w:rsidRPr="00205968">
              <w:rPr>
                <w:sz w:val="18"/>
                <w:szCs w:val="18"/>
              </w:rPr>
              <w:t>Adelaide (North)</w:t>
            </w:r>
          </w:p>
        </w:tc>
        <w:tc>
          <w:tcPr>
            <w:tcW w:w="1551" w:type="dxa"/>
            <w:vAlign w:val="center"/>
            <w:hideMark/>
          </w:tcPr>
          <w:p w14:paraId="0CB0BD91" w14:textId="77777777" w:rsidR="007B46C9" w:rsidRPr="00205968" w:rsidRDefault="007B46C9" w:rsidP="007B46C9">
            <w:pPr>
              <w:rPr>
                <w:sz w:val="18"/>
                <w:szCs w:val="18"/>
              </w:rPr>
            </w:pPr>
            <w:r w:rsidRPr="00205968">
              <w:rPr>
                <w:sz w:val="18"/>
                <w:szCs w:val="18"/>
              </w:rPr>
              <w:t>5</w:t>
            </w:r>
          </w:p>
        </w:tc>
        <w:tc>
          <w:tcPr>
            <w:tcW w:w="1552" w:type="dxa"/>
            <w:vAlign w:val="center"/>
            <w:hideMark/>
          </w:tcPr>
          <w:p w14:paraId="7365284F" w14:textId="77777777" w:rsidR="007B46C9" w:rsidRPr="00205968" w:rsidRDefault="007B46C9" w:rsidP="007B46C9">
            <w:pPr>
              <w:rPr>
                <w:sz w:val="18"/>
                <w:szCs w:val="18"/>
              </w:rPr>
            </w:pPr>
            <w:r w:rsidRPr="00205968">
              <w:rPr>
                <w:sz w:val="18"/>
                <w:szCs w:val="18"/>
              </w:rPr>
              <w:t>5</w:t>
            </w:r>
          </w:p>
        </w:tc>
        <w:tc>
          <w:tcPr>
            <w:tcW w:w="1552" w:type="dxa"/>
            <w:hideMark/>
          </w:tcPr>
          <w:p w14:paraId="0AC8473A" w14:textId="69D3445B" w:rsidR="007B46C9" w:rsidRPr="00205968" w:rsidRDefault="007B46C9" w:rsidP="007B46C9">
            <w:pPr>
              <w:rPr>
                <w:sz w:val="18"/>
                <w:szCs w:val="18"/>
              </w:rPr>
            </w:pPr>
            <w:r>
              <w:rPr>
                <w:color w:val="FFFFFF" w:themeColor="background1"/>
                <w:sz w:val="20"/>
                <w:szCs w:val="20"/>
              </w:rPr>
              <w:t>—</w:t>
            </w:r>
          </w:p>
        </w:tc>
      </w:tr>
      <w:tr w:rsidR="00CC4E3D" w:rsidRPr="00205968" w14:paraId="497745E7" w14:textId="77777777" w:rsidTr="0089638B">
        <w:trPr>
          <w:trHeight w:hRule="exact" w:val="312"/>
        </w:trPr>
        <w:tc>
          <w:tcPr>
            <w:tcW w:w="1560" w:type="dxa"/>
            <w:shd w:val="clear" w:color="auto" w:fill="F2F2F2" w:themeFill="background2"/>
            <w:vAlign w:val="center"/>
            <w:hideMark/>
          </w:tcPr>
          <w:p w14:paraId="6DA8C5AA" w14:textId="77777777" w:rsidR="00CC4E3D" w:rsidRPr="00205968" w:rsidRDefault="00CC4E3D" w:rsidP="000769DB">
            <w:pPr>
              <w:rPr>
                <w:sz w:val="18"/>
                <w:szCs w:val="18"/>
              </w:rPr>
            </w:pPr>
            <w:r w:rsidRPr="00205968">
              <w:rPr>
                <w:sz w:val="18"/>
                <w:szCs w:val="18"/>
              </w:rPr>
              <w:t>Area 8</w:t>
            </w:r>
          </w:p>
        </w:tc>
        <w:tc>
          <w:tcPr>
            <w:tcW w:w="2976" w:type="dxa"/>
            <w:shd w:val="clear" w:color="auto" w:fill="F2F2F2" w:themeFill="background2"/>
            <w:vAlign w:val="center"/>
            <w:hideMark/>
          </w:tcPr>
          <w:p w14:paraId="7EB3F7ED" w14:textId="77777777" w:rsidR="00CC4E3D" w:rsidRPr="00205968" w:rsidRDefault="00CC4E3D" w:rsidP="0089638B">
            <w:pPr>
              <w:rPr>
                <w:sz w:val="18"/>
                <w:szCs w:val="18"/>
              </w:rPr>
            </w:pPr>
            <w:r w:rsidRPr="00205968">
              <w:rPr>
                <w:sz w:val="18"/>
                <w:szCs w:val="18"/>
              </w:rPr>
              <w:t>Adelaide (North)</w:t>
            </w:r>
          </w:p>
        </w:tc>
        <w:tc>
          <w:tcPr>
            <w:tcW w:w="1551" w:type="dxa"/>
            <w:shd w:val="clear" w:color="auto" w:fill="F2F2F2" w:themeFill="background2"/>
            <w:vAlign w:val="center"/>
          </w:tcPr>
          <w:p w14:paraId="593B31F6" w14:textId="32D6E4DA" w:rsidR="00CC4E3D" w:rsidRPr="00205968" w:rsidRDefault="007B46C9" w:rsidP="0089638B">
            <w:pPr>
              <w:rPr>
                <w:sz w:val="18"/>
                <w:szCs w:val="18"/>
              </w:rPr>
            </w:pPr>
            <w:r>
              <w:rPr>
                <w:color w:val="FFFFFF" w:themeColor="background1"/>
                <w:sz w:val="20"/>
                <w:szCs w:val="20"/>
              </w:rPr>
              <w:t>—</w:t>
            </w:r>
          </w:p>
        </w:tc>
        <w:tc>
          <w:tcPr>
            <w:tcW w:w="1552" w:type="dxa"/>
            <w:shd w:val="clear" w:color="auto" w:fill="F2F2F2" w:themeFill="background2"/>
            <w:vAlign w:val="center"/>
            <w:hideMark/>
          </w:tcPr>
          <w:p w14:paraId="4EF895BD" w14:textId="77777777" w:rsidR="00CC4E3D" w:rsidRPr="00205968" w:rsidRDefault="00CC4E3D" w:rsidP="0089638B">
            <w:pPr>
              <w:rPr>
                <w:sz w:val="18"/>
                <w:szCs w:val="18"/>
              </w:rPr>
            </w:pPr>
            <w:r w:rsidRPr="00205968">
              <w:rPr>
                <w:sz w:val="18"/>
                <w:szCs w:val="18"/>
              </w:rPr>
              <w:t>3</w:t>
            </w:r>
          </w:p>
        </w:tc>
        <w:tc>
          <w:tcPr>
            <w:tcW w:w="1552" w:type="dxa"/>
            <w:shd w:val="clear" w:color="auto" w:fill="F2F2F2" w:themeFill="background2"/>
            <w:vAlign w:val="center"/>
            <w:hideMark/>
          </w:tcPr>
          <w:p w14:paraId="319558AA" w14:textId="77777777" w:rsidR="00CC4E3D" w:rsidRPr="00205968" w:rsidRDefault="00CC4E3D" w:rsidP="0089638B">
            <w:pPr>
              <w:rPr>
                <w:sz w:val="18"/>
                <w:szCs w:val="18"/>
              </w:rPr>
            </w:pPr>
            <w:r w:rsidRPr="00205968">
              <w:rPr>
                <w:sz w:val="18"/>
                <w:szCs w:val="18"/>
              </w:rPr>
              <w:t>3</w:t>
            </w:r>
          </w:p>
        </w:tc>
      </w:tr>
      <w:tr w:rsidR="00CC4E3D" w:rsidRPr="00205968" w14:paraId="7185FEA6" w14:textId="77777777" w:rsidTr="0089638B">
        <w:trPr>
          <w:trHeight w:hRule="exact" w:val="312"/>
        </w:trPr>
        <w:tc>
          <w:tcPr>
            <w:tcW w:w="1560" w:type="dxa"/>
            <w:vAlign w:val="center"/>
            <w:hideMark/>
          </w:tcPr>
          <w:p w14:paraId="7FC18814" w14:textId="77777777" w:rsidR="00CC4E3D" w:rsidRPr="00205968" w:rsidRDefault="00CC4E3D" w:rsidP="000769DB">
            <w:pPr>
              <w:rPr>
                <w:sz w:val="18"/>
                <w:szCs w:val="18"/>
              </w:rPr>
            </w:pPr>
            <w:r w:rsidRPr="00205968">
              <w:rPr>
                <w:sz w:val="18"/>
                <w:szCs w:val="18"/>
              </w:rPr>
              <w:t>Area 9</w:t>
            </w:r>
          </w:p>
        </w:tc>
        <w:tc>
          <w:tcPr>
            <w:tcW w:w="2976" w:type="dxa"/>
            <w:vAlign w:val="center"/>
            <w:hideMark/>
          </w:tcPr>
          <w:p w14:paraId="3E8E6D50" w14:textId="77777777" w:rsidR="00CC4E3D" w:rsidRPr="00205968" w:rsidRDefault="00CC4E3D" w:rsidP="0089638B">
            <w:pPr>
              <w:rPr>
                <w:sz w:val="18"/>
                <w:szCs w:val="18"/>
              </w:rPr>
            </w:pPr>
            <w:r w:rsidRPr="00205968">
              <w:rPr>
                <w:sz w:val="18"/>
                <w:szCs w:val="18"/>
              </w:rPr>
              <w:t>Mid North Coast</w:t>
            </w:r>
          </w:p>
        </w:tc>
        <w:tc>
          <w:tcPr>
            <w:tcW w:w="1551" w:type="dxa"/>
            <w:vAlign w:val="center"/>
            <w:hideMark/>
          </w:tcPr>
          <w:p w14:paraId="79046E40" w14:textId="77777777" w:rsidR="00CC4E3D" w:rsidRPr="00205968" w:rsidRDefault="00CC4E3D" w:rsidP="0089638B">
            <w:pPr>
              <w:rPr>
                <w:sz w:val="18"/>
                <w:szCs w:val="18"/>
              </w:rPr>
            </w:pPr>
            <w:r w:rsidRPr="00205968">
              <w:rPr>
                <w:sz w:val="18"/>
                <w:szCs w:val="18"/>
              </w:rPr>
              <w:t>4</w:t>
            </w:r>
          </w:p>
        </w:tc>
        <w:tc>
          <w:tcPr>
            <w:tcW w:w="1552" w:type="dxa"/>
            <w:vAlign w:val="center"/>
            <w:hideMark/>
          </w:tcPr>
          <w:p w14:paraId="3A068570" w14:textId="77777777" w:rsidR="00CC4E3D" w:rsidRPr="00205968" w:rsidRDefault="00CC4E3D" w:rsidP="0089638B">
            <w:pPr>
              <w:rPr>
                <w:sz w:val="18"/>
                <w:szCs w:val="18"/>
              </w:rPr>
            </w:pPr>
            <w:r w:rsidRPr="00205968">
              <w:rPr>
                <w:sz w:val="18"/>
                <w:szCs w:val="18"/>
              </w:rPr>
              <w:t>3</w:t>
            </w:r>
          </w:p>
        </w:tc>
        <w:tc>
          <w:tcPr>
            <w:tcW w:w="1552" w:type="dxa"/>
            <w:vAlign w:val="center"/>
            <w:hideMark/>
          </w:tcPr>
          <w:p w14:paraId="2739DAA7" w14:textId="77777777" w:rsidR="00CC4E3D" w:rsidRPr="00205968" w:rsidRDefault="00CC4E3D" w:rsidP="0089638B">
            <w:pPr>
              <w:rPr>
                <w:sz w:val="18"/>
                <w:szCs w:val="18"/>
              </w:rPr>
            </w:pPr>
            <w:r w:rsidRPr="00205968">
              <w:rPr>
                <w:sz w:val="18"/>
                <w:szCs w:val="18"/>
              </w:rPr>
              <w:t>2</w:t>
            </w:r>
          </w:p>
        </w:tc>
      </w:tr>
      <w:tr w:rsidR="00CC4E3D" w:rsidRPr="00205968" w14:paraId="04A46562" w14:textId="77777777" w:rsidTr="0089638B">
        <w:trPr>
          <w:trHeight w:hRule="exact" w:val="312"/>
        </w:trPr>
        <w:tc>
          <w:tcPr>
            <w:tcW w:w="1560" w:type="dxa"/>
            <w:shd w:val="clear" w:color="auto" w:fill="F2F2F2" w:themeFill="background2"/>
            <w:vAlign w:val="center"/>
            <w:hideMark/>
          </w:tcPr>
          <w:p w14:paraId="3C87192C" w14:textId="77777777" w:rsidR="00CC4E3D" w:rsidRPr="00205968" w:rsidRDefault="00CC4E3D" w:rsidP="000769DB">
            <w:pPr>
              <w:rPr>
                <w:sz w:val="18"/>
                <w:szCs w:val="18"/>
              </w:rPr>
            </w:pPr>
            <w:r w:rsidRPr="00205968">
              <w:rPr>
                <w:sz w:val="18"/>
                <w:szCs w:val="18"/>
              </w:rPr>
              <w:t>Area 9</w:t>
            </w:r>
          </w:p>
        </w:tc>
        <w:tc>
          <w:tcPr>
            <w:tcW w:w="2976" w:type="dxa"/>
            <w:shd w:val="clear" w:color="auto" w:fill="F2F2F2" w:themeFill="background2"/>
            <w:vAlign w:val="center"/>
            <w:hideMark/>
          </w:tcPr>
          <w:p w14:paraId="25DD71FF" w14:textId="77777777" w:rsidR="00CC4E3D" w:rsidRPr="00205968" w:rsidRDefault="00CC4E3D" w:rsidP="0089638B">
            <w:pPr>
              <w:rPr>
                <w:sz w:val="18"/>
                <w:szCs w:val="18"/>
              </w:rPr>
            </w:pPr>
            <w:r w:rsidRPr="00205968">
              <w:rPr>
                <w:sz w:val="18"/>
                <w:szCs w:val="18"/>
              </w:rPr>
              <w:t>Mid North Coast</w:t>
            </w:r>
          </w:p>
        </w:tc>
        <w:tc>
          <w:tcPr>
            <w:tcW w:w="1551" w:type="dxa"/>
            <w:shd w:val="clear" w:color="auto" w:fill="F2F2F2" w:themeFill="background2"/>
            <w:vAlign w:val="center"/>
            <w:hideMark/>
          </w:tcPr>
          <w:p w14:paraId="3B6B0247" w14:textId="77777777" w:rsidR="00CC4E3D" w:rsidRPr="00205968" w:rsidRDefault="00CC4E3D" w:rsidP="0089638B">
            <w:pPr>
              <w:rPr>
                <w:sz w:val="18"/>
                <w:szCs w:val="18"/>
              </w:rPr>
            </w:pPr>
            <w:r w:rsidRPr="00205968">
              <w:rPr>
                <w:sz w:val="18"/>
                <w:szCs w:val="18"/>
              </w:rPr>
              <w:t>5</w:t>
            </w:r>
          </w:p>
        </w:tc>
        <w:tc>
          <w:tcPr>
            <w:tcW w:w="1552" w:type="dxa"/>
            <w:shd w:val="clear" w:color="auto" w:fill="F2F2F2" w:themeFill="background2"/>
            <w:vAlign w:val="center"/>
            <w:hideMark/>
          </w:tcPr>
          <w:p w14:paraId="134331F1" w14:textId="77777777" w:rsidR="00CC4E3D" w:rsidRPr="00205968" w:rsidRDefault="00CC4E3D" w:rsidP="0089638B">
            <w:pPr>
              <w:rPr>
                <w:sz w:val="18"/>
                <w:szCs w:val="18"/>
              </w:rPr>
            </w:pPr>
            <w:r w:rsidRPr="00205968">
              <w:rPr>
                <w:sz w:val="18"/>
                <w:szCs w:val="18"/>
              </w:rPr>
              <w:t>2</w:t>
            </w:r>
          </w:p>
        </w:tc>
        <w:tc>
          <w:tcPr>
            <w:tcW w:w="1552" w:type="dxa"/>
            <w:shd w:val="clear" w:color="auto" w:fill="F2F2F2" w:themeFill="background2"/>
            <w:vAlign w:val="center"/>
            <w:hideMark/>
          </w:tcPr>
          <w:p w14:paraId="13DF9D5B" w14:textId="77777777" w:rsidR="00CC4E3D" w:rsidRPr="00205968" w:rsidRDefault="00CC4E3D" w:rsidP="0089638B">
            <w:pPr>
              <w:rPr>
                <w:sz w:val="18"/>
                <w:szCs w:val="18"/>
              </w:rPr>
            </w:pPr>
            <w:r w:rsidRPr="00205968">
              <w:rPr>
                <w:sz w:val="18"/>
                <w:szCs w:val="18"/>
              </w:rPr>
              <w:t>3</w:t>
            </w:r>
          </w:p>
        </w:tc>
      </w:tr>
      <w:tr w:rsidR="00CC4E3D" w:rsidRPr="00205968" w14:paraId="7BFF4FAC" w14:textId="77777777" w:rsidTr="0089638B">
        <w:trPr>
          <w:trHeight w:hRule="exact" w:val="312"/>
        </w:trPr>
        <w:tc>
          <w:tcPr>
            <w:tcW w:w="1560" w:type="dxa"/>
            <w:vAlign w:val="center"/>
            <w:hideMark/>
          </w:tcPr>
          <w:p w14:paraId="31D2125B" w14:textId="77777777" w:rsidR="00CC4E3D" w:rsidRPr="00205968" w:rsidRDefault="00CC4E3D" w:rsidP="000769DB">
            <w:pPr>
              <w:rPr>
                <w:sz w:val="18"/>
                <w:szCs w:val="18"/>
              </w:rPr>
            </w:pPr>
            <w:r w:rsidRPr="00205968">
              <w:rPr>
                <w:sz w:val="18"/>
                <w:szCs w:val="18"/>
              </w:rPr>
              <w:t>Area 10</w:t>
            </w:r>
          </w:p>
        </w:tc>
        <w:tc>
          <w:tcPr>
            <w:tcW w:w="2976" w:type="dxa"/>
            <w:vAlign w:val="center"/>
            <w:hideMark/>
          </w:tcPr>
          <w:p w14:paraId="6316F7E9" w14:textId="77777777" w:rsidR="00CC4E3D" w:rsidRPr="00205968" w:rsidRDefault="00CC4E3D" w:rsidP="0089638B">
            <w:pPr>
              <w:rPr>
                <w:sz w:val="18"/>
                <w:szCs w:val="18"/>
              </w:rPr>
            </w:pPr>
            <w:r w:rsidRPr="00205968">
              <w:rPr>
                <w:sz w:val="18"/>
                <w:szCs w:val="18"/>
              </w:rPr>
              <w:t>Mid North Coast</w:t>
            </w:r>
          </w:p>
        </w:tc>
        <w:tc>
          <w:tcPr>
            <w:tcW w:w="1551" w:type="dxa"/>
            <w:vAlign w:val="center"/>
            <w:hideMark/>
          </w:tcPr>
          <w:p w14:paraId="03319119" w14:textId="6668C236" w:rsidR="00CC4E3D" w:rsidRPr="00205968" w:rsidRDefault="007B46C9" w:rsidP="0089638B">
            <w:pPr>
              <w:rPr>
                <w:sz w:val="18"/>
                <w:szCs w:val="18"/>
              </w:rPr>
            </w:pPr>
            <w:r>
              <w:rPr>
                <w:color w:val="FFFFFF" w:themeColor="background1"/>
                <w:sz w:val="20"/>
                <w:szCs w:val="20"/>
              </w:rPr>
              <w:t>—</w:t>
            </w:r>
          </w:p>
        </w:tc>
        <w:tc>
          <w:tcPr>
            <w:tcW w:w="1552" w:type="dxa"/>
            <w:vAlign w:val="center"/>
            <w:hideMark/>
          </w:tcPr>
          <w:p w14:paraId="1F980B54" w14:textId="77777777" w:rsidR="00CC4E3D" w:rsidRPr="00205968" w:rsidRDefault="00CC4E3D" w:rsidP="0089638B">
            <w:pPr>
              <w:rPr>
                <w:sz w:val="18"/>
                <w:szCs w:val="18"/>
              </w:rPr>
            </w:pPr>
            <w:r w:rsidRPr="00205968">
              <w:rPr>
                <w:sz w:val="18"/>
                <w:szCs w:val="18"/>
              </w:rPr>
              <w:t>3</w:t>
            </w:r>
          </w:p>
        </w:tc>
        <w:tc>
          <w:tcPr>
            <w:tcW w:w="1552" w:type="dxa"/>
            <w:vAlign w:val="center"/>
            <w:hideMark/>
          </w:tcPr>
          <w:p w14:paraId="26F7658B" w14:textId="0D9ADAEB" w:rsidR="00CC4E3D" w:rsidRPr="00205968" w:rsidRDefault="007B46C9" w:rsidP="0089638B">
            <w:pPr>
              <w:rPr>
                <w:sz w:val="18"/>
                <w:szCs w:val="18"/>
              </w:rPr>
            </w:pPr>
            <w:r>
              <w:rPr>
                <w:color w:val="FFFFFF" w:themeColor="background1"/>
                <w:sz w:val="20"/>
                <w:szCs w:val="20"/>
              </w:rPr>
              <w:t>—</w:t>
            </w:r>
          </w:p>
        </w:tc>
      </w:tr>
      <w:tr w:rsidR="00CC4E3D" w:rsidRPr="00205968" w14:paraId="6309A707" w14:textId="77777777" w:rsidTr="0089638B">
        <w:trPr>
          <w:trHeight w:hRule="exact" w:val="312"/>
        </w:trPr>
        <w:tc>
          <w:tcPr>
            <w:tcW w:w="1560" w:type="dxa"/>
            <w:shd w:val="clear" w:color="auto" w:fill="F2F2F2" w:themeFill="background2"/>
            <w:vAlign w:val="center"/>
            <w:hideMark/>
          </w:tcPr>
          <w:p w14:paraId="0CA072F2" w14:textId="77777777" w:rsidR="00CC4E3D" w:rsidRPr="00205968" w:rsidRDefault="00CC4E3D" w:rsidP="000769DB">
            <w:pPr>
              <w:rPr>
                <w:sz w:val="18"/>
                <w:szCs w:val="18"/>
              </w:rPr>
            </w:pPr>
            <w:r w:rsidRPr="00205968">
              <w:rPr>
                <w:sz w:val="18"/>
                <w:szCs w:val="18"/>
              </w:rPr>
              <w:t>Area 11*</w:t>
            </w:r>
          </w:p>
        </w:tc>
        <w:tc>
          <w:tcPr>
            <w:tcW w:w="2976" w:type="dxa"/>
            <w:shd w:val="clear" w:color="auto" w:fill="F2F2F2" w:themeFill="background2"/>
            <w:vAlign w:val="center"/>
            <w:hideMark/>
          </w:tcPr>
          <w:p w14:paraId="02667254" w14:textId="77777777" w:rsidR="00CC4E3D" w:rsidRPr="00205968" w:rsidRDefault="00CC4E3D" w:rsidP="0089638B">
            <w:pPr>
              <w:rPr>
                <w:sz w:val="18"/>
                <w:szCs w:val="18"/>
              </w:rPr>
            </w:pPr>
            <w:r w:rsidRPr="00205968">
              <w:rPr>
                <w:sz w:val="18"/>
                <w:szCs w:val="18"/>
              </w:rPr>
              <w:t>Wide Bay and Sunshine Coast</w:t>
            </w:r>
          </w:p>
        </w:tc>
        <w:tc>
          <w:tcPr>
            <w:tcW w:w="1551" w:type="dxa"/>
            <w:shd w:val="clear" w:color="auto" w:fill="F2F2F2" w:themeFill="background2"/>
            <w:vAlign w:val="center"/>
            <w:hideMark/>
          </w:tcPr>
          <w:p w14:paraId="2F3CADC6" w14:textId="77777777" w:rsidR="00CC4E3D" w:rsidRPr="00205968" w:rsidRDefault="00CC4E3D" w:rsidP="0089638B">
            <w:pPr>
              <w:rPr>
                <w:sz w:val="18"/>
                <w:szCs w:val="18"/>
              </w:rPr>
            </w:pPr>
            <w:r w:rsidRPr="00205968">
              <w:rPr>
                <w:sz w:val="18"/>
                <w:szCs w:val="18"/>
              </w:rPr>
              <w:t>9</w:t>
            </w:r>
          </w:p>
        </w:tc>
        <w:tc>
          <w:tcPr>
            <w:tcW w:w="1552" w:type="dxa"/>
            <w:shd w:val="clear" w:color="auto" w:fill="F2F2F2" w:themeFill="background2"/>
            <w:vAlign w:val="center"/>
            <w:hideMark/>
          </w:tcPr>
          <w:p w14:paraId="45E353AE" w14:textId="77777777" w:rsidR="00CC4E3D" w:rsidRPr="00205968" w:rsidRDefault="00CC4E3D" w:rsidP="0089638B">
            <w:pPr>
              <w:rPr>
                <w:sz w:val="18"/>
                <w:szCs w:val="18"/>
              </w:rPr>
            </w:pPr>
            <w:r w:rsidRPr="00205968">
              <w:rPr>
                <w:sz w:val="18"/>
                <w:szCs w:val="18"/>
              </w:rPr>
              <w:t>2</w:t>
            </w:r>
          </w:p>
        </w:tc>
        <w:tc>
          <w:tcPr>
            <w:tcW w:w="1552" w:type="dxa"/>
            <w:shd w:val="clear" w:color="auto" w:fill="F2F2F2" w:themeFill="background2"/>
            <w:vAlign w:val="center"/>
            <w:hideMark/>
          </w:tcPr>
          <w:p w14:paraId="3D0E2762" w14:textId="77777777" w:rsidR="00CC4E3D" w:rsidRPr="00205968" w:rsidRDefault="00CC4E3D" w:rsidP="0089638B">
            <w:pPr>
              <w:rPr>
                <w:sz w:val="18"/>
                <w:szCs w:val="18"/>
              </w:rPr>
            </w:pPr>
            <w:r w:rsidRPr="00205968">
              <w:rPr>
                <w:sz w:val="18"/>
                <w:szCs w:val="18"/>
              </w:rPr>
              <w:t>5</w:t>
            </w:r>
          </w:p>
        </w:tc>
      </w:tr>
      <w:tr w:rsidR="00CC4E3D" w:rsidRPr="00205968" w14:paraId="63DA8586" w14:textId="77777777" w:rsidTr="0089638B">
        <w:trPr>
          <w:trHeight w:hRule="exact" w:val="312"/>
        </w:trPr>
        <w:tc>
          <w:tcPr>
            <w:tcW w:w="1560" w:type="dxa"/>
            <w:vAlign w:val="center"/>
            <w:hideMark/>
          </w:tcPr>
          <w:p w14:paraId="04599BE0" w14:textId="77777777" w:rsidR="00CC4E3D" w:rsidRPr="00205968" w:rsidRDefault="00CC4E3D" w:rsidP="000769DB">
            <w:pPr>
              <w:rPr>
                <w:sz w:val="18"/>
                <w:szCs w:val="18"/>
              </w:rPr>
            </w:pPr>
            <w:r w:rsidRPr="00205968">
              <w:rPr>
                <w:sz w:val="18"/>
                <w:szCs w:val="18"/>
              </w:rPr>
              <w:t>Area 12</w:t>
            </w:r>
          </w:p>
        </w:tc>
        <w:tc>
          <w:tcPr>
            <w:tcW w:w="2976" w:type="dxa"/>
            <w:vAlign w:val="center"/>
            <w:hideMark/>
          </w:tcPr>
          <w:p w14:paraId="7CBD9C2A" w14:textId="77777777" w:rsidR="00CC4E3D" w:rsidRPr="00205968" w:rsidRDefault="00CC4E3D" w:rsidP="0089638B">
            <w:pPr>
              <w:rPr>
                <w:sz w:val="18"/>
                <w:szCs w:val="18"/>
              </w:rPr>
            </w:pPr>
            <w:r w:rsidRPr="00205968">
              <w:rPr>
                <w:sz w:val="18"/>
                <w:szCs w:val="18"/>
              </w:rPr>
              <w:t>Wide Bay and Sunshine Coast</w:t>
            </w:r>
          </w:p>
        </w:tc>
        <w:tc>
          <w:tcPr>
            <w:tcW w:w="1551" w:type="dxa"/>
            <w:vAlign w:val="center"/>
            <w:hideMark/>
          </w:tcPr>
          <w:p w14:paraId="111CF584" w14:textId="3EFE0C55" w:rsidR="00CC4E3D" w:rsidRPr="00205968" w:rsidRDefault="007B46C9" w:rsidP="0089638B">
            <w:pPr>
              <w:rPr>
                <w:sz w:val="18"/>
                <w:szCs w:val="18"/>
              </w:rPr>
            </w:pPr>
            <w:r>
              <w:rPr>
                <w:color w:val="FFFFFF" w:themeColor="background1"/>
                <w:sz w:val="20"/>
                <w:szCs w:val="20"/>
              </w:rPr>
              <w:t>—</w:t>
            </w:r>
          </w:p>
        </w:tc>
        <w:tc>
          <w:tcPr>
            <w:tcW w:w="1552" w:type="dxa"/>
            <w:vAlign w:val="center"/>
            <w:hideMark/>
          </w:tcPr>
          <w:p w14:paraId="1F037EFB" w14:textId="77777777" w:rsidR="00CC4E3D" w:rsidRPr="00205968" w:rsidRDefault="00CC4E3D" w:rsidP="0089638B">
            <w:pPr>
              <w:rPr>
                <w:sz w:val="18"/>
                <w:szCs w:val="18"/>
              </w:rPr>
            </w:pPr>
            <w:r w:rsidRPr="00205968">
              <w:rPr>
                <w:sz w:val="18"/>
                <w:szCs w:val="18"/>
              </w:rPr>
              <w:t>4</w:t>
            </w:r>
          </w:p>
        </w:tc>
        <w:tc>
          <w:tcPr>
            <w:tcW w:w="1552" w:type="dxa"/>
            <w:vAlign w:val="center"/>
            <w:hideMark/>
          </w:tcPr>
          <w:p w14:paraId="642B153C" w14:textId="38EB846E" w:rsidR="00CC4E3D" w:rsidRPr="00205968" w:rsidRDefault="007B46C9" w:rsidP="0089638B">
            <w:pPr>
              <w:rPr>
                <w:sz w:val="18"/>
                <w:szCs w:val="18"/>
              </w:rPr>
            </w:pPr>
            <w:r>
              <w:rPr>
                <w:color w:val="FFFFFF" w:themeColor="background1"/>
                <w:sz w:val="20"/>
                <w:szCs w:val="20"/>
              </w:rPr>
              <w:t>—</w:t>
            </w:r>
          </w:p>
        </w:tc>
      </w:tr>
      <w:tr w:rsidR="00CC4E3D" w:rsidRPr="00702ADF" w14:paraId="30CD5ABB" w14:textId="77777777" w:rsidTr="0089638B">
        <w:trPr>
          <w:trHeight w:hRule="exact" w:val="312"/>
        </w:trPr>
        <w:tc>
          <w:tcPr>
            <w:tcW w:w="1560" w:type="dxa"/>
            <w:tcBorders>
              <w:bottom w:val="single" w:sz="4" w:space="0" w:color="auto"/>
            </w:tcBorders>
            <w:shd w:val="clear" w:color="auto" w:fill="F2F2F2" w:themeFill="background2"/>
            <w:vAlign w:val="center"/>
            <w:hideMark/>
          </w:tcPr>
          <w:p w14:paraId="514140A4" w14:textId="77777777" w:rsidR="00CC4E3D" w:rsidRPr="0089638B" w:rsidRDefault="00CC4E3D" w:rsidP="000769DB">
            <w:pPr>
              <w:rPr>
                <w:b/>
                <w:sz w:val="18"/>
                <w:szCs w:val="18"/>
              </w:rPr>
            </w:pPr>
            <w:r w:rsidRPr="0089638B">
              <w:rPr>
                <w:b/>
                <w:sz w:val="18"/>
                <w:szCs w:val="18"/>
              </w:rPr>
              <w:t>Total</w:t>
            </w:r>
          </w:p>
        </w:tc>
        <w:tc>
          <w:tcPr>
            <w:tcW w:w="2976" w:type="dxa"/>
            <w:tcBorders>
              <w:bottom w:val="single" w:sz="4" w:space="0" w:color="auto"/>
            </w:tcBorders>
            <w:shd w:val="clear" w:color="auto" w:fill="F2F2F2" w:themeFill="background2"/>
            <w:vAlign w:val="center"/>
          </w:tcPr>
          <w:p w14:paraId="4F59C10C" w14:textId="5A912902" w:rsidR="00CC4E3D" w:rsidRPr="0089638B" w:rsidRDefault="007B46C9" w:rsidP="0089638B">
            <w:pPr>
              <w:rPr>
                <w:b/>
                <w:sz w:val="18"/>
                <w:szCs w:val="18"/>
              </w:rPr>
            </w:pPr>
            <w:r>
              <w:rPr>
                <w:color w:val="FFFFFF" w:themeColor="background1"/>
                <w:sz w:val="20"/>
                <w:szCs w:val="20"/>
              </w:rPr>
              <w:t>—</w:t>
            </w:r>
          </w:p>
        </w:tc>
        <w:tc>
          <w:tcPr>
            <w:tcW w:w="1551" w:type="dxa"/>
            <w:tcBorders>
              <w:bottom w:val="single" w:sz="4" w:space="0" w:color="auto"/>
            </w:tcBorders>
            <w:shd w:val="clear" w:color="auto" w:fill="F2F2F2" w:themeFill="background2"/>
            <w:vAlign w:val="center"/>
            <w:hideMark/>
          </w:tcPr>
          <w:p w14:paraId="414FD1A9" w14:textId="77777777" w:rsidR="00CC4E3D" w:rsidRPr="0089638B" w:rsidRDefault="00CC4E3D" w:rsidP="0089638B">
            <w:pPr>
              <w:rPr>
                <w:b/>
                <w:sz w:val="18"/>
                <w:szCs w:val="18"/>
              </w:rPr>
            </w:pPr>
            <w:r w:rsidRPr="0089638B">
              <w:rPr>
                <w:b/>
                <w:sz w:val="18"/>
                <w:szCs w:val="18"/>
              </w:rPr>
              <w:t>67</w:t>
            </w:r>
          </w:p>
        </w:tc>
        <w:tc>
          <w:tcPr>
            <w:tcW w:w="1552" w:type="dxa"/>
            <w:tcBorders>
              <w:bottom w:val="single" w:sz="4" w:space="0" w:color="auto"/>
            </w:tcBorders>
            <w:shd w:val="clear" w:color="auto" w:fill="F2F2F2" w:themeFill="background2"/>
            <w:vAlign w:val="center"/>
            <w:hideMark/>
          </w:tcPr>
          <w:p w14:paraId="2E2B143E" w14:textId="77777777" w:rsidR="00CC4E3D" w:rsidRPr="0089638B" w:rsidRDefault="00CC4E3D" w:rsidP="0089638B">
            <w:pPr>
              <w:rPr>
                <w:b/>
                <w:sz w:val="18"/>
                <w:szCs w:val="18"/>
              </w:rPr>
            </w:pPr>
            <w:r w:rsidRPr="0089638B">
              <w:rPr>
                <w:b/>
                <w:sz w:val="18"/>
                <w:szCs w:val="18"/>
              </w:rPr>
              <w:t>45</w:t>
            </w:r>
          </w:p>
        </w:tc>
        <w:tc>
          <w:tcPr>
            <w:tcW w:w="1552" w:type="dxa"/>
            <w:tcBorders>
              <w:bottom w:val="single" w:sz="4" w:space="0" w:color="auto"/>
            </w:tcBorders>
            <w:shd w:val="clear" w:color="auto" w:fill="F2F2F2" w:themeFill="background2"/>
            <w:vAlign w:val="center"/>
            <w:hideMark/>
          </w:tcPr>
          <w:p w14:paraId="45B44BD1" w14:textId="77777777" w:rsidR="00CC4E3D" w:rsidRPr="0089638B" w:rsidRDefault="00CC4E3D" w:rsidP="0089638B">
            <w:pPr>
              <w:rPr>
                <w:b/>
                <w:sz w:val="18"/>
                <w:szCs w:val="18"/>
              </w:rPr>
            </w:pPr>
            <w:r w:rsidRPr="0089638B">
              <w:rPr>
                <w:b/>
                <w:sz w:val="18"/>
                <w:szCs w:val="18"/>
              </w:rPr>
              <w:t>19</w:t>
            </w:r>
          </w:p>
        </w:tc>
      </w:tr>
    </w:tbl>
    <w:p w14:paraId="511E8E8D" w14:textId="76ADBF18" w:rsidR="00CC4E3D" w:rsidRDefault="00CC4E3D" w:rsidP="00CC4E3D">
      <w:pPr>
        <w:pStyle w:val="Notes"/>
      </w:pPr>
      <w:r w:rsidRPr="008C506A">
        <w:t>*</w:t>
      </w:r>
      <w:r w:rsidR="005965A3">
        <w:t xml:space="preserve"> </w:t>
      </w:r>
      <w:r>
        <w:t>There were t</w:t>
      </w:r>
      <w:r w:rsidRPr="008C506A">
        <w:t>wo focus groups in this area</w:t>
      </w:r>
      <w:r>
        <w:t>.</w:t>
      </w:r>
    </w:p>
    <w:p w14:paraId="1C4F902A" w14:textId="2F8B1989" w:rsidR="00CC4E3D" w:rsidRDefault="00CC4E3D" w:rsidP="00CC4E3D">
      <w:pPr>
        <w:pStyle w:val="Heading1"/>
      </w:pPr>
      <w:bookmarkStart w:id="683" w:name="_Toc509402651"/>
      <w:bookmarkStart w:id="684" w:name="_Toc535498951"/>
      <w:bookmarkStart w:id="685" w:name="_Toc23841431"/>
      <w:r>
        <w:lastRenderedPageBreak/>
        <w:t>Appendix H — Income support and reported earnings status</w:t>
      </w:r>
      <w:bookmarkEnd w:id="683"/>
      <w:bookmarkEnd w:id="684"/>
      <w:bookmarkEnd w:id="685"/>
    </w:p>
    <w:p w14:paraId="335A660A" w14:textId="77777777" w:rsidR="00CC4E3D" w:rsidRDefault="00CC4E3D" w:rsidP="00CC4E3D">
      <w:r>
        <w:t xml:space="preserve">The composite labour market attachment and positive outcome measures included participant income support and reported earnings status. The results from additional analyses regarding these indicators and the comparison between the TtW and jobactive matched samples are provided below. </w:t>
      </w:r>
    </w:p>
    <w:p w14:paraId="2E094BC0" w14:textId="77777777" w:rsidR="00CC4E3D" w:rsidRPr="001F4939" w:rsidRDefault="00CC4E3D" w:rsidP="001F4939">
      <w:pPr>
        <w:pStyle w:val="Heading2"/>
      </w:pPr>
      <w:bookmarkStart w:id="686" w:name="_Toc509402652"/>
      <w:bookmarkStart w:id="687" w:name="_Toc535498952"/>
      <w:bookmarkStart w:id="688" w:name="_Toc23841432"/>
      <w:r w:rsidRPr="001F4939">
        <w:t>TtW participants had a slightly lower rate of exiting income support, and this may be attributed to their higher level of engagement in education and training activities</w:t>
      </w:r>
      <w:bookmarkEnd w:id="686"/>
      <w:bookmarkEnd w:id="687"/>
      <w:bookmarkEnd w:id="688"/>
    </w:p>
    <w:p w14:paraId="35ABCE7B" w14:textId="77777777" w:rsidR="00CC4E3D" w:rsidRDefault="00CC4E3D" w:rsidP="00CC4E3D">
      <w:r>
        <w:rPr>
          <w:b/>
        </w:rPr>
        <w:t xml:space="preserve">Figure H.1 </w:t>
      </w:r>
      <w:r>
        <w:t xml:space="preserve">shows the pattern of income support </w:t>
      </w:r>
      <w:r w:rsidRPr="00165EC0">
        <w:t>exit</w:t>
      </w:r>
      <w:r>
        <w:t xml:space="preserve"> rates across the months in services for participants who commenced in each service model. The proportion of participants on income support 30 days after commencement in employment services was two percentage points higher in jobactive than in TtW. This finding was expected and is consistent with the eligibility criteria for TtW, which also targeted support to discouraged job seekers (Group Two) not receiving income support. </w:t>
      </w:r>
    </w:p>
    <w:p w14:paraId="1B1D1456" w14:textId="2C2BBC9D" w:rsidR="00CC4E3D" w:rsidRDefault="00CC4E3D" w:rsidP="00FD4CA8">
      <w:pPr>
        <w:pStyle w:val="Caption"/>
      </w:pPr>
      <w:bookmarkStart w:id="689" w:name="_Toc509402477"/>
      <w:bookmarkStart w:id="690" w:name="_Toc535511504"/>
      <w:bookmarkStart w:id="691" w:name="_Toc535511564"/>
      <w:bookmarkStart w:id="692" w:name="_Toc535512794"/>
      <w:bookmarkStart w:id="693" w:name="_Toc535513430"/>
      <w:bookmarkStart w:id="694" w:name="_Toc535515024"/>
      <w:bookmarkStart w:id="695" w:name="_Toc23841493"/>
      <w:r>
        <w:t xml:space="preserve">Figure H. </w:t>
      </w:r>
      <w:r>
        <w:rPr>
          <w:noProof/>
        </w:rPr>
        <w:fldChar w:fldCharType="begin"/>
      </w:r>
      <w:r>
        <w:rPr>
          <w:noProof/>
        </w:rPr>
        <w:instrText xml:space="preserve"> SEQ Figure_H. \* ARABIC </w:instrText>
      </w:r>
      <w:r>
        <w:rPr>
          <w:noProof/>
        </w:rPr>
        <w:fldChar w:fldCharType="separate"/>
      </w:r>
      <w:r w:rsidR="00D84A2A">
        <w:rPr>
          <w:noProof/>
        </w:rPr>
        <w:t>1</w:t>
      </w:r>
      <w:r>
        <w:rPr>
          <w:noProof/>
        </w:rPr>
        <w:fldChar w:fldCharType="end"/>
      </w:r>
      <w:r>
        <w:rPr>
          <w:szCs w:val="18"/>
        </w:rPr>
        <w:tab/>
      </w:r>
      <w:r>
        <w:t>Changes in income support, by months in employment services for commenced placements*</w:t>
      </w:r>
      <w:bookmarkEnd w:id="689"/>
      <w:bookmarkEnd w:id="690"/>
      <w:bookmarkEnd w:id="691"/>
      <w:bookmarkEnd w:id="692"/>
      <w:bookmarkEnd w:id="693"/>
      <w:bookmarkEnd w:id="694"/>
      <w:bookmarkEnd w:id="695"/>
    </w:p>
    <w:p w14:paraId="45A1DDF1" w14:textId="77777777" w:rsidR="00CC4E3D" w:rsidRDefault="00CC4E3D" w:rsidP="00CC4E3D">
      <w:pPr>
        <w:pStyle w:val="Notes"/>
      </w:pPr>
      <w:r w:rsidRPr="00C509F8">
        <w:rPr>
          <w:noProof/>
          <w:lang w:val="en-AU" w:eastAsia="en-AU"/>
        </w:rPr>
        <w:drawing>
          <wp:inline distT="0" distB="0" distL="0" distR="0" wp14:anchorId="2A98CB8C" wp14:editId="42C58337">
            <wp:extent cx="4899600" cy="3045600"/>
            <wp:effectExtent l="0" t="0" r="0" b="2540"/>
            <wp:docPr id="27" name="Picture 27" descr="Line chart comparing the change over six months in income support of TtW and jobactive participants.&#10;This figure shows the proportion of TtW and jobactive participants on income support steadily decreased over the six months from month 1 after a small increase in month 1. &#10;Commencement: TtW –83%, jobactive –86%&#10;Month 1: TtW –84%, jobactive –87%&#10;Month 6: TtW –72%, jobactive –6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899600" cy="3045600"/>
                    </a:xfrm>
                    <a:prstGeom prst="rect">
                      <a:avLst/>
                    </a:prstGeom>
                    <a:noFill/>
                    <a:ln>
                      <a:noFill/>
                    </a:ln>
                  </pic:spPr>
                </pic:pic>
              </a:graphicData>
            </a:graphic>
          </wp:inline>
        </w:drawing>
      </w:r>
    </w:p>
    <w:p w14:paraId="6DCC30F4" w14:textId="276C2705" w:rsidR="00CC4E3D" w:rsidRDefault="00CC4E3D" w:rsidP="00CC4E3D">
      <w:pPr>
        <w:pStyle w:val="Notes"/>
        <w:rPr>
          <w:lang w:eastAsia="en-AU"/>
        </w:rPr>
      </w:pPr>
      <w:r>
        <w:rPr>
          <w:lang w:eastAsia="en-AU"/>
        </w:rPr>
        <w:t>*</w:t>
      </w:r>
      <w:r w:rsidR="005965A3">
        <w:rPr>
          <w:lang w:eastAsia="en-AU"/>
        </w:rPr>
        <w:t xml:space="preserve"> </w:t>
      </w:r>
      <w:r>
        <w:rPr>
          <w:lang w:eastAsia="en-AU"/>
        </w:rPr>
        <w:t xml:space="preserve">Placements </w:t>
      </w:r>
      <w:r>
        <w:t>commenced</w:t>
      </w:r>
      <w:r>
        <w:rPr>
          <w:lang w:eastAsia="en-AU"/>
        </w:rPr>
        <w:t xml:space="preserve"> within 30 days of </w:t>
      </w:r>
      <w:r w:rsidRPr="00165EC0">
        <w:t>referral</w:t>
      </w:r>
      <w:r>
        <w:rPr>
          <w:lang w:eastAsia="en-AU"/>
        </w:rPr>
        <w:t>.</w:t>
      </w:r>
    </w:p>
    <w:p w14:paraId="4D7EE8A4" w14:textId="2C591C48" w:rsidR="00CC4E3D" w:rsidRPr="0089638B" w:rsidRDefault="00CC4E3D" w:rsidP="00CC4E3D">
      <w:pPr>
        <w:pStyle w:val="Source"/>
        <w:rPr>
          <w:b/>
        </w:rPr>
      </w:pPr>
      <w:r w:rsidRPr="0089638B">
        <w:rPr>
          <w:b/>
        </w:rPr>
        <w:t xml:space="preserve">Source: Department of </w:t>
      </w:r>
      <w:r w:rsidR="005D7747" w:rsidRPr="0089638B">
        <w:rPr>
          <w:b/>
        </w:rPr>
        <w:t>Employment, Skills, Small and Family</w:t>
      </w:r>
      <w:r w:rsidRPr="0089638B">
        <w:rPr>
          <w:b/>
        </w:rPr>
        <w:t xml:space="preserve"> Business administrative data — matched inflow population.</w:t>
      </w:r>
    </w:p>
    <w:p w14:paraId="18AFB9EA" w14:textId="77777777" w:rsidR="00CC4E3D" w:rsidRDefault="00CC4E3D" w:rsidP="00CC4E3D">
      <w:pPr>
        <w:spacing w:before="240"/>
        <w:rPr>
          <w:rFonts w:ascii="Calibri" w:hAnsi="Calibri"/>
        </w:rPr>
      </w:pPr>
      <w:r>
        <w:rPr>
          <w:rFonts w:ascii="Calibri" w:hAnsi="Calibri"/>
        </w:rPr>
        <w:t xml:space="preserve">Both programs showed an initial increase in the proportion of participants on income support </w:t>
      </w:r>
      <w:r w:rsidRPr="00ED6C7B">
        <w:rPr>
          <w:rFonts w:ascii="Calibri" w:hAnsi="Calibri"/>
        </w:rPr>
        <w:t xml:space="preserve">after commencement, </w:t>
      </w:r>
      <w:r>
        <w:rPr>
          <w:rFonts w:ascii="Calibri" w:hAnsi="Calibri"/>
        </w:rPr>
        <w:t xml:space="preserve">as new claims for income support were granted. By the second month there was </w:t>
      </w:r>
      <w:r>
        <w:rPr>
          <w:rFonts w:ascii="Calibri" w:hAnsi="Calibri"/>
        </w:rPr>
        <w:lastRenderedPageBreak/>
        <w:t xml:space="preserve">a steady increase in rates of exit from income support in both programs, as young people found jobs and earned enough to reduce their payment to zero. </w:t>
      </w:r>
    </w:p>
    <w:p w14:paraId="287C13C9" w14:textId="77777777" w:rsidR="00CC4E3D" w:rsidRDefault="00CC4E3D" w:rsidP="00CC4E3D">
      <w:r>
        <w:rPr>
          <w:rFonts w:ascii="Calibri" w:hAnsi="Calibri"/>
        </w:rPr>
        <w:t xml:space="preserve">The greater flexibility to undertake education and training in TtW is likely to be a contributing factor in reliance on income support, as young people combine work and study but do not earn enough to totally withdraw from income support. Other young people engaging in full-time study may transfer to a student payment. </w:t>
      </w:r>
      <w:r>
        <w:t>For young people tracking towards an educational outcome, it is still too early for many in the inflow population to have reached the 26-week limit to achieve an outcome (participation) or complete their course (attainment). Therefore it is not expected that the TtW group tracking towards an educational outcome or engaged in other prerequisite courses would be in a position to earn enough to move off income support over the study period.</w:t>
      </w:r>
    </w:p>
    <w:p w14:paraId="3B0FCE53" w14:textId="77777777" w:rsidR="00CC4E3D" w:rsidRPr="00C177FB" w:rsidRDefault="00CC4E3D" w:rsidP="00CC4E3D">
      <w:pPr>
        <w:rPr>
          <w:rFonts w:ascii="Calibri" w:hAnsi="Calibri"/>
        </w:rPr>
      </w:pPr>
      <w:r w:rsidRPr="008C506A">
        <w:t>In essence, this represents the attachment effect of higher level engagement of TtW participants in education and training activities</w:t>
      </w:r>
      <w:r w:rsidRPr="00C177FB">
        <w:t>.</w:t>
      </w:r>
    </w:p>
    <w:p w14:paraId="686B2ADB" w14:textId="77777777" w:rsidR="00CC4E3D" w:rsidRDefault="00CC4E3D" w:rsidP="00CC4E3D">
      <w:pPr>
        <w:rPr>
          <w:rFonts w:ascii="Calibri" w:hAnsi="Calibri"/>
        </w:rPr>
      </w:pPr>
      <w:r>
        <w:rPr>
          <w:rFonts w:ascii="Calibri" w:hAnsi="Calibri"/>
        </w:rPr>
        <w:t xml:space="preserve">The rate at which young people come off income support is also gender related. The gender difference in exit rates was statistically significant. Male participants were more likely than female participants to exit income support. Women generally have more caring responsibilities, are more likely to work part-time or casually, and receive lower incomes than men. This means that, while women may have a similar rate of attachment to the labour market, they are less likely to earn enough to cease reliance on income support completely. </w:t>
      </w:r>
    </w:p>
    <w:p w14:paraId="7257F231" w14:textId="77777777" w:rsidR="00CC4E3D" w:rsidRDefault="00CC4E3D" w:rsidP="00CC4E3D">
      <w:r>
        <w:t xml:space="preserve">Since the 1970s, the </w:t>
      </w:r>
      <w:r w:rsidRPr="00676729">
        <w:t>ABS</w:t>
      </w:r>
      <w:r>
        <w:rPr>
          <w:rStyle w:val="FootnoteReference"/>
        </w:rPr>
        <w:footnoteReference w:id="38"/>
      </w:r>
      <w:r>
        <w:t xml:space="preserve"> has identified a trend of falling full-time job opportunities for young people. In addition, there has been substantial growth in industries that offer part-time employment and typically attract young women, such as retail and hospitality services. Many young women working few hours in low-paying jobs will continue to rely on income support before securing a full-time job. </w:t>
      </w:r>
    </w:p>
    <w:p w14:paraId="32F32B73" w14:textId="77777777" w:rsidR="00CC4E3D" w:rsidRDefault="00CC4E3D" w:rsidP="00CC4E3D">
      <w:pPr>
        <w:rPr>
          <w:rFonts w:ascii="Calibri" w:hAnsi="Calibri"/>
        </w:rPr>
      </w:pPr>
      <w:r>
        <w:rPr>
          <w:rFonts w:ascii="Calibri" w:hAnsi="Calibri"/>
        </w:rPr>
        <w:t xml:space="preserve">The final TtW evaluation report will provide more detailed analysis of the destinations of young people exiting employment services, including those moving to other non-activity-tested payments such as </w:t>
      </w:r>
      <w:r w:rsidRPr="00676729">
        <w:rPr>
          <w:rFonts w:ascii="Calibri" w:hAnsi="Calibri"/>
        </w:rPr>
        <w:t xml:space="preserve">Youth Allowance </w:t>
      </w:r>
      <w:r>
        <w:rPr>
          <w:rFonts w:ascii="Calibri" w:hAnsi="Calibri"/>
        </w:rPr>
        <w:t>(</w:t>
      </w:r>
      <w:r w:rsidRPr="00676729">
        <w:rPr>
          <w:rFonts w:ascii="Calibri" w:hAnsi="Calibri"/>
        </w:rPr>
        <w:t>Student</w:t>
      </w:r>
      <w:r>
        <w:rPr>
          <w:rFonts w:ascii="Calibri" w:hAnsi="Calibri"/>
        </w:rPr>
        <w:t>) and Disability Support Pension.</w:t>
      </w:r>
    </w:p>
    <w:p w14:paraId="35D6B91D" w14:textId="77777777" w:rsidR="00CC4E3D" w:rsidRPr="001F4939" w:rsidRDefault="00CC4E3D" w:rsidP="001F4939">
      <w:pPr>
        <w:pStyle w:val="Heading2"/>
      </w:pPr>
      <w:bookmarkStart w:id="696" w:name="_Toc509402653"/>
      <w:bookmarkStart w:id="697" w:name="_Toc535498953"/>
      <w:bookmarkStart w:id="698" w:name="_Toc23841433"/>
      <w:r w:rsidRPr="001F4939">
        <w:t>Low earnings among young people meant that few went off income support or reduced their income support payments significantly</w:t>
      </w:r>
      <w:bookmarkEnd w:id="696"/>
      <w:bookmarkEnd w:id="697"/>
      <w:bookmarkEnd w:id="698"/>
    </w:p>
    <w:p w14:paraId="09885B50" w14:textId="77777777" w:rsidR="00CC4E3D" w:rsidRDefault="00CC4E3D" w:rsidP="00CC4E3D">
      <w:pPr>
        <w:rPr>
          <w:rFonts w:ascii="Calibri" w:hAnsi="Calibri"/>
        </w:rPr>
      </w:pPr>
      <w:r w:rsidRPr="009478D6">
        <w:rPr>
          <w:rFonts w:ascii="Calibri" w:hAnsi="Calibri"/>
        </w:rPr>
        <w:t>While the average earnings for young people reporting earnings to DHS are generally above the</w:t>
      </w:r>
      <w:r>
        <w:rPr>
          <w:rFonts w:ascii="Calibri" w:hAnsi="Calibri"/>
        </w:rPr>
        <w:t xml:space="preserve"> earnings threshold, they are considerably lower than the Youth Allowance (Other) payment cut-out level for a single person living away from home (or a member of a couple). These findings indicate that, despite increasing their earnings in the short term, the increase is not enough to move many TtW participants off their reliance on income support. </w:t>
      </w:r>
    </w:p>
    <w:p w14:paraId="4F23D45E" w14:textId="77777777" w:rsidR="00CC4E3D" w:rsidRDefault="00CC4E3D" w:rsidP="00CC4E3D">
      <w:pPr>
        <w:rPr>
          <w:rFonts w:ascii="Calibri" w:hAnsi="Calibri"/>
        </w:rPr>
      </w:pPr>
      <w:r>
        <w:rPr>
          <w:rFonts w:ascii="Calibri" w:hAnsi="Calibri"/>
        </w:rPr>
        <w:lastRenderedPageBreak/>
        <w:t xml:space="preserve">An investigation of reported earnings reveals differences in the amounts earned by TtW participants and jobactive participants. </w:t>
      </w:r>
      <w:r>
        <w:rPr>
          <w:rFonts w:ascii="Calibri" w:hAnsi="Calibri"/>
          <w:b/>
        </w:rPr>
        <w:t>Figure H.2</w:t>
      </w:r>
      <w:r>
        <w:rPr>
          <w:rFonts w:ascii="Calibri" w:hAnsi="Calibri"/>
        </w:rPr>
        <w:t xml:space="preserve"> shows average earnings reported to DHS over the study period for the matched inflow populations. </w:t>
      </w:r>
    </w:p>
    <w:p w14:paraId="2C96FEDB" w14:textId="77777777" w:rsidR="00CC4E3D" w:rsidRDefault="00CC4E3D" w:rsidP="00CC4E3D">
      <w:pPr>
        <w:spacing w:before="240"/>
        <w:rPr>
          <w:rFonts w:ascii="Calibri" w:hAnsi="Calibri"/>
        </w:rPr>
      </w:pPr>
      <w:r>
        <w:rPr>
          <w:rFonts w:ascii="Calibri" w:hAnsi="Calibri"/>
        </w:rPr>
        <w:t xml:space="preserve">The reported earnings of jobactive participants were initially higher than those of TtW participants but after the first month remained relatively constant over the study period, although they rose slightly by the third month. For TtW participants, average earnings gradually increased over the six-month study period to a level similar to that reported by jobactive participants. </w:t>
      </w:r>
    </w:p>
    <w:p w14:paraId="37BBCFD5" w14:textId="77777777" w:rsidR="00CC4E3D" w:rsidRDefault="00CC4E3D" w:rsidP="00CC4E3D">
      <w:pPr>
        <w:rPr>
          <w:rFonts w:ascii="Calibri" w:hAnsi="Calibri"/>
        </w:rPr>
      </w:pPr>
      <w:r>
        <w:rPr>
          <w:rFonts w:ascii="Calibri" w:hAnsi="Calibri"/>
        </w:rPr>
        <w:t xml:space="preserve">Recipients of income support can earn up to the income threshold amount and still receive their base rate of payment. For example, a single independent job seeker could earn up to $143 per fortnight without decreasing their Youth Allowance (Other) payment. For a full-time apprentice an income-free threshold of $433 per fortnight applied during the study period. Reductions in the base rate of income support provide another means of investigating the impact of paid work on income support payments. </w:t>
      </w:r>
    </w:p>
    <w:p w14:paraId="3B20E1AA" w14:textId="0C662911" w:rsidR="00CC4E3D" w:rsidRDefault="00CC4E3D" w:rsidP="00FD4CA8">
      <w:pPr>
        <w:pStyle w:val="Caption"/>
      </w:pPr>
      <w:bookmarkStart w:id="699" w:name="_Toc509402478"/>
      <w:bookmarkStart w:id="700" w:name="_Toc535511505"/>
      <w:bookmarkStart w:id="701" w:name="_Toc535511565"/>
      <w:bookmarkStart w:id="702" w:name="_Toc535512795"/>
      <w:bookmarkStart w:id="703" w:name="_Toc535513431"/>
      <w:bookmarkStart w:id="704" w:name="_Toc535515025"/>
      <w:bookmarkStart w:id="705" w:name="_Toc23841494"/>
      <w:r>
        <w:t xml:space="preserve">Figure H. </w:t>
      </w:r>
      <w:r>
        <w:rPr>
          <w:noProof/>
        </w:rPr>
        <w:fldChar w:fldCharType="begin"/>
      </w:r>
      <w:r>
        <w:rPr>
          <w:noProof/>
        </w:rPr>
        <w:instrText xml:space="preserve"> SEQ Figure_H. \* ARABIC </w:instrText>
      </w:r>
      <w:r>
        <w:rPr>
          <w:noProof/>
        </w:rPr>
        <w:fldChar w:fldCharType="separate"/>
      </w:r>
      <w:r w:rsidR="00D84A2A">
        <w:rPr>
          <w:noProof/>
        </w:rPr>
        <w:t>2</w:t>
      </w:r>
      <w:r>
        <w:rPr>
          <w:noProof/>
        </w:rPr>
        <w:fldChar w:fldCharType="end"/>
      </w:r>
      <w:r>
        <w:tab/>
        <w:t xml:space="preserve">Average earnings for </w:t>
      </w:r>
      <w:r w:rsidRPr="00165EC0">
        <w:t>participants</w:t>
      </w:r>
      <w:r>
        <w:t xml:space="preserve"> commenced within 30 days of referral who reported employment income to DHS, by month</w:t>
      </w:r>
      <w:r>
        <w:rPr>
          <w:rStyle w:val="FootnoteReference"/>
        </w:rPr>
        <w:footnoteReference w:id="39"/>
      </w:r>
      <w:bookmarkEnd w:id="699"/>
      <w:bookmarkEnd w:id="700"/>
      <w:bookmarkEnd w:id="701"/>
      <w:bookmarkEnd w:id="702"/>
      <w:bookmarkEnd w:id="703"/>
      <w:bookmarkEnd w:id="704"/>
      <w:bookmarkEnd w:id="705"/>
      <w:r>
        <w:t xml:space="preserve"> </w:t>
      </w:r>
    </w:p>
    <w:p w14:paraId="777E14F1" w14:textId="77777777" w:rsidR="00CC4E3D" w:rsidRDefault="00CC4E3D" w:rsidP="00CC4E3D">
      <w:pPr>
        <w:pStyle w:val="Notes"/>
      </w:pPr>
      <w:r w:rsidRPr="006D621C">
        <w:rPr>
          <w:noProof/>
          <w:lang w:val="en-AU" w:eastAsia="en-AU"/>
        </w:rPr>
        <w:drawing>
          <wp:inline distT="0" distB="0" distL="0" distR="0" wp14:anchorId="2E47A827" wp14:editId="0E0AAB79">
            <wp:extent cx="4878000" cy="3045600"/>
            <wp:effectExtent l="0" t="0" r="0" b="2540"/>
            <wp:docPr id="28" name="Picture 28" descr="Line chart comparing the average monthly reported earnings over six months for TtW and jobactive participants.&#10;This figure shows the average monthly reported earnings of TtW and jobactive participants over the six months.&#10;At referral: TtW = $713, jobactive = $825&#10;Month 6: TtW = $888, jobactive =$894&#10;Lines for the monthly equivalent income free threshold and earnings at which income support payment is reduced to zero for a single Youth Allowance (Other) recipient living away from home is includ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878000" cy="3045600"/>
                    </a:xfrm>
                    <a:prstGeom prst="rect">
                      <a:avLst/>
                    </a:prstGeom>
                    <a:noFill/>
                    <a:ln>
                      <a:noFill/>
                    </a:ln>
                  </pic:spPr>
                </pic:pic>
              </a:graphicData>
            </a:graphic>
          </wp:inline>
        </w:drawing>
      </w:r>
    </w:p>
    <w:p w14:paraId="3AF647C1" w14:textId="73C88C83" w:rsidR="00CC4E3D" w:rsidRDefault="00CC4E3D" w:rsidP="00CC4E3D">
      <w:pPr>
        <w:pStyle w:val="Notes"/>
      </w:pPr>
      <w:r>
        <w:t>*</w:t>
      </w:r>
      <w:r w:rsidR="005965A3">
        <w:t xml:space="preserve"> </w:t>
      </w:r>
      <w:r>
        <w:t>Applies to a single (or member of couple) Youth Allowance (Other) recipient living away from home.</w:t>
      </w:r>
    </w:p>
    <w:p w14:paraId="152B87AA" w14:textId="32A2E6E7" w:rsidR="00CC4E3D" w:rsidRPr="0089638B" w:rsidRDefault="00CC4E3D" w:rsidP="00CC4E3D">
      <w:pPr>
        <w:pStyle w:val="Source"/>
        <w:rPr>
          <w:b/>
        </w:rPr>
      </w:pPr>
      <w:r w:rsidRPr="0089638B">
        <w:rPr>
          <w:b/>
        </w:rPr>
        <w:t xml:space="preserve">Source: Department of </w:t>
      </w:r>
      <w:r w:rsidR="00715A1E" w:rsidRPr="0089638B">
        <w:rPr>
          <w:b/>
        </w:rPr>
        <w:t>Employment, Skills, Small and Family</w:t>
      </w:r>
      <w:r w:rsidRPr="0089638B">
        <w:rPr>
          <w:b/>
        </w:rPr>
        <w:t xml:space="preserve"> Business administrative data — matched inflow population; DHS administrative data.</w:t>
      </w:r>
    </w:p>
    <w:p w14:paraId="42004259" w14:textId="77777777" w:rsidR="00CC4E3D" w:rsidRDefault="00CC4E3D" w:rsidP="00CC4E3D">
      <w:r>
        <w:lastRenderedPageBreak/>
        <w:t>Overall, while average earnings reported to DHS were higher for jobactive participants than for TtW participants, those in both groups who remained on income support were still unlikely to earn enough to reduce their income support reliance significantly (</w:t>
      </w:r>
      <w:r>
        <w:rPr>
          <w:b/>
        </w:rPr>
        <w:t>Figure H.2</w:t>
      </w:r>
      <w:r>
        <w:t>).</w:t>
      </w:r>
    </w:p>
    <w:p w14:paraId="1EFE3603" w14:textId="77777777" w:rsidR="00CC4E3D" w:rsidRPr="001F4939" w:rsidRDefault="00CC4E3D" w:rsidP="001F4939">
      <w:pPr>
        <w:pStyle w:val="Heading2"/>
      </w:pPr>
      <w:bookmarkStart w:id="706" w:name="_Toc509402654"/>
      <w:bookmarkStart w:id="707" w:name="_Toc535498954"/>
      <w:bookmarkStart w:id="708" w:name="_Toc23841434"/>
      <w:r w:rsidRPr="001F4939">
        <w:t>After six months in services there was little difference in earnings and income support reliance between TtW and jobactive</w:t>
      </w:r>
      <w:bookmarkEnd w:id="706"/>
      <w:bookmarkEnd w:id="707"/>
      <w:bookmarkEnd w:id="708"/>
    </w:p>
    <w:p w14:paraId="196AD73A" w14:textId="77777777" w:rsidR="00CC4E3D" w:rsidRDefault="00CC4E3D" w:rsidP="00CC4E3D">
      <w:r>
        <w:rPr>
          <w:rFonts w:ascii="Calibri" w:hAnsi="Calibri"/>
        </w:rPr>
        <w:t xml:space="preserve">A further measure of reliance on income support is the percentage of base rate of payment received by participants. </w:t>
      </w:r>
      <w:r>
        <w:rPr>
          <w:rFonts w:ascii="Calibri" w:hAnsi="Calibri"/>
          <w:b/>
        </w:rPr>
        <w:t>Figure H.3</w:t>
      </w:r>
      <w:r>
        <w:rPr>
          <w:rFonts w:ascii="Calibri" w:hAnsi="Calibri"/>
        </w:rPr>
        <w:t xml:space="preserve"> shows the median base payment rates for young people receiving income support across the study period for the TtW and jobactive matched samples.</w:t>
      </w:r>
    </w:p>
    <w:p w14:paraId="32CF8026" w14:textId="595409D7" w:rsidR="00CC4E3D" w:rsidRDefault="00CC4E3D" w:rsidP="00FD4CA8">
      <w:pPr>
        <w:pStyle w:val="Caption"/>
      </w:pPr>
      <w:bookmarkStart w:id="709" w:name="_Toc509402479"/>
      <w:bookmarkStart w:id="710" w:name="_Toc535511506"/>
      <w:bookmarkStart w:id="711" w:name="_Toc535511566"/>
      <w:bookmarkStart w:id="712" w:name="_Toc535512796"/>
      <w:bookmarkStart w:id="713" w:name="_Toc535513432"/>
      <w:bookmarkStart w:id="714" w:name="_Toc535515026"/>
      <w:bookmarkStart w:id="715" w:name="_Toc23841495"/>
      <w:r>
        <w:t xml:space="preserve">Figure H. </w:t>
      </w:r>
      <w:r>
        <w:rPr>
          <w:noProof/>
        </w:rPr>
        <w:fldChar w:fldCharType="begin"/>
      </w:r>
      <w:r>
        <w:rPr>
          <w:noProof/>
        </w:rPr>
        <w:instrText xml:space="preserve"> SEQ Figure_H. \* ARABIC </w:instrText>
      </w:r>
      <w:r>
        <w:rPr>
          <w:noProof/>
        </w:rPr>
        <w:fldChar w:fldCharType="separate"/>
      </w:r>
      <w:r w:rsidR="00D84A2A">
        <w:rPr>
          <w:noProof/>
        </w:rPr>
        <w:t>3</w:t>
      </w:r>
      <w:r>
        <w:rPr>
          <w:noProof/>
        </w:rPr>
        <w:fldChar w:fldCharType="end"/>
      </w:r>
      <w:r>
        <w:tab/>
        <w:t>Median base rate paid per month for participants commenced within 30 days</w:t>
      </w:r>
      <w:bookmarkEnd w:id="709"/>
      <w:r>
        <w:t xml:space="preserve"> of referral</w:t>
      </w:r>
      <w:bookmarkEnd w:id="710"/>
      <w:bookmarkEnd w:id="711"/>
      <w:bookmarkEnd w:id="712"/>
      <w:bookmarkEnd w:id="713"/>
      <w:bookmarkEnd w:id="714"/>
      <w:bookmarkEnd w:id="715"/>
    </w:p>
    <w:p w14:paraId="5D73EE7F" w14:textId="77777777" w:rsidR="00CC4E3D" w:rsidRDefault="00CC4E3D" w:rsidP="00CC4E3D">
      <w:pPr>
        <w:keepNext/>
        <w:rPr>
          <w:rFonts w:ascii="Calibri" w:hAnsi="Calibri"/>
        </w:rPr>
      </w:pPr>
      <w:r w:rsidRPr="005507EE">
        <w:rPr>
          <w:rFonts w:ascii="Calibri" w:hAnsi="Calibri"/>
          <w:noProof/>
          <w:lang w:eastAsia="en-AU"/>
        </w:rPr>
        <w:drawing>
          <wp:inline distT="0" distB="0" distL="0" distR="0" wp14:anchorId="4A61097D" wp14:editId="07B5D3A9">
            <wp:extent cx="4870800" cy="3045600"/>
            <wp:effectExtent l="0" t="0" r="6350" b="2540"/>
            <wp:docPr id="29" name="Picture 29" descr="Line chart comparing the median base rate of income support over six months for TtW and jobactive participants.&#10;This figure shows the median base rate of income support of TtW and jobactive participants over the six months. TtW participants show a gradual reduction to month 6 while jobactive participants have a bigger decrease in month 2 but median rate remains relatively constant from month 3 to month 6.&#10;Month1: Both TtW and jobactive base rates are 100%&#10;Month 2: TtW –92%, jobactive = $85%&#10;Month 3: TtW= 90%, jobactive = $82%&#10;Month 4: TtW = 86%, jobactive = $82%&#10;Month 5: TtW = 85%, jobactive = $81%&#10;Month 6: TtW = 83%, jobactive = $8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870800" cy="3045600"/>
                    </a:xfrm>
                    <a:prstGeom prst="rect">
                      <a:avLst/>
                    </a:prstGeom>
                    <a:noFill/>
                    <a:ln>
                      <a:noFill/>
                    </a:ln>
                  </pic:spPr>
                </pic:pic>
              </a:graphicData>
            </a:graphic>
          </wp:inline>
        </w:drawing>
      </w:r>
    </w:p>
    <w:p w14:paraId="43915CEC" w14:textId="7E863B4E" w:rsidR="00CC4E3D" w:rsidRPr="0089638B" w:rsidRDefault="00CC4E3D" w:rsidP="00CC4E3D">
      <w:pPr>
        <w:pStyle w:val="Source"/>
        <w:rPr>
          <w:b/>
        </w:rPr>
      </w:pPr>
      <w:r w:rsidRPr="0089638B">
        <w:rPr>
          <w:b/>
        </w:rPr>
        <w:t xml:space="preserve">Source: Department of </w:t>
      </w:r>
      <w:r w:rsidR="00715A1E" w:rsidRPr="0089638B">
        <w:rPr>
          <w:b/>
        </w:rPr>
        <w:t>Employment, Skills, Small and Family</w:t>
      </w:r>
      <w:r w:rsidRPr="0089638B">
        <w:rPr>
          <w:b/>
        </w:rPr>
        <w:t xml:space="preserve"> Business administrative data (matched inflow populations); DHS administrative data.</w:t>
      </w:r>
    </w:p>
    <w:p w14:paraId="3AA69AF5" w14:textId="77777777" w:rsidR="00CC4E3D" w:rsidRDefault="00CC4E3D" w:rsidP="00CC4E3D">
      <w:pPr>
        <w:rPr>
          <w:rFonts w:ascii="Calibri" w:hAnsi="Calibri"/>
        </w:rPr>
      </w:pPr>
      <w:r>
        <w:rPr>
          <w:rFonts w:ascii="Calibri" w:hAnsi="Calibri"/>
        </w:rPr>
        <w:t xml:space="preserve">While TtW participants are supported to undertake further study and training as a pathway to sustainable employment, combining work with other activities will initially limit their labour market participation. Earnings below the income threshold will not reduce the base rate of payment. Over time the study and training activities may be expected to improve the chances of TtW participants moving off income support. </w:t>
      </w:r>
    </w:p>
    <w:p w14:paraId="24937EF3" w14:textId="77777777" w:rsidR="00CC4E3D" w:rsidRPr="002D5BFA" w:rsidRDefault="00CC4E3D" w:rsidP="00CC4E3D">
      <w:r w:rsidRPr="002D5BFA">
        <w:t xml:space="preserve">The analysis shows that initially TtW participants had a lower median reduction in payment rates than the jobactive matched population. Yet after six months in employment services there was little difference in earnings and income support reliance between the participants in the two services. This finding is not unexpected, as around half of TtW contracts were achieving or exceeding their targets at the end of March 2017, indicating that young people were starting to </w:t>
      </w:r>
      <w:r w:rsidRPr="002D5BFA">
        <w:lastRenderedPageBreak/>
        <w:t>move into paid work and off income support. This was also consistent with the increase in average earnings reported by TtW participants</w:t>
      </w:r>
      <w:r>
        <w:t xml:space="preserve"> over the same period (Section H</w:t>
      </w:r>
      <w:r w:rsidRPr="002D5BFA">
        <w:t xml:space="preserve">.2). </w:t>
      </w:r>
    </w:p>
    <w:p w14:paraId="4979F0DE" w14:textId="77777777" w:rsidR="00CC4E3D" w:rsidRDefault="00CC4E3D" w:rsidP="00CC4E3D">
      <w:pPr>
        <w:rPr>
          <w:rFonts w:ascii="Calibri" w:hAnsi="Calibri"/>
        </w:rPr>
      </w:pPr>
      <w:r>
        <w:rPr>
          <w:rFonts w:ascii="Calibri" w:hAnsi="Calibri"/>
        </w:rPr>
        <w:t xml:space="preserve">On the other hand, the median base payment rate for the jobactive matched population remained relatively constant over the study period, as job seekers are expected to apply for jobs and move into paid employment and off income support. </w:t>
      </w:r>
    </w:p>
    <w:p w14:paraId="661A3E27" w14:textId="77777777" w:rsidR="00CC4E3D" w:rsidRPr="004C0E9F" w:rsidRDefault="00CC4E3D" w:rsidP="00CC4E3D">
      <w:r>
        <w:rPr>
          <w:rFonts w:ascii="Calibri" w:hAnsi="Calibri"/>
        </w:rPr>
        <w:t xml:space="preserve">The final evaluation report will examine the outcomes of eligible participants who participated in TtW services over the full 12 months and examine the outcomes of young people who were referred back to jobactive. </w:t>
      </w:r>
    </w:p>
    <w:p w14:paraId="17CF3F47" w14:textId="77777777" w:rsidR="00CC4E3D" w:rsidRDefault="00CC4E3D" w:rsidP="00CC4E3D">
      <w:r>
        <w:br w:type="page"/>
      </w:r>
    </w:p>
    <w:p w14:paraId="04BB49DC" w14:textId="77777777" w:rsidR="00CC4E3D" w:rsidRPr="00D2533E" w:rsidRDefault="00CC4E3D" w:rsidP="000769DB">
      <w:pPr>
        <w:pStyle w:val="Heading1"/>
        <w:spacing w:after="240"/>
      </w:pPr>
      <w:bookmarkStart w:id="716" w:name="_Toc535498955"/>
      <w:bookmarkStart w:id="717" w:name="_Toc23841435"/>
      <w:r w:rsidRPr="00D2533E">
        <w:lastRenderedPageBreak/>
        <w:t>End</w:t>
      </w:r>
      <w:r>
        <w:t xml:space="preserve"> n</w:t>
      </w:r>
      <w:r w:rsidRPr="00D2533E">
        <w:t>otes</w:t>
      </w:r>
      <w:bookmarkEnd w:id="716"/>
      <w:bookmarkEnd w:id="717"/>
    </w:p>
    <w:sectPr w:rsidR="00CC4E3D" w:rsidRPr="00D2533E" w:rsidSect="0041642D">
      <w:footerReference w:type="default" r:id="rId78"/>
      <w:type w:val="continuous"/>
      <w:pgSz w:w="11906" w:h="16838"/>
      <w:pgMar w:top="2285" w:right="1440" w:bottom="1440" w:left="1588" w:header="709" w:footer="11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7027D" w14:textId="77777777" w:rsidR="00415050" w:rsidRDefault="00415050" w:rsidP="00B050B7">
      <w:r>
        <w:separator/>
      </w:r>
    </w:p>
  </w:endnote>
  <w:endnote w:type="continuationSeparator" w:id="0">
    <w:p w14:paraId="2CD1636D" w14:textId="77777777" w:rsidR="00415050" w:rsidRDefault="00415050" w:rsidP="00B050B7">
      <w:r>
        <w:continuationSeparator/>
      </w:r>
    </w:p>
  </w:endnote>
  <w:endnote w:id="1">
    <w:p w14:paraId="44B1A542" w14:textId="77777777" w:rsidR="00415050" w:rsidRDefault="00415050" w:rsidP="00CC4E3D">
      <w:pPr>
        <w:pStyle w:val="EndnoteText"/>
      </w:pPr>
      <w:r>
        <w:rPr>
          <w:rStyle w:val="EndnoteReference"/>
        </w:rPr>
        <w:endnoteRef/>
      </w:r>
      <w:r>
        <w:t xml:space="preserve"> </w:t>
      </w:r>
      <w:r w:rsidRPr="007776CF">
        <w:t xml:space="preserve">dandolopartners (2012) </w:t>
      </w:r>
      <w:r w:rsidRPr="007776CF">
        <w:rPr>
          <w:i/>
        </w:rPr>
        <w:t>Interim Evaluation of the National Partnership on Youth Attainment and Transitions</w:t>
      </w:r>
      <w:r w:rsidRPr="00CE55A4">
        <w:rPr>
          <w:i/>
        </w:rPr>
        <w:t>: A Report for the Department of Education, Employment and Workplace Relation</w:t>
      </w:r>
      <w:r w:rsidRPr="007776CF">
        <w:t>. dandolopartners: Melbourne.</w:t>
      </w:r>
    </w:p>
  </w:endnote>
  <w:endnote w:id="2">
    <w:p w14:paraId="6E1DB688" w14:textId="328E5734" w:rsidR="00415050" w:rsidRDefault="00415050" w:rsidP="00CC4E3D">
      <w:pPr>
        <w:pStyle w:val="EndnoteText"/>
      </w:pPr>
      <w:r>
        <w:rPr>
          <w:rStyle w:val="EndnoteReference"/>
        </w:rPr>
        <w:endnoteRef/>
      </w:r>
      <w:r>
        <w:t xml:space="preserve"> </w:t>
      </w:r>
      <w:r w:rsidRPr="007776CF">
        <w:t>Liu, S-H</w:t>
      </w:r>
      <w:r>
        <w:t xml:space="preserve"> &amp;</w:t>
      </w:r>
      <w:r w:rsidRPr="007776CF">
        <w:t xml:space="preserve"> Nguyen, N (2011) </w:t>
      </w:r>
      <w:r w:rsidRPr="007776CF">
        <w:rPr>
          <w:i/>
        </w:rPr>
        <w:t>Successful youth transitions</w:t>
      </w:r>
      <w:r w:rsidRPr="007776CF">
        <w:t>. Longitudinal Surveys of Australian Youth: Briefing Paper 25.</w:t>
      </w:r>
      <w:r>
        <w:t xml:space="preserve"> National Centre for Vocational Education Research: Adelaide.</w:t>
      </w:r>
    </w:p>
  </w:endnote>
  <w:endnote w:id="3">
    <w:p w14:paraId="04F06C48" w14:textId="77777777" w:rsidR="00415050" w:rsidRDefault="00415050" w:rsidP="00CC4E3D">
      <w:pPr>
        <w:pStyle w:val="EndnoteText"/>
      </w:pPr>
      <w:r>
        <w:rPr>
          <w:rStyle w:val="EndnoteReference"/>
        </w:rPr>
        <w:endnoteRef/>
      </w:r>
      <w:r>
        <w:t xml:space="preserve"> </w:t>
      </w:r>
      <w:r w:rsidRPr="007776CF">
        <w:t xml:space="preserve">Anlezark, A (2011) </w:t>
      </w:r>
      <w:r w:rsidRPr="007776CF">
        <w:rPr>
          <w:i/>
        </w:rPr>
        <w:t xml:space="preserve">At </w:t>
      </w:r>
      <w:r>
        <w:rPr>
          <w:i/>
        </w:rPr>
        <w:t>R</w:t>
      </w:r>
      <w:r w:rsidRPr="007776CF">
        <w:rPr>
          <w:i/>
        </w:rPr>
        <w:t xml:space="preserve">isk </w:t>
      </w:r>
      <w:r>
        <w:rPr>
          <w:i/>
        </w:rPr>
        <w:t>Y</w:t>
      </w:r>
      <w:r w:rsidRPr="007776CF">
        <w:rPr>
          <w:i/>
        </w:rPr>
        <w:t xml:space="preserve">outh: </w:t>
      </w:r>
      <w:r>
        <w:rPr>
          <w:i/>
        </w:rPr>
        <w:t>A</w:t>
      </w:r>
      <w:r w:rsidRPr="007776CF">
        <w:rPr>
          <w:i/>
        </w:rPr>
        <w:t xml:space="preserve"> </w:t>
      </w:r>
      <w:r>
        <w:rPr>
          <w:i/>
        </w:rPr>
        <w:t>T</w:t>
      </w:r>
      <w:r w:rsidRPr="007776CF">
        <w:rPr>
          <w:i/>
        </w:rPr>
        <w:t xml:space="preserve">ransitory </w:t>
      </w:r>
      <w:r>
        <w:rPr>
          <w:i/>
        </w:rPr>
        <w:t>S</w:t>
      </w:r>
      <w:r w:rsidRPr="007776CF">
        <w:rPr>
          <w:i/>
        </w:rPr>
        <w:t>tate?</w:t>
      </w:r>
      <w:r w:rsidRPr="007776CF">
        <w:t xml:space="preserve"> Longitudinal Surveys of Australian Youth: Briefing </w:t>
      </w:r>
      <w:r>
        <w:t>P</w:t>
      </w:r>
      <w:r w:rsidRPr="007776CF">
        <w:t>aper 24.</w:t>
      </w:r>
      <w:r>
        <w:t xml:space="preserve"> National Centre for Vocational Education Research: Adelaide.</w:t>
      </w:r>
    </w:p>
  </w:endnote>
  <w:endnote w:id="4">
    <w:p w14:paraId="1676B6CA" w14:textId="77777777" w:rsidR="00415050" w:rsidRDefault="00415050" w:rsidP="00CC4E3D">
      <w:pPr>
        <w:pStyle w:val="EndnoteText"/>
        <w:rPr>
          <w:i/>
        </w:rPr>
      </w:pPr>
      <w:r>
        <w:rPr>
          <w:rStyle w:val="EndnoteReference"/>
        </w:rPr>
        <w:endnoteRef/>
      </w:r>
      <w:r>
        <w:t xml:space="preserve"> </w:t>
      </w:r>
      <w:r w:rsidRPr="00A27E94">
        <w:t>OECD (20</w:t>
      </w:r>
      <w:r>
        <w:t>17</w:t>
      </w:r>
      <w:r w:rsidRPr="00A27E94">
        <w:t xml:space="preserve">) </w:t>
      </w:r>
      <w:r>
        <w:rPr>
          <w:i/>
        </w:rPr>
        <w:t>Connecting People with Jobs: Key Issues for Raising Labour Market</w:t>
      </w:r>
    </w:p>
    <w:p w14:paraId="634F1270" w14:textId="77777777" w:rsidR="00415050" w:rsidRDefault="00415050" w:rsidP="00CC4E3D">
      <w:pPr>
        <w:pStyle w:val="EndnoteText"/>
      </w:pPr>
      <w:r>
        <w:rPr>
          <w:i/>
        </w:rPr>
        <w:t>Participation in Australia</w:t>
      </w:r>
      <w:r>
        <w:t xml:space="preserve">. </w:t>
      </w:r>
      <w:r w:rsidRPr="007776CF">
        <w:t>OECD</w:t>
      </w:r>
      <w:r>
        <w:t xml:space="preserve"> Publishing: Paris.</w:t>
      </w:r>
    </w:p>
  </w:endnote>
  <w:endnote w:id="5">
    <w:p w14:paraId="6B832F39" w14:textId="77777777" w:rsidR="00415050" w:rsidRDefault="00415050" w:rsidP="00CC4E3D">
      <w:pPr>
        <w:pStyle w:val="EndnoteText"/>
      </w:pPr>
      <w:r>
        <w:rPr>
          <w:rStyle w:val="EndnoteReference"/>
        </w:rPr>
        <w:endnoteRef/>
      </w:r>
      <w:r>
        <w:t xml:space="preserve"> ABS (2018) </w:t>
      </w:r>
      <w:r w:rsidRPr="00C219DE">
        <w:rPr>
          <w:i/>
        </w:rPr>
        <w:t>Labour Force, Australia</w:t>
      </w:r>
      <w:r>
        <w:rPr>
          <w:i/>
        </w:rPr>
        <w:t>:</w:t>
      </w:r>
      <w:r>
        <w:t xml:space="preserve"> </w:t>
      </w:r>
      <w:r w:rsidRPr="00C219DE">
        <w:rPr>
          <w:i/>
        </w:rPr>
        <w:t xml:space="preserve">Time Series Spreadsheets </w:t>
      </w:r>
      <w:r>
        <w:rPr>
          <w:i/>
        </w:rPr>
        <w:t>Table </w:t>
      </w:r>
      <w:r w:rsidRPr="00C219DE">
        <w:rPr>
          <w:i/>
        </w:rPr>
        <w:t xml:space="preserve">13. Labour </w:t>
      </w:r>
      <w:r>
        <w:rPr>
          <w:i/>
        </w:rPr>
        <w:t>F</w:t>
      </w:r>
      <w:r w:rsidRPr="00C219DE">
        <w:rPr>
          <w:i/>
        </w:rPr>
        <w:t xml:space="preserve">orce </w:t>
      </w:r>
      <w:r>
        <w:rPr>
          <w:i/>
        </w:rPr>
        <w:t>S</w:t>
      </w:r>
      <w:r w:rsidRPr="00C219DE">
        <w:rPr>
          <w:i/>
        </w:rPr>
        <w:t>tatus for 15</w:t>
      </w:r>
      <w:r>
        <w:rPr>
          <w:i/>
        </w:rPr>
        <w:t>–</w:t>
      </w:r>
      <w:r w:rsidRPr="00C219DE">
        <w:rPr>
          <w:i/>
        </w:rPr>
        <w:t>2</w:t>
      </w:r>
      <w:r>
        <w:rPr>
          <w:i/>
        </w:rPr>
        <w:t>4 Y</w:t>
      </w:r>
      <w:r w:rsidRPr="00C219DE">
        <w:rPr>
          <w:i/>
        </w:rPr>
        <w:t xml:space="preserve">ear </w:t>
      </w:r>
      <w:r>
        <w:rPr>
          <w:i/>
        </w:rPr>
        <w:t>O</w:t>
      </w:r>
      <w:r w:rsidRPr="00C219DE">
        <w:rPr>
          <w:i/>
        </w:rPr>
        <w:t xml:space="preserve">lds by </w:t>
      </w:r>
      <w:r>
        <w:rPr>
          <w:i/>
        </w:rPr>
        <w:t>S</w:t>
      </w:r>
      <w:r w:rsidRPr="00C219DE">
        <w:rPr>
          <w:i/>
        </w:rPr>
        <w:t>ex</w:t>
      </w:r>
      <w:r>
        <w:rPr>
          <w:i/>
        </w:rPr>
        <w:t>—T</w:t>
      </w:r>
      <w:r w:rsidRPr="00C219DE">
        <w:rPr>
          <w:i/>
        </w:rPr>
        <w:t xml:space="preserve">rend, </w:t>
      </w:r>
      <w:r>
        <w:rPr>
          <w:i/>
        </w:rPr>
        <w:t>S</w:t>
      </w:r>
      <w:r w:rsidRPr="00C219DE">
        <w:rPr>
          <w:i/>
        </w:rPr>
        <w:t xml:space="preserve">easonally </w:t>
      </w:r>
      <w:r>
        <w:rPr>
          <w:i/>
        </w:rPr>
        <w:t>A</w:t>
      </w:r>
      <w:r w:rsidRPr="00C219DE">
        <w:rPr>
          <w:i/>
        </w:rPr>
        <w:t xml:space="preserve">djusted and </w:t>
      </w:r>
      <w:r>
        <w:rPr>
          <w:i/>
        </w:rPr>
        <w:t>O</w:t>
      </w:r>
      <w:r w:rsidRPr="00C219DE">
        <w:rPr>
          <w:i/>
        </w:rPr>
        <w:t>riginal.</w:t>
      </w:r>
      <w:r>
        <w:rPr>
          <w:i/>
        </w:rPr>
        <w:t xml:space="preserve"> </w:t>
      </w:r>
      <w:r>
        <w:t>Cat. No. 6202.0, March.</w:t>
      </w:r>
    </w:p>
  </w:endnote>
  <w:endnote w:id="6">
    <w:p w14:paraId="22B78410" w14:textId="77777777" w:rsidR="00415050" w:rsidRDefault="00415050" w:rsidP="00CC4E3D">
      <w:pPr>
        <w:pStyle w:val="EndnoteText"/>
      </w:pPr>
      <w:r>
        <w:rPr>
          <w:rStyle w:val="EndnoteReference"/>
        </w:rPr>
        <w:endnoteRef/>
      </w:r>
      <w:r>
        <w:t xml:space="preserve"> </w:t>
      </w:r>
      <w:r w:rsidRPr="007D6456">
        <w:t xml:space="preserve">European Foundation for the Improvement of Living and Working Conditions </w:t>
      </w:r>
      <w:r w:rsidRPr="00A90BC8">
        <w:t>(</w:t>
      </w:r>
      <w:r w:rsidRPr="007776CF">
        <w:t>Eurofound</w:t>
      </w:r>
      <w:r>
        <w:t>)</w:t>
      </w:r>
      <w:r w:rsidRPr="00487CFF">
        <w:t xml:space="preserve"> (2012) </w:t>
      </w:r>
      <w:r w:rsidRPr="00C219DE">
        <w:rPr>
          <w:i/>
        </w:rPr>
        <w:t>NEETs</w:t>
      </w:r>
      <w:r>
        <w:rPr>
          <w:i/>
        </w:rPr>
        <w:t xml:space="preserve"> </w:t>
      </w:r>
      <w:r w:rsidRPr="00C219DE">
        <w:rPr>
          <w:i/>
        </w:rPr>
        <w:t>—</w:t>
      </w:r>
      <w:r>
        <w:rPr>
          <w:i/>
        </w:rPr>
        <w:t xml:space="preserve"> </w:t>
      </w:r>
      <w:r w:rsidRPr="00C219DE">
        <w:rPr>
          <w:i/>
        </w:rPr>
        <w:t>Young People Not in Employment, Education or Training: Characteristics, Costs and Policy Responses in Europe</w:t>
      </w:r>
      <w:r>
        <w:t>.</w:t>
      </w:r>
      <w:r w:rsidRPr="00487CFF">
        <w:t xml:space="preserve"> Publications Office of the European Union: Luxembourg.</w:t>
      </w:r>
    </w:p>
  </w:endnote>
  <w:endnote w:id="7">
    <w:p w14:paraId="75521215" w14:textId="77777777" w:rsidR="00415050" w:rsidRDefault="00415050" w:rsidP="00CC4E3D">
      <w:pPr>
        <w:pStyle w:val="EndnoteText"/>
      </w:pPr>
      <w:r>
        <w:rPr>
          <w:rStyle w:val="EndnoteReference"/>
        </w:rPr>
        <w:endnoteRef/>
      </w:r>
      <w:r>
        <w:t xml:space="preserve"> </w:t>
      </w:r>
      <w:r w:rsidRPr="00487CFF">
        <w:t xml:space="preserve">Kluve, J (2014) </w:t>
      </w:r>
      <w:r w:rsidRPr="00C219DE">
        <w:t>Youth Labor market interventions</w:t>
      </w:r>
      <w:r w:rsidRPr="00487CFF">
        <w:t xml:space="preserve">. </w:t>
      </w:r>
      <w:r w:rsidRPr="00C219DE">
        <w:rPr>
          <w:i/>
        </w:rPr>
        <w:t>IZA World of Labor</w:t>
      </w:r>
      <w:r>
        <w:t>,</w:t>
      </w:r>
      <w:r w:rsidRPr="00487CFF">
        <w:t xml:space="preserve"> </w:t>
      </w:r>
      <w:r>
        <w:t>2014:106.</w:t>
      </w:r>
    </w:p>
  </w:endnote>
  <w:endnote w:id="8">
    <w:p w14:paraId="688C9947" w14:textId="77777777" w:rsidR="00415050" w:rsidRDefault="00415050" w:rsidP="00CC4E3D">
      <w:pPr>
        <w:pStyle w:val="EndnoteText"/>
      </w:pPr>
      <w:r>
        <w:rPr>
          <w:rStyle w:val="EndnoteReference"/>
        </w:rPr>
        <w:endnoteRef/>
      </w:r>
      <w:r>
        <w:t xml:space="preserve"> </w:t>
      </w:r>
      <w:r w:rsidRPr="00487CFF">
        <w:t>Mourshed, M, Farrell, D</w:t>
      </w:r>
      <w:r>
        <w:t xml:space="preserve"> &amp;</w:t>
      </w:r>
      <w:r w:rsidRPr="00487CFF">
        <w:t xml:space="preserve"> Barton, D (2013) </w:t>
      </w:r>
      <w:r w:rsidRPr="00487CFF">
        <w:rPr>
          <w:i/>
        </w:rPr>
        <w:t>Education to Employment: Designing a System that Works</w:t>
      </w:r>
      <w:r>
        <w:t>.</w:t>
      </w:r>
      <w:r w:rsidRPr="00487CFF">
        <w:t xml:space="preserve"> McKinsey Center for Government.</w:t>
      </w:r>
    </w:p>
  </w:endnote>
  <w:endnote w:id="9">
    <w:p w14:paraId="74E11720" w14:textId="77777777" w:rsidR="00415050" w:rsidRDefault="00415050" w:rsidP="00CC4E3D">
      <w:pPr>
        <w:pStyle w:val="EndnoteText"/>
      </w:pPr>
      <w:r>
        <w:rPr>
          <w:rStyle w:val="EndnoteReference"/>
        </w:rPr>
        <w:endnoteRef/>
      </w:r>
      <w:r>
        <w:t xml:space="preserve"> </w:t>
      </w:r>
      <w:r w:rsidRPr="007776CF">
        <w:t>Eurofound</w:t>
      </w:r>
      <w:r w:rsidRPr="00487CFF">
        <w:t xml:space="preserve"> (2012</w:t>
      </w:r>
      <w:r w:rsidRPr="00C219DE">
        <w:rPr>
          <w:i/>
        </w:rPr>
        <w:t>) Effectiveness of Policy Measures to Increase the Employment Participation of Young People</w:t>
      </w:r>
      <w:r>
        <w:t>. Report prepared by J Hawley, A-M Hall-Nevala &amp; T Weber.</w:t>
      </w:r>
      <w:r w:rsidRPr="00487CFF">
        <w:rPr>
          <w:b/>
        </w:rPr>
        <w:t xml:space="preserve"> </w:t>
      </w:r>
      <w:r w:rsidRPr="00487CFF">
        <w:t>Eurofound: Dublin.</w:t>
      </w:r>
    </w:p>
  </w:endnote>
  <w:endnote w:id="10">
    <w:p w14:paraId="7A411AC3" w14:textId="77777777" w:rsidR="00415050" w:rsidRDefault="00415050" w:rsidP="00CC4E3D">
      <w:pPr>
        <w:pStyle w:val="EndnoteText"/>
      </w:pPr>
      <w:r>
        <w:rPr>
          <w:rStyle w:val="EndnoteReference"/>
        </w:rPr>
        <w:endnoteRef/>
      </w:r>
      <w:r>
        <w:t xml:space="preserve"> </w:t>
      </w:r>
      <w:r w:rsidRPr="00487CFF">
        <w:rPr>
          <w:bCs/>
        </w:rPr>
        <w:t>Kluve (2014).</w:t>
      </w:r>
    </w:p>
  </w:endnote>
  <w:endnote w:id="11">
    <w:p w14:paraId="2EAC99A9" w14:textId="77777777" w:rsidR="00415050" w:rsidRDefault="00415050" w:rsidP="00CC4E3D">
      <w:pPr>
        <w:pStyle w:val="EndnoteText"/>
      </w:pPr>
      <w:r>
        <w:rPr>
          <w:rStyle w:val="EndnoteReference"/>
        </w:rPr>
        <w:endnoteRef/>
      </w:r>
      <w:r>
        <w:t xml:space="preserve"> </w:t>
      </w:r>
      <w:r w:rsidRPr="00487CFF">
        <w:t>Eurofound (2012)</w:t>
      </w:r>
      <w:r w:rsidRPr="00DF377E">
        <w:t>.</w:t>
      </w:r>
    </w:p>
  </w:endnote>
  <w:endnote w:id="12">
    <w:p w14:paraId="2E8FB4BF" w14:textId="77777777" w:rsidR="00415050" w:rsidRDefault="00415050" w:rsidP="00CC4E3D">
      <w:pPr>
        <w:pStyle w:val="EndnoteText"/>
      </w:pPr>
      <w:r>
        <w:rPr>
          <w:rStyle w:val="EndnoteReference"/>
        </w:rPr>
        <w:endnoteRef/>
      </w:r>
      <w:r>
        <w:t xml:space="preserve"> Hawley, Hall-Nevala &amp; Weber for </w:t>
      </w:r>
      <w:r w:rsidRPr="00DF377E">
        <w:t>Eurofound.</w:t>
      </w:r>
    </w:p>
  </w:endnote>
  <w:endnote w:id="13">
    <w:p w14:paraId="5A15E0BF" w14:textId="77777777" w:rsidR="00415050" w:rsidRDefault="00415050" w:rsidP="00CC4E3D">
      <w:pPr>
        <w:pStyle w:val="EndnoteText"/>
      </w:pPr>
      <w:r>
        <w:rPr>
          <w:rStyle w:val="EndnoteReference"/>
        </w:rPr>
        <w:endnoteRef/>
      </w:r>
      <w:r>
        <w:t xml:space="preserve"> </w:t>
      </w:r>
      <w:r w:rsidRPr="00DF377E">
        <w:t>Eurofound (2012)</w:t>
      </w:r>
      <w:r w:rsidRPr="00487CFF">
        <w:t>.</w:t>
      </w:r>
    </w:p>
  </w:endnote>
  <w:endnote w:id="14">
    <w:p w14:paraId="145BE5AB" w14:textId="77777777" w:rsidR="00415050" w:rsidRDefault="00415050" w:rsidP="00CC4E3D">
      <w:pPr>
        <w:pStyle w:val="EndnoteText"/>
      </w:pPr>
      <w:r>
        <w:rPr>
          <w:rStyle w:val="EndnoteReference"/>
        </w:rPr>
        <w:endnoteRef/>
      </w:r>
      <w:r>
        <w:t xml:space="preserve"> </w:t>
      </w:r>
      <w:r w:rsidRPr="00487CFF">
        <w:t xml:space="preserve">Eichhorst, W (2015) Does vocational training help young people find a (good) job? </w:t>
      </w:r>
      <w:r w:rsidRPr="00C219DE">
        <w:rPr>
          <w:i/>
        </w:rPr>
        <w:t>IZA World of Labor</w:t>
      </w:r>
      <w:r w:rsidRPr="00487CFF">
        <w:t xml:space="preserve">, </w:t>
      </w:r>
      <w:r>
        <w:t>2015:112.</w:t>
      </w:r>
    </w:p>
  </w:endnote>
  <w:endnote w:id="15">
    <w:p w14:paraId="24868247" w14:textId="77777777" w:rsidR="00415050" w:rsidRDefault="00415050" w:rsidP="00CC4E3D">
      <w:pPr>
        <w:pStyle w:val="EndnoteText"/>
      </w:pPr>
      <w:r>
        <w:rPr>
          <w:rStyle w:val="EndnoteReference"/>
        </w:rPr>
        <w:endnoteRef/>
      </w:r>
      <w:r>
        <w:t xml:space="preserve"> </w:t>
      </w:r>
      <w:r w:rsidRPr="00487CFF">
        <w:t>Borland, J (2014) Dealing with unemployment: What should be the role of labour market programs</w:t>
      </w:r>
      <w:r>
        <w:t>?</w:t>
      </w:r>
      <w:r w:rsidRPr="00487CFF">
        <w:t xml:space="preserve"> </w:t>
      </w:r>
      <w:r w:rsidRPr="00487CFF">
        <w:rPr>
          <w:i/>
        </w:rPr>
        <w:t>Evidence Base</w:t>
      </w:r>
      <w:r w:rsidRPr="00487CFF">
        <w:t xml:space="preserve">, </w:t>
      </w:r>
      <w:r>
        <w:t>2014(</w:t>
      </w:r>
      <w:r w:rsidRPr="00487CFF">
        <w:t>4</w:t>
      </w:r>
      <w:r>
        <w:t>)</w:t>
      </w:r>
      <w:r w:rsidRPr="00487CFF">
        <w:t>.</w:t>
      </w:r>
    </w:p>
  </w:endnote>
  <w:endnote w:id="16">
    <w:p w14:paraId="57409743" w14:textId="77777777" w:rsidR="00415050" w:rsidRDefault="00415050" w:rsidP="00CC4E3D">
      <w:pPr>
        <w:pStyle w:val="EndnoteText"/>
      </w:pPr>
      <w:r>
        <w:rPr>
          <w:rStyle w:val="EndnoteReference"/>
        </w:rPr>
        <w:endnoteRef/>
      </w:r>
      <w:r>
        <w:t xml:space="preserve"> </w:t>
      </w:r>
      <w:r w:rsidRPr="005A65FE">
        <w:rPr>
          <w:bCs/>
        </w:rPr>
        <w:t>Kluve</w:t>
      </w:r>
      <w:r w:rsidRPr="00EC7E3F">
        <w:rPr>
          <w:bCs/>
        </w:rPr>
        <w:t xml:space="preserve"> (2014)</w:t>
      </w:r>
      <w:r w:rsidRPr="00E33F68">
        <w:t>.</w:t>
      </w:r>
    </w:p>
  </w:endnote>
  <w:endnote w:id="17">
    <w:p w14:paraId="63F7CB64" w14:textId="77777777" w:rsidR="00415050" w:rsidRDefault="00415050" w:rsidP="00CC4E3D">
      <w:pPr>
        <w:pStyle w:val="EndnoteText"/>
      </w:pPr>
      <w:r>
        <w:rPr>
          <w:rStyle w:val="EndnoteReference"/>
        </w:rPr>
        <w:endnoteRef/>
      </w:r>
      <w:r>
        <w:t xml:space="preserve"> </w:t>
      </w:r>
      <w:r w:rsidRPr="005A65FE">
        <w:t xml:space="preserve">Borland, J (2015) The Australian </w:t>
      </w:r>
      <w:r>
        <w:t>l</w:t>
      </w:r>
      <w:r w:rsidRPr="005A65FE">
        <w:t xml:space="preserve">abour </w:t>
      </w:r>
      <w:r>
        <w:t>m</w:t>
      </w:r>
      <w:r w:rsidRPr="005A65FE">
        <w:t>arket: The more things change</w:t>
      </w:r>
      <w:r>
        <w:t>.</w:t>
      </w:r>
      <w:r w:rsidRPr="005A65FE">
        <w:t xml:space="preserve"> </w:t>
      </w:r>
      <w:r w:rsidRPr="0060468E">
        <w:rPr>
          <w:i/>
        </w:rPr>
        <w:t>The Australian Economic Review</w:t>
      </w:r>
      <w:r>
        <w:t>,</w:t>
      </w:r>
      <w:r w:rsidRPr="0060468E">
        <w:t xml:space="preserve"> 48(3): 225</w:t>
      </w:r>
      <w:r w:rsidRPr="00EC7E3F">
        <w:t>–</w:t>
      </w:r>
      <w:r w:rsidRPr="00E33F68">
        <w:t>242.</w:t>
      </w:r>
    </w:p>
  </w:endnote>
  <w:endnote w:id="18">
    <w:p w14:paraId="3442A44E" w14:textId="77777777" w:rsidR="00415050" w:rsidRDefault="00415050" w:rsidP="00CC4E3D">
      <w:pPr>
        <w:pStyle w:val="EndnoteText"/>
      </w:pPr>
      <w:r>
        <w:rPr>
          <w:rStyle w:val="EndnoteReference"/>
        </w:rPr>
        <w:endnoteRef/>
      </w:r>
      <w:r>
        <w:t xml:space="preserve"> </w:t>
      </w:r>
      <w:r w:rsidRPr="005A65FE">
        <w:t>Borland (2014)</w:t>
      </w:r>
      <w:r w:rsidRPr="00EC7E3F">
        <w:t>.</w:t>
      </w:r>
    </w:p>
  </w:endnote>
  <w:endnote w:id="19">
    <w:p w14:paraId="7BA60A2A" w14:textId="77777777" w:rsidR="00415050" w:rsidRDefault="00415050" w:rsidP="00CC4E3D">
      <w:pPr>
        <w:pStyle w:val="EndnoteText"/>
      </w:pPr>
      <w:r>
        <w:rPr>
          <w:rStyle w:val="EndnoteReference"/>
        </w:rPr>
        <w:endnoteRef/>
      </w:r>
      <w:r>
        <w:t xml:space="preserve"> </w:t>
      </w:r>
      <w:r w:rsidRPr="005A65FE">
        <w:t>Eurofound (2012)</w:t>
      </w:r>
      <w:r w:rsidRPr="0060468E">
        <w:t>.</w:t>
      </w:r>
    </w:p>
  </w:endnote>
  <w:endnote w:id="20">
    <w:p w14:paraId="2BE0F88D" w14:textId="77777777" w:rsidR="00415050" w:rsidRDefault="00415050" w:rsidP="00CC4E3D">
      <w:pPr>
        <w:pStyle w:val="EndnoteText"/>
      </w:pPr>
      <w:r>
        <w:rPr>
          <w:rStyle w:val="EndnoteReference"/>
        </w:rPr>
        <w:endnoteRef/>
      </w:r>
      <w:r>
        <w:t xml:space="preserve"> Hawley, Hall-Nevala &amp; Weber for </w:t>
      </w:r>
      <w:r w:rsidRPr="005A65FE">
        <w:t>Eurofound (2012)</w:t>
      </w:r>
      <w:r w:rsidRPr="0060468E">
        <w:t>.</w:t>
      </w:r>
    </w:p>
  </w:endnote>
  <w:endnote w:id="21">
    <w:p w14:paraId="70AC0679" w14:textId="77777777" w:rsidR="00415050" w:rsidRDefault="00415050" w:rsidP="00CC4E3D">
      <w:pPr>
        <w:pStyle w:val="EndnoteText"/>
      </w:pPr>
      <w:r>
        <w:rPr>
          <w:rStyle w:val="EndnoteReference"/>
        </w:rPr>
        <w:endnoteRef/>
      </w:r>
      <w:r>
        <w:t xml:space="preserve"> </w:t>
      </w:r>
      <w:r w:rsidRPr="005A65FE">
        <w:t xml:space="preserve">Independent Evaluation </w:t>
      </w:r>
      <w:r>
        <w:t>Group </w:t>
      </w:r>
      <w:r w:rsidRPr="007776CF">
        <w:t>(2013)</w:t>
      </w:r>
      <w:r w:rsidRPr="005A65FE">
        <w:t xml:space="preserve"> </w:t>
      </w:r>
      <w:r w:rsidRPr="002671CB">
        <w:rPr>
          <w:i/>
        </w:rPr>
        <w:t xml:space="preserve">Youth Employment Programs: An Evaluation of </w:t>
      </w:r>
      <w:r w:rsidRPr="005A65FE">
        <w:rPr>
          <w:i/>
        </w:rPr>
        <w:t>World Bank and IFC Support</w:t>
      </w:r>
      <w:r w:rsidRPr="00F41EB6">
        <w:t>.</w:t>
      </w:r>
      <w:r w:rsidRPr="0060468E">
        <w:rPr>
          <w:i/>
        </w:rPr>
        <w:t xml:space="preserve"> </w:t>
      </w:r>
      <w:r w:rsidRPr="0060468E">
        <w:t>World Bank: Washington,</w:t>
      </w:r>
      <w:r w:rsidRPr="00EC7E3F">
        <w:t xml:space="preserve"> D.C.</w:t>
      </w:r>
    </w:p>
  </w:endnote>
  <w:endnote w:id="22">
    <w:p w14:paraId="12813437" w14:textId="77777777" w:rsidR="00415050" w:rsidRDefault="00415050" w:rsidP="00CC4E3D">
      <w:pPr>
        <w:pStyle w:val="EndnoteText"/>
      </w:pPr>
      <w:r>
        <w:rPr>
          <w:rStyle w:val="EndnoteReference"/>
        </w:rPr>
        <w:endnoteRef/>
      </w:r>
      <w:r>
        <w:t xml:space="preserve"> </w:t>
      </w:r>
      <w:r w:rsidRPr="00F41EB6">
        <w:t>Commonwealth of Australia, Job Placement, Employment and Training program (JPET), Operation and outcomes, 2006–07.</w:t>
      </w:r>
      <w:r>
        <w:t xml:space="preserve"> Unpublished report.</w:t>
      </w:r>
    </w:p>
  </w:endnote>
  <w:endnote w:id="23">
    <w:p w14:paraId="01BCD6F5" w14:textId="77777777" w:rsidR="00415050" w:rsidRDefault="00415050" w:rsidP="00CC4E3D">
      <w:pPr>
        <w:pStyle w:val="EndnoteText"/>
      </w:pPr>
      <w:r>
        <w:rPr>
          <w:rStyle w:val="EndnoteReference"/>
        </w:rPr>
        <w:endnoteRef/>
      </w:r>
      <w:r>
        <w:t xml:space="preserve"> Hawley, Hall-Nevala &amp; Weber for </w:t>
      </w:r>
      <w:r w:rsidRPr="005A65FE">
        <w:t>Eurofound (2012)</w:t>
      </w:r>
      <w:r>
        <w:t>.</w:t>
      </w:r>
    </w:p>
  </w:endnote>
  <w:endnote w:id="24">
    <w:p w14:paraId="448F3897" w14:textId="77777777" w:rsidR="00415050" w:rsidRDefault="00415050" w:rsidP="00CC4E3D">
      <w:pPr>
        <w:pStyle w:val="EndnoteText"/>
      </w:pPr>
      <w:r>
        <w:rPr>
          <w:rStyle w:val="EndnoteReference"/>
        </w:rPr>
        <w:endnoteRef/>
      </w:r>
      <w:r>
        <w:t xml:space="preserve"> </w:t>
      </w:r>
      <w:r w:rsidRPr="005A65FE">
        <w:t>O</w:t>
      </w:r>
      <w:r>
        <w:t>’</w:t>
      </w:r>
      <w:r w:rsidRPr="005A65FE">
        <w:t xml:space="preserve">Higgins, N (2001) </w:t>
      </w:r>
      <w:r w:rsidRPr="00A90BC8">
        <w:rPr>
          <w:i/>
        </w:rPr>
        <w:t>Youth Unemployment and Employment Policy: A Global Perspective</w:t>
      </w:r>
      <w:r>
        <w:t xml:space="preserve">. </w:t>
      </w:r>
      <w:r w:rsidRPr="0060468E">
        <w:t xml:space="preserve">International Labour </w:t>
      </w:r>
      <w:r>
        <w:t>Office:</w:t>
      </w:r>
      <w:r w:rsidRPr="0060468E">
        <w:t xml:space="preserve"> Geneva.</w:t>
      </w:r>
    </w:p>
  </w:endnote>
  <w:endnote w:id="25">
    <w:p w14:paraId="457ACC8D" w14:textId="77777777" w:rsidR="00415050" w:rsidRDefault="00415050" w:rsidP="00CC4E3D">
      <w:pPr>
        <w:pStyle w:val="EndnoteText"/>
      </w:pPr>
      <w:r>
        <w:rPr>
          <w:rStyle w:val="EndnoteReference"/>
        </w:rPr>
        <w:endnoteRef/>
      </w:r>
      <w:r>
        <w:t xml:space="preserve"> </w:t>
      </w:r>
      <w:r w:rsidRPr="005A65FE">
        <w:t>Borland</w:t>
      </w:r>
      <w:r>
        <w:t xml:space="preserve"> </w:t>
      </w:r>
      <w:r w:rsidRPr="005A65FE">
        <w:t>(2014)</w:t>
      </w:r>
      <w:r w:rsidRPr="0060468E">
        <w:t>.</w:t>
      </w:r>
    </w:p>
  </w:endnote>
  <w:endnote w:id="26">
    <w:p w14:paraId="130629F2" w14:textId="77777777" w:rsidR="00415050" w:rsidRDefault="00415050" w:rsidP="00CC4E3D">
      <w:pPr>
        <w:pStyle w:val="EndnoteText"/>
      </w:pPr>
      <w:r>
        <w:rPr>
          <w:rStyle w:val="EndnoteReference"/>
        </w:rPr>
        <w:endnoteRef/>
      </w:r>
      <w:r>
        <w:t xml:space="preserve"> </w:t>
      </w:r>
      <w:r w:rsidRPr="005A65FE">
        <w:t>Eurofound (2012)</w:t>
      </w:r>
      <w:r>
        <w:t>.</w:t>
      </w:r>
    </w:p>
  </w:endnote>
  <w:endnote w:id="27">
    <w:p w14:paraId="6E83F1E4" w14:textId="77777777" w:rsidR="00415050" w:rsidRDefault="00415050" w:rsidP="00CC4E3D">
      <w:pPr>
        <w:pStyle w:val="EndnoteText"/>
      </w:pPr>
      <w:r>
        <w:rPr>
          <w:rStyle w:val="EndnoteReference"/>
        </w:rPr>
        <w:endnoteRef/>
      </w:r>
      <w:r>
        <w:t xml:space="preserve"> </w:t>
      </w:r>
      <w:r w:rsidRPr="005A65FE">
        <w:t>Carcillo, S, Fernandez, R, Konigs, S</w:t>
      </w:r>
      <w:r>
        <w:t xml:space="preserve"> &amp;</w:t>
      </w:r>
      <w:r w:rsidRPr="005A65FE">
        <w:t xml:space="preserve"> Minea, A (2015) </w:t>
      </w:r>
      <w:r w:rsidRPr="00FB6FB8">
        <w:rPr>
          <w:i/>
        </w:rPr>
        <w:t>NEET Youth in the Aftermath of the Crisis: Challenges and Policies</w:t>
      </w:r>
      <w:r w:rsidRPr="0060468E">
        <w:t xml:space="preserve">. </w:t>
      </w:r>
      <w:r w:rsidRPr="00FB6FB8">
        <w:rPr>
          <w:iCs/>
        </w:rPr>
        <w:t>OECD Social, Employment</w:t>
      </w:r>
      <w:r w:rsidRPr="00FB6FB8">
        <w:t xml:space="preserve"> </w:t>
      </w:r>
      <w:r w:rsidRPr="00FB6FB8">
        <w:rPr>
          <w:iCs/>
        </w:rPr>
        <w:t>and Migration Working Papers</w:t>
      </w:r>
      <w:r w:rsidRPr="00FB6FB8">
        <w:t>,</w:t>
      </w:r>
      <w:r w:rsidRPr="005A65FE">
        <w:t xml:space="preserve"> No. 164</w:t>
      </w:r>
      <w:r>
        <w:t>.</w:t>
      </w:r>
      <w:r w:rsidRPr="005A65FE">
        <w:t xml:space="preserve"> OECD Publishing</w:t>
      </w:r>
      <w:r>
        <w:t>:</w:t>
      </w:r>
      <w:r w:rsidRPr="005A65FE">
        <w:t xml:space="preserve"> Paris.</w:t>
      </w:r>
    </w:p>
  </w:endnote>
  <w:endnote w:id="28">
    <w:p w14:paraId="56E3B4E2" w14:textId="77777777" w:rsidR="00415050" w:rsidRDefault="00415050" w:rsidP="00CC4E3D">
      <w:pPr>
        <w:pStyle w:val="EndnoteText"/>
      </w:pPr>
      <w:r>
        <w:rPr>
          <w:rStyle w:val="EndnoteReference"/>
        </w:rPr>
        <w:endnoteRef/>
      </w:r>
      <w:r>
        <w:t xml:space="preserve"> </w:t>
      </w:r>
      <w:r w:rsidRPr="005A65FE">
        <w:t xml:space="preserve">Insights MSD (2014) </w:t>
      </w:r>
      <w:r w:rsidRPr="0060468E">
        <w:rPr>
          <w:i/>
        </w:rPr>
        <w:t>Youth Service Evaluation Report</w:t>
      </w:r>
      <w:r w:rsidRPr="00FB6FB8">
        <w:t>.</w:t>
      </w:r>
      <w:r w:rsidRPr="005A65FE">
        <w:t xml:space="preserve"> Ministry of Social Development: Wellington</w:t>
      </w:r>
      <w:r w:rsidRPr="0060468E">
        <w:t>.</w:t>
      </w:r>
    </w:p>
  </w:endnote>
  <w:endnote w:id="29">
    <w:p w14:paraId="789F2215" w14:textId="77777777" w:rsidR="00415050" w:rsidRDefault="00415050" w:rsidP="00CC4E3D">
      <w:pPr>
        <w:pStyle w:val="EndnoteText"/>
      </w:pPr>
      <w:r>
        <w:rPr>
          <w:rStyle w:val="EndnoteReference"/>
        </w:rPr>
        <w:endnoteRef/>
      </w:r>
      <w:r>
        <w:t xml:space="preserve"> </w:t>
      </w:r>
      <w:r w:rsidRPr="00EC20F8">
        <w:t xml:space="preserve">Australian National Audit Office (2009) </w:t>
      </w:r>
      <w:r w:rsidRPr="00EC20F8">
        <w:rPr>
          <w:i/>
          <w:iCs/>
        </w:rPr>
        <w:t>Evaluation of the Indigenous Youth Mobility Program: Final Report</w:t>
      </w:r>
      <w:r w:rsidRPr="00EC20F8">
        <w:t>. Department of Finance and Deregulation: Canberra.</w:t>
      </w:r>
    </w:p>
  </w:endnote>
  <w:endnote w:id="30">
    <w:p w14:paraId="0BEB739F" w14:textId="77777777" w:rsidR="00415050" w:rsidRDefault="00415050" w:rsidP="00CC4E3D">
      <w:pPr>
        <w:pStyle w:val="EndnoteText"/>
      </w:pPr>
      <w:r>
        <w:rPr>
          <w:rStyle w:val="EndnoteReference"/>
        </w:rPr>
        <w:endnoteRef/>
      </w:r>
      <w:r>
        <w:t xml:space="preserve"> </w:t>
      </w:r>
      <w:r w:rsidRPr="005A65FE">
        <w:rPr>
          <w:bCs/>
        </w:rPr>
        <w:t>Kluve (2014)</w:t>
      </w:r>
      <w:r w:rsidRPr="00EC7E3F">
        <w:t>.</w:t>
      </w:r>
    </w:p>
  </w:endnote>
  <w:endnote w:id="31">
    <w:p w14:paraId="62BF5521" w14:textId="77777777" w:rsidR="00415050" w:rsidRDefault="00415050" w:rsidP="00CC4E3D">
      <w:pPr>
        <w:pStyle w:val="EndnoteText"/>
      </w:pPr>
      <w:r>
        <w:rPr>
          <w:rStyle w:val="EndnoteReference"/>
        </w:rPr>
        <w:endnoteRef/>
      </w:r>
      <w:r>
        <w:t xml:space="preserve"> </w:t>
      </w:r>
      <w:r w:rsidRPr="005A65FE">
        <w:t>Borland (2014)</w:t>
      </w:r>
      <w:r w:rsidRPr="0060468E">
        <w:t>.</w:t>
      </w:r>
    </w:p>
  </w:endnote>
  <w:endnote w:id="32">
    <w:p w14:paraId="6131BFEF" w14:textId="77777777" w:rsidR="00415050" w:rsidRDefault="00415050" w:rsidP="00CC4E3D">
      <w:pPr>
        <w:pStyle w:val="EndnoteText"/>
      </w:pPr>
      <w:r>
        <w:rPr>
          <w:rStyle w:val="EndnoteReference"/>
        </w:rPr>
        <w:endnoteRef/>
      </w:r>
      <w:r>
        <w:t xml:space="preserve"> </w:t>
      </w:r>
      <w:r w:rsidRPr="00487CFF">
        <w:t>Sanders, M, Kristal, A, Sabri F</w:t>
      </w:r>
      <w:r>
        <w:t xml:space="preserve"> &amp;</w:t>
      </w:r>
      <w:r w:rsidRPr="00487CFF">
        <w:t xml:space="preserve"> Tupper, A (2013) </w:t>
      </w:r>
      <w:r w:rsidRPr="00487CFF">
        <w:rPr>
          <w:i/>
        </w:rPr>
        <w:t>Aspiration &amp; Inspiration</w:t>
      </w:r>
      <w:r>
        <w:rPr>
          <w:i/>
        </w:rPr>
        <w:t xml:space="preserve"> — </w:t>
      </w:r>
      <w:r w:rsidRPr="00487CFF">
        <w:rPr>
          <w:i/>
        </w:rPr>
        <w:t xml:space="preserve">A </w:t>
      </w:r>
      <w:r>
        <w:rPr>
          <w:i/>
        </w:rPr>
        <w:t>P</w:t>
      </w:r>
      <w:r w:rsidRPr="00487CFF">
        <w:rPr>
          <w:i/>
        </w:rPr>
        <w:t xml:space="preserve">ilot </w:t>
      </w:r>
      <w:r>
        <w:rPr>
          <w:i/>
        </w:rPr>
        <w:t>S</w:t>
      </w:r>
      <w:r w:rsidRPr="00487CFF">
        <w:rPr>
          <w:i/>
        </w:rPr>
        <w:t xml:space="preserve">tudy of </w:t>
      </w:r>
      <w:r>
        <w:rPr>
          <w:i/>
        </w:rPr>
        <w:t>M</w:t>
      </w:r>
      <w:r w:rsidRPr="00487CFF">
        <w:rPr>
          <w:i/>
        </w:rPr>
        <w:t xml:space="preserve">entoring in </w:t>
      </w:r>
      <w:r>
        <w:rPr>
          <w:i/>
        </w:rPr>
        <w:t>S</w:t>
      </w:r>
      <w:r w:rsidRPr="00487CFF">
        <w:rPr>
          <w:i/>
        </w:rPr>
        <w:t>chools</w:t>
      </w:r>
      <w:r w:rsidRPr="00FB6FB8">
        <w:t>.</w:t>
      </w:r>
      <w:r w:rsidRPr="00487CFF">
        <w:t xml:space="preserve"> </w:t>
      </w:r>
      <w:r w:rsidRPr="00CE55A4">
        <w:t>Centre for Market and Public Organisation Working Paper</w:t>
      </w:r>
      <w:r>
        <w:t xml:space="preserve"> Series, </w:t>
      </w:r>
      <w:r w:rsidRPr="00CE55A4">
        <w:t>No.</w:t>
      </w:r>
      <w:r>
        <w:t> </w:t>
      </w:r>
      <w:r w:rsidRPr="00CE55A4">
        <w:t>13/314</w:t>
      </w:r>
      <w:r>
        <w:t xml:space="preserve">. </w:t>
      </w:r>
      <w:r w:rsidRPr="00487CFF">
        <w:t>Centre for Market and Public Organisation</w:t>
      </w:r>
      <w:r>
        <w:t>: Bristol</w:t>
      </w:r>
      <w:r w:rsidRPr="00487CFF">
        <w:t>.</w:t>
      </w:r>
    </w:p>
  </w:endnote>
  <w:endnote w:id="33">
    <w:p w14:paraId="4C9D11B5" w14:textId="77777777" w:rsidR="00415050" w:rsidRDefault="00415050" w:rsidP="00CC4E3D">
      <w:pPr>
        <w:pStyle w:val="EndnoteText"/>
      </w:pPr>
      <w:r>
        <w:rPr>
          <w:rStyle w:val="EndnoteReference"/>
        </w:rPr>
        <w:endnoteRef/>
      </w:r>
      <w:r>
        <w:t xml:space="preserve"> </w:t>
      </w:r>
      <w:r w:rsidRPr="00487CFF">
        <w:t>Insights MSD (2014).</w:t>
      </w:r>
    </w:p>
  </w:endnote>
  <w:endnote w:id="34">
    <w:p w14:paraId="40BD3D72" w14:textId="77777777" w:rsidR="00415050" w:rsidRDefault="00415050" w:rsidP="00CC4E3D">
      <w:pPr>
        <w:pStyle w:val="EndnoteText"/>
      </w:pPr>
      <w:r>
        <w:rPr>
          <w:rStyle w:val="EndnoteReference"/>
        </w:rPr>
        <w:endnoteRef/>
      </w:r>
      <w:r>
        <w:t xml:space="preserve"> d</w:t>
      </w:r>
      <w:r w:rsidRPr="00487CFF">
        <w:t>andolopartners (2012</w:t>
      </w:r>
      <w:r w:rsidRPr="00FB6FB8">
        <w:t>)</w:t>
      </w:r>
      <w:r w:rsidRPr="00487CFF">
        <w:t>.</w:t>
      </w:r>
    </w:p>
  </w:endnote>
  <w:endnote w:id="35">
    <w:p w14:paraId="36EB1F72" w14:textId="77777777" w:rsidR="00415050" w:rsidRDefault="00415050" w:rsidP="00CC4E3D">
      <w:pPr>
        <w:pStyle w:val="EndnoteText"/>
      </w:pPr>
      <w:r>
        <w:rPr>
          <w:rStyle w:val="EndnoteReference"/>
        </w:rPr>
        <w:endnoteRef/>
      </w:r>
      <w:r>
        <w:t xml:space="preserve"> National Youth Affairs Research Scheme </w:t>
      </w:r>
      <w:r w:rsidRPr="00487CFF">
        <w:t xml:space="preserve">(1996) </w:t>
      </w:r>
      <w:r w:rsidRPr="00487CFF">
        <w:rPr>
          <w:i/>
        </w:rPr>
        <w:t xml:space="preserve">Young </w:t>
      </w:r>
      <w:r>
        <w:rPr>
          <w:i/>
        </w:rPr>
        <w:t>P</w:t>
      </w:r>
      <w:r w:rsidRPr="00487CFF">
        <w:rPr>
          <w:i/>
        </w:rPr>
        <w:t xml:space="preserve">eople and </w:t>
      </w:r>
      <w:r>
        <w:rPr>
          <w:i/>
        </w:rPr>
        <w:t>S</w:t>
      </w:r>
      <w:r w:rsidRPr="00487CFF">
        <w:rPr>
          <w:i/>
        </w:rPr>
        <w:t>elf-employment in Australia.</w:t>
      </w:r>
      <w:r w:rsidRPr="00487CFF">
        <w:t xml:space="preserve"> </w:t>
      </w:r>
      <w:r>
        <w:t xml:space="preserve">Report prepared by P Kenyon &amp; S White. </w:t>
      </w:r>
      <w:r w:rsidRPr="00487CFF">
        <w:t>National Clearinghouse for Youth Studies: Hobart.</w:t>
      </w:r>
    </w:p>
  </w:endnote>
  <w:endnote w:id="36">
    <w:p w14:paraId="75223ADE" w14:textId="77777777" w:rsidR="00415050" w:rsidRDefault="00415050" w:rsidP="00CC4E3D">
      <w:pPr>
        <w:pStyle w:val="EndnoteText"/>
      </w:pPr>
      <w:r>
        <w:rPr>
          <w:rStyle w:val="EndnoteReference"/>
        </w:rPr>
        <w:endnoteRef/>
      </w:r>
      <w:r>
        <w:t xml:space="preserve"> </w:t>
      </w:r>
      <w:r w:rsidRPr="00487CFF">
        <w:t>Valentine, JC, Hirschy, AS, Bremer, CD, Novillo, A, Castellano, M</w:t>
      </w:r>
      <w:r>
        <w:t xml:space="preserve"> &amp;</w:t>
      </w:r>
      <w:r w:rsidRPr="00487CFF">
        <w:t xml:space="preserve"> Banister, A (2009) </w:t>
      </w:r>
      <w:r w:rsidRPr="00487CFF">
        <w:rPr>
          <w:i/>
        </w:rPr>
        <w:t>Systematic Reviews of Research: Postsecondary Transitions</w:t>
      </w:r>
      <w:r>
        <w:rPr>
          <w:i/>
        </w:rPr>
        <w:t xml:space="preserve"> — </w:t>
      </w:r>
      <w:r w:rsidRPr="00487CFF">
        <w:rPr>
          <w:i/>
        </w:rPr>
        <w:t>Identifying Effective Models and Practices</w:t>
      </w:r>
      <w:r w:rsidRPr="00FB6FB8">
        <w:t xml:space="preserve">. </w:t>
      </w:r>
      <w:r w:rsidRPr="00487CFF">
        <w:t>National Research Centre for Career and Technical Education</w:t>
      </w:r>
      <w:r>
        <w:t>:</w:t>
      </w:r>
      <w:r w:rsidRPr="00487CFF">
        <w:t xml:space="preserve"> Louisville.</w:t>
      </w:r>
    </w:p>
  </w:endnote>
  <w:endnote w:id="37">
    <w:p w14:paraId="3D394A6A" w14:textId="77777777" w:rsidR="00415050" w:rsidRDefault="00415050" w:rsidP="00CC4E3D">
      <w:pPr>
        <w:pStyle w:val="EndnoteText"/>
      </w:pPr>
      <w:r>
        <w:rPr>
          <w:rStyle w:val="EndnoteReference"/>
        </w:rPr>
        <w:endnoteRef/>
      </w:r>
      <w:r>
        <w:t xml:space="preserve"> OECD &amp;</w:t>
      </w:r>
      <w:r w:rsidRPr="00CD6667">
        <w:t xml:space="preserve"> International Labour Organisation</w:t>
      </w:r>
      <w:r w:rsidRPr="007776CF">
        <w:t xml:space="preserve"> (2014) </w:t>
      </w:r>
      <w:r w:rsidRPr="00FB6FB8">
        <w:rPr>
          <w:i/>
        </w:rPr>
        <w:t>Promoting Better Labour Market Outcomes for Youth</w:t>
      </w:r>
      <w:r>
        <w:t>. B</w:t>
      </w:r>
      <w:r w:rsidRPr="00B55E80">
        <w:t>ackground paper for the G2</w:t>
      </w:r>
      <w:r>
        <w:t>0 </w:t>
      </w:r>
      <w:r w:rsidRPr="00B55E80">
        <w:t xml:space="preserve">Labour and Employment Ministerial </w:t>
      </w:r>
      <w:r>
        <w:t>M</w:t>
      </w:r>
      <w:r w:rsidRPr="00B55E80">
        <w:t>eeting</w:t>
      </w:r>
      <w:r>
        <w:t>, Melbourne,</w:t>
      </w:r>
      <w:r w:rsidRPr="00CD6667">
        <w:t xml:space="preserve"> 10</w:t>
      </w:r>
      <w:r>
        <w:t>–</w:t>
      </w:r>
      <w:r w:rsidRPr="00CD6667">
        <w:t>1</w:t>
      </w:r>
      <w:r>
        <w:t>1 </w:t>
      </w:r>
      <w:r w:rsidRPr="00CD6667">
        <w:t>September</w:t>
      </w:r>
      <w:r w:rsidRPr="007776CF">
        <w:t xml:space="preserve"> </w:t>
      </w:r>
      <w:r>
        <w:t>2014</w:t>
      </w:r>
      <w:r w:rsidRPr="00CD6667">
        <w:t>.</w:t>
      </w:r>
    </w:p>
  </w:endnote>
  <w:endnote w:id="38">
    <w:p w14:paraId="59E89069" w14:textId="77777777" w:rsidR="00415050" w:rsidRPr="00203403" w:rsidRDefault="00415050" w:rsidP="00CC4E3D">
      <w:pPr>
        <w:pStyle w:val="EndnoteText"/>
      </w:pPr>
      <w:r>
        <w:rPr>
          <w:rStyle w:val="EndnoteReference"/>
        </w:rPr>
        <w:endnoteRef/>
      </w:r>
      <w:r>
        <w:t xml:space="preserve"> Bell, D. (2012) </w:t>
      </w:r>
      <w:r>
        <w:rPr>
          <w:i/>
        </w:rPr>
        <w:t>Labour Market Attachment: Defining the spectrum between the employed and the inactive</w:t>
      </w:r>
      <w:r>
        <w:t>. Canadian Career Development Foundation: Ottawa.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26D1E" w14:textId="77777777" w:rsidR="008808DB" w:rsidRDefault="008808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DD168" w14:textId="77777777" w:rsidR="008808DB" w:rsidRDefault="008808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7BC2F" w14:textId="77777777" w:rsidR="008808DB" w:rsidRDefault="008808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3204639"/>
      <w:docPartObj>
        <w:docPartGallery w:val="Page Numbers (Bottom of Page)"/>
        <w:docPartUnique/>
      </w:docPartObj>
    </w:sdtPr>
    <w:sdtEndPr>
      <w:rPr>
        <w:color w:val="7F7F7F" w:themeColor="background1" w:themeShade="7F"/>
        <w:spacing w:val="60"/>
      </w:rPr>
    </w:sdtEndPr>
    <w:sdtContent>
      <w:p w14:paraId="68B19C16" w14:textId="77777777" w:rsidR="00415050" w:rsidRDefault="0041505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4</w:t>
        </w:r>
        <w:r>
          <w:rPr>
            <w:noProof/>
          </w:rPr>
          <w:fldChar w:fldCharType="end"/>
        </w:r>
        <w:r>
          <w:t xml:space="preserve"> | </w:t>
        </w:r>
        <w:r>
          <w:rPr>
            <w:color w:val="7F7F7F" w:themeColor="background1" w:themeShade="7F"/>
            <w:spacing w:val="60"/>
          </w:rPr>
          <w:t>Page</w:t>
        </w:r>
      </w:p>
    </w:sdtContent>
  </w:sdt>
  <w:p w14:paraId="00BDF6B3" w14:textId="77777777" w:rsidR="00415050" w:rsidRDefault="0041505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9762641"/>
      <w:docPartObj>
        <w:docPartGallery w:val="Page Numbers (Bottom of Page)"/>
        <w:docPartUnique/>
      </w:docPartObj>
    </w:sdtPr>
    <w:sdtEndPr>
      <w:rPr>
        <w:color w:val="7F7F7F" w:themeColor="background1" w:themeShade="7F"/>
        <w:spacing w:val="60"/>
      </w:rPr>
    </w:sdtEndPr>
    <w:sdtContent>
      <w:p w14:paraId="35071052" w14:textId="5B03F502" w:rsidR="00415050" w:rsidRPr="001C25D9" w:rsidRDefault="00415050" w:rsidP="001C25D9">
        <w:pPr>
          <w:pStyle w:val="Footer"/>
          <w:jc w:val="right"/>
        </w:pPr>
        <w:r w:rsidRPr="001C25D9">
          <w:fldChar w:fldCharType="begin"/>
        </w:r>
        <w:r w:rsidRPr="001C25D9">
          <w:instrText xml:space="preserve"> PAGE   \* MERGEFORMAT </w:instrText>
        </w:r>
        <w:r w:rsidRPr="001C25D9">
          <w:fldChar w:fldCharType="separate"/>
        </w:r>
        <w:r w:rsidR="00C077C9">
          <w:rPr>
            <w:noProof/>
          </w:rPr>
          <w:t>2</w:t>
        </w:r>
        <w:r w:rsidRPr="001C25D9">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8183F" w14:textId="6DE88A8E" w:rsidR="00415050" w:rsidRDefault="008808DB" w:rsidP="000A3E79">
    <w:pPr>
      <w:pStyle w:val="Footer"/>
      <w:tabs>
        <w:tab w:val="clear" w:pos="9026"/>
        <w:tab w:val="right" w:pos="8647"/>
      </w:tabs>
      <w:spacing w:after="240"/>
      <w:ind w:firstLine="720"/>
      <w:jc w:val="right"/>
    </w:pPr>
    <w:sdt>
      <w:sdtPr>
        <w:id w:val="-165322158"/>
        <w:docPartObj>
          <w:docPartGallery w:val="Page Numbers (Bottom of Page)"/>
          <w:docPartUnique/>
        </w:docPartObj>
      </w:sdtPr>
      <w:sdtEndPr>
        <w:rPr>
          <w:noProof/>
        </w:rPr>
      </w:sdtEndPr>
      <w:sdtContent>
        <w:r w:rsidR="00415050">
          <w:fldChar w:fldCharType="begin"/>
        </w:r>
        <w:r w:rsidR="00415050">
          <w:instrText xml:space="preserve"> PAGE   \* MERGEFORMAT </w:instrText>
        </w:r>
        <w:r w:rsidR="00415050">
          <w:fldChar w:fldCharType="separate"/>
        </w:r>
        <w:r w:rsidR="00C077C9">
          <w:rPr>
            <w:noProof/>
          </w:rPr>
          <w:t>110</w:t>
        </w:r>
        <w:r w:rsidR="00415050">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5676E" w14:textId="77777777" w:rsidR="00415050" w:rsidRDefault="0041505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0D5BF" w14:textId="77777777" w:rsidR="00415050" w:rsidRDefault="0041505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E5969" w14:textId="5127D771" w:rsidR="00415050" w:rsidRDefault="008808DB" w:rsidP="00B050B7">
    <w:pPr>
      <w:pStyle w:val="Footer"/>
    </w:pPr>
    <w:sdt>
      <w:sdtPr>
        <w:id w:val="-2103477002"/>
        <w:docPartObj>
          <w:docPartGallery w:val="Page Numbers (Bottom of Page)"/>
          <w:docPartUnique/>
        </w:docPartObj>
      </w:sdtPr>
      <w:sdtEndPr>
        <w:rPr>
          <w:noProof/>
        </w:rPr>
      </w:sdtEndPr>
      <w:sdtContent>
        <w:r w:rsidR="00415050">
          <w:fldChar w:fldCharType="begin"/>
        </w:r>
        <w:r w:rsidR="00415050">
          <w:instrText xml:space="preserve"> PAGE   \* MERGEFORMAT </w:instrText>
        </w:r>
        <w:r w:rsidR="00415050">
          <w:fldChar w:fldCharType="separate"/>
        </w:r>
        <w:r w:rsidR="00C077C9">
          <w:rPr>
            <w:noProof/>
          </w:rPr>
          <w:t>130</w:t>
        </w:r>
        <w:r w:rsidR="00415050">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5A64D" w14:textId="77777777" w:rsidR="00415050" w:rsidRDefault="00415050" w:rsidP="00B050B7">
      <w:r>
        <w:separator/>
      </w:r>
    </w:p>
  </w:footnote>
  <w:footnote w:type="continuationSeparator" w:id="0">
    <w:p w14:paraId="4FC0ED02" w14:textId="77777777" w:rsidR="00415050" w:rsidRDefault="00415050" w:rsidP="00B050B7">
      <w:r>
        <w:continuationSeparator/>
      </w:r>
    </w:p>
  </w:footnote>
  <w:footnote w:id="1">
    <w:p w14:paraId="095ED4EF" w14:textId="77777777" w:rsidR="00415050" w:rsidRDefault="00415050" w:rsidP="00CC4E3D">
      <w:pPr>
        <w:pStyle w:val="FootnoteText"/>
      </w:pPr>
      <w:r>
        <w:rPr>
          <w:rStyle w:val="FootnoteReference"/>
        </w:rPr>
        <w:footnoteRef/>
      </w:r>
      <w:r>
        <w:t xml:space="preserve"> Other measures of positive outcomes compiled by the department have broader criteria for education course inclusion and are not strictly comparable.</w:t>
      </w:r>
    </w:p>
  </w:footnote>
  <w:footnote w:id="2">
    <w:p w14:paraId="161B8109" w14:textId="77777777" w:rsidR="00415050" w:rsidRDefault="00415050" w:rsidP="00CC4E3D">
      <w:pPr>
        <w:pStyle w:val="FootnoteText"/>
      </w:pPr>
      <w:r>
        <w:rPr>
          <w:rStyle w:val="FootnoteReference"/>
        </w:rPr>
        <w:footnoteRef/>
      </w:r>
      <w:r>
        <w:t xml:space="preserve"> A dual system combines an apprenticeship in a company and vocational education at a vocational school in one course.</w:t>
      </w:r>
    </w:p>
  </w:footnote>
  <w:footnote w:id="3">
    <w:p w14:paraId="3831F031" w14:textId="77777777" w:rsidR="00415050" w:rsidRDefault="00415050" w:rsidP="00CC4E3D">
      <w:pPr>
        <w:pStyle w:val="FootnoteText"/>
      </w:pPr>
      <w:r>
        <w:rPr>
          <w:rStyle w:val="FootnoteReference"/>
        </w:rPr>
        <w:footnoteRef/>
      </w:r>
      <w:r>
        <w:t xml:space="preserve"> Effective 1 January 2018, eligibility requirements were expanded to include Aboriginal or Torres Strait Islander young people irrespective of whether they have completed Year 12 or a Certificate III or higher.</w:t>
      </w:r>
    </w:p>
  </w:footnote>
  <w:footnote w:id="4">
    <w:p w14:paraId="6ED84AEF" w14:textId="77777777" w:rsidR="00415050" w:rsidRDefault="00415050" w:rsidP="00CC4E3D">
      <w:pPr>
        <w:pStyle w:val="FootnoteText"/>
      </w:pPr>
      <w:r>
        <w:rPr>
          <w:rStyle w:val="FootnoteReference"/>
        </w:rPr>
        <w:footnoteRef/>
      </w:r>
      <w:r>
        <w:t xml:space="preserve"> </w:t>
      </w:r>
      <w:r>
        <w:rPr>
          <w:rFonts w:cstheme="minorHAnsi"/>
        </w:rPr>
        <w:t xml:space="preserve">Including Group Two </w:t>
      </w:r>
      <w:r w:rsidRPr="005C77A8">
        <w:t>participants</w:t>
      </w:r>
      <w:r>
        <w:rPr>
          <w:rFonts w:cstheme="minorHAnsi"/>
        </w:rPr>
        <w:t xml:space="preserve"> who are not receiving an income support payment.</w:t>
      </w:r>
    </w:p>
  </w:footnote>
  <w:footnote w:id="5">
    <w:p w14:paraId="7ABFA96F" w14:textId="77777777" w:rsidR="00415050" w:rsidRDefault="00415050" w:rsidP="00CC4E3D">
      <w:pPr>
        <w:pStyle w:val="FootnoteText"/>
      </w:pPr>
      <w:r>
        <w:rPr>
          <w:rStyle w:val="FootnoteReference"/>
        </w:rPr>
        <w:footnoteRef/>
      </w:r>
      <w:r>
        <w:t xml:space="preserve"> The Youth Bonus wage subsidy for a TtW participant is up to $10,000 (previously up to $6,500) from 1 January 2017 onwards. From 1 January 2018 eligible Indigenous participants can access up to $10,000 through any of the wage subsidies. </w:t>
      </w:r>
    </w:p>
  </w:footnote>
  <w:footnote w:id="6">
    <w:p w14:paraId="25D3F5D8" w14:textId="77777777" w:rsidR="00415050" w:rsidRDefault="00415050" w:rsidP="00CC4E3D">
      <w:pPr>
        <w:pStyle w:val="FootnoteText"/>
      </w:pPr>
      <w:r>
        <w:rPr>
          <w:rStyle w:val="FootnoteReference"/>
        </w:rPr>
        <w:footnoteRef/>
      </w:r>
      <w:r>
        <w:t xml:space="preserve"> The Norfolk Island employment region has no TtW services operating.</w:t>
      </w:r>
    </w:p>
  </w:footnote>
  <w:footnote w:id="7">
    <w:p w14:paraId="4F8B364F" w14:textId="77777777" w:rsidR="00415050" w:rsidRPr="008A583F" w:rsidRDefault="00415050" w:rsidP="00CC4E3D">
      <w:pPr>
        <w:pStyle w:val="FootnoteText"/>
        <w:rPr>
          <w:lang w:val="en-US"/>
        </w:rPr>
      </w:pPr>
      <w:r>
        <w:rPr>
          <w:rStyle w:val="FootnoteReference"/>
        </w:rPr>
        <w:footnoteRef/>
      </w:r>
      <w:r>
        <w:t xml:space="preserve"> </w:t>
      </w:r>
      <w:r w:rsidRPr="00F75BE7">
        <w:rPr>
          <w:rStyle w:val="FootnoteTextChar"/>
        </w:rPr>
        <w:t xml:space="preserve">The Trial element offers a </w:t>
      </w:r>
      <w:r>
        <w:rPr>
          <w:rStyle w:val="FootnoteTextChar"/>
        </w:rPr>
        <w:t xml:space="preserve">Youth Jobs </w:t>
      </w:r>
      <w:r w:rsidRPr="00F75BE7">
        <w:rPr>
          <w:rStyle w:val="FootnoteTextChar"/>
        </w:rPr>
        <w:t>PaTH internship placement of four to 12 weeks, designed to help young people gain the skills and work experience they need to get and keep a job. The Hire element offers employers incentives such as a Youth Bonus Wage Subsidy of up to $10,000 when they take on a young person.</w:t>
      </w:r>
      <w:r>
        <w:rPr>
          <w:rStyle w:val="FootnoteTextChar"/>
        </w:rPr>
        <w:t xml:space="preserve"> Youth Jobs PaTH will be separately evaluated.</w:t>
      </w:r>
    </w:p>
  </w:footnote>
  <w:footnote w:id="8">
    <w:p w14:paraId="2AAF628C" w14:textId="77777777" w:rsidR="00415050" w:rsidRPr="00897B7B" w:rsidRDefault="00415050" w:rsidP="00CC4E3D">
      <w:pPr>
        <w:rPr>
          <w:rStyle w:val="FootnoteTextChar"/>
        </w:rPr>
      </w:pPr>
      <w:r w:rsidRPr="00897B7B">
        <w:rPr>
          <w:rStyle w:val="FootnoteReference"/>
          <w:sz w:val="20"/>
          <w:szCs w:val="20"/>
        </w:rPr>
        <w:footnoteRef/>
      </w:r>
      <w:r w:rsidRPr="00897B7B">
        <w:rPr>
          <w:sz w:val="20"/>
          <w:szCs w:val="20"/>
        </w:rPr>
        <w:t xml:space="preserve"> </w:t>
      </w:r>
      <w:r w:rsidRPr="00897B7B">
        <w:rPr>
          <w:rStyle w:val="FootnoteTextChar"/>
        </w:rPr>
        <w:t xml:space="preserve">Through NWEP, employers can trial a TtW participant for up to 25 hours a week over a maximum </w:t>
      </w:r>
      <w:r>
        <w:rPr>
          <w:rStyle w:val="FootnoteTextChar"/>
        </w:rPr>
        <w:t>four</w:t>
      </w:r>
      <w:r w:rsidRPr="00897B7B">
        <w:rPr>
          <w:rStyle w:val="FootnoteTextChar"/>
        </w:rPr>
        <w:t>-week period. They may be eligible for a wage subsidy if they offer ongoing employment to the participant after the placement.</w:t>
      </w:r>
    </w:p>
    <w:p w14:paraId="25645347" w14:textId="77777777" w:rsidR="00415050" w:rsidRDefault="00415050" w:rsidP="00CC4E3D">
      <w:pPr>
        <w:pStyle w:val="FootnoteText"/>
      </w:pPr>
    </w:p>
  </w:footnote>
  <w:footnote w:id="9">
    <w:p w14:paraId="14DB8A09" w14:textId="77777777" w:rsidR="00415050" w:rsidRDefault="00415050" w:rsidP="00CC4E3D">
      <w:pPr>
        <w:pStyle w:val="FootnoteText"/>
      </w:pPr>
      <w:r>
        <w:rPr>
          <w:rStyle w:val="FootnoteReference"/>
        </w:rPr>
        <w:footnoteRef/>
      </w:r>
      <w:r>
        <w:t xml:space="preserve"> </w:t>
      </w:r>
      <w:r w:rsidRPr="00AD100F">
        <w:rPr>
          <w:rFonts w:eastAsia="Times New Roman"/>
        </w:rPr>
        <w:t xml:space="preserve">A </w:t>
      </w:r>
      <w:r>
        <w:rPr>
          <w:rFonts w:eastAsia="Times New Roman"/>
        </w:rPr>
        <w:t xml:space="preserve">small </w:t>
      </w:r>
      <w:r w:rsidRPr="00AD100F">
        <w:rPr>
          <w:rFonts w:eastAsia="Times New Roman"/>
        </w:rPr>
        <w:t xml:space="preserve">number of participants in the TtW inflow population </w:t>
      </w:r>
      <w:r>
        <w:rPr>
          <w:rFonts w:eastAsia="Times New Roman"/>
        </w:rPr>
        <w:t>did not have a corresponding match in the jobactive inflow population for age stream and educational qualification</w:t>
      </w:r>
      <w:r w:rsidRPr="00AD100F" w:rsidDel="005E6D13">
        <w:rPr>
          <w:rFonts w:eastAsia="Times New Roman"/>
        </w:rPr>
        <w:t xml:space="preserve"> </w:t>
      </w:r>
      <w:r w:rsidRPr="00AD100F">
        <w:rPr>
          <w:rFonts w:eastAsia="Times New Roman"/>
        </w:rPr>
        <w:t>and were excluded from the matched sample. These people</w:t>
      </w:r>
      <w:r w:rsidRPr="00AD100F">
        <w:t xml:space="preserve"> were retained in the analysis of TtW participants only.</w:t>
      </w:r>
      <w:r w:rsidRPr="00AD100F" w:rsidDel="007703A9">
        <w:rPr>
          <w:rFonts w:eastAsia="Times New Roman"/>
        </w:rPr>
        <w:t xml:space="preserve"> </w:t>
      </w:r>
    </w:p>
  </w:footnote>
  <w:footnote w:id="10">
    <w:p w14:paraId="454B3A6F" w14:textId="77777777" w:rsidR="00415050" w:rsidRPr="00AD100F" w:rsidRDefault="00415050" w:rsidP="00CC4E3D">
      <w:pPr>
        <w:pStyle w:val="FootnoteText"/>
      </w:pPr>
      <w:r>
        <w:rPr>
          <w:rStyle w:val="FootnoteReference"/>
        </w:rPr>
        <w:footnoteRef/>
      </w:r>
      <w:r>
        <w:t xml:space="preserve"> </w:t>
      </w:r>
      <w:r w:rsidRPr="00AD100F">
        <w:t>Under RapidConnect</w:t>
      </w:r>
      <w:r>
        <w:t xml:space="preserve"> </w:t>
      </w:r>
      <w:r w:rsidRPr="00AD100F">
        <w:t xml:space="preserve">a young person </w:t>
      </w:r>
      <w:r>
        <w:t xml:space="preserve">who </w:t>
      </w:r>
      <w:r w:rsidRPr="00AD100F">
        <w:t>contact</w:t>
      </w:r>
      <w:r>
        <w:t>s</w:t>
      </w:r>
      <w:r w:rsidRPr="00AD100F">
        <w:t xml:space="preserve"> DHS to claim or transfer to Youth Allowance as a job seeker </w:t>
      </w:r>
      <w:r>
        <w:t>must (unless exempt)</w:t>
      </w:r>
      <w:r w:rsidRPr="00AD100F">
        <w:t xml:space="preserve"> </w:t>
      </w:r>
      <w:r>
        <w:t xml:space="preserve">normally </w:t>
      </w:r>
      <w:r w:rsidRPr="00AD100F">
        <w:t>attend an initial appointment with their employment services provider</w:t>
      </w:r>
      <w:r>
        <w:t xml:space="preserve"> </w:t>
      </w:r>
      <w:r w:rsidRPr="00AD100F">
        <w:t xml:space="preserve">within </w:t>
      </w:r>
      <w:r>
        <w:t>two</w:t>
      </w:r>
      <w:r w:rsidRPr="00AD100F">
        <w:t xml:space="preserve"> working days of </w:t>
      </w:r>
      <w:r>
        <w:t>first</w:t>
      </w:r>
      <w:r w:rsidRPr="00AD100F">
        <w:t xml:space="preserve"> contact</w:t>
      </w:r>
      <w:r>
        <w:t>ing</w:t>
      </w:r>
      <w:r w:rsidRPr="00AD100F">
        <w:t xml:space="preserve"> DHS. If </w:t>
      </w:r>
      <w:r>
        <w:t xml:space="preserve">the provider cannot arrange </w:t>
      </w:r>
      <w:r w:rsidRPr="00AD100F">
        <w:t>an appointment</w:t>
      </w:r>
      <w:r>
        <w:t xml:space="preserve"> within two working days</w:t>
      </w:r>
      <w:r w:rsidRPr="00AD100F">
        <w:t>, the</w:t>
      </w:r>
      <w:r>
        <w:t xml:space="preserve"> young person</w:t>
      </w:r>
      <w:r w:rsidRPr="00AD100F">
        <w:t xml:space="preserve"> remain</w:t>
      </w:r>
      <w:r>
        <w:t>s</w:t>
      </w:r>
      <w:r w:rsidRPr="00AD100F">
        <w:t xml:space="preserve"> subject to RapidConnect for up to 1</w:t>
      </w:r>
      <w:r>
        <w:t>4 </w:t>
      </w:r>
      <w:r w:rsidRPr="00AD100F">
        <w:t>calendar days.</w:t>
      </w:r>
      <w:r>
        <w:t xml:space="preserve"> From 1 July 2018 j</w:t>
      </w:r>
      <w:r w:rsidRPr="00A862A0">
        <w:t xml:space="preserve">obseekers </w:t>
      </w:r>
      <w:r>
        <w:t xml:space="preserve">including early school leavers </w:t>
      </w:r>
      <w:r w:rsidRPr="00A862A0">
        <w:t xml:space="preserve">who are subject to RapidConnect must attend an employment services provider appointment before receiving </w:t>
      </w:r>
      <w:r>
        <w:t xml:space="preserve">income support </w:t>
      </w:r>
      <w:r w:rsidRPr="00A862A0">
        <w:t>payments.</w:t>
      </w:r>
    </w:p>
  </w:footnote>
  <w:footnote w:id="11">
    <w:p w14:paraId="720D92E2" w14:textId="77777777" w:rsidR="00415050" w:rsidRDefault="00415050" w:rsidP="00CC4E3D">
      <w:pPr>
        <w:pStyle w:val="FootnoteText"/>
      </w:pPr>
      <w:r>
        <w:rPr>
          <w:rStyle w:val="FootnoteReference"/>
        </w:rPr>
        <w:footnoteRef/>
      </w:r>
      <w:r>
        <w:t xml:space="preserve"> Young people remain in the TtW </w:t>
      </w:r>
      <w:r w:rsidRPr="00BA0D9A">
        <w:t>group</w:t>
      </w:r>
      <w:r>
        <w:t xml:space="preserve"> in which they qualified during their entire period of service regardless of any changes in their circumstances.</w:t>
      </w:r>
    </w:p>
  </w:footnote>
  <w:footnote w:id="12">
    <w:p w14:paraId="0DC8CAC9" w14:textId="77777777" w:rsidR="00415050" w:rsidRDefault="00415050" w:rsidP="00CC4E3D">
      <w:pPr>
        <w:pStyle w:val="FootnoteText"/>
      </w:pPr>
      <w:r>
        <w:rPr>
          <w:rStyle w:val="FootnoteReference"/>
        </w:rPr>
        <w:footnoteRef/>
      </w:r>
      <w:r>
        <w:t xml:space="preserve"> </w:t>
      </w:r>
      <w:r w:rsidRPr="00566EA6">
        <w:t>Start-up caseloads were referred by DHS from jobactive to TtW under Group One.</w:t>
      </w:r>
    </w:p>
  </w:footnote>
  <w:footnote w:id="13">
    <w:p w14:paraId="6B183D09" w14:textId="0BD0E958" w:rsidR="00415050" w:rsidRDefault="00415050" w:rsidP="00CC4E3D">
      <w:pPr>
        <w:pStyle w:val="FootnoteText"/>
      </w:pPr>
      <w:r>
        <w:rPr>
          <w:rStyle w:val="FootnoteReference"/>
        </w:rPr>
        <w:footnoteRef/>
      </w:r>
      <w:r>
        <w:t xml:space="preserve"> Commencing in the June 2017 Star Ratings release the department included TtW outcomes towards the Star Ratings of jobactive providers when the referred Stream C participants achieved an outcome in TtW.</w:t>
      </w:r>
    </w:p>
  </w:footnote>
  <w:footnote w:id="14">
    <w:p w14:paraId="1BEA6F11" w14:textId="77777777" w:rsidR="00415050" w:rsidRDefault="00415050" w:rsidP="00CC4E3D">
      <w:pPr>
        <w:pStyle w:val="FootnoteText"/>
      </w:pPr>
      <w:r>
        <w:rPr>
          <w:rStyle w:val="FootnoteReference"/>
        </w:rPr>
        <w:footnoteRef/>
      </w:r>
      <w:r>
        <w:t xml:space="preserve"> </w:t>
      </w:r>
      <w:r w:rsidRPr="00C142B0">
        <w:t xml:space="preserve">Foundation skills are skills </w:t>
      </w:r>
      <w:r>
        <w:t>needed</w:t>
      </w:r>
      <w:r w:rsidRPr="00C142B0">
        <w:t xml:space="preserve"> </w:t>
      </w:r>
      <w:r>
        <w:t>to</w:t>
      </w:r>
      <w:r w:rsidRPr="00C142B0">
        <w:t xml:space="preserve"> participat</w:t>
      </w:r>
      <w:r>
        <w:t>e</w:t>
      </w:r>
      <w:r w:rsidRPr="00C142B0">
        <w:t xml:space="preserve"> in the workplace, </w:t>
      </w:r>
      <w:r>
        <w:t xml:space="preserve">in </w:t>
      </w:r>
      <w:r w:rsidRPr="00C142B0">
        <w:t xml:space="preserve">the community and </w:t>
      </w:r>
      <w:r w:rsidRPr="00BD2C8D">
        <w:t>in adult education and training</w:t>
      </w:r>
      <w:r>
        <w:t>, such as literacy and numeracy, interpersonal skills, motivation and reliability, and willingness to work</w:t>
      </w:r>
      <w:r w:rsidRPr="00BD2C8D">
        <w:t>. The Australian Government funds a number of foundation skills programs, including AMEP and SEE. The Australian Core Skills Framework describes five core skills: learning, reading, writing, oral communication and numeracy.</w:t>
      </w:r>
    </w:p>
  </w:footnote>
  <w:footnote w:id="15">
    <w:p w14:paraId="0BB3AF21" w14:textId="77777777" w:rsidR="00415050" w:rsidRPr="00BB04DC" w:rsidRDefault="00415050" w:rsidP="00CC4E3D">
      <w:pPr>
        <w:pStyle w:val="FootnoteText"/>
        <w:rPr>
          <w:lang w:val="en-US"/>
        </w:rPr>
      </w:pPr>
      <w:r>
        <w:rPr>
          <w:rStyle w:val="FootnoteReference"/>
        </w:rPr>
        <w:footnoteRef/>
      </w:r>
      <w:r>
        <w:t xml:space="preserve"> TtW does not have sanctions of suspending/cancelling income support payments in relation to non-attendance at appointments or activities (as in jobactive). Instead, TtW providers assess the participant’s overall participation and exit them if they do not meet participation requirements.</w:t>
      </w:r>
    </w:p>
  </w:footnote>
  <w:footnote w:id="16">
    <w:p w14:paraId="07523133" w14:textId="77777777" w:rsidR="00415050" w:rsidRDefault="00415050" w:rsidP="00CC4E3D">
      <w:pPr>
        <w:pStyle w:val="FootnoteText"/>
      </w:pPr>
      <w:r>
        <w:rPr>
          <w:rStyle w:val="FootnoteReference"/>
        </w:rPr>
        <w:footnoteRef/>
      </w:r>
      <w:r>
        <w:t xml:space="preserve"> Employment services sites are offices that deliver </w:t>
      </w:r>
      <w:r w:rsidRPr="00266494">
        <w:t>Australian Government employment services program</w:t>
      </w:r>
      <w:r>
        <w:t>s</w:t>
      </w:r>
      <w:r w:rsidRPr="00266494">
        <w:t>.</w:t>
      </w:r>
    </w:p>
  </w:footnote>
  <w:footnote w:id="17">
    <w:p w14:paraId="77362B72" w14:textId="77777777" w:rsidR="00415050" w:rsidRDefault="00415050" w:rsidP="00CC4E3D">
      <w:pPr>
        <w:pStyle w:val="FootnoteText"/>
      </w:pPr>
      <w:r>
        <w:rPr>
          <w:rStyle w:val="FootnoteReference"/>
        </w:rPr>
        <w:footnoteRef/>
      </w:r>
      <w:r>
        <w:t xml:space="preserve"> </w:t>
      </w:r>
      <w:r>
        <w:rPr>
          <w:szCs w:val="18"/>
        </w:rPr>
        <w:t>This i</w:t>
      </w:r>
      <w:r w:rsidRPr="0051085E">
        <w:rPr>
          <w:szCs w:val="18"/>
        </w:rPr>
        <w:t xml:space="preserve">ncludes </w:t>
      </w:r>
      <w:r>
        <w:rPr>
          <w:szCs w:val="18"/>
        </w:rPr>
        <w:t xml:space="preserve">TtW </w:t>
      </w:r>
      <w:r w:rsidRPr="0051085E">
        <w:rPr>
          <w:szCs w:val="18"/>
        </w:rPr>
        <w:t>participants with</w:t>
      </w:r>
      <w:r>
        <w:rPr>
          <w:szCs w:val="18"/>
        </w:rPr>
        <w:t xml:space="preserve"> a</w:t>
      </w:r>
      <w:r w:rsidRPr="0051085E">
        <w:rPr>
          <w:szCs w:val="18"/>
        </w:rPr>
        <w:t xml:space="preserve"> recorded status of </w:t>
      </w:r>
      <w:r>
        <w:rPr>
          <w:szCs w:val="18"/>
        </w:rPr>
        <w:t>p</w:t>
      </w:r>
      <w:r w:rsidRPr="0051085E">
        <w:rPr>
          <w:szCs w:val="18"/>
        </w:rPr>
        <w:t xml:space="preserve">ending, </w:t>
      </w:r>
      <w:r>
        <w:rPr>
          <w:szCs w:val="18"/>
        </w:rPr>
        <w:t>s</w:t>
      </w:r>
      <w:r w:rsidRPr="0051085E">
        <w:rPr>
          <w:szCs w:val="18"/>
        </w:rPr>
        <w:t xml:space="preserve">uspended or </w:t>
      </w:r>
      <w:r>
        <w:rPr>
          <w:szCs w:val="18"/>
        </w:rPr>
        <w:t>c</w:t>
      </w:r>
      <w:r w:rsidRPr="0051085E">
        <w:rPr>
          <w:szCs w:val="18"/>
        </w:rPr>
        <w:t xml:space="preserve">ommenced at </w:t>
      </w:r>
      <w:r>
        <w:rPr>
          <w:szCs w:val="18"/>
        </w:rPr>
        <w:t>the caseload dates (</w:t>
      </w:r>
      <w:r w:rsidRPr="0051085E">
        <w:rPr>
          <w:szCs w:val="18"/>
        </w:rPr>
        <w:t>3</w:t>
      </w:r>
      <w:r>
        <w:rPr>
          <w:szCs w:val="18"/>
        </w:rPr>
        <w:t>1 </w:t>
      </w:r>
      <w:r w:rsidRPr="0051085E">
        <w:rPr>
          <w:szCs w:val="18"/>
        </w:rPr>
        <w:t>July 201</w:t>
      </w:r>
      <w:r>
        <w:rPr>
          <w:szCs w:val="18"/>
        </w:rPr>
        <w:t>6 </w:t>
      </w:r>
      <w:r w:rsidRPr="0051085E">
        <w:rPr>
          <w:szCs w:val="18"/>
        </w:rPr>
        <w:t>and 3</w:t>
      </w:r>
      <w:r>
        <w:rPr>
          <w:szCs w:val="18"/>
        </w:rPr>
        <w:t>1 </w:t>
      </w:r>
      <w:r w:rsidRPr="0051085E">
        <w:rPr>
          <w:szCs w:val="18"/>
        </w:rPr>
        <w:t>January 2017</w:t>
      </w:r>
      <w:r>
        <w:rPr>
          <w:szCs w:val="18"/>
        </w:rPr>
        <w:t>).</w:t>
      </w:r>
    </w:p>
  </w:footnote>
  <w:footnote w:id="18">
    <w:p w14:paraId="742D9DE9" w14:textId="77777777" w:rsidR="00415050" w:rsidRDefault="00415050" w:rsidP="00CC4E3D">
      <w:pPr>
        <w:pStyle w:val="FootnoteText"/>
      </w:pPr>
      <w:r>
        <w:rPr>
          <w:rStyle w:val="FootnoteReference"/>
        </w:rPr>
        <w:footnoteRef/>
      </w:r>
      <w:r>
        <w:t xml:space="preserve"> Participants tracking towards an outcome after 12 months of services remains in TtW until they achieve or are no longer eligible for the outcome they are tracking towards. Young people receiving an activity tested income support payment are referred back to jobactive while other participants are exited from the TtW service.</w:t>
      </w:r>
    </w:p>
  </w:footnote>
  <w:footnote w:id="19">
    <w:p w14:paraId="150FEA42" w14:textId="77777777" w:rsidR="00415050" w:rsidRDefault="00415050" w:rsidP="00CC4E3D">
      <w:pPr>
        <w:pStyle w:val="FootnoteText"/>
      </w:pPr>
      <w:r>
        <w:rPr>
          <w:rStyle w:val="FootnoteReference"/>
        </w:rPr>
        <w:footnoteRef/>
      </w:r>
      <w:r>
        <w:t xml:space="preserve"> </w:t>
      </w:r>
      <w:r w:rsidRPr="0030755E">
        <w:rPr>
          <w:rFonts w:ascii="Calibri" w:eastAsia="Times New Roman" w:hAnsi="Calibri" w:cs="Times New Roman"/>
        </w:rPr>
        <w:t xml:space="preserve">For a provider that </w:t>
      </w:r>
      <w:r>
        <w:rPr>
          <w:rFonts w:ascii="Calibri" w:eastAsia="Times New Roman" w:hAnsi="Calibri" w:cs="Times New Roman"/>
        </w:rPr>
        <w:t>started</w:t>
      </w:r>
      <w:r w:rsidRPr="0030755E">
        <w:rPr>
          <w:rFonts w:ascii="Calibri" w:eastAsia="Times New Roman" w:hAnsi="Calibri" w:cs="Times New Roman"/>
        </w:rPr>
        <w:t xml:space="preserve"> in </w:t>
      </w:r>
      <w:r w:rsidRPr="00FE4CCC">
        <w:rPr>
          <w:rFonts w:ascii="Calibri" w:eastAsia="Times New Roman" w:hAnsi="Calibri" w:cs="Times New Roman"/>
        </w:rPr>
        <w:t>Phase One</w:t>
      </w:r>
      <w:r w:rsidRPr="008E0786">
        <w:rPr>
          <w:rFonts w:ascii="Calibri" w:eastAsia="Times New Roman" w:hAnsi="Calibri" w:cs="Times New Roman"/>
        </w:rPr>
        <w:t xml:space="preserve"> (February 2016), April was the third month of operation</w:t>
      </w:r>
      <w:r>
        <w:rPr>
          <w:rFonts w:ascii="Calibri" w:eastAsia="Times New Roman" w:hAnsi="Calibri" w:cs="Times New Roman"/>
        </w:rPr>
        <w:t>;</w:t>
      </w:r>
      <w:r w:rsidRPr="008E0786">
        <w:rPr>
          <w:rFonts w:ascii="Calibri" w:eastAsia="Times New Roman" w:hAnsi="Calibri" w:cs="Times New Roman"/>
        </w:rPr>
        <w:t xml:space="preserve"> </w:t>
      </w:r>
      <w:r>
        <w:rPr>
          <w:rFonts w:ascii="Calibri" w:eastAsia="Times New Roman" w:hAnsi="Calibri" w:cs="Times New Roman"/>
        </w:rPr>
        <w:t>for</w:t>
      </w:r>
      <w:r w:rsidRPr="008E0786">
        <w:rPr>
          <w:rFonts w:ascii="Calibri" w:eastAsia="Times New Roman" w:hAnsi="Calibri" w:cs="Times New Roman"/>
        </w:rPr>
        <w:t xml:space="preserve"> a provider </w:t>
      </w:r>
      <w:r>
        <w:rPr>
          <w:rFonts w:ascii="Calibri" w:eastAsia="Times New Roman" w:hAnsi="Calibri" w:cs="Times New Roman"/>
        </w:rPr>
        <w:t>that started</w:t>
      </w:r>
      <w:r w:rsidRPr="008E0786">
        <w:rPr>
          <w:rFonts w:ascii="Calibri" w:eastAsia="Times New Roman" w:hAnsi="Calibri" w:cs="Times New Roman"/>
        </w:rPr>
        <w:t xml:space="preserve"> in </w:t>
      </w:r>
      <w:r w:rsidRPr="00D13D20">
        <w:rPr>
          <w:rFonts w:ascii="Calibri" w:eastAsia="Times New Roman" w:hAnsi="Calibri" w:cs="Times New Roman"/>
        </w:rPr>
        <w:t>Phase Three</w:t>
      </w:r>
      <w:r w:rsidRPr="0030755E">
        <w:rPr>
          <w:rFonts w:ascii="Calibri" w:eastAsia="Times New Roman" w:hAnsi="Calibri" w:cs="Times New Roman"/>
        </w:rPr>
        <w:t xml:space="preserve"> (</w:t>
      </w:r>
      <w:r>
        <w:rPr>
          <w:rFonts w:ascii="Calibri" w:eastAsia="Times New Roman" w:hAnsi="Calibri" w:cs="Times New Roman"/>
        </w:rPr>
        <w:t>April 2016</w:t>
      </w:r>
      <w:r w:rsidRPr="0030755E">
        <w:rPr>
          <w:rFonts w:ascii="Calibri" w:eastAsia="Times New Roman" w:hAnsi="Calibri" w:cs="Times New Roman"/>
        </w:rPr>
        <w:t>)</w:t>
      </w:r>
      <w:r>
        <w:rPr>
          <w:rFonts w:ascii="Calibri" w:eastAsia="Times New Roman" w:hAnsi="Calibri" w:cs="Times New Roman"/>
        </w:rPr>
        <w:t>,</w:t>
      </w:r>
      <w:r w:rsidRPr="0030755E">
        <w:rPr>
          <w:rFonts w:ascii="Calibri" w:eastAsia="Times New Roman" w:hAnsi="Calibri" w:cs="Times New Roman"/>
        </w:rPr>
        <w:t xml:space="preserve"> July </w:t>
      </w:r>
      <w:r>
        <w:rPr>
          <w:rFonts w:ascii="Calibri" w:eastAsia="Times New Roman" w:hAnsi="Calibri" w:cs="Times New Roman"/>
        </w:rPr>
        <w:t>wa</w:t>
      </w:r>
      <w:r w:rsidRPr="0030755E">
        <w:rPr>
          <w:rFonts w:ascii="Calibri" w:eastAsia="Times New Roman" w:hAnsi="Calibri" w:cs="Times New Roman"/>
        </w:rPr>
        <w:t>s the third month of operation.</w:t>
      </w:r>
    </w:p>
  </w:footnote>
  <w:footnote w:id="20">
    <w:p w14:paraId="1E9AAE23" w14:textId="77777777" w:rsidR="00415050" w:rsidRPr="004475EB" w:rsidRDefault="00415050" w:rsidP="00CC4E3D">
      <w:pPr>
        <w:pStyle w:val="FootnoteText"/>
        <w:rPr>
          <w:sz w:val="18"/>
          <w:szCs w:val="18"/>
        </w:rPr>
      </w:pPr>
      <w:r w:rsidRPr="004475EB">
        <w:rPr>
          <w:rStyle w:val="FootnoteReference"/>
          <w:sz w:val="18"/>
          <w:szCs w:val="18"/>
        </w:rPr>
        <w:footnoteRef/>
      </w:r>
      <w:r>
        <w:rPr>
          <w:sz w:val="18"/>
          <w:szCs w:val="18"/>
        </w:rPr>
        <w:t xml:space="preserve"> Stream C participants who were referred for an ESAt were</w:t>
      </w:r>
      <w:r w:rsidRPr="004475EB">
        <w:rPr>
          <w:sz w:val="18"/>
          <w:szCs w:val="18"/>
        </w:rPr>
        <w:t xml:space="preserve"> gen</w:t>
      </w:r>
      <w:r>
        <w:rPr>
          <w:sz w:val="18"/>
          <w:szCs w:val="18"/>
        </w:rPr>
        <w:t xml:space="preserve">erally not commenced until the </w:t>
      </w:r>
      <w:r w:rsidRPr="004475EB">
        <w:rPr>
          <w:sz w:val="18"/>
          <w:szCs w:val="18"/>
        </w:rPr>
        <w:t>assessment was finalised.</w:t>
      </w:r>
    </w:p>
  </w:footnote>
  <w:footnote w:id="21">
    <w:p w14:paraId="2F17251F" w14:textId="77777777" w:rsidR="00415050" w:rsidRPr="00801EA4" w:rsidRDefault="00415050" w:rsidP="00CC4E3D">
      <w:pPr>
        <w:pStyle w:val="FootnoteText"/>
        <w:rPr>
          <w:rFonts w:eastAsia="Times New Roman" w:cstheme="minorHAnsi"/>
          <w:color w:val="000000"/>
          <w:sz w:val="18"/>
          <w:szCs w:val="18"/>
        </w:rPr>
      </w:pPr>
      <w:r w:rsidRPr="00801EA4">
        <w:rPr>
          <w:rStyle w:val="FootnoteReference"/>
          <w:sz w:val="18"/>
          <w:szCs w:val="18"/>
        </w:rPr>
        <w:footnoteRef/>
      </w:r>
      <w:r w:rsidRPr="00801EA4">
        <w:rPr>
          <w:sz w:val="18"/>
          <w:szCs w:val="18"/>
        </w:rPr>
        <w:t xml:space="preserve"> </w:t>
      </w:r>
      <w:r w:rsidRPr="00801EA4">
        <w:rPr>
          <w:rFonts w:eastAsia="Times New Roman" w:cstheme="minorHAnsi"/>
          <w:color w:val="000000"/>
          <w:sz w:val="18"/>
          <w:szCs w:val="18"/>
        </w:rPr>
        <w:t>TtW providers must monitor participation to ensure participants meet their mutual obligation requirements. If a participant fails to meet these requirements, the provider must exit and refer them to jobactive.</w:t>
      </w:r>
    </w:p>
  </w:footnote>
  <w:footnote w:id="22">
    <w:p w14:paraId="25F7D6C7" w14:textId="77777777" w:rsidR="00415050" w:rsidRDefault="00415050" w:rsidP="00CC4E3D">
      <w:pPr>
        <w:pStyle w:val="FootnoteText"/>
      </w:pPr>
      <w:r w:rsidRPr="00801EA4">
        <w:rPr>
          <w:rStyle w:val="FootnoteReference"/>
          <w:sz w:val="18"/>
          <w:szCs w:val="18"/>
        </w:rPr>
        <w:footnoteRef/>
      </w:r>
      <w:r w:rsidRPr="00801EA4">
        <w:rPr>
          <w:sz w:val="18"/>
          <w:szCs w:val="18"/>
        </w:rPr>
        <w:t xml:space="preserve"> </w:t>
      </w:r>
      <w:r w:rsidRPr="00801EA4">
        <w:rPr>
          <w:rFonts w:eastAsia="Times New Roman" w:cstheme="minorHAnsi"/>
          <w:color w:val="000000"/>
          <w:sz w:val="18"/>
          <w:szCs w:val="18"/>
        </w:rPr>
        <w:t>The analysis of contact appointments excludes re-engagement appointments relating to compliance actions in jobactive, as there are no comparable actions in TtW. jobactive participants attended, on average, two additional re-engagement appointments.</w:t>
      </w:r>
      <w:r w:rsidRPr="00801EA4" w:rsidDel="00B00B7F">
        <w:rPr>
          <w:rFonts w:eastAsia="Times New Roman"/>
          <w:b/>
          <w:sz w:val="18"/>
          <w:szCs w:val="18"/>
        </w:rPr>
        <w:t xml:space="preserve"> </w:t>
      </w:r>
      <w:r w:rsidRPr="00801EA4">
        <w:rPr>
          <w:rFonts w:eastAsia="Times New Roman"/>
          <w:sz w:val="18"/>
          <w:szCs w:val="18"/>
        </w:rPr>
        <w:t>Non-attendance without a valid reason in TtW may result in a referral back to jobactive.</w:t>
      </w:r>
    </w:p>
  </w:footnote>
  <w:footnote w:id="23">
    <w:p w14:paraId="2FF752D5" w14:textId="77777777" w:rsidR="00415050" w:rsidRDefault="00415050" w:rsidP="00CC4E3D">
      <w:pPr>
        <w:pStyle w:val="FootnoteText"/>
      </w:pPr>
      <w:r>
        <w:rPr>
          <w:rStyle w:val="FootnoteReference"/>
        </w:rPr>
        <w:footnoteRef/>
      </w:r>
      <w:r>
        <w:t xml:space="preserve"> Principal carer parents and those with a partial capacity to work of 15 to 29 hours per week are expected to participate in approved activities for 15 hours per week.</w:t>
      </w:r>
    </w:p>
  </w:footnote>
  <w:footnote w:id="24">
    <w:p w14:paraId="3E31743F" w14:textId="77777777" w:rsidR="00415050" w:rsidRDefault="00415050" w:rsidP="00CC4E3D">
      <w:pPr>
        <w:pStyle w:val="FootnoteText"/>
      </w:pPr>
      <w:r>
        <w:rPr>
          <w:rStyle w:val="FootnoteReference"/>
        </w:rPr>
        <w:footnoteRef/>
      </w:r>
      <w:r>
        <w:t xml:space="preserve"> With the introduction of the PaTH Employability Skills Training (EST) from April 2017 this difference is expected to reduce.</w:t>
      </w:r>
    </w:p>
  </w:footnote>
  <w:footnote w:id="25">
    <w:p w14:paraId="0A455794" w14:textId="77777777" w:rsidR="00415050" w:rsidRPr="00B01DE0" w:rsidRDefault="00415050" w:rsidP="00CC4E3D">
      <w:pPr>
        <w:pStyle w:val="FootnoteText"/>
      </w:pPr>
      <w:r>
        <w:rPr>
          <w:rStyle w:val="FootnoteReference"/>
        </w:rPr>
        <w:footnoteRef/>
      </w:r>
      <w:r>
        <w:t xml:space="preserve"> </w:t>
      </w:r>
      <w:r w:rsidRPr="00B01DE0">
        <w:t xml:space="preserve">Young people </w:t>
      </w:r>
      <w:r>
        <w:t>who are</w:t>
      </w:r>
      <w:r w:rsidRPr="00B01DE0">
        <w:t xml:space="preserve"> referred to </w:t>
      </w:r>
      <w:r>
        <w:t>TtW</w:t>
      </w:r>
      <w:r w:rsidRPr="00B01DE0">
        <w:t xml:space="preserve"> may elect to </w:t>
      </w:r>
      <w:r>
        <w:t>go</w:t>
      </w:r>
      <w:r w:rsidRPr="00B01DE0">
        <w:t xml:space="preserve"> to </w:t>
      </w:r>
      <w:r>
        <w:t>another service</w:t>
      </w:r>
      <w:r w:rsidRPr="00B01DE0">
        <w:t xml:space="preserve"> </w:t>
      </w:r>
      <w:r>
        <w:t>such as jobactive or Disability Employment Services instead of commencing in TtW</w:t>
      </w:r>
      <w:r w:rsidRPr="00B01DE0">
        <w:t xml:space="preserve">. This </w:t>
      </w:r>
      <w:r>
        <w:t xml:space="preserve">was </w:t>
      </w:r>
      <w:r w:rsidRPr="00B01DE0">
        <w:t>not accounted for in this analysis.</w:t>
      </w:r>
    </w:p>
  </w:footnote>
  <w:footnote w:id="26">
    <w:p w14:paraId="213D6F35" w14:textId="77777777" w:rsidR="00415050" w:rsidRDefault="00415050" w:rsidP="00CC4E3D">
      <w:pPr>
        <w:pStyle w:val="FootnoteText"/>
      </w:pPr>
      <w:r>
        <w:rPr>
          <w:rStyle w:val="FootnoteReference"/>
        </w:rPr>
        <w:footnoteRef/>
      </w:r>
      <w:r>
        <w:t xml:space="preserve"> Recent changes to compliance means an income support payment is not paid until an initial appointment is attended.</w:t>
      </w:r>
    </w:p>
  </w:footnote>
  <w:footnote w:id="27">
    <w:p w14:paraId="4CDFFEB3" w14:textId="77777777" w:rsidR="00415050" w:rsidRDefault="00415050" w:rsidP="00CC4E3D">
      <w:pPr>
        <w:pStyle w:val="FootnoteText"/>
      </w:pPr>
      <w:r>
        <w:rPr>
          <w:rStyle w:val="FootnoteReference"/>
        </w:rPr>
        <w:footnoteRef/>
      </w:r>
      <w:r>
        <w:t xml:space="preserve"> Most exits from TtW happen automatically (effective exit) for reasons such as stopping or changing income support payments, changing to another employment service, death or imprisonment. Providers can initiate a manual e</w:t>
      </w:r>
      <w:r w:rsidRPr="00B80BDB">
        <w:t xml:space="preserve">xit </w:t>
      </w:r>
      <w:r>
        <w:t>(provider exit). They must record reasons for exits and non-commencements.</w:t>
      </w:r>
    </w:p>
  </w:footnote>
  <w:footnote w:id="28">
    <w:p w14:paraId="483AE694" w14:textId="77777777" w:rsidR="00415050" w:rsidRPr="0096051F" w:rsidRDefault="00415050" w:rsidP="00CC4E3D">
      <w:pPr>
        <w:pStyle w:val="FootnoteText"/>
        <w:rPr>
          <w:lang w:val="en-US"/>
        </w:rPr>
      </w:pPr>
      <w:r>
        <w:rPr>
          <w:rStyle w:val="FootnoteReference"/>
        </w:rPr>
        <w:footnoteRef/>
      </w:r>
      <w:r>
        <w:t xml:space="preserve"> </w:t>
      </w:r>
      <w:r>
        <w:rPr>
          <w:lang w:val="en-US"/>
        </w:rPr>
        <w:t>Only job seekers who volunteer to participate in jobactive have the option to request to exit.</w:t>
      </w:r>
    </w:p>
  </w:footnote>
  <w:footnote w:id="29">
    <w:p w14:paraId="16AC9588" w14:textId="77777777" w:rsidR="00415050" w:rsidRDefault="00415050" w:rsidP="00CC4E3D">
      <w:pPr>
        <w:pStyle w:val="FootnoteText"/>
      </w:pPr>
      <w:r>
        <w:rPr>
          <w:rStyle w:val="FootnoteReference"/>
        </w:rPr>
        <w:footnoteRef/>
      </w:r>
      <w:r>
        <w:t xml:space="preserve"> Only suitable jobactive Stream C participants are eligible to be referred to TtW.</w:t>
      </w:r>
    </w:p>
  </w:footnote>
  <w:footnote w:id="30">
    <w:p w14:paraId="75F14D1B" w14:textId="77777777" w:rsidR="00415050" w:rsidRDefault="00415050" w:rsidP="00CC4E3D">
      <w:pPr>
        <w:pStyle w:val="FootnoteText"/>
      </w:pPr>
      <w:r>
        <w:rPr>
          <w:rStyle w:val="FootnoteReference"/>
        </w:rPr>
        <w:footnoteRef/>
      </w:r>
      <w:r>
        <w:t xml:space="preserve"> Includes only the four outcome types counted towards Outcome Performance Target shown in Figure 5.2.</w:t>
      </w:r>
    </w:p>
  </w:footnote>
  <w:footnote w:id="31">
    <w:p w14:paraId="452808AF" w14:textId="77777777" w:rsidR="00415050" w:rsidRDefault="00415050" w:rsidP="00CC4E3D">
      <w:pPr>
        <w:pStyle w:val="FootnoteText"/>
      </w:pPr>
      <w:r>
        <w:rPr>
          <w:rStyle w:val="FootnoteReference"/>
        </w:rPr>
        <w:footnoteRef/>
      </w:r>
      <w:r>
        <w:t xml:space="preserve"> The majority of TtW participants undertook Certificate III training which is a one-year course. </w:t>
      </w:r>
    </w:p>
  </w:footnote>
  <w:footnote w:id="32">
    <w:p w14:paraId="2BE1EF6D" w14:textId="77777777" w:rsidR="00415050" w:rsidRDefault="00415050" w:rsidP="00CC4E3D">
      <w:pPr>
        <w:pStyle w:val="FootnoteText"/>
      </w:pPr>
      <w:r>
        <w:rPr>
          <w:rStyle w:val="FootnoteReference"/>
        </w:rPr>
        <w:footnoteRef/>
      </w:r>
      <w:r>
        <w:t xml:space="preserve"> Participants with pre-existing employment must </w:t>
      </w:r>
      <w:r w:rsidRPr="00474F26">
        <w:t>achieve 10</w:t>
      </w:r>
      <w:r>
        <w:t>0 </w:t>
      </w:r>
      <w:r w:rsidRPr="00474F26">
        <w:t>per cent income support reduction</w:t>
      </w:r>
      <w:r>
        <w:t xml:space="preserve"> (i.e. income support cancelled) to qualify for an employment outcome.</w:t>
      </w:r>
    </w:p>
  </w:footnote>
  <w:footnote w:id="33">
    <w:p w14:paraId="15AAF7E0" w14:textId="77777777" w:rsidR="00415050" w:rsidRDefault="00415050" w:rsidP="00CC4E3D">
      <w:pPr>
        <w:pStyle w:val="FootnoteText"/>
      </w:pPr>
      <w:r>
        <w:rPr>
          <w:rStyle w:val="FootnoteReference"/>
        </w:rPr>
        <w:footnoteRef/>
      </w:r>
      <w:r>
        <w:t xml:space="preserve"> Not all reasons for exit from income support are positive, for example, incarceration or death.</w:t>
      </w:r>
    </w:p>
  </w:footnote>
  <w:footnote w:id="34">
    <w:p w14:paraId="5AF40698" w14:textId="77777777" w:rsidR="00415050" w:rsidRDefault="00415050" w:rsidP="00CC4E3D">
      <w:pPr>
        <w:pStyle w:val="FootnoteText"/>
      </w:pPr>
      <w:r w:rsidRPr="00754357">
        <w:rPr>
          <w:rStyle w:val="FootnoteReference"/>
        </w:rPr>
        <w:footnoteRef/>
      </w:r>
      <w:r w:rsidRPr="00754357">
        <w:t xml:space="preserve"> The odds ratio </w:t>
      </w:r>
      <w:r w:rsidRPr="006F203D">
        <w:t>of labour market attachment is the relative measure in chance of achieving a labour market attachment of participating in TtW compared with participating in jobactive. An odds ratio greater than 1 indicates that TtW participants are more likely to achieve a labour market attachment than jobactive participants; the reverse is true for odds ratios less than 1</w:t>
      </w:r>
      <w:r w:rsidRPr="00E92C5F">
        <w:t>.</w:t>
      </w:r>
    </w:p>
  </w:footnote>
  <w:footnote w:id="35">
    <w:p w14:paraId="5EADD43A" w14:textId="77777777" w:rsidR="00415050" w:rsidRDefault="00415050" w:rsidP="00CC4E3D">
      <w:pPr>
        <w:pStyle w:val="FootnoteText"/>
      </w:pPr>
      <w:r>
        <w:rPr>
          <w:rStyle w:val="FootnoteReference"/>
        </w:rPr>
        <w:footnoteRef/>
      </w:r>
      <w:r>
        <w:t xml:space="preserve"> For comparability, all Group </w:t>
      </w:r>
      <w:r w:rsidRPr="008B4954">
        <w:t>Three participants and the first month</w:t>
      </w:r>
      <w:r>
        <w:t>’s referrals for each TtW provider were excluded.</w:t>
      </w:r>
    </w:p>
  </w:footnote>
  <w:footnote w:id="36">
    <w:p w14:paraId="4DB39B32" w14:textId="77777777" w:rsidR="00415050" w:rsidRDefault="00415050" w:rsidP="00CC4E3D">
      <w:pPr>
        <w:pStyle w:val="FootnoteText"/>
      </w:pPr>
      <w:r>
        <w:rPr>
          <w:rStyle w:val="FootnoteReference"/>
        </w:rPr>
        <w:footnoteRef/>
      </w:r>
      <w:r>
        <w:t xml:space="preserve"> There are many reasons why young people may not commence in services, including finding employment, moving to full-time study, caring responsibilities, moving house, partnering, living at home with parents or having an income support claim rejected.</w:t>
      </w:r>
    </w:p>
  </w:footnote>
  <w:footnote w:id="37">
    <w:p w14:paraId="7E55BD1A" w14:textId="600374BC" w:rsidR="00415050" w:rsidRDefault="00415050" w:rsidP="00CC4E3D">
      <w:pPr>
        <w:pStyle w:val="FootnoteText"/>
      </w:pPr>
      <w:r>
        <w:rPr>
          <w:rStyle w:val="FootnoteReference"/>
        </w:rPr>
        <w:footnoteRef/>
      </w:r>
      <w:r>
        <w:t xml:space="preserve"> The 12 cumulative weeks are not required to be consecutive but the department’s IT system requires that employment outcomes satisfy the </w:t>
      </w:r>
      <w:r w:rsidRPr="00D92EC9">
        <w:t>criteria</w:t>
      </w:r>
      <w:r>
        <w:t xml:space="preserve"> for at least two DHS fortnights at a time. Multiple job placements with different employers can count towards one employment outcome.</w:t>
      </w:r>
    </w:p>
  </w:footnote>
  <w:footnote w:id="38">
    <w:p w14:paraId="3A449CE2" w14:textId="77777777" w:rsidR="00415050" w:rsidRDefault="00415050" w:rsidP="00CC4E3D">
      <w:pPr>
        <w:pStyle w:val="FootnoteText"/>
      </w:pPr>
      <w:r>
        <w:rPr>
          <w:rStyle w:val="FootnoteReference"/>
        </w:rPr>
        <w:footnoteRef/>
      </w:r>
      <w:r>
        <w:t xml:space="preserve"> ABS Cat. No. </w:t>
      </w:r>
      <w:r>
        <w:rPr>
          <w:lang w:val="en"/>
        </w:rPr>
        <w:t>4102.0—Australian Social Trends, April 2013.</w:t>
      </w:r>
    </w:p>
  </w:footnote>
  <w:footnote w:id="39">
    <w:p w14:paraId="75436F7A" w14:textId="77777777" w:rsidR="00415050" w:rsidRDefault="00415050" w:rsidP="00CC4E3D">
      <w:pPr>
        <w:pStyle w:val="FootnoteText"/>
      </w:pPr>
      <w:r>
        <w:rPr>
          <w:rStyle w:val="FootnoteReference"/>
        </w:rPr>
        <w:footnoteRef/>
      </w:r>
      <w:r>
        <w:t xml:space="preserve"> Does not include earnings for young people who have exited to employment and are no longer eligible for income support.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4C4FD" w14:textId="77777777" w:rsidR="008808DB" w:rsidRDefault="008808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9C15A" w14:textId="77777777" w:rsidR="008808DB" w:rsidRDefault="008808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6EA02" w14:textId="77777777" w:rsidR="008808DB" w:rsidRDefault="008808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07649" w14:textId="77777777" w:rsidR="00415050" w:rsidRDefault="00415050" w:rsidP="00560CA0">
    <w:pPr>
      <w:pStyle w:val="Header"/>
      <w:jc w:val="right"/>
    </w:pPr>
    <w:r w:rsidRPr="001A5BB6">
      <w:t>Transition to Work Interim Evaluation Report</w:t>
    </w:r>
    <w:r>
      <w:t xml:space="preserve"> </w:t>
    </w:r>
  </w:p>
  <w:p w14:paraId="6AB6B77E" w14:textId="77777777" w:rsidR="00415050" w:rsidRDefault="0041505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304A6" w14:textId="77777777" w:rsidR="00415050" w:rsidRDefault="0041505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39394" w14:textId="77777777" w:rsidR="00415050" w:rsidRDefault="0041505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A3FBE" w14:textId="77777777" w:rsidR="00415050" w:rsidRDefault="004150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02BC"/>
    <w:multiLevelType w:val="hybridMultilevel"/>
    <w:tmpl w:val="7CBA91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DB3F59"/>
    <w:multiLevelType w:val="hybridMultilevel"/>
    <w:tmpl w:val="B3288F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E757AD"/>
    <w:multiLevelType w:val="hybridMultilevel"/>
    <w:tmpl w:val="8582625C"/>
    <w:lvl w:ilvl="0" w:tplc="FFCCDC44">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A4689A"/>
    <w:multiLevelType w:val="hybridMultilevel"/>
    <w:tmpl w:val="6D34F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5" w15:restartNumberingAfterBreak="0">
    <w:nsid w:val="16C65AEF"/>
    <w:multiLevelType w:val="hybridMultilevel"/>
    <w:tmpl w:val="F62465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E2233ED"/>
    <w:multiLevelType w:val="hybridMultilevel"/>
    <w:tmpl w:val="8AAEC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683132"/>
    <w:multiLevelType w:val="multilevel"/>
    <w:tmpl w:val="085C09B0"/>
    <w:lvl w:ilvl="0">
      <w:start w:val="1"/>
      <w:numFmt w:val="bullet"/>
      <w:lvlText w:val=""/>
      <w:lvlJc w:val="left"/>
      <w:pPr>
        <w:ind w:left="502" w:hanging="360"/>
      </w:pPr>
      <w:rPr>
        <w:rFonts w:ascii="Symbol" w:hAnsi="Symbol" w:hint="default"/>
      </w:rPr>
    </w:lvl>
    <w:lvl w:ilvl="1">
      <w:start w:val="1"/>
      <w:numFmt w:val="bullet"/>
      <w:lvlText w:val="o"/>
      <w:lvlJc w:val="left"/>
      <w:pPr>
        <w:ind w:left="737" w:hanging="340"/>
      </w:pPr>
      <w:rPr>
        <w:rFonts w:ascii="Courier New" w:hAnsi="Courier New" w:cs="Courier New"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3B0732AD"/>
    <w:multiLevelType w:val="multilevel"/>
    <w:tmpl w:val="F6DA8B3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46253266"/>
    <w:multiLevelType w:val="multilevel"/>
    <w:tmpl w:val="7424E47E"/>
    <w:styleLink w:val="Bullets"/>
    <w:lvl w:ilvl="0">
      <w:start w:val="1"/>
      <w:numFmt w:val="bullet"/>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B1C0B8F"/>
    <w:multiLevelType w:val="hybridMultilevel"/>
    <w:tmpl w:val="52E810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657756F"/>
    <w:multiLevelType w:val="hybridMultilevel"/>
    <w:tmpl w:val="EEF282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83C0EB5"/>
    <w:multiLevelType w:val="hybridMultilevel"/>
    <w:tmpl w:val="0B16ACE6"/>
    <w:lvl w:ilvl="0" w:tplc="EDEAAC4A">
      <w:start w:val="1"/>
      <w:numFmt w:val="decimal"/>
      <w:pStyle w:val="Question"/>
      <w:lvlText w:val="%1."/>
      <w:lvlJc w:val="left"/>
      <w:pPr>
        <w:tabs>
          <w:tab w:val="num" w:pos="360"/>
        </w:tabs>
        <w:ind w:left="360" w:hanging="360"/>
      </w:pPr>
      <w:rPr>
        <w:rFonts w:cs="Times New Roman" w:hint="default"/>
        <w:b w:val="0"/>
        <w:i w:val="0"/>
      </w:rPr>
    </w:lvl>
    <w:lvl w:ilvl="1" w:tplc="D7EC07F6">
      <w:start w:val="1"/>
      <w:numFmt w:val="lowerLetter"/>
      <w:lvlText w:val="%2."/>
      <w:lvlJc w:val="left"/>
      <w:pPr>
        <w:tabs>
          <w:tab w:val="num" w:pos="1440"/>
        </w:tabs>
        <w:ind w:left="1440" w:hanging="360"/>
      </w:pPr>
      <w:rPr>
        <w:rFonts w:ascii="Arial" w:hAnsi="Arial" w:cs="Symbol" w:hint="default"/>
        <w:b w:val="0"/>
        <w:i w:val="0"/>
        <w:sz w:val="22"/>
        <w:szCs w:val="22"/>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13" w15:restartNumberingAfterBreak="0">
    <w:nsid w:val="691C347A"/>
    <w:multiLevelType w:val="multilevel"/>
    <w:tmpl w:val="BF3629C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862"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2811FFF"/>
    <w:multiLevelType w:val="hybridMultilevel"/>
    <w:tmpl w:val="80244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8B916EC"/>
    <w:multiLevelType w:val="multilevel"/>
    <w:tmpl w:val="C652B1BA"/>
    <w:styleLink w:val="StyleBulletedLime"/>
    <w:lvl w:ilvl="0">
      <w:start w:val="1"/>
      <w:numFmt w:val="bullet"/>
      <w:lvlText w:val=""/>
      <w:lvlJc w:val="left"/>
      <w:pPr>
        <w:tabs>
          <w:tab w:val="num" w:pos="720"/>
        </w:tabs>
        <w:ind w:left="720" w:hanging="360"/>
      </w:pPr>
      <w:rPr>
        <w:rFonts w:ascii="Symbol" w:hAnsi="Symbol" w:hint="default"/>
        <w:color w:val="A7B60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F77449"/>
    <w:multiLevelType w:val="hybridMultilevel"/>
    <w:tmpl w:val="D0E0ADDA"/>
    <w:lvl w:ilvl="0" w:tplc="DBB65BCC">
      <w:start w:val="1"/>
      <w:numFmt w:val="decimal"/>
      <w:pStyle w:val="Bibliography"/>
      <w:lvlText w:val="%1."/>
      <w:lvlJc w:val="left"/>
      <w:pPr>
        <w:tabs>
          <w:tab w:val="num" w:pos="360"/>
        </w:tabs>
        <w:ind w:left="360" w:hanging="360"/>
      </w:pPr>
      <w:rPr>
        <w:rFonts w:ascii="Arial" w:hAnsi="Arial" w:cs="Times New Roman"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7D0E53D4"/>
    <w:multiLevelType w:val="multilevel"/>
    <w:tmpl w:val="9D9E4B96"/>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7"/>
  </w:num>
  <w:num w:numId="4">
    <w:abstractNumId w:val="13"/>
  </w:num>
  <w:num w:numId="5">
    <w:abstractNumId w:val="9"/>
  </w:num>
  <w:num w:numId="6">
    <w:abstractNumId w:val="15"/>
  </w:num>
  <w:num w:numId="7">
    <w:abstractNumId w:val="16"/>
  </w:num>
  <w:num w:numId="8">
    <w:abstractNumId w:val="12"/>
  </w:num>
  <w:num w:numId="9">
    <w:abstractNumId w:val="10"/>
  </w:num>
  <w:num w:numId="10">
    <w:abstractNumId w:val="7"/>
  </w:num>
  <w:num w:numId="11">
    <w:abstractNumId w:val="1"/>
  </w:num>
  <w:num w:numId="12">
    <w:abstractNumId w:val="3"/>
  </w:num>
  <w:num w:numId="13">
    <w:abstractNumId w:val="14"/>
  </w:num>
  <w:num w:numId="14">
    <w:abstractNumId w:val="6"/>
  </w:num>
  <w:num w:numId="15">
    <w:abstractNumId w:val="2"/>
  </w:num>
  <w:num w:numId="16">
    <w:abstractNumId w:val="4"/>
  </w:num>
  <w:num w:numId="17">
    <w:abstractNumId w:val="5"/>
  </w:num>
  <w:num w:numId="18">
    <w:abstractNumId w:val="0"/>
  </w:num>
  <w:num w:numId="19">
    <w:abstractNumId w:val="11"/>
  </w:num>
  <w:num w:numId="20">
    <w:abstractNumId w:val="17"/>
  </w:num>
  <w:num w:numId="21">
    <w:abstractNumId w:val="17"/>
  </w:num>
  <w:num w:numId="22">
    <w:abstractNumId w:val="17"/>
  </w:num>
  <w:num w:numId="23">
    <w:abstractNumId w:val="17"/>
  </w:num>
  <w:num w:numId="24">
    <w:abstractNumId w:val="17"/>
  </w:num>
  <w:num w:numId="25">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CC4E3D"/>
    <w:rsid w:val="00002721"/>
    <w:rsid w:val="00024E24"/>
    <w:rsid w:val="00034EAA"/>
    <w:rsid w:val="0004119B"/>
    <w:rsid w:val="000756CD"/>
    <w:rsid w:val="000769DB"/>
    <w:rsid w:val="00082F50"/>
    <w:rsid w:val="000861A6"/>
    <w:rsid w:val="00086508"/>
    <w:rsid w:val="000A3E79"/>
    <w:rsid w:val="000D2363"/>
    <w:rsid w:val="000E7E7B"/>
    <w:rsid w:val="000F3BA2"/>
    <w:rsid w:val="000F4264"/>
    <w:rsid w:val="001030D7"/>
    <w:rsid w:val="0010508D"/>
    <w:rsid w:val="001101A0"/>
    <w:rsid w:val="001103CF"/>
    <w:rsid w:val="001175BF"/>
    <w:rsid w:val="00130923"/>
    <w:rsid w:val="001414F3"/>
    <w:rsid w:val="00143FCD"/>
    <w:rsid w:val="00172A88"/>
    <w:rsid w:val="00184005"/>
    <w:rsid w:val="00191B04"/>
    <w:rsid w:val="001A3977"/>
    <w:rsid w:val="001B0CCF"/>
    <w:rsid w:val="001B1475"/>
    <w:rsid w:val="001B6467"/>
    <w:rsid w:val="001C25D9"/>
    <w:rsid w:val="001D3453"/>
    <w:rsid w:val="001D72B7"/>
    <w:rsid w:val="001D755D"/>
    <w:rsid w:val="001E0572"/>
    <w:rsid w:val="001F1C07"/>
    <w:rsid w:val="001F4939"/>
    <w:rsid w:val="00205968"/>
    <w:rsid w:val="00210DE0"/>
    <w:rsid w:val="002142DA"/>
    <w:rsid w:val="0022144F"/>
    <w:rsid w:val="00223EB1"/>
    <w:rsid w:val="002256E4"/>
    <w:rsid w:val="00236917"/>
    <w:rsid w:val="00237A5D"/>
    <w:rsid w:val="00243D6B"/>
    <w:rsid w:val="00263855"/>
    <w:rsid w:val="00263EF6"/>
    <w:rsid w:val="00282056"/>
    <w:rsid w:val="00285EC5"/>
    <w:rsid w:val="002B06E6"/>
    <w:rsid w:val="002B3DC2"/>
    <w:rsid w:val="002C66D6"/>
    <w:rsid w:val="002C7B35"/>
    <w:rsid w:val="002D0011"/>
    <w:rsid w:val="002D059F"/>
    <w:rsid w:val="002D1135"/>
    <w:rsid w:val="002D271F"/>
    <w:rsid w:val="002D49E6"/>
    <w:rsid w:val="002D6386"/>
    <w:rsid w:val="002E6392"/>
    <w:rsid w:val="002F1AAB"/>
    <w:rsid w:val="00305B35"/>
    <w:rsid w:val="00307EFD"/>
    <w:rsid w:val="00311C8F"/>
    <w:rsid w:val="003166C5"/>
    <w:rsid w:val="00321F0D"/>
    <w:rsid w:val="00322394"/>
    <w:rsid w:val="003242B9"/>
    <w:rsid w:val="003405CC"/>
    <w:rsid w:val="003552EF"/>
    <w:rsid w:val="00360C23"/>
    <w:rsid w:val="0037327B"/>
    <w:rsid w:val="00376321"/>
    <w:rsid w:val="003D67FC"/>
    <w:rsid w:val="00406E5A"/>
    <w:rsid w:val="00415050"/>
    <w:rsid w:val="0041642D"/>
    <w:rsid w:val="00421C2C"/>
    <w:rsid w:val="00425AE3"/>
    <w:rsid w:val="00433B19"/>
    <w:rsid w:val="00435B7B"/>
    <w:rsid w:val="00455B34"/>
    <w:rsid w:val="0048762C"/>
    <w:rsid w:val="00493F56"/>
    <w:rsid w:val="004A760F"/>
    <w:rsid w:val="004B256F"/>
    <w:rsid w:val="004C7BB9"/>
    <w:rsid w:val="004E6DDE"/>
    <w:rsid w:val="0050682D"/>
    <w:rsid w:val="00507BF4"/>
    <w:rsid w:val="00511014"/>
    <w:rsid w:val="005113B6"/>
    <w:rsid w:val="005129AA"/>
    <w:rsid w:val="00521855"/>
    <w:rsid w:val="00531817"/>
    <w:rsid w:val="00542D43"/>
    <w:rsid w:val="005501BD"/>
    <w:rsid w:val="005509D4"/>
    <w:rsid w:val="00560CA0"/>
    <w:rsid w:val="0056236F"/>
    <w:rsid w:val="005624F3"/>
    <w:rsid w:val="00571D8C"/>
    <w:rsid w:val="005757C9"/>
    <w:rsid w:val="005811EF"/>
    <w:rsid w:val="00584217"/>
    <w:rsid w:val="0059144E"/>
    <w:rsid w:val="00591A54"/>
    <w:rsid w:val="005965A3"/>
    <w:rsid w:val="005A1B8D"/>
    <w:rsid w:val="005B00C4"/>
    <w:rsid w:val="005B0878"/>
    <w:rsid w:val="005C15C0"/>
    <w:rsid w:val="005D0E02"/>
    <w:rsid w:val="005D7747"/>
    <w:rsid w:val="005E1673"/>
    <w:rsid w:val="005E4ABC"/>
    <w:rsid w:val="005F03D1"/>
    <w:rsid w:val="00610654"/>
    <w:rsid w:val="006129EF"/>
    <w:rsid w:val="006172EB"/>
    <w:rsid w:val="006318B9"/>
    <w:rsid w:val="00636DD3"/>
    <w:rsid w:val="006440AD"/>
    <w:rsid w:val="0067026C"/>
    <w:rsid w:val="006809BF"/>
    <w:rsid w:val="00692776"/>
    <w:rsid w:val="00692E2A"/>
    <w:rsid w:val="006C4962"/>
    <w:rsid w:val="006D27EB"/>
    <w:rsid w:val="006E2D49"/>
    <w:rsid w:val="006E50D4"/>
    <w:rsid w:val="006E7E91"/>
    <w:rsid w:val="006F56CC"/>
    <w:rsid w:val="00702ADF"/>
    <w:rsid w:val="007138B3"/>
    <w:rsid w:val="00715A1E"/>
    <w:rsid w:val="007242E1"/>
    <w:rsid w:val="00742E6F"/>
    <w:rsid w:val="007468FC"/>
    <w:rsid w:val="00756759"/>
    <w:rsid w:val="00792CA3"/>
    <w:rsid w:val="007A3C0C"/>
    <w:rsid w:val="007B0FBF"/>
    <w:rsid w:val="007B210B"/>
    <w:rsid w:val="007B2FDD"/>
    <w:rsid w:val="007B46C9"/>
    <w:rsid w:val="007C6FB8"/>
    <w:rsid w:val="007D58FB"/>
    <w:rsid w:val="00804665"/>
    <w:rsid w:val="00814228"/>
    <w:rsid w:val="0083468A"/>
    <w:rsid w:val="00842D43"/>
    <w:rsid w:val="00856D1C"/>
    <w:rsid w:val="00874DBB"/>
    <w:rsid w:val="00876AC0"/>
    <w:rsid w:val="008808DB"/>
    <w:rsid w:val="008924EC"/>
    <w:rsid w:val="0089638B"/>
    <w:rsid w:val="008A6413"/>
    <w:rsid w:val="008D4385"/>
    <w:rsid w:val="008F775D"/>
    <w:rsid w:val="0090059B"/>
    <w:rsid w:val="00903408"/>
    <w:rsid w:val="009116EA"/>
    <w:rsid w:val="00933671"/>
    <w:rsid w:val="00933C0C"/>
    <w:rsid w:val="0096058A"/>
    <w:rsid w:val="0096483F"/>
    <w:rsid w:val="009659CB"/>
    <w:rsid w:val="0096779D"/>
    <w:rsid w:val="00972BF7"/>
    <w:rsid w:val="00972DD5"/>
    <w:rsid w:val="00984879"/>
    <w:rsid w:val="00985632"/>
    <w:rsid w:val="0099143C"/>
    <w:rsid w:val="00991B63"/>
    <w:rsid w:val="009A07D4"/>
    <w:rsid w:val="009B2428"/>
    <w:rsid w:val="009B324F"/>
    <w:rsid w:val="009B5522"/>
    <w:rsid w:val="009B5CB7"/>
    <w:rsid w:val="009C06E3"/>
    <w:rsid w:val="009C0E68"/>
    <w:rsid w:val="009C5738"/>
    <w:rsid w:val="009C61E7"/>
    <w:rsid w:val="009E335A"/>
    <w:rsid w:val="009E37F6"/>
    <w:rsid w:val="009F5CF5"/>
    <w:rsid w:val="00A12384"/>
    <w:rsid w:val="00A21FB0"/>
    <w:rsid w:val="00A2727A"/>
    <w:rsid w:val="00A31242"/>
    <w:rsid w:val="00A35435"/>
    <w:rsid w:val="00A43011"/>
    <w:rsid w:val="00A52530"/>
    <w:rsid w:val="00A53A25"/>
    <w:rsid w:val="00A551BF"/>
    <w:rsid w:val="00A70524"/>
    <w:rsid w:val="00A73406"/>
    <w:rsid w:val="00A75A0C"/>
    <w:rsid w:val="00A9672C"/>
    <w:rsid w:val="00A97430"/>
    <w:rsid w:val="00AC1C42"/>
    <w:rsid w:val="00AC1F6C"/>
    <w:rsid w:val="00AC65DA"/>
    <w:rsid w:val="00AE10EA"/>
    <w:rsid w:val="00AE5F3B"/>
    <w:rsid w:val="00B050B7"/>
    <w:rsid w:val="00B050C3"/>
    <w:rsid w:val="00B14721"/>
    <w:rsid w:val="00B2722A"/>
    <w:rsid w:val="00B566DB"/>
    <w:rsid w:val="00B618BA"/>
    <w:rsid w:val="00B75F36"/>
    <w:rsid w:val="00B80E9F"/>
    <w:rsid w:val="00B8596E"/>
    <w:rsid w:val="00BA282D"/>
    <w:rsid w:val="00BB5489"/>
    <w:rsid w:val="00BB6260"/>
    <w:rsid w:val="00BC70FE"/>
    <w:rsid w:val="00BF10F4"/>
    <w:rsid w:val="00C02E4D"/>
    <w:rsid w:val="00C05E74"/>
    <w:rsid w:val="00C077C9"/>
    <w:rsid w:val="00C10516"/>
    <w:rsid w:val="00C10C19"/>
    <w:rsid w:val="00C143B8"/>
    <w:rsid w:val="00C14C50"/>
    <w:rsid w:val="00C169F7"/>
    <w:rsid w:val="00C17D02"/>
    <w:rsid w:val="00C22472"/>
    <w:rsid w:val="00C2653A"/>
    <w:rsid w:val="00C3328C"/>
    <w:rsid w:val="00C36651"/>
    <w:rsid w:val="00C55A06"/>
    <w:rsid w:val="00C5649C"/>
    <w:rsid w:val="00C63B89"/>
    <w:rsid w:val="00C64A88"/>
    <w:rsid w:val="00C75486"/>
    <w:rsid w:val="00C8202C"/>
    <w:rsid w:val="00C8498E"/>
    <w:rsid w:val="00C92A5B"/>
    <w:rsid w:val="00CA46EC"/>
    <w:rsid w:val="00CA730A"/>
    <w:rsid w:val="00CC4E3D"/>
    <w:rsid w:val="00CE0919"/>
    <w:rsid w:val="00CF510D"/>
    <w:rsid w:val="00CF5A00"/>
    <w:rsid w:val="00D05B29"/>
    <w:rsid w:val="00D1394D"/>
    <w:rsid w:val="00D14F5C"/>
    <w:rsid w:val="00D24526"/>
    <w:rsid w:val="00D40252"/>
    <w:rsid w:val="00D40E35"/>
    <w:rsid w:val="00D46081"/>
    <w:rsid w:val="00D47740"/>
    <w:rsid w:val="00D5218C"/>
    <w:rsid w:val="00D756C0"/>
    <w:rsid w:val="00D812B9"/>
    <w:rsid w:val="00D842C0"/>
    <w:rsid w:val="00D84A2A"/>
    <w:rsid w:val="00D8690C"/>
    <w:rsid w:val="00D903FD"/>
    <w:rsid w:val="00D91CBF"/>
    <w:rsid w:val="00D94BC5"/>
    <w:rsid w:val="00D96B09"/>
    <w:rsid w:val="00D96C08"/>
    <w:rsid w:val="00D9771E"/>
    <w:rsid w:val="00DA4492"/>
    <w:rsid w:val="00DC3052"/>
    <w:rsid w:val="00DC76D7"/>
    <w:rsid w:val="00DF15E5"/>
    <w:rsid w:val="00DF1A56"/>
    <w:rsid w:val="00DF46C4"/>
    <w:rsid w:val="00E31FDD"/>
    <w:rsid w:val="00E61B9F"/>
    <w:rsid w:val="00E73D3E"/>
    <w:rsid w:val="00E803E7"/>
    <w:rsid w:val="00E91959"/>
    <w:rsid w:val="00EA381E"/>
    <w:rsid w:val="00EB07E1"/>
    <w:rsid w:val="00EC64C4"/>
    <w:rsid w:val="00EC78E7"/>
    <w:rsid w:val="00ED43D2"/>
    <w:rsid w:val="00ED652C"/>
    <w:rsid w:val="00EE3B8C"/>
    <w:rsid w:val="00EF36B1"/>
    <w:rsid w:val="00EF4A38"/>
    <w:rsid w:val="00F00750"/>
    <w:rsid w:val="00F11B8F"/>
    <w:rsid w:val="00F27DF7"/>
    <w:rsid w:val="00F362C8"/>
    <w:rsid w:val="00F4277E"/>
    <w:rsid w:val="00F44ADC"/>
    <w:rsid w:val="00F50321"/>
    <w:rsid w:val="00F6751C"/>
    <w:rsid w:val="00F74011"/>
    <w:rsid w:val="00F80F77"/>
    <w:rsid w:val="00F849AD"/>
    <w:rsid w:val="00F975AB"/>
    <w:rsid w:val="00FA3747"/>
    <w:rsid w:val="00FA4E6A"/>
    <w:rsid w:val="00FB10CB"/>
    <w:rsid w:val="00FC762C"/>
    <w:rsid w:val="00FD198F"/>
    <w:rsid w:val="00FD4CA8"/>
    <w:rsid w:val="00FE462E"/>
    <w:rsid w:val="00FF106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772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3CF"/>
  </w:style>
  <w:style w:type="paragraph" w:styleId="Heading1">
    <w:name w:val="heading 1"/>
    <w:basedOn w:val="Normal"/>
    <w:next w:val="Normal"/>
    <w:link w:val="Heading1Char"/>
    <w:uiPriority w:val="9"/>
    <w:qFormat/>
    <w:rsid w:val="001103CF"/>
    <w:pPr>
      <w:keepNext/>
      <w:spacing w:before="240" w:after="0" w:line="240" w:lineRule="auto"/>
      <w:outlineLvl w:val="0"/>
    </w:pPr>
    <w:rPr>
      <w:rFonts w:ascii="Calibri" w:eastAsiaTheme="majorEastAsia" w:hAnsi="Calibri" w:cstheme="majorBidi"/>
      <w:b/>
      <w:bCs/>
      <w:color w:val="287BB3"/>
      <w:sz w:val="40"/>
      <w:szCs w:val="48"/>
    </w:rPr>
  </w:style>
  <w:style w:type="paragraph" w:styleId="Heading2">
    <w:name w:val="heading 2"/>
    <w:basedOn w:val="Heading1"/>
    <w:next w:val="Normal"/>
    <w:link w:val="Heading2Char"/>
    <w:uiPriority w:val="9"/>
    <w:qFormat/>
    <w:rsid w:val="009E335A"/>
    <w:pPr>
      <w:spacing w:after="120"/>
      <w:outlineLvl w:val="1"/>
    </w:pPr>
    <w:rPr>
      <w:color w:val="auto"/>
      <w:sz w:val="28"/>
    </w:rPr>
  </w:style>
  <w:style w:type="paragraph" w:styleId="Heading3">
    <w:name w:val="heading 3"/>
    <w:basedOn w:val="Normal"/>
    <w:next w:val="Normal"/>
    <w:link w:val="Heading3Char"/>
    <w:uiPriority w:val="9"/>
    <w:qFormat/>
    <w:rsid w:val="00FD4CA8"/>
    <w:pPr>
      <w:keepNext/>
      <w:spacing w:before="240" w:after="0"/>
      <w:outlineLvl w:val="2"/>
    </w:pPr>
    <w:rPr>
      <w:rFonts w:eastAsiaTheme="majorEastAsia" w:cstheme="minorHAnsi"/>
      <w:b/>
      <w:bCs/>
      <w:color w:val="595959" w:themeColor="text1" w:themeTint="A6"/>
      <w:sz w:val="24"/>
      <w:szCs w:val="32"/>
    </w:rPr>
  </w:style>
  <w:style w:type="paragraph" w:styleId="Heading4">
    <w:name w:val="heading 4"/>
    <w:basedOn w:val="Heading5"/>
    <w:next w:val="Normal"/>
    <w:link w:val="Heading4Char"/>
    <w:uiPriority w:val="9"/>
    <w:qFormat/>
    <w:rsid w:val="00F80F77"/>
    <w:pPr>
      <w:outlineLvl w:val="3"/>
    </w:pPr>
  </w:style>
  <w:style w:type="paragraph" w:styleId="Heading5">
    <w:name w:val="heading 5"/>
    <w:basedOn w:val="Normal"/>
    <w:next w:val="Normal"/>
    <w:link w:val="Heading5Char"/>
    <w:uiPriority w:val="9"/>
    <w:qFormat/>
    <w:rsid w:val="00742E6F"/>
    <w:pPr>
      <w:keepNext/>
      <w:spacing w:before="200" w:after="0"/>
      <w:outlineLvl w:val="4"/>
    </w:pPr>
    <w:rPr>
      <w:rFonts w:ascii="Calibri" w:eastAsiaTheme="majorEastAsia" w:hAnsi="Calibri" w:cstheme="majorBidi"/>
      <w:b/>
      <w:bCs/>
      <w:color w:val="565656"/>
      <w:sz w:val="24"/>
      <w:szCs w:val="28"/>
    </w:rPr>
  </w:style>
  <w:style w:type="paragraph" w:styleId="Heading6">
    <w:name w:val="heading 6"/>
    <w:basedOn w:val="Normal"/>
    <w:next w:val="Normal"/>
    <w:link w:val="Heading6Char"/>
    <w:uiPriority w:val="9"/>
    <w:qFormat/>
    <w:rsid w:val="001C25D9"/>
    <w:pPr>
      <w:keepNext/>
      <w:spacing w:before="200" w:after="0"/>
      <w:outlineLvl w:val="5"/>
    </w:pPr>
    <w:rPr>
      <w:rFonts w:ascii="Calibri" w:eastAsiaTheme="majorEastAsia" w:hAnsi="Calibri" w:cstheme="majorBidi"/>
      <w:bCs/>
      <w:iCs/>
      <w:color w:val="287BB3"/>
      <w:sz w:val="24"/>
    </w:rPr>
  </w:style>
  <w:style w:type="paragraph" w:styleId="Heading7">
    <w:name w:val="heading 7"/>
    <w:basedOn w:val="Normal"/>
    <w:next w:val="Normal"/>
    <w:link w:val="Heading7Char"/>
    <w:uiPriority w:val="9"/>
    <w:unhideWhenUsed/>
    <w:qFormat/>
    <w:rsid w:val="006129EF"/>
    <w:pPr>
      <w:spacing w:after="0"/>
      <w:outlineLvl w:val="6"/>
    </w:pPr>
    <w:rPr>
      <w:rFonts w:ascii="Calibri" w:eastAsiaTheme="majorEastAsia" w:hAnsi="Calibri" w:cstheme="majorBidi"/>
      <w:iCs/>
      <w:sz w:val="20"/>
    </w:rPr>
  </w:style>
  <w:style w:type="paragraph" w:styleId="Heading8">
    <w:name w:val="heading 8"/>
    <w:basedOn w:val="Normal"/>
    <w:next w:val="Normal"/>
    <w:link w:val="Heading8Char"/>
    <w:uiPriority w:val="9"/>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rsid w:val="009116EA"/>
    <w:rPr>
      <w:i/>
      <w:iCs/>
      <w:caps w:val="0"/>
      <w:smallCaps w:val="0"/>
      <w:spacing w:val="5"/>
    </w:rPr>
  </w:style>
  <w:style w:type="character" w:styleId="Hyperlink">
    <w:name w:val="Hyperlink"/>
    <w:basedOn w:val="DefaultParagraphFont"/>
    <w:uiPriority w:val="99"/>
    <w:unhideWhenUsed/>
    <w:qFormat/>
    <w:rsid w:val="00C10C19"/>
    <w:rPr>
      <w:color w:val="165788" w:themeColor="hyperlink"/>
      <w:u w:val="single"/>
    </w:rPr>
  </w:style>
  <w:style w:type="paragraph" w:styleId="Quote">
    <w:name w:val="Quote"/>
    <w:basedOn w:val="Normal"/>
    <w:next w:val="Normal"/>
    <w:link w:val="QuoteChar"/>
    <w:uiPriority w:val="29"/>
    <w:qFormat/>
    <w:rsid w:val="00C05E74"/>
    <w:pPr>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1103CF"/>
    <w:rPr>
      <w:rFonts w:ascii="Calibri" w:eastAsiaTheme="majorEastAsia" w:hAnsi="Calibri" w:cstheme="majorBidi"/>
      <w:b/>
      <w:bCs/>
      <w:color w:val="287BB3"/>
      <w:sz w:val="40"/>
      <w:szCs w:val="48"/>
    </w:rPr>
  </w:style>
  <w:style w:type="character" w:customStyle="1" w:styleId="Heading2Char">
    <w:name w:val="Heading 2 Char"/>
    <w:basedOn w:val="DefaultParagraphFont"/>
    <w:link w:val="Heading2"/>
    <w:uiPriority w:val="9"/>
    <w:rsid w:val="009E335A"/>
    <w:rPr>
      <w:rFonts w:ascii="Calibri" w:eastAsiaTheme="majorEastAsia" w:hAnsi="Calibri" w:cstheme="majorBidi"/>
      <w:b/>
      <w:bCs/>
      <w:sz w:val="28"/>
      <w:szCs w:val="48"/>
    </w:rPr>
  </w:style>
  <w:style w:type="character" w:customStyle="1" w:styleId="Heading3Char">
    <w:name w:val="Heading 3 Char"/>
    <w:basedOn w:val="DefaultParagraphFont"/>
    <w:link w:val="Heading3"/>
    <w:uiPriority w:val="9"/>
    <w:rsid w:val="00FD4CA8"/>
    <w:rPr>
      <w:rFonts w:eastAsiaTheme="majorEastAsia" w:cstheme="minorHAnsi"/>
      <w:b/>
      <w:bCs/>
      <w:color w:val="595959" w:themeColor="text1" w:themeTint="A6"/>
      <w:sz w:val="24"/>
      <w:szCs w:val="32"/>
    </w:rPr>
  </w:style>
  <w:style w:type="character" w:customStyle="1" w:styleId="Heading4Char">
    <w:name w:val="Heading 4 Char"/>
    <w:basedOn w:val="DefaultParagraphFont"/>
    <w:link w:val="Heading4"/>
    <w:uiPriority w:val="9"/>
    <w:rsid w:val="00F80F77"/>
    <w:rPr>
      <w:rFonts w:ascii="Calibri" w:eastAsiaTheme="majorEastAsia" w:hAnsi="Calibri" w:cstheme="majorBidi"/>
      <w:b/>
      <w:bCs/>
      <w:color w:val="565656"/>
      <w:sz w:val="24"/>
      <w:szCs w:val="28"/>
    </w:rPr>
  </w:style>
  <w:style w:type="character" w:customStyle="1" w:styleId="Heading5Char">
    <w:name w:val="Heading 5 Char"/>
    <w:basedOn w:val="DefaultParagraphFont"/>
    <w:link w:val="Heading5"/>
    <w:uiPriority w:val="9"/>
    <w:rsid w:val="00742E6F"/>
    <w:rPr>
      <w:rFonts w:ascii="Calibri" w:eastAsiaTheme="majorEastAsia" w:hAnsi="Calibri" w:cstheme="majorBidi"/>
      <w:b/>
      <w:bCs/>
      <w:color w:val="565656"/>
      <w:sz w:val="24"/>
      <w:szCs w:val="28"/>
    </w:rPr>
  </w:style>
  <w:style w:type="character" w:customStyle="1" w:styleId="Heading6Char">
    <w:name w:val="Heading 6 Char"/>
    <w:basedOn w:val="DefaultParagraphFont"/>
    <w:link w:val="Heading6"/>
    <w:uiPriority w:val="9"/>
    <w:rsid w:val="001C25D9"/>
    <w:rPr>
      <w:rFonts w:ascii="Calibri" w:eastAsiaTheme="majorEastAsia" w:hAnsi="Calibri" w:cstheme="majorBidi"/>
      <w:bCs/>
      <w:iCs/>
      <w:color w:val="287BB3"/>
      <w:sz w:val="24"/>
    </w:rPr>
  </w:style>
  <w:style w:type="character" w:customStyle="1" w:styleId="Heading7Char">
    <w:name w:val="Heading 7 Char"/>
    <w:basedOn w:val="DefaultParagraphFont"/>
    <w:link w:val="Heading7"/>
    <w:uiPriority w:val="9"/>
    <w:rsid w:val="006129EF"/>
    <w:rPr>
      <w:rFonts w:ascii="Calibri" w:eastAsiaTheme="majorEastAsia" w:hAnsi="Calibri" w:cstheme="majorBidi"/>
      <w:iCs/>
      <w:sz w:val="20"/>
    </w:rPr>
  </w:style>
  <w:style w:type="character" w:customStyle="1" w:styleId="Heading8Char">
    <w:name w:val="Heading 8 Char"/>
    <w:basedOn w:val="DefaultParagraphFont"/>
    <w:link w:val="Heading8"/>
    <w:uiPriority w:val="9"/>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qFormat/>
    <w:rsid w:val="00E91959"/>
    <w:pPr>
      <w:spacing w:before="2760" w:line="240" w:lineRule="auto"/>
      <w:ind w:left="2835"/>
      <w:contextualSpacing/>
    </w:pPr>
    <w:rPr>
      <w:rFonts w:ascii="Calibri" w:eastAsiaTheme="majorEastAsia" w:hAnsi="Calibri" w:cstheme="majorBidi"/>
      <w:b/>
      <w:color w:val="FFFFFF" w:themeColor="background1"/>
      <w:spacing w:val="5"/>
      <w:sz w:val="60"/>
      <w:szCs w:val="60"/>
    </w:rPr>
  </w:style>
  <w:style w:type="character" w:customStyle="1" w:styleId="TitleChar">
    <w:name w:val="Title Char"/>
    <w:basedOn w:val="DefaultParagraphFont"/>
    <w:link w:val="Title"/>
    <w:rsid w:val="00E91959"/>
    <w:rPr>
      <w:rFonts w:ascii="Calibri" w:eastAsiaTheme="majorEastAsia" w:hAnsi="Calibri" w:cstheme="majorBidi"/>
      <w:b/>
      <w:color w:val="FFFFFF" w:themeColor="background1"/>
      <w:spacing w:val="5"/>
      <w:sz w:val="60"/>
      <w:szCs w:val="60"/>
    </w:rPr>
  </w:style>
  <w:style w:type="paragraph" w:styleId="Subtitle">
    <w:name w:val="Subtitle"/>
    <w:basedOn w:val="Normal"/>
    <w:next w:val="Normal"/>
    <w:link w:val="SubtitleChar"/>
    <w:uiPriority w:val="11"/>
    <w:qFormat/>
    <w:rsid w:val="00E91959"/>
    <w:pPr>
      <w:spacing w:after="360"/>
      <w:ind w:left="2835"/>
    </w:pPr>
    <w:rPr>
      <w:rFonts w:ascii="Calibri" w:eastAsiaTheme="majorEastAsia" w:hAnsi="Calibri" w:cstheme="majorBidi"/>
      <w:iCs/>
      <w:color w:val="FFFFFF" w:themeColor="background1"/>
      <w:spacing w:val="13"/>
      <w:sz w:val="40"/>
      <w:szCs w:val="40"/>
    </w:rPr>
  </w:style>
  <w:style w:type="character" w:customStyle="1" w:styleId="SubtitleChar">
    <w:name w:val="Subtitle Char"/>
    <w:basedOn w:val="DefaultParagraphFont"/>
    <w:link w:val="Subtitle"/>
    <w:uiPriority w:val="11"/>
    <w:rsid w:val="00E91959"/>
    <w:rPr>
      <w:rFonts w:ascii="Calibri" w:eastAsiaTheme="majorEastAsia" w:hAnsi="Calibri" w:cstheme="majorBidi"/>
      <w:iCs/>
      <w:color w:val="FFFFFF" w:themeColor="background1"/>
      <w:spacing w:val="13"/>
      <w:sz w:val="40"/>
      <w:szCs w:val="4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qFormat/>
    <w:rsid w:val="00DC76D7"/>
    <w:pPr>
      <w:numPr>
        <w:numId w:val="2"/>
      </w:numPr>
      <w:contextualSpacing/>
    </w:pPr>
  </w:style>
  <w:style w:type="paragraph" w:styleId="ListNumber2">
    <w:name w:val="List Number 2"/>
    <w:basedOn w:val="Normal"/>
    <w:uiPriority w:val="99"/>
    <w:unhideWhenUsed/>
    <w:qFormat/>
    <w:rsid w:val="00DC76D7"/>
    <w:pPr>
      <w:numPr>
        <w:ilvl w:val="1"/>
        <w:numId w:val="2"/>
      </w:numPr>
      <w:tabs>
        <w:tab w:val="left" w:pos="1134"/>
      </w:tabs>
      <w:contextualSpacing/>
    </w:pPr>
  </w:style>
  <w:style w:type="paragraph" w:styleId="ListNumber3">
    <w:name w:val="List Number 3"/>
    <w:basedOn w:val="Normal"/>
    <w:uiPriority w:val="99"/>
    <w:unhideWhenUsed/>
    <w:qFormat/>
    <w:rsid w:val="00DC76D7"/>
    <w:pPr>
      <w:numPr>
        <w:ilvl w:val="2"/>
        <w:numId w:val="2"/>
      </w:numPr>
      <w:contextualSpacing/>
    </w:pPr>
  </w:style>
  <w:style w:type="paragraph" w:styleId="ListNumber4">
    <w:name w:val="List Number 4"/>
    <w:basedOn w:val="Normal"/>
    <w:uiPriority w:val="99"/>
    <w:unhideWhenUsed/>
    <w:qFormat/>
    <w:rsid w:val="00DC76D7"/>
    <w:pPr>
      <w:numPr>
        <w:ilvl w:val="3"/>
        <w:numId w:val="2"/>
      </w:numPr>
      <w:contextualSpacing/>
    </w:pPr>
  </w:style>
  <w:style w:type="paragraph" w:styleId="ListBullet">
    <w:name w:val="List Bullet"/>
    <w:basedOn w:val="Normal"/>
    <w:uiPriority w:val="99"/>
    <w:unhideWhenUsed/>
    <w:qFormat/>
    <w:rsid w:val="00E803E7"/>
    <w:pPr>
      <w:numPr>
        <w:numId w:val="3"/>
      </w:numPr>
      <w:spacing w:after="120"/>
    </w:pPr>
  </w:style>
  <w:style w:type="paragraph" w:styleId="ListBullet2">
    <w:name w:val="List Bullet 2"/>
    <w:basedOn w:val="Normal"/>
    <w:uiPriority w:val="99"/>
    <w:unhideWhenUsed/>
    <w:qFormat/>
    <w:rsid w:val="00EC64C4"/>
    <w:pPr>
      <w:numPr>
        <w:ilvl w:val="1"/>
        <w:numId w:val="3"/>
      </w:numPr>
      <w:contextualSpacing/>
    </w:pPr>
  </w:style>
  <w:style w:type="paragraph" w:styleId="ListBullet3">
    <w:name w:val="List Bullet 3"/>
    <w:basedOn w:val="Normal"/>
    <w:uiPriority w:val="99"/>
    <w:unhideWhenUsed/>
    <w:qFormat/>
    <w:rsid w:val="00EC64C4"/>
    <w:pPr>
      <w:numPr>
        <w:ilvl w:val="2"/>
        <w:numId w:val="3"/>
      </w:numPr>
      <w:contextualSpacing/>
    </w:pPr>
  </w:style>
  <w:style w:type="paragraph" w:styleId="ListBullet4">
    <w:name w:val="List Bullet 4"/>
    <w:basedOn w:val="Normal"/>
    <w:uiPriority w:val="99"/>
    <w:unhideWhenUsed/>
    <w:qFormat/>
    <w:rsid w:val="00EC64C4"/>
    <w:pPr>
      <w:numPr>
        <w:ilvl w:val="3"/>
        <w:numId w:val="3"/>
      </w:numPr>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2F2F2"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qFormat/>
    <w:rsid w:val="002D49E6"/>
    <w:pPr>
      <w:spacing w:after="100"/>
      <w:ind w:left="720" w:hanging="720"/>
    </w:pPr>
  </w:style>
  <w:style w:type="paragraph" w:styleId="TOC2">
    <w:name w:val="toc 2"/>
    <w:basedOn w:val="Normal"/>
    <w:next w:val="Normal"/>
    <w:autoRedefine/>
    <w:uiPriority w:val="39"/>
    <w:unhideWhenUsed/>
    <w:rsid w:val="002D49E6"/>
    <w:pPr>
      <w:spacing w:after="100"/>
      <w:ind w:left="941" w:hanging="720"/>
    </w:pPr>
  </w:style>
  <w:style w:type="paragraph" w:styleId="TOC3">
    <w:name w:val="toc 3"/>
    <w:basedOn w:val="Normal"/>
    <w:next w:val="Normal"/>
    <w:autoRedefine/>
    <w:uiPriority w:val="39"/>
    <w:unhideWhenUsed/>
    <w:rsid w:val="002D49E6"/>
    <w:pPr>
      <w:tabs>
        <w:tab w:val="right" w:pos="9180"/>
      </w:tabs>
      <w:spacing w:after="100"/>
      <w:ind w:left="1406" w:hanging="964"/>
    </w:pPr>
  </w:style>
  <w:style w:type="paragraph" w:styleId="Caption">
    <w:name w:val="caption"/>
    <w:basedOn w:val="Normal"/>
    <w:next w:val="Normal"/>
    <w:uiPriority w:val="35"/>
    <w:qFormat/>
    <w:rsid w:val="009E335A"/>
    <w:pPr>
      <w:keepNext/>
      <w:ind w:left="1418" w:hanging="1418"/>
    </w:pPr>
    <w:rPr>
      <w:b/>
    </w:rPr>
  </w:style>
  <w:style w:type="paragraph" w:customStyle="1" w:styleId="Source">
    <w:name w:val="Source"/>
    <w:basedOn w:val="Normal"/>
    <w:qFormat/>
    <w:rsid w:val="006129EF"/>
    <w:rPr>
      <w:rFonts w:cstheme="minorHAnsi"/>
      <w:sz w:val="18"/>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6C4962"/>
    <w:rPr>
      <w:color w:val="00746B"/>
    </w:rPr>
  </w:style>
  <w:style w:type="numbering" w:customStyle="1" w:styleId="NumberedList">
    <w:name w:val="Numbered List"/>
    <w:uiPriority w:val="99"/>
    <w:rsid w:val="00DC76D7"/>
    <w:pPr>
      <w:numPr>
        <w:numId w:val="2"/>
      </w:numPr>
    </w:pPr>
  </w:style>
  <w:style w:type="numbering" w:customStyle="1" w:styleId="BulletList">
    <w:name w:val="Bullet List"/>
    <w:uiPriority w:val="99"/>
    <w:rsid w:val="00EC64C4"/>
    <w:pPr>
      <w:numPr>
        <w:numId w:val="3"/>
      </w:numPr>
    </w:pPr>
  </w:style>
  <w:style w:type="paragraph" w:styleId="ListNumber5">
    <w:name w:val="List Number 5"/>
    <w:basedOn w:val="Normal"/>
    <w:uiPriority w:val="99"/>
    <w:unhideWhenUsed/>
    <w:rsid w:val="00DC76D7"/>
    <w:pPr>
      <w:numPr>
        <w:ilvl w:val="4"/>
        <w:numId w:val="2"/>
      </w:numPr>
      <w:contextualSpacing/>
    </w:pPr>
  </w:style>
  <w:style w:type="paragraph" w:styleId="ListBullet5">
    <w:name w:val="List Bullet 5"/>
    <w:basedOn w:val="Normal"/>
    <w:uiPriority w:val="99"/>
    <w:unhideWhenUsed/>
    <w:rsid w:val="00EC64C4"/>
    <w:pPr>
      <w:numPr>
        <w:ilvl w:val="4"/>
        <w:numId w:val="3"/>
      </w:numPr>
      <w:contextualSpacing/>
    </w:pPr>
  </w:style>
  <w:style w:type="paragraph" w:styleId="List">
    <w:name w:val="List"/>
    <w:basedOn w:val="Normal"/>
    <w:uiPriority w:val="99"/>
    <w:unhideWhenUsed/>
    <w:rsid w:val="006129EF"/>
    <w:pPr>
      <w:ind w:left="283" w:hanging="283"/>
      <w:contextualSpacing/>
    </w:pPr>
  </w:style>
  <w:style w:type="paragraph" w:styleId="List2">
    <w:name w:val="List 2"/>
    <w:basedOn w:val="Normal"/>
    <w:uiPriority w:val="99"/>
    <w:unhideWhenUsed/>
    <w:rsid w:val="006129EF"/>
    <w:pPr>
      <w:ind w:left="566" w:hanging="283"/>
      <w:contextualSpacing/>
    </w:pPr>
  </w:style>
  <w:style w:type="paragraph" w:styleId="List3">
    <w:name w:val="List 3"/>
    <w:basedOn w:val="Normal"/>
    <w:uiPriority w:val="99"/>
    <w:unhideWhenUsed/>
    <w:rsid w:val="006129EF"/>
    <w:pPr>
      <w:ind w:left="849" w:hanging="283"/>
      <w:contextualSpacing/>
    </w:pPr>
  </w:style>
  <w:style w:type="paragraph" w:styleId="List4">
    <w:name w:val="List 4"/>
    <w:basedOn w:val="Normal"/>
    <w:uiPriority w:val="99"/>
    <w:unhideWhenUsed/>
    <w:rsid w:val="006129EF"/>
    <w:pPr>
      <w:ind w:left="1132" w:hanging="283"/>
      <w:contextualSpacing/>
    </w:pPr>
  </w:style>
  <w:style w:type="paragraph" w:styleId="List5">
    <w:name w:val="List 5"/>
    <w:basedOn w:val="Normal"/>
    <w:uiPriority w:val="99"/>
    <w:unhideWhenUsed/>
    <w:rsid w:val="006129EF"/>
    <w:pPr>
      <w:ind w:left="1415" w:hanging="283"/>
      <w:contextualSpacing/>
    </w:pPr>
  </w:style>
  <w:style w:type="table" w:styleId="ListTable3-Accent1">
    <w:name w:val="List Table 3 Accent 1"/>
    <w:basedOn w:val="TableNormal"/>
    <w:uiPriority w:val="48"/>
    <w:rsid w:val="00DA4492"/>
    <w:pPr>
      <w:spacing w:after="0" w:line="240" w:lineRule="auto"/>
    </w:pPr>
    <w:tblPr>
      <w:tblStyleRowBandSize w:val="1"/>
      <w:tblStyleColBandSize w:val="1"/>
      <w:tblBorders>
        <w:top w:val="single" w:sz="4" w:space="0" w:color="415772" w:themeColor="accent1"/>
        <w:left w:val="single" w:sz="4" w:space="0" w:color="415772" w:themeColor="accent1"/>
        <w:bottom w:val="single" w:sz="4" w:space="0" w:color="415772" w:themeColor="accent1"/>
        <w:right w:val="single" w:sz="4" w:space="0" w:color="415772" w:themeColor="accent1"/>
      </w:tblBorders>
    </w:tblPr>
    <w:tblStylePr w:type="firstRow">
      <w:rPr>
        <w:b/>
        <w:bCs/>
        <w:color w:val="FFFFFF" w:themeColor="background1"/>
      </w:rPr>
      <w:tblPr/>
      <w:tcPr>
        <w:shd w:val="clear" w:color="auto" w:fill="415772" w:themeFill="accent1"/>
      </w:tcPr>
    </w:tblStylePr>
    <w:tblStylePr w:type="lastRow">
      <w:rPr>
        <w:b/>
        <w:bCs/>
      </w:rPr>
      <w:tblPr/>
      <w:tcPr>
        <w:tcBorders>
          <w:top w:val="double" w:sz="4" w:space="0" w:color="41577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15772" w:themeColor="accent1"/>
          <w:right w:val="single" w:sz="4" w:space="0" w:color="415772" w:themeColor="accent1"/>
        </w:tcBorders>
      </w:tcPr>
    </w:tblStylePr>
    <w:tblStylePr w:type="band1Horz">
      <w:tblPr/>
      <w:tcPr>
        <w:tcBorders>
          <w:top w:val="single" w:sz="4" w:space="0" w:color="415772" w:themeColor="accent1"/>
          <w:bottom w:val="single" w:sz="4" w:space="0" w:color="41577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15772" w:themeColor="accent1"/>
          <w:left w:val="nil"/>
        </w:tcBorders>
      </w:tcPr>
    </w:tblStylePr>
    <w:tblStylePr w:type="swCell">
      <w:tblPr/>
      <w:tcPr>
        <w:tcBorders>
          <w:top w:val="double" w:sz="4" w:space="0" w:color="415772" w:themeColor="accent1"/>
          <w:right w:val="nil"/>
        </w:tcBorders>
      </w:tcPr>
    </w:tblStylePr>
  </w:style>
  <w:style w:type="table" w:customStyle="1" w:styleId="JobsTable">
    <w:name w:val="Jobs Table"/>
    <w:basedOn w:val="TableNormal"/>
    <w:uiPriority w:val="99"/>
    <w:rsid w:val="002142DA"/>
    <w:pPr>
      <w:spacing w:after="0" w:line="240" w:lineRule="auto"/>
    </w:pPr>
    <w:tblPr>
      <w:tblBorders>
        <w:bottom w:val="single" w:sz="4" w:space="0" w:color="1E3D6B"/>
      </w:tblBorders>
    </w:tblPr>
    <w:tblStylePr w:type="firstRow">
      <w:pPr>
        <w:jc w:val="left"/>
      </w:pPr>
      <w:rPr>
        <w:rFonts w:ascii="Calibri" w:hAnsi="Calibri"/>
        <w:b w:val="0"/>
        <w:color w:val="F2F2F2" w:themeColor="background2"/>
        <w:sz w:val="22"/>
      </w:rPr>
      <w:tblPr/>
      <w:tcPr>
        <w:shd w:val="clear" w:color="auto" w:fill="287BB3"/>
      </w:tcPr>
    </w:tblStylePr>
    <w:tblStylePr w:type="firstCol">
      <w:rPr>
        <w:b/>
      </w:rPr>
    </w:tblStylePr>
  </w:style>
  <w:style w:type="table" w:customStyle="1" w:styleId="SRC21">
    <w:name w:val="SRC 21"/>
    <w:basedOn w:val="TableNormal"/>
    <w:next w:val="TableGrid"/>
    <w:rsid w:val="00CC4E3D"/>
    <w:pPr>
      <w:spacing w:after="0" w:line="240" w:lineRule="auto"/>
    </w:pPr>
    <w:rPr>
      <w:rFonts w:ascii="Arial" w:eastAsia="Calibri" w:hAnsi="Arial"/>
      <w:sz w:val="18"/>
    </w:rPr>
    <w:tblPr>
      <w:tblStyleRowBandSize w:val="1"/>
      <w:tblStyleColBandSize w:val="1"/>
      <w:tblBorders>
        <w:bottom w:val="single" w:sz="4" w:space="0" w:color="1F698E"/>
      </w:tblBorders>
    </w:tblPr>
    <w:tblStylePr w:type="firstRow">
      <w:pPr>
        <w:wordWrap/>
        <w:spacing w:beforeLines="0" w:before="60" w:beforeAutospacing="0" w:afterLines="0" w:after="60" w:afterAutospacing="0" w:line="240" w:lineRule="auto"/>
        <w:contextualSpacing w:val="0"/>
        <w:jc w:val="center"/>
      </w:pPr>
      <w:rPr>
        <w:rFonts w:ascii="Arial" w:hAnsi="Arial"/>
        <w:b/>
        <w:color w:val="FFFFFF"/>
        <w:sz w:val="18"/>
      </w:rPr>
      <w:tblPr/>
      <w:tcPr>
        <w:tcBorders>
          <w:top w:val="nil"/>
          <w:left w:val="nil"/>
          <w:bottom w:val="nil"/>
          <w:right w:val="nil"/>
          <w:insideH w:val="nil"/>
          <w:insideV w:val="nil"/>
          <w:tl2br w:val="nil"/>
          <w:tr2bl w:val="nil"/>
        </w:tcBorders>
        <w:shd w:val="clear" w:color="auto" w:fill="1F698E"/>
      </w:tcPr>
    </w:tblStylePr>
    <w:tblStylePr w:type="lastRow">
      <w:pPr>
        <w:wordWrap/>
        <w:spacing w:beforeLines="0" w:before="60" w:beforeAutospacing="0" w:afterLines="0" w:after="60" w:afterAutospacing="0" w:line="240" w:lineRule="auto"/>
        <w:contextualSpacing w:val="0"/>
      </w:pPr>
      <w:tblPr/>
      <w:tcPr>
        <w:tcBorders>
          <w:top w:val="nil"/>
          <w:left w:val="nil"/>
          <w:bottom w:val="single" w:sz="6" w:space="0" w:color="1F698E"/>
          <w:right w:val="nil"/>
          <w:insideH w:val="nil"/>
          <w:insideV w:val="nil"/>
          <w:tl2br w:val="nil"/>
          <w:tr2bl w:val="nil"/>
        </w:tcBorders>
      </w:tcPr>
    </w:tblStylePr>
    <w:tblStylePr w:type="firstCol">
      <w:pPr>
        <w:jc w:val="left"/>
      </w:pPr>
      <w:rPr>
        <w:rFonts w:ascii="Arial" w:hAnsi="Arial"/>
        <w:sz w:val="18"/>
      </w:rPr>
      <w:tblPr/>
      <w:tcPr>
        <w:tcBorders>
          <w:top w:val="nil"/>
          <w:left w:val="nil"/>
          <w:bottom w:val="nil"/>
          <w:right w:val="nil"/>
          <w:insideH w:val="nil"/>
          <w:insideV w:val="nil"/>
          <w:tl2br w:val="nil"/>
          <w:tr2bl w:val="nil"/>
        </w:tcBorders>
      </w:tcPr>
    </w:tblStylePr>
    <w:tblStylePr w:type="lastCol">
      <w:pPr>
        <w:jc w:val="right"/>
      </w:pPr>
      <w:tblPr/>
      <w:tcPr>
        <w:tcBorders>
          <w:bottom w:val="nil"/>
        </w:tcBorders>
        <w:vAlign w:val="center"/>
      </w:tcPr>
    </w:tblStylePr>
    <w:tblStylePr w:type="band1Vert">
      <w:pPr>
        <w:jc w:val="right"/>
      </w:pPr>
      <w:tblPr/>
      <w:tcPr>
        <w:tcBorders>
          <w:top w:val="nil"/>
          <w:left w:val="nil"/>
          <w:bottom w:val="nil"/>
          <w:right w:val="nil"/>
          <w:insideH w:val="nil"/>
          <w:insideV w:val="nil"/>
          <w:tl2br w:val="nil"/>
          <w:tr2bl w:val="nil"/>
        </w:tcBorders>
      </w:tcPr>
    </w:tblStylePr>
    <w:tblStylePr w:type="band2Vert">
      <w:pPr>
        <w:jc w:val="right"/>
      </w:pPr>
      <w:tblPr/>
      <w:tcPr>
        <w:tcBorders>
          <w:top w:val="nil"/>
          <w:left w:val="nil"/>
          <w:bottom w:val="nil"/>
          <w:right w:val="nil"/>
          <w:insideH w:val="nil"/>
          <w:insideV w:val="nil"/>
          <w:tl2br w:val="nil"/>
          <w:tr2bl w:val="nil"/>
        </w:tcBorders>
      </w:tcPr>
    </w:tblStylePr>
    <w:tblStylePr w:type="band1Horz">
      <w:pPr>
        <w:wordWrap/>
        <w:spacing w:beforeLines="0" w:before="60" w:beforeAutospacing="0" w:afterLines="0" w:after="60" w:afterAutospacing="0" w:line="240" w:lineRule="auto"/>
        <w:contextualSpacing w:val="0"/>
        <w:jc w:val="right"/>
      </w:p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7E4F3"/>
      </w:tcPr>
    </w:tblStylePr>
    <w:tblStylePr w:type="band2Horz">
      <w:pPr>
        <w:wordWrap/>
        <w:spacing w:beforeLines="0" w:before="60" w:beforeAutospacing="0" w:afterLines="0" w:after="60" w:afterAutospacing="0" w:line="240" w:lineRule="auto"/>
        <w:contextualSpacing w:val="0"/>
        <w:jc w:val="right"/>
      </w:pPr>
      <w:rPr>
        <w:rFonts w:ascii="Arial" w:hAnsi="Arial"/>
        <w:sz w:val="18"/>
      </w:rPr>
      <w:tblPr/>
      <w:tcPr>
        <w:tcBorders>
          <w:top w:val="nil"/>
          <w:left w:val="nil"/>
          <w:bottom w:val="nil"/>
          <w:right w:val="nil"/>
          <w:insideH w:val="nil"/>
          <w:insideV w:val="nil"/>
          <w:tl2br w:val="nil"/>
          <w:tr2bl w:val="nil"/>
        </w:tcBorders>
        <w:vAlign w:val="center"/>
      </w:tcPr>
    </w:tblStylePr>
  </w:style>
  <w:style w:type="paragraph" w:styleId="FootnoteText">
    <w:name w:val="footnote text"/>
    <w:basedOn w:val="Normal"/>
    <w:link w:val="FootnoteTextChar"/>
    <w:uiPriority w:val="99"/>
    <w:unhideWhenUsed/>
    <w:rsid w:val="00CC4E3D"/>
    <w:pPr>
      <w:spacing w:after="0" w:line="240" w:lineRule="auto"/>
    </w:pPr>
    <w:rPr>
      <w:sz w:val="20"/>
      <w:szCs w:val="20"/>
    </w:rPr>
  </w:style>
  <w:style w:type="character" w:customStyle="1" w:styleId="FootnoteTextChar">
    <w:name w:val="Footnote Text Char"/>
    <w:basedOn w:val="DefaultParagraphFont"/>
    <w:link w:val="FootnoteText"/>
    <w:uiPriority w:val="99"/>
    <w:rsid w:val="00CC4E3D"/>
    <w:rPr>
      <w:sz w:val="20"/>
      <w:szCs w:val="20"/>
    </w:rPr>
  </w:style>
  <w:style w:type="character" w:styleId="FootnoteReference">
    <w:name w:val="footnote reference"/>
    <w:basedOn w:val="DefaultParagraphFont"/>
    <w:uiPriority w:val="99"/>
    <w:unhideWhenUsed/>
    <w:rsid w:val="00CC4E3D"/>
    <w:rPr>
      <w:vertAlign w:val="superscript"/>
    </w:rPr>
  </w:style>
  <w:style w:type="character" w:styleId="CommentReference">
    <w:name w:val="annotation reference"/>
    <w:basedOn w:val="DefaultParagraphFont"/>
    <w:uiPriority w:val="99"/>
    <w:unhideWhenUsed/>
    <w:rsid w:val="00CC4E3D"/>
    <w:rPr>
      <w:sz w:val="16"/>
      <w:szCs w:val="16"/>
    </w:rPr>
  </w:style>
  <w:style w:type="paragraph" w:styleId="CommentText">
    <w:name w:val="annotation text"/>
    <w:basedOn w:val="Normal"/>
    <w:link w:val="CommentTextChar"/>
    <w:uiPriority w:val="99"/>
    <w:unhideWhenUsed/>
    <w:rsid w:val="00CC4E3D"/>
    <w:pPr>
      <w:spacing w:line="240" w:lineRule="auto"/>
    </w:pPr>
    <w:rPr>
      <w:sz w:val="20"/>
      <w:szCs w:val="20"/>
    </w:rPr>
  </w:style>
  <w:style w:type="character" w:customStyle="1" w:styleId="CommentTextChar">
    <w:name w:val="Comment Text Char"/>
    <w:basedOn w:val="DefaultParagraphFont"/>
    <w:link w:val="CommentText"/>
    <w:uiPriority w:val="99"/>
    <w:rsid w:val="00CC4E3D"/>
    <w:rPr>
      <w:sz w:val="20"/>
      <w:szCs w:val="20"/>
    </w:rPr>
  </w:style>
  <w:style w:type="paragraph" w:styleId="CommentSubject">
    <w:name w:val="annotation subject"/>
    <w:basedOn w:val="CommentText"/>
    <w:next w:val="CommentText"/>
    <w:link w:val="CommentSubjectChar"/>
    <w:uiPriority w:val="99"/>
    <w:unhideWhenUsed/>
    <w:rsid w:val="00CC4E3D"/>
    <w:rPr>
      <w:b/>
      <w:bCs/>
    </w:rPr>
  </w:style>
  <w:style w:type="character" w:customStyle="1" w:styleId="CommentSubjectChar">
    <w:name w:val="Comment Subject Char"/>
    <w:basedOn w:val="CommentTextChar"/>
    <w:link w:val="CommentSubject"/>
    <w:uiPriority w:val="99"/>
    <w:rsid w:val="00CC4E3D"/>
    <w:rPr>
      <w:b/>
      <w:bCs/>
      <w:sz w:val="20"/>
      <w:szCs w:val="20"/>
    </w:rPr>
  </w:style>
  <w:style w:type="paragraph" w:styleId="Revision">
    <w:name w:val="Revision"/>
    <w:hidden/>
    <w:uiPriority w:val="99"/>
    <w:semiHidden/>
    <w:rsid w:val="00CC4E3D"/>
    <w:pPr>
      <w:spacing w:after="0" w:line="240" w:lineRule="auto"/>
    </w:pPr>
  </w:style>
  <w:style w:type="numbering" w:customStyle="1" w:styleId="Bullets">
    <w:name w:val="Bullets"/>
    <w:basedOn w:val="NoList"/>
    <w:rsid w:val="00CC4E3D"/>
    <w:pPr>
      <w:numPr>
        <w:numId w:val="5"/>
      </w:numPr>
    </w:pPr>
  </w:style>
  <w:style w:type="character" w:styleId="PageNumber">
    <w:name w:val="page number"/>
    <w:basedOn w:val="DefaultParagraphFont"/>
    <w:rsid w:val="00CC4E3D"/>
    <w:rPr>
      <w:rFonts w:ascii="Calibri" w:hAnsi="Calibri"/>
    </w:rPr>
  </w:style>
  <w:style w:type="numbering" w:customStyle="1" w:styleId="StyleBulletedLime">
    <w:name w:val="Style Bulleted Lime"/>
    <w:basedOn w:val="NoList"/>
    <w:rsid w:val="00CC4E3D"/>
    <w:pPr>
      <w:numPr>
        <w:numId w:val="6"/>
      </w:numPr>
    </w:pPr>
  </w:style>
  <w:style w:type="table" w:styleId="TableColumns3">
    <w:name w:val="Table Columns 3"/>
    <w:basedOn w:val="TableNormal"/>
    <w:rsid w:val="00CC4E3D"/>
    <w:pPr>
      <w:spacing w:after="0" w:line="240" w:lineRule="auto"/>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lassic1">
    <w:name w:val="Table Classic 1"/>
    <w:basedOn w:val="TableNormal"/>
    <w:rsid w:val="00CC4E3D"/>
    <w:pPr>
      <w:spacing w:before="120" w:after="4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CC4E3D"/>
    <w:pPr>
      <w:spacing w:before="120" w:after="40" w:line="240" w:lineRule="auto"/>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EndnoteText">
    <w:name w:val="endnote text"/>
    <w:basedOn w:val="Normal"/>
    <w:link w:val="EndnoteTextChar"/>
    <w:uiPriority w:val="99"/>
    <w:rsid w:val="00CC4E3D"/>
    <w:pPr>
      <w:spacing w:after="0"/>
    </w:pPr>
    <w:rPr>
      <w:sz w:val="20"/>
      <w:szCs w:val="20"/>
    </w:rPr>
  </w:style>
  <w:style w:type="character" w:customStyle="1" w:styleId="EndnoteTextChar">
    <w:name w:val="Endnote Text Char"/>
    <w:basedOn w:val="DefaultParagraphFont"/>
    <w:link w:val="EndnoteText"/>
    <w:uiPriority w:val="99"/>
    <w:rsid w:val="00CC4E3D"/>
    <w:rPr>
      <w:sz w:val="20"/>
      <w:szCs w:val="20"/>
    </w:rPr>
  </w:style>
  <w:style w:type="character" w:styleId="EndnoteReference">
    <w:name w:val="endnote reference"/>
    <w:basedOn w:val="DefaultParagraphFont"/>
    <w:uiPriority w:val="99"/>
    <w:rsid w:val="00CC4E3D"/>
    <w:rPr>
      <w:vertAlign w:val="superscript"/>
    </w:rPr>
  </w:style>
  <w:style w:type="paragraph" w:styleId="TableofFigures">
    <w:name w:val="table of figures"/>
    <w:aliases w:val="List of tables"/>
    <w:basedOn w:val="FigureHeading"/>
    <w:next w:val="Normal"/>
    <w:uiPriority w:val="99"/>
    <w:qFormat/>
    <w:rsid w:val="00CC4E3D"/>
    <w:pPr>
      <w:keepNext w:val="0"/>
      <w:spacing w:before="0" w:after="80" w:line="276" w:lineRule="auto"/>
      <w:ind w:left="1134" w:right="567" w:hanging="1134"/>
    </w:pPr>
    <w:rPr>
      <w:rFonts w:asciiTheme="minorHAnsi" w:eastAsiaTheme="minorEastAsia" w:hAnsiTheme="minorHAnsi" w:cstheme="minorHAnsi"/>
      <w:b w:val="0"/>
      <w:i w:val="0"/>
      <w:szCs w:val="20"/>
      <w:lang w:eastAsia="en-US"/>
    </w:rPr>
  </w:style>
  <w:style w:type="paragraph" w:customStyle="1" w:styleId="FigureCaption">
    <w:name w:val="Figure Caption"/>
    <w:basedOn w:val="Normal"/>
    <w:link w:val="FigureCaptionChar"/>
    <w:uiPriority w:val="99"/>
    <w:rsid w:val="00CC4E3D"/>
    <w:pPr>
      <w:keepNext/>
      <w:tabs>
        <w:tab w:val="left" w:pos="1134"/>
      </w:tabs>
    </w:pPr>
    <w:rPr>
      <w:b/>
    </w:rPr>
  </w:style>
  <w:style w:type="character" w:styleId="FollowedHyperlink">
    <w:name w:val="FollowedHyperlink"/>
    <w:basedOn w:val="DefaultParagraphFont"/>
    <w:uiPriority w:val="99"/>
    <w:unhideWhenUsed/>
    <w:rsid w:val="00CC4E3D"/>
    <w:rPr>
      <w:color w:val="00746B" w:themeColor="followedHyperlink"/>
      <w:u w:val="single"/>
    </w:rPr>
  </w:style>
  <w:style w:type="table" w:customStyle="1" w:styleId="JSAReportTables">
    <w:name w:val="JSA Report Tables"/>
    <w:basedOn w:val="TableNormal"/>
    <w:rsid w:val="00CC4E3D"/>
    <w:pPr>
      <w:spacing w:after="0" w:line="240" w:lineRule="auto"/>
    </w:pPr>
    <w:rPr>
      <w:rFonts w:ascii="Times New Roman" w:eastAsia="Times New Roman" w:hAnsi="Times New Roman" w:cs="Times New Roman"/>
      <w:sz w:val="20"/>
      <w:szCs w:val="20"/>
      <w:lang w:eastAsia="en-AU"/>
    </w:rPr>
    <w:tblPr/>
  </w:style>
  <w:style w:type="paragraph" w:customStyle="1" w:styleId="Normalbold">
    <w:name w:val="Normal + bold"/>
    <w:basedOn w:val="Normal"/>
    <w:link w:val="NormalboldChar"/>
    <w:rsid w:val="00CC4E3D"/>
    <w:rPr>
      <w:b/>
    </w:rPr>
  </w:style>
  <w:style w:type="character" w:customStyle="1" w:styleId="NormalboldChar">
    <w:name w:val="Normal + bold Char"/>
    <w:basedOn w:val="DefaultParagraphFont"/>
    <w:link w:val="Normalbold"/>
    <w:rsid w:val="00CC4E3D"/>
    <w:rPr>
      <w:b/>
    </w:rPr>
  </w:style>
  <w:style w:type="character" w:customStyle="1" w:styleId="FootnoteTextChar1">
    <w:name w:val="Footnote Text Char1"/>
    <w:basedOn w:val="DefaultParagraphFont"/>
    <w:uiPriority w:val="99"/>
    <w:semiHidden/>
    <w:locked/>
    <w:rsid w:val="00CC4E3D"/>
    <w:rPr>
      <w:sz w:val="20"/>
      <w:szCs w:val="20"/>
    </w:rPr>
  </w:style>
  <w:style w:type="paragraph" w:customStyle="1" w:styleId="Quotation">
    <w:name w:val="Quotation"/>
    <w:basedOn w:val="Normal"/>
    <w:uiPriority w:val="99"/>
    <w:rsid w:val="00CC4E3D"/>
    <w:pPr>
      <w:ind w:left="709" w:right="996"/>
    </w:pPr>
  </w:style>
  <w:style w:type="table" w:customStyle="1" w:styleId="Tableforreports">
    <w:name w:val="Table for reports"/>
    <w:basedOn w:val="TableNormal"/>
    <w:uiPriority w:val="99"/>
    <w:rsid w:val="00CC4E3D"/>
    <w:pPr>
      <w:spacing w:after="0" w:line="240" w:lineRule="auto"/>
    </w:pPr>
    <w:rPr>
      <w:rFonts w:ascii="Times New Roman" w:eastAsia="Times New Roman" w:hAnsi="Times New Roman" w:cs="Times New Roman"/>
      <w:sz w:val="20"/>
      <w:szCs w:val="20"/>
      <w:lang w:eastAsia="en-AU"/>
    </w:rPr>
    <w:tblPr/>
  </w:style>
  <w:style w:type="paragraph" w:customStyle="1" w:styleId="FigureHeading">
    <w:name w:val="Figure Heading"/>
    <w:basedOn w:val="Normal"/>
    <w:link w:val="FigureHeadingChar"/>
    <w:qFormat/>
    <w:rsid w:val="00CC4E3D"/>
    <w:pPr>
      <w:keepNext/>
      <w:spacing w:before="40" w:after="40" w:line="240" w:lineRule="auto"/>
    </w:pPr>
    <w:rPr>
      <w:rFonts w:ascii="Calibri" w:eastAsia="Times New Roman" w:hAnsi="Calibri" w:cs="Times New Roman"/>
      <w:b/>
      <w:i/>
      <w:szCs w:val="24"/>
      <w:lang w:eastAsia="en-AU"/>
    </w:rPr>
  </w:style>
  <w:style w:type="character" w:customStyle="1" w:styleId="FigureHeadingChar">
    <w:name w:val="Figure Heading Char"/>
    <w:basedOn w:val="DefaultParagraphFont"/>
    <w:link w:val="FigureHeading"/>
    <w:rsid w:val="00CC4E3D"/>
    <w:rPr>
      <w:rFonts w:ascii="Calibri" w:eastAsia="Times New Roman" w:hAnsi="Calibri" w:cs="Times New Roman"/>
      <w:b/>
      <w:i/>
      <w:szCs w:val="24"/>
      <w:lang w:eastAsia="en-AU"/>
    </w:rPr>
  </w:style>
  <w:style w:type="paragraph" w:styleId="Bibliography">
    <w:name w:val="Bibliography"/>
    <w:basedOn w:val="Normal"/>
    <w:uiPriority w:val="37"/>
    <w:rsid w:val="00CC4E3D"/>
    <w:pPr>
      <w:numPr>
        <w:numId w:val="7"/>
      </w:numPr>
      <w:spacing w:before="120" w:after="120"/>
    </w:pPr>
    <w:rPr>
      <w:rFonts w:ascii="Arial" w:eastAsia="Times New Roman" w:hAnsi="Arial" w:cs="Times New Roman"/>
      <w:iCs/>
      <w:color w:val="000000"/>
      <w:sz w:val="20"/>
      <w:szCs w:val="20"/>
      <w:lang w:eastAsia="en-AU"/>
    </w:rPr>
  </w:style>
  <w:style w:type="paragraph" w:customStyle="1" w:styleId="Question">
    <w:name w:val="Question"/>
    <w:basedOn w:val="Heading1"/>
    <w:next w:val="Normal"/>
    <w:uiPriority w:val="99"/>
    <w:rsid w:val="00CC4E3D"/>
    <w:pPr>
      <w:numPr>
        <w:numId w:val="8"/>
      </w:numPr>
      <w:tabs>
        <w:tab w:val="left" w:pos="567"/>
      </w:tabs>
      <w:spacing w:before="0"/>
    </w:pPr>
    <w:rPr>
      <w:rFonts w:ascii="Arial" w:eastAsia="Times New Roman" w:hAnsi="Arial" w:cs="Arial"/>
      <w:b w:val="0"/>
      <w:color w:val="auto"/>
      <w:sz w:val="22"/>
      <w:szCs w:val="20"/>
    </w:rPr>
  </w:style>
  <w:style w:type="paragraph" w:customStyle="1" w:styleId="Notes">
    <w:name w:val="Notes"/>
    <w:basedOn w:val="Normal"/>
    <w:link w:val="NotesChar"/>
    <w:qFormat/>
    <w:rsid w:val="00CC4E3D"/>
    <w:pPr>
      <w:spacing w:after="120" w:line="240" w:lineRule="auto"/>
    </w:pPr>
    <w:rPr>
      <w:rFonts w:eastAsia="Times New Roman" w:cs="Times New Roman"/>
      <w:sz w:val="18"/>
      <w:szCs w:val="20"/>
      <w:lang w:val="en-US"/>
    </w:rPr>
  </w:style>
  <w:style w:type="character" w:customStyle="1" w:styleId="NotesChar">
    <w:name w:val="Notes Char"/>
    <w:basedOn w:val="DefaultParagraphFont"/>
    <w:link w:val="Notes"/>
    <w:rsid w:val="00CC4E3D"/>
    <w:rPr>
      <w:rFonts w:eastAsia="Times New Roman" w:cs="Times New Roman"/>
      <w:sz w:val="18"/>
      <w:szCs w:val="20"/>
      <w:lang w:val="en-US"/>
    </w:rPr>
  </w:style>
  <w:style w:type="paragraph" w:customStyle="1" w:styleId="Authorsnote">
    <w:name w:val="Author's note"/>
    <w:basedOn w:val="Normal"/>
    <w:link w:val="AuthorsnoteChar"/>
    <w:rsid w:val="00CC4E3D"/>
    <w:pPr>
      <w:spacing w:before="120" w:after="40" w:line="240" w:lineRule="auto"/>
    </w:pPr>
    <w:rPr>
      <w:rFonts w:ascii="Calibri" w:eastAsia="Times New Roman" w:hAnsi="Calibri" w:cs="Times New Roman"/>
      <w:color w:val="FF0000"/>
      <w:szCs w:val="24"/>
      <w:lang w:eastAsia="en-AU"/>
    </w:rPr>
  </w:style>
  <w:style w:type="character" w:customStyle="1" w:styleId="AuthorsnoteChar">
    <w:name w:val="Author's note Char"/>
    <w:basedOn w:val="DefaultParagraphFont"/>
    <w:link w:val="Authorsnote"/>
    <w:rsid w:val="00CC4E3D"/>
    <w:rPr>
      <w:rFonts w:ascii="Calibri" w:eastAsia="Times New Roman" w:hAnsi="Calibri" w:cs="Times New Roman"/>
      <w:color w:val="FF0000"/>
      <w:szCs w:val="24"/>
      <w:lang w:eastAsia="en-AU"/>
    </w:rPr>
  </w:style>
  <w:style w:type="numbering" w:customStyle="1" w:styleId="Bullets1">
    <w:name w:val="Bullets1"/>
    <w:basedOn w:val="NoList"/>
    <w:rsid w:val="00CC4E3D"/>
  </w:style>
  <w:style w:type="numbering" w:customStyle="1" w:styleId="Bullets2">
    <w:name w:val="Bullets2"/>
    <w:basedOn w:val="NoList"/>
    <w:rsid w:val="00CC4E3D"/>
  </w:style>
  <w:style w:type="character" w:customStyle="1" w:styleId="ListParagraphChar">
    <w:name w:val="List Paragraph Char"/>
    <w:basedOn w:val="DefaultParagraphFont"/>
    <w:link w:val="ListParagraph"/>
    <w:uiPriority w:val="34"/>
    <w:locked/>
    <w:rsid w:val="00CC4E3D"/>
  </w:style>
  <w:style w:type="table" w:customStyle="1" w:styleId="TableGrid6">
    <w:name w:val="Table Grid6"/>
    <w:basedOn w:val="TableNormal"/>
    <w:next w:val="TableGrid"/>
    <w:uiPriority w:val="59"/>
    <w:rsid w:val="00CC4E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valTable">
    <w:name w:val="EvalTable"/>
    <w:basedOn w:val="TableSimple1"/>
    <w:rsid w:val="00CC4E3D"/>
    <w:tblPr>
      <w:tblBorders>
        <w:top w:val="single" w:sz="12" w:space="0" w:color="000000"/>
        <w:bottom w:val="single" w:sz="12" w:space="0" w:color="000000"/>
      </w:tblBorders>
    </w:tblPr>
    <w:trPr>
      <w:cantSplit/>
    </w:trPr>
    <w:tcPr>
      <w:shd w:val="clear" w:color="auto" w:fill="auto"/>
      <w:vAlign w:val="center"/>
    </w:tcPr>
    <w:tblStylePr w:type="firstRow">
      <w:tblPr/>
      <w:tcPr>
        <w:tcBorders>
          <w:top w:val="single" w:sz="12" w:space="0" w:color="000000"/>
          <w:bottom w:val="single" w:sz="8" w:space="0" w:color="000000"/>
          <w:tl2br w:val="none" w:sz="0" w:space="0" w:color="auto"/>
          <w:tr2bl w:val="none" w:sz="0" w:space="0" w:color="auto"/>
        </w:tcBorders>
        <w:shd w:val="clear" w:color="auto" w:fill="auto"/>
      </w:tcPr>
    </w:tblStylePr>
    <w:tblStylePr w:type="lastRow">
      <w:tblPr/>
      <w:tcPr>
        <w:tcBorders>
          <w:top w:val="nil"/>
          <w:left w:val="nil"/>
          <w:bottom w:val="single" w:sz="12" w:space="0" w:color="000000"/>
          <w:right w:val="nil"/>
          <w:insideH w:val="nil"/>
          <w:insideV w:val="nil"/>
          <w:tl2br w:val="none" w:sz="0" w:space="0" w:color="auto"/>
          <w:tr2bl w:val="none" w:sz="0" w:space="0" w:color="auto"/>
        </w:tcBorders>
        <w:shd w:val="clear" w:color="auto" w:fill="auto"/>
      </w:tcPr>
    </w:tblStylePr>
  </w:style>
  <w:style w:type="table" w:styleId="TableSimple1">
    <w:name w:val="Table Simple 1"/>
    <w:basedOn w:val="TableNormal"/>
    <w:rsid w:val="00CC4E3D"/>
    <w:pPr>
      <w:spacing w:after="0" w:line="240" w:lineRule="auto"/>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ightShading">
    <w:name w:val="Light Shading"/>
    <w:basedOn w:val="TableNormal"/>
    <w:uiPriority w:val="60"/>
    <w:rsid w:val="00CC4E3D"/>
    <w:pPr>
      <w:spacing w:after="0" w:line="240" w:lineRule="auto"/>
    </w:pPr>
    <w:rPr>
      <w:rFonts w:ascii="Times New Roman" w:eastAsia="Times New Roman" w:hAnsi="Times New Roman" w:cs="Times New Roman"/>
      <w:color w:val="000000" w:themeColor="text1" w:themeShade="BF"/>
      <w:sz w:val="20"/>
      <w:szCs w:val="20"/>
      <w:lang w:eastAsia="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DEEWRTable1">
    <w:name w:val="DEEWR Table1"/>
    <w:basedOn w:val="TableNormal"/>
    <w:uiPriority w:val="99"/>
    <w:rsid w:val="00CC4E3D"/>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2F2F2" w:themeColor="background2"/>
        <w:sz w:val="20"/>
      </w:rPr>
      <w:tblPr/>
      <w:trPr>
        <w:tblHeader/>
      </w:trPr>
      <w:tcPr>
        <w:shd w:val="clear" w:color="auto" w:fill="000000" w:themeFill="text1"/>
      </w:tcPr>
    </w:tblStylePr>
    <w:tblStylePr w:type="firstCol">
      <w:pPr>
        <w:jc w:val="left"/>
      </w:pPr>
      <w:rPr>
        <w:b/>
      </w:rPr>
    </w:tblStylePr>
  </w:style>
  <w:style w:type="paragraph" w:customStyle="1" w:styleId="Note">
    <w:name w:val="Note"/>
    <w:basedOn w:val="Normal"/>
    <w:rsid w:val="00CC4E3D"/>
    <w:pPr>
      <w:spacing w:line="240" w:lineRule="auto"/>
      <w:ind w:left="284" w:hanging="284"/>
      <w:jc w:val="both"/>
    </w:pPr>
    <w:rPr>
      <w:sz w:val="18"/>
    </w:rPr>
  </w:style>
  <w:style w:type="character" w:customStyle="1" w:styleId="FigureCaptionChar">
    <w:name w:val="Figure Caption Char"/>
    <w:basedOn w:val="DefaultParagraphFont"/>
    <w:link w:val="FigureCaption"/>
    <w:uiPriority w:val="99"/>
    <w:rsid w:val="00CC4E3D"/>
    <w:rPr>
      <w:b/>
    </w:rPr>
  </w:style>
  <w:style w:type="table" w:customStyle="1" w:styleId="TableGrid2">
    <w:name w:val="Table Grid2"/>
    <w:basedOn w:val="TableNormal"/>
    <w:next w:val="TableGrid"/>
    <w:uiPriority w:val="59"/>
    <w:rsid w:val="00CC4E3D"/>
    <w:pPr>
      <w:spacing w:after="0" w:line="240" w:lineRule="auto"/>
    </w:pPr>
    <w:rPr>
      <w:rFonts w:eastAsia="Calibri"/>
    </w:rPr>
    <w:tblPr>
      <w:tblBorders>
        <w:top w:val="single" w:sz="4" w:space="0" w:color="auto"/>
      </w:tblBorders>
    </w:tblPr>
  </w:style>
  <w:style w:type="table" w:customStyle="1" w:styleId="TableGrid1">
    <w:name w:val="Table Grid1"/>
    <w:basedOn w:val="TableNormal"/>
    <w:next w:val="TableGrid"/>
    <w:uiPriority w:val="59"/>
    <w:rsid w:val="00CC4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CC4E3D"/>
    <w:pPr>
      <w:spacing w:after="0" w:line="240" w:lineRule="auto"/>
    </w:pPr>
    <w:rPr>
      <w:rFonts w:eastAsia="Calibri"/>
    </w:rPr>
    <w:tblPr>
      <w:tblBorders>
        <w:top w:val="single" w:sz="4" w:space="0" w:color="auto"/>
      </w:tblBorders>
    </w:tblPr>
  </w:style>
  <w:style w:type="table" w:customStyle="1" w:styleId="TableGrid3">
    <w:name w:val="Table Grid3"/>
    <w:basedOn w:val="TableNormal"/>
    <w:next w:val="TableGrid"/>
    <w:uiPriority w:val="59"/>
    <w:rsid w:val="00CC4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CC4E3D"/>
    <w:pPr>
      <w:spacing w:after="0" w:line="240" w:lineRule="auto"/>
    </w:pPr>
    <w:rPr>
      <w:rFonts w:eastAsia="Calibri"/>
    </w:rPr>
    <w:tblPr>
      <w:tblBorders>
        <w:top w:val="single" w:sz="4" w:space="0" w:color="auto"/>
      </w:tblBorders>
    </w:tblPr>
  </w:style>
  <w:style w:type="table" w:customStyle="1" w:styleId="TableGrid4">
    <w:name w:val="Table Grid4"/>
    <w:basedOn w:val="TableNormal"/>
    <w:next w:val="TableGrid"/>
    <w:rsid w:val="00CC4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C4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CC4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C4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C4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Even">
    <w:name w:val="Header Even"/>
    <w:basedOn w:val="NoSpacing"/>
    <w:rsid w:val="00CC4E3D"/>
    <w:pPr>
      <w:pBdr>
        <w:bottom w:val="single" w:sz="4" w:space="1" w:color="auto"/>
      </w:pBdr>
    </w:pPr>
    <w:rPr>
      <w:rFonts w:eastAsiaTheme="minorHAnsi" w:cs="Times New Roman"/>
      <w:sz w:val="20"/>
      <w:szCs w:val="20"/>
      <w:lang w:val="en-US" w:eastAsia="ja-JP"/>
    </w:rPr>
  </w:style>
  <w:style w:type="paragraph" w:customStyle="1" w:styleId="FooterOdd">
    <w:name w:val="Footer Odd"/>
    <w:basedOn w:val="Normal"/>
    <w:next w:val="Footer"/>
    <w:rsid w:val="00CC4E3D"/>
    <w:pPr>
      <w:framePr w:wrap="around" w:vAnchor="text" w:hAnchor="text" w:y="1"/>
      <w:pBdr>
        <w:top w:val="single" w:sz="4" w:space="0" w:color="auto"/>
      </w:pBdr>
      <w:tabs>
        <w:tab w:val="left" w:pos="363"/>
        <w:tab w:val="right" w:pos="10466"/>
      </w:tabs>
      <w:spacing w:after="180" w:line="264" w:lineRule="auto"/>
    </w:pPr>
    <w:rPr>
      <w:rFonts w:eastAsiaTheme="minorHAnsi"/>
      <w:sz w:val="18"/>
      <w:szCs w:val="16"/>
      <w:lang w:val="en-US" w:eastAsia="ja-JP"/>
    </w:rPr>
  </w:style>
  <w:style w:type="character" w:styleId="HTMLCite">
    <w:name w:val="HTML Cite"/>
    <w:basedOn w:val="DefaultParagraphFont"/>
    <w:uiPriority w:val="99"/>
    <w:unhideWhenUsed/>
    <w:rsid w:val="00CC4E3D"/>
    <w:rPr>
      <w:i w:val="0"/>
      <w:iCs w:val="0"/>
      <w:color w:val="009030"/>
    </w:rPr>
  </w:style>
  <w:style w:type="table" w:customStyle="1" w:styleId="TableGrid7">
    <w:name w:val="Table Grid7"/>
    <w:basedOn w:val="TableNormal"/>
    <w:next w:val="TableGrid"/>
    <w:uiPriority w:val="59"/>
    <w:rsid w:val="00CC4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CC4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C4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CC4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
    <w:name w:val="Style3"/>
    <w:basedOn w:val="TableNormal"/>
    <w:uiPriority w:val="99"/>
    <w:rsid w:val="00CC4E3D"/>
    <w:pPr>
      <w:spacing w:after="0" w:line="240" w:lineRule="auto"/>
    </w:pPr>
    <w:tblPr/>
  </w:style>
  <w:style w:type="table" w:styleId="LightList-Accent1">
    <w:name w:val="Light List Accent 1"/>
    <w:basedOn w:val="TableNormal"/>
    <w:uiPriority w:val="61"/>
    <w:rsid w:val="00CC4E3D"/>
    <w:pPr>
      <w:spacing w:after="0" w:line="240" w:lineRule="auto"/>
    </w:pPr>
    <w:tblPr>
      <w:tblStyleRowBandSize w:val="1"/>
      <w:tblStyleColBandSize w:val="1"/>
      <w:tblBorders>
        <w:top w:val="single" w:sz="8" w:space="0" w:color="415772" w:themeColor="accent1"/>
        <w:left w:val="single" w:sz="8" w:space="0" w:color="415772" w:themeColor="accent1"/>
        <w:bottom w:val="single" w:sz="8" w:space="0" w:color="415772" w:themeColor="accent1"/>
        <w:right w:val="single" w:sz="8" w:space="0" w:color="415772" w:themeColor="accent1"/>
      </w:tblBorders>
    </w:tblPr>
    <w:tblStylePr w:type="firstRow">
      <w:pPr>
        <w:spacing w:before="0" w:after="0" w:line="240" w:lineRule="auto"/>
      </w:pPr>
      <w:rPr>
        <w:b/>
        <w:bCs/>
        <w:color w:val="FFFFFF" w:themeColor="background1"/>
      </w:rPr>
      <w:tblPr/>
      <w:tcPr>
        <w:shd w:val="clear" w:color="auto" w:fill="415772" w:themeFill="accent1"/>
      </w:tcPr>
    </w:tblStylePr>
    <w:tblStylePr w:type="lastRow">
      <w:pPr>
        <w:spacing w:before="0" w:after="0" w:line="240" w:lineRule="auto"/>
      </w:pPr>
      <w:rPr>
        <w:b/>
        <w:bCs/>
      </w:rPr>
      <w:tblPr/>
      <w:tcPr>
        <w:tcBorders>
          <w:top w:val="double" w:sz="6" w:space="0" w:color="415772" w:themeColor="accent1"/>
          <w:left w:val="single" w:sz="8" w:space="0" w:color="415772" w:themeColor="accent1"/>
          <w:bottom w:val="single" w:sz="8" w:space="0" w:color="415772" w:themeColor="accent1"/>
          <w:right w:val="single" w:sz="8" w:space="0" w:color="415772" w:themeColor="accent1"/>
        </w:tcBorders>
      </w:tcPr>
    </w:tblStylePr>
    <w:tblStylePr w:type="firstCol">
      <w:rPr>
        <w:b/>
        <w:bCs/>
      </w:rPr>
    </w:tblStylePr>
    <w:tblStylePr w:type="lastCol">
      <w:rPr>
        <w:b/>
        <w:bCs/>
      </w:rPr>
    </w:tblStylePr>
    <w:tblStylePr w:type="band1Vert">
      <w:tblPr/>
      <w:tcPr>
        <w:tcBorders>
          <w:top w:val="single" w:sz="8" w:space="0" w:color="415772" w:themeColor="accent1"/>
          <w:left w:val="single" w:sz="8" w:space="0" w:color="415772" w:themeColor="accent1"/>
          <w:bottom w:val="single" w:sz="8" w:space="0" w:color="415772" w:themeColor="accent1"/>
          <w:right w:val="single" w:sz="8" w:space="0" w:color="415772" w:themeColor="accent1"/>
        </w:tcBorders>
      </w:tcPr>
    </w:tblStylePr>
    <w:tblStylePr w:type="band1Horz">
      <w:tblPr/>
      <w:tcPr>
        <w:tcBorders>
          <w:top w:val="single" w:sz="8" w:space="0" w:color="415772" w:themeColor="accent1"/>
          <w:left w:val="single" w:sz="8" w:space="0" w:color="415772" w:themeColor="accent1"/>
          <w:bottom w:val="single" w:sz="8" w:space="0" w:color="415772" w:themeColor="accent1"/>
          <w:right w:val="single" w:sz="8" w:space="0" w:color="415772" w:themeColor="accent1"/>
        </w:tcBorders>
      </w:tcPr>
    </w:tblStylePr>
  </w:style>
  <w:style w:type="table" w:customStyle="1" w:styleId="EducationTable">
    <w:name w:val="Education Table"/>
    <w:basedOn w:val="TableNormal"/>
    <w:uiPriority w:val="99"/>
    <w:rsid w:val="00CC4E3D"/>
    <w:pPr>
      <w:spacing w:after="0" w:line="240" w:lineRule="auto"/>
    </w:pPr>
    <w:rPr>
      <w:color w:val="000000" w:themeColor="text1"/>
      <w:sz w:val="20"/>
    </w:rPr>
    <w:tblPr>
      <w:tblStyleRowBandSize w:val="1"/>
      <w:tblStyleColBandSize w:val="1"/>
      <w:tblBorders>
        <w:insideH w:val="single" w:sz="4" w:space="0" w:color="522761"/>
        <w:insideV w:val="single" w:sz="4" w:space="0" w:color="522761"/>
      </w:tblBorders>
      <w:tblCellMar>
        <w:top w:w="57" w:type="dxa"/>
        <w:bottom w:w="57" w:type="dxa"/>
      </w:tblCellMar>
    </w:tblPr>
    <w:trPr>
      <w:cantSplit/>
    </w:trPr>
    <w:tblStylePr w:type="firstRow">
      <w:pPr>
        <w:wordWrap/>
        <w:ind w:leftChars="0" w:left="0" w:rightChars="0" w:right="0"/>
        <w:jc w:val="left"/>
      </w:pPr>
      <w:rPr>
        <w:rFonts w:asciiTheme="minorHAnsi" w:hAnsiTheme="minorHAnsi"/>
        <w:b/>
        <w:color w:val="F2F2F2" w:themeColor="background2"/>
        <w:sz w:val="20"/>
      </w:rPr>
      <w:tblPr/>
      <w:tcPr>
        <w:tcBorders>
          <w:bottom w:val="single" w:sz="4" w:space="0" w:color="1E3D6B"/>
          <w:insideV w:val="single" w:sz="4" w:space="0" w:color="F2F2F2" w:themeColor="background2"/>
        </w:tcBorders>
        <w:shd w:val="clear" w:color="auto" w:fill="522761"/>
      </w:tcPr>
    </w:tblStylePr>
    <w:tblStylePr w:type="lastRow">
      <w:tblPr/>
      <w:tcPr>
        <w:tcBorders>
          <w:top w:val="single" w:sz="8" w:space="0" w:color="522761"/>
          <w:bottom w:val="single" w:sz="8" w:space="0" w:color="522761"/>
          <w:insideV w:val="single" w:sz="4" w:space="0" w:color="522761"/>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522761"/>
          <w:tl2br w:val="nil"/>
          <w:tr2bl w:val="nil"/>
        </w:tcBorders>
      </w:tcPr>
    </w:tblStylePr>
    <w:tblStylePr w:type="band2Horz">
      <w:tblPr/>
      <w:tcPr>
        <w:tcBorders>
          <w:top w:val="nil"/>
          <w:left w:val="nil"/>
          <w:bottom w:val="nil"/>
          <w:right w:val="nil"/>
          <w:insideH w:val="nil"/>
          <w:insideV w:val="single" w:sz="4" w:space="0" w:color="522761"/>
          <w:tl2br w:val="nil"/>
          <w:tr2bl w:val="nil"/>
        </w:tcBorders>
        <w:shd w:val="clear" w:color="auto" w:fill="D5CCDA"/>
      </w:tcPr>
    </w:tblStylePr>
  </w:style>
  <w:style w:type="paragraph" w:styleId="NoteHeading">
    <w:name w:val="Note Heading"/>
    <w:basedOn w:val="Normal"/>
    <w:next w:val="Normal"/>
    <w:link w:val="NoteHeadingChar"/>
    <w:uiPriority w:val="99"/>
    <w:unhideWhenUsed/>
    <w:rsid w:val="00CC4E3D"/>
    <w:pPr>
      <w:spacing w:after="0" w:line="240" w:lineRule="auto"/>
    </w:pPr>
  </w:style>
  <w:style w:type="character" w:customStyle="1" w:styleId="NoteHeadingChar">
    <w:name w:val="Note Heading Char"/>
    <w:basedOn w:val="DefaultParagraphFont"/>
    <w:link w:val="NoteHeading"/>
    <w:uiPriority w:val="99"/>
    <w:rsid w:val="00CC4E3D"/>
  </w:style>
  <w:style w:type="character" w:styleId="LineNumber">
    <w:name w:val="line number"/>
    <w:basedOn w:val="DefaultParagraphFont"/>
    <w:uiPriority w:val="99"/>
    <w:semiHidden/>
    <w:unhideWhenUsed/>
    <w:rsid w:val="00CC4E3D"/>
  </w:style>
  <w:style w:type="numbering" w:customStyle="1" w:styleId="NumberedList1">
    <w:name w:val="Numbered List1"/>
    <w:uiPriority w:val="99"/>
    <w:rsid w:val="00CC4E3D"/>
  </w:style>
  <w:style w:type="table" w:customStyle="1" w:styleId="EducationTableBlue">
    <w:name w:val="Education Table Blue"/>
    <w:basedOn w:val="EducationTable"/>
    <w:uiPriority w:val="99"/>
    <w:rsid w:val="00CC4E3D"/>
    <w:tblPr>
      <w:tblBorders>
        <w:insideH w:val="single" w:sz="4" w:space="0" w:color="00746A"/>
        <w:insideV w:val="single" w:sz="4" w:space="0" w:color="00746A"/>
      </w:tblBorders>
    </w:tblPr>
    <w:tblStylePr w:type="firstRow">
      <w:pPr>
        <w:wordWrap/>
        <w:ind w:leftChars="0" w:left="0" w:rightChars="0" w:right="0"/>
        <w:jc w:val="left"/>
      </w:pPr>
      <w:rPr>
        <w:rFonts w:asciiTheme="minorHAnsi" w:hAnsiTheme="minorHAnsi"/>
        <w:b/>
        <w:color w:val="F2F2F2" w:themeColor="background2"/>
        <w:sz w:val="20"/>
      </w:rPr>
      <w:tblPr/>
      <w:tcPr>
        <w:tcBorders>
          <w:top w:val="nil"/>
          <w:left w:val="nil"/>
          <w:bottom w:val="single" w:sz="4" w:space="0" w:color="F2F2F2" w:themeColor="background2"/>
          <w:right w:val="nil"/>
          <w:insideH w:val="nil"/>
          <w:insideV w:val="single" w:sz="4" w:space="0" w:color="F2F2F2" w:themeColor="background2"/>
          <w:tl2br w:val="nil"/>
          <w:tr2bl w:val="nil"/>
        </w:tcBorders>
        <w:shd w:val="clear" w:color="auto" w:fill="00746A"/>
      </w:tcPr>
    </w:tblStylePr>
    <w:tblStylePr w:type="lastRow">
      <w:tblPr/>
      <w:tcPr>
        <w:tcBorders>
          <w:top w:val="single" w:sz="8" w:space="0" w:color="00746A"/>
          <w:bottom w:val="single" w:sz="8" w:space="0" w:color="00746A"/>
          <w:insideV w:val="single" w:sz="4" w:space="0" w:color="00746A"/>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00746A"/>
          <w:tl2br w:val="nil"/>
          <w:tr2bl w:val="nil"/>
        </w:tcBorders>
      </w:tcPr>
    </w:tblStylePr>
    <w:tblStylePr w:type="band2Horz">
      <w:tblPr/>
      <w:tcPr>
        <w:tcBorders>
          <w:top w:val="nil"/>
          <w:left w:val="nil"/>
          <w:bottom w:val="nil"/>
          <w:right w:val="nil"/>
          <w:insideH w:val="nil"/>
          <w:insideV w:val="single" w:sz="4" w:space="0" w:color="00746A"/>
          <w:tl2br w:val="nil"/>
          <w:tr2bl w:val="nil"/>
        </w:tcBorders>
        <w:shd w:val="clear" w:color="auto" w:fill="CAE0DE"/>
      </w:tcPr>
    </w:tblStylePr>
  </w:style>
  <w:style w:type="paragraph" w:customStyle="1" w:styleId="Respondent">
    <w:name w:val="Respondent"/>
    <w:basedOn w:val="Header"/>
    <w:uiPriority w:val="99"/>
    <w:rsid w:val="00CC4E3D"/>
    <w:pPr>
      <w:tabs>
        <w:tab w:val="clear" w:pos="4513"/>
        <w:tab w:val="clear" w:pos="9026"/>
        <w:tab w:val="left" w:pos="2127"/>
      </w:tabs>
      <w:autoSpaceDE w:val="0"/>
      <w:autoSpaceDN w:val="0"/>
      <w:adjustRightInd w:val="0"/>
      <w:spacing w:before="120" w:after="120" w:line="360" w:lineRule="auto"/>
    </w:pPr>
    <w:rPr>
      <w:rFonts w:ascii="Arial" w:hAnsi="Arial" w:cs="Arial"/>
      <w:lang w:val="en-GB"/>
    </w:rPr>
  </w:style>
  <w:style w:type="paragraph" w:customStyle="1" w:styleId="Moderator">
    <w:name w:val="Moderator"/>
    <w:basedOn w:val="Header"/>
    <w:next w:val="Respondent"/>
    <w:uiPriority w:val="99"/>
    <w:rsid w:val="00CC4E3D"/>
    <w:pPr>
      <w:tabs>
        <w:tab w:val="clear" w:pos="4513"/>
        <w:tab w:val="clear" w:pos="9026"/>
        <w:tab w:val="left" w:pos="2127"/>
      </w:tabs>
      <w:autoSpaceDE w:val="0"/>
      <w:autoSpaceDN w:val="0"/>
      <w:adjustRightInd w:val="0"/>
      <w:spacing w:before="120" w:after="120" w:line="360" w:lineRule="auto"/>
    </w:pPr>
    <w:rPr>
      <w:rFonts w:ascii="Arial" w:hAnsi="Arial" w:cs="Arial"/>
      <w:b/>
      <w:bCs/>
      <w:lang w:val="en-GB"/>
    </w:rPr>
  </w:style>
  <w:style w:type="table" w:customStyle="1" w:styleId="TableGrid12">
    <w:name w:val="Table Grid12"/>
    <w:basedOn w:val="TableNormal"/>
    <w:next w:val="TableGrid"/>
    <w:uiPriority w:val="39"/>
    <w:rsid w:val="00CC4E3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CC4E3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4">
    <w:name w:val="Medium List 1 Accent 4"/>
    <w:basedOn w:val="TableNormal"/>
    <w:uiPriority w:val="65"/>
    <w:rsid w:val="00CC4E3D"/>
    <w:pPr>
      <w:spacing w:after="0" w:line="240" w:lineRule="auto"/>
    </w:pPr>
    <w:rPr>
      <w:color w:val="000000" w:themeColor="text1"/>
    </w:rPr>
    <w:tblPr>
      <w:tblStyleRowBandSize w:val="1"/>
      <w:tblStyleColBandSize w:val="1"/>
      <w:tblBorders>
        <w:top w:val="single" w:sz="8" w:space="0" w:color="404040" w:themeColor="accent4"/>
        <w:bottom w:val="single" w:sz="8" w:space="0" w:color="404040" w:themeColor="accent4"/>
      </w:tblBorders>
    </w:tblPr>
    <w:tblStylePr w:type="firstRow">
      <w:rPr>
        <w:rFonts w:asciiTheme="majorHAnsi" w:eastAsiaTheme="majorEastAsia" w:hAnsiTheme="majorHAnsi" w:cstheme="majorBidi"/>
      </w:rPr>
      <w:tblPr/>
      <w:tcPr>
        <w:tcBorders>
          <w:top w:val="nil"/>
          <w:bottom w:val="single" w:sz="8" w:space="0" w:color="404040" w:themeColor="accent4"/>
        </w:tcBorders>
      </w:tcPr>
    </w:tblStylePr>
    <w:tblStylePr w:type="lastRow">
      <w:rPr>
        <w:b/>
        <w:bCs/>
        <w:color w:val="1E3D6B" w:themeColor="text2"/>
      </w:rPr>
      <w:tblPr/>
      <w:tcPr>
        <w:tcBorders>
          <w:top w:val="single" w:sz="8" w:space="0" w:color="404040" w:themeColor="accent4"/>
          <w:bottom w:val="single" w:sz="8" w:space="0" w:color="404040" w:themeColor="accent4"/>
        </w:tcBorders>
      </w:tcPr>
    </w:tblStylePr>
    <w:tblStylePr w:type="firstCol">
      <w:rPr>
        <w:b/>
        <w:bCs/>
      </w:rPr>
    </w:tblStylePr>
    <w:tblStylePr w:type="lastCol">
      <w:rPr>
        <w:b/>
        <w:bCs/>
      </w:rPr>
      <w:tblPr/>
      <w:tcPr>
        <w:tcBorders>
          <w:top w:val="single" w:sz="8" w:space="0" w:color="404040" w:themeColor="accent4"/>
          <w:bottom w:val="single" w:sz="8" w:space="0" w:color="404040" w:themeColor="accent4"/>
        </w:tcBorders>
      </w:tcPr>
    </w:tblStylePr>
    <w:tblStylePr w:type="band1Vert">
      <w:tblPr/>
      <w:tcPr>
        <w:shd w:val="clear" w:color="auto" w:fill="CFCFCF" w:themeFill="accent4" w:themeFillTint="3F"/>
      </w:tcPr>
    </w:tblStylePr>
    <w:tblStylePr w:type="band1Horz">
      <w:tblPr/>
      <w:tcPr>
        <w:shd w:val="clear" w:color="auto" w:fill="CFCFCF" w:themeFill="accent4" w:themeFillTint="3F"/>
      </w:tcPr>
    </w:tblStylePr>
  </w:style>
  <w:style w:type="character" w:customStyle="1" w:styleId="NormalWebChar">
    <w:name w:val="Normal (Web) Char"/>
    <w:basedOn w:val="DefaultParagraphFont"/>
    <w:link w:val="NormalWeb"/>
    <w:uiPriority w:val="99"/>
    <w:semiHidden/>
    <w:locked/>
    <w:rsid w:val="00CC4E3D"/>
    <w:rPr>
      <w:rFonts w:ascii="Times New Roman" w:hAnsi="Times New Roman" w:cs="Times New Roman"/>
      <w:sz w:val="24"/>
    </w:rPr>
  </w:style>
  <w:style w:type="paragraph" w:styleId="NormalWeb">
    <w:name w:val="Normal (Web)"/>
    <w:basedOn w:val="Normal"/>
    <w:link w:val="NormalWebChar"/>
    <w:uiPriority w:val="99"/>
    <w:semiHidden/>
    <w:unhideWhenUsed/>
    <w:rsid w:val="00CC4E3D"/>
    <w:pPr>
      <w:spacing w:after="0"/>
    </w:pPr>
    <w:rPr>
      <w:rFonts w:ascii="Times New Roman" w:hAnsi="Times New Roman" w:cs="Times New Roman"/>
      <w:sz w:val="24"/>
    </w:rPr>
  </w:style>
  <w:style w:type="table" w:styleId="ListTable6Colorful-Accent1">
    <w:name w:val="List Table 6 Colorful Accent 1"/>
    <w:basedOn w:val="TableNormal"/>
    <w:uiPriority w:val="51"/>
    <w:rsid w:val="00CC4E3D"/>
    <w:pPr>
      <w:spacing w:after="0" w:line="240" w:lineRule="auto"/>
    </w:pPr>
    <w:rPr>
      <w:color w:val="304155" w:themeColor="accent1" w:themeShade="BF"/>
    </w:rPr>
    <w:tblPr>
      <w:tblStyleRowBandSize w:val="1"/>
      <w:tblStyleColBandSize w:val="1"/>
      <w:tblBorders>
        <w:top w:val="single" w:sz="4" w:space="0" w:color="415772" w:themeColor="accent1"/>
        <w:bottom w:val="single" w:sz="4" w:space="0" w:color="415772" w:themeColor="accent1"/>
      </w:tblBorders>
    </w:tblPr>
    <w:tblStylePr w:type="firstRow">
      <w:rPr>
        <w:b/>
        <w:bCs/>
      </w:rPr>
      <w:tblPr/>
      <w:tcPr>
        <w:tcBorders>
          <w:bottom w:val="single" w:sz="4" w:space="0" w:color="415772" w:themeColor="accent1"/>
        </w:tcBorders>
      </w:tcPr>
    </w:tblStylePr>
    <w:tblStylePr w:type="lastRow">
      <w:rPr>
        <w:b/>
        <w:bCs/>
      </w:rPr>
      <w:tblPr/>
      <w:tcPr>
        <w:tcBorders>
          <w:top w:val="double" w:sz="4" w:space="0" w:color="415772" w:themeColor="accent1"/>
        </w:tcBorders>
      </w:tcPr>
    </w:tblStylePr>
    <w:tblStylePr w:type="firstCol">
      <w:rPr>
        <w:b/>
        <w:bCs/>
      </w:rPr>
    </w:tblStylePr>
    <w:tblStylePr w:type="lastCol">
      <w:rPr>
        <w:b/>
        <w:bCs/>
      </w:rPr>
    </w:tblStylePr>
    <w:tblStylePr w:type="band1Vert">
      <w:tblPr/>
      <w:tcPr>
        <w:shd w:val="clear" w:color="auto" w:fill="D4DCE7" w:themeFill="accent1" w:themeFillTint="33"/>
      </w:tcPr>
    </w:tblStylePr>
    <w:tblStylePr w:type="band1Horz">
      <w:tblPr/>
      <w:tcPr>
        <w:shd w:val="clear" w:color="auto" w:fill="D4DCE7" w:themeFill="accent1" w:themeFillTint="33"/>
      </w:tcPr>
    </w:tblStylePr>
  </w:style>
  <w:style w:type="table" w:styleId="GridTable4-Accent1">
    <w:name w:val="Grid Table 4 Accent 1"/>
    <w:basedOn w:val="TableNormal"/>
    <w:uiPriority w:val="49"/>
    <w:rsid w:val="00CC4E3D"/>
    <w:pPr>
      <w:spacing w:after="0" w:line="240" w:lineRule="auto"/>
    </w:pPr>
    <w:tblPr>
      <w:tblStyleRowBandSize w:val="1"/>
      <w:tblStyleColBandSize w:val="1"/>
      <w:tblBorders>
        <w:top w:val="single" w:sz="4" w:space="0" w:color="8098B6" w:themeColor="accent1" w:themeTint="99"/>
        <w:left w:val="single" w:sz="4" w:space="0" w:color="8098B6" w:themeColor="accent1" w:themeTint="99"/>
        <w:bottom w:val="single" w:sz="4" w:space="0" w:color="8098B6" w:themeColor="accent1" w:themeTint="99"/>
        <w:right w:val="single" w:sz="4" w:space="0" w:color="8098B6" w:themeColor="accent1" w:themeTint="99"/>
        <w:insideH w:val="single" w:sz="4" w:space="0" w:color="8098B6" w:themeColor="accent1" w:themeTint="99"/>
        <w:insideV w:val="single" w:sz="4" w:space="0" w:color="8098B6" w:themeColor="accent1" w:themeTint="99"/>
      </w:tblBorders>
    </w:tblPr>
    <w:tblStylePr w:type="firstRow">
      <w:rPr>
        <w:b/>
        <w:bCs/>
        <w:color w:val="FFFFFF" w:themeColor="background1"/>
      </w:rPr>
      <w:tblPr/>
      <w:tcPr>
        <w:tcBorders>
          <w:top w:val="single" w:sz="4" w:space="0" w:color="415772" w:themeColor="accent1"/>
          <w:left w:val="single" w:sz="4" w:space="0" w:color="415772" w:themeColor="accent1"/>
          <w:bottom w:val="single" w:sz="4" w:space="0" w:color="415772" w:themeColor="accent1"/>
          <w:right w:val="single" w:sz="4" w:space="0" w:color="415772" w:themeColor="accent1"/>
          <w:insideH w:val="nil"/>
          <w:insideV w:val="nil"/>
        </w:tcBorders>
        <w:shd w:val="clear" w:color="auto" w:fill="415772" w:themeFill="accent1"/>
      </w:tcPr>
    </w:tblStylePr>
    <w:tblStylePr w:type="lastRow">
      <w:rPr>
        <w:b/>
        <w:bCs/>
      </w:rPr>
      <w:tblPr/>
      <w:tcPr>
        <w:tcBorders>
          <w:top w:val="double" w:sz="4" w:space="0" w:color="415772" w:themeColor="accent1"/>
        </w:tcBorders>
      </w:tcPr>
    </w:tblStylePr>
    <w:tblStylePr w:type="firstCol">
      <w:rPr>
        <w:b/>
        <w:bCs/>
      </w:rPr>
    </w:tblStylePr>
    <w:tblStylePr w:type="lastCol">
      <w:rPr>
        <w:b/>
        <w:bCs/>
      </w:rPr>
    </w:tblStylePr>
    <w:tblStylePr w:type="band1Vert">
      <w:tblPr/>
      <w:tcPr>
        <w:shd w:val="clear" w:color="auto" w:fill="D4DCE7" w:themeFill="accent1" w:themeFillTint="33"/>
      </w:tcPr>
    </w:tblStylePr>
    <w:tblStylePr w:type="band1Horz">
      <w:tblPr/>
      <w:tcPr>
        <w:shd w:val="clear" w:color="auto" w:fill="D4DCE7" w:themeFill="accent1" w:themeFillTint="33"/>
      </w:tcPr>
    </w:tblStylePr>
  </w:style>
  <w:style w:type="table" w:styleId="GridTable2-Accent1">
    <w:name w:val="Grid Table 2 Accent 1"/>
    <w:basedOn w:val="TableNormal"/>
    <w:uiPriority w:val="47"/>
    <w:rsid w:val="00CC4E3D"/>
    <w:pPr>
      <w:spacing w:after="0" w:line="240" w:lineRule="auto"/>
    </w:pPr>
    <w:tblPr>
      <w:tblStyleRowBandSize w:val="1"/>
      <w:tblStyleColBandSize w:val="1"/>
      <w:tblBorders>
        <w:top w:val="single" w:sz="2" w:space="0" w:color="8098B6" w:themeColor="accent1" w:themeTint="99"/>
        <w:bottom w:val="single" w:sz="2" w:space="0" w:color="8098B6" w:themeColor="accent1" w:themeTint="99"/>
        <w:insideH w:val="single" w:sz="2" w:space="0" w:color="8098B6" w:themeColor="accent1" w:themeTint="99"/>
        <w:insideV w:val="single" w:sz="2" w:space="0" w:color="8098B6" w:themeColor="accent1" w:themeTint="99"/>
      </w:tblBorders>
    </w:tblPr>
    <w:tblStylePr w:type="firstRow">
      <w:rPr>
        <w:b/>
        <w:bCs/>
      </w:rPr>
      <w:tblPr/>
      <w:tcPr>
        <w:tcBorders>
          <w:top w:val="nil"/>
          <w:bottom w:val="single" w:sz="12" w:space="0" w:color="8098B6" w:themeColor="accent1" w:themeTint="99"/>
          <w:insideH w:val="nil"/>
          <w:insideV w:val="nil"/>
        </w:tcBorders>
        <w:shd w:val="clear" w:color="auto" w:fill="FFFFFF" w:themeFill="background1"/>
      </w:tcPr>
    </w:tblStylePr>
    <w:tblStylePr w:type="lastRow">
      <w:rPr>
        <w:b/>
        <w:bCs/>
      </w:rPr>
      <w:tblPr/>
      <w:tcPr>
        <w:tcBorders>
          <w:top w:val="double" w:sz="2" w:space="0" w:color="8098B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CE7" w:themeFill="accent1" w:themeFillTint="33"/>
      </w:tcPr>
    </w:tblStylePr>
    <w:tblStylePr w:type="band1Horz">
      <w:tblPr/>
      <w:tcPr>
        <w:shd w:val="clear" w:color="auto" w:fill="D4DCE7" w:themeFill="accent1" w:themeFillTint="33"/>
      </w:tcPr>
    </w:tblStylePr>
  </w:style>
  <w:style w:type="table" w:styleId="ListTable4-Accent1">
    <w:name w:val="List Table 4 Accent 1"/>
    <w:basedOn w:val="TableNormal"/>
    <w:uiPriority w:val="49"/>
    <w:rsid w:val="00CC4E3D"/>
    <w:pPr>
      <w:spacing w:after="0" w:line="240" w:lineRule="auto"/>
    </w:pPr>
    <w:tblPr>
      <w:tblStyleRowBandSize w:val="1"/>
      <w:tblStyleColBandSize w:val="1"/>
      <w:tblBorders>
        <w:top w:val="single" w:sz="4" w:space="0" w:color="8098B6" w:themeColor="accent1" w:themeTint="99"/>
        <w:left w:val="single" w:sz="4" w:space="0" w:color="8098B6" w:themeColor="accent1" w:themeTint="99"/>
        <w:bottom w:val="single" w:sz="4" w:space="0" w:color="8098B6" w:themeColor="accent1" w:themeTint="99"/>
        <w:right w:val="single" w:sz="4" w:space="0" w:color="8098B6" w:themeColor="accent1" w:themeTint="99"/>
        <w:insideH w:val="single" w:sz="4" w:space="0" w:color="8098B6" w:themeColor="accent1" w:themeTint="99"/>
      </w:tblBorders>
    </w:tblPr>
    <w:tblStylePr w:type="firstRow">
      <w:rPr>
        <w:b/>
        <w:bCs/>
        <w:color w:val="FFFFFF" w:themeColor="background1"/>
      </w:rPr>
      <w:tblPr/>
      <w:tcPr>
        <w:tcBorders>
          <w:top w:val="single" w:sz="4" w:space="0" w:color="415772" w:themeColor="accent1"/>
          <w:left w:val="single" w:sz="4" w:space="0" w:color="415772" w:themeColor="accent1"/>
          <w:bottom w:val="single" w:sz="4" w:space="0" w:color="415772" w:themeColor="accent1"/>
          <w:right w:val="single" w:sz="4" w:space="0" w:color="415772" w:themeColor="accent1"/>
          <w:insideH w:val="nil"/>
        </w:tcBorders>
        <w:shd w:val="clear" w:color="auto" w:fill="415772" w:themeFill="accent1"/>
      </w:tcPr>
    </w:tblStylePr>
    <w:tblStylePr w:type="lastRow">
      <w:rPr>
        <w:b/>
        <w:bCs/>
      </w:rPr>
      <w:tblPr/>
      <w:tcPr>
        <w:tcBorders>
          <w:top w:val="double" w:sz="4" w:space="0" w:color="8098B6" w:themeColor="accent1" w:themeTint="99"/>
        </w:tcBorders>
      </w:tcPr>
    </w:tblStylePr>
    <w:tblStylePr w:type="firstCol">
      <w:rPr>
        <w:b/>
        <w:bCs/>
      </w:rPr>
    </w:tblStylePr>
    <w:tblStylePr w:type="lastCol">
      <w:rPr>
        <w:b/>
        <w:bCs/>
      </w:rPr>
    </w:tblStylePr>
    <w:tblStylePr w:type="band1Vert">
      <w:tblPr/>
      <w:tcPr>
        <w:shd w:val="clear" w:color="auto" w:fill="D4DCE7" w:themeFill="accent1" w:themeFillTint="33"/>
      </w:tcPr>
    </w:tblStylePr>
    <w:tblStylePr w:type="band1Horz">
      <w:tblPr/>
      <w:tcPr>
        <w:shd w:val="clear" w:color="auto" w:fill="D4DCE7" w:themeFill="accent1" w:themeFillTint="33"/>
      </w:tcPr>
    </w:tblStylePr>
  </w:style>
  <w:style w:type="table" w:customStyle="1" w:styleId="TableGrid14">
    <w:name w:val="Table Grid14"/>
    <w:basedOn w:val="TableNormal"/>
    <w:next w:val="TableGrid"/>
    <w:uiPriority w:val="59"/>
    <w:rsid w:val="00CC4E3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CC4E3D"/>
    <w:pPr>
      <w:spacing w:after="100" w:line="259" w:lineRule="auto"/>
      <w:ind w:left="660"/>
    </w:pPr>
    <w:rPr>
      <w:lang w:eastAsia="en-AU"/>
    </w:rPr>
  </w:style>
  <w:style w:type="paragraph" w:styleId="TOC5">
    <w:name w:val="toc 5"/>
    <w:basedOn w:val="Normal"/>
    <w:next w:val="Normal"/>
    <w:autoRedefine/>
    <w:uiPriority w:val="39"/>
    <w:unhideWhenUsed/>
    <w:rsid w:val="00CC4E3D"/>
    <w:pPr>
      <w:spacing w:after="100" w:line="259" w:lineRule="auto"/>
      <w:ind w:left="880"/>
    </w:pPr>
    <w:rPr>
      <w:lang w:eastAsia="en-AU"/>
    </w:rPr>
  </w:style>
  <w:style w:type="paragraph" w:styleId="TOC6">
    <w:name w:val="toc 6"/>
    <w:basedOn w:val="Normal"/>
    <w:next w:val="Normal"/>
    <w:autoRedefine/>
    <w:uiPriority w:val="39"/>
    <w:unhideWhenUsed/>
    <w:rsid w:val="00CC4E3D"/>
    <w:pPr>
      <w:spacing w:after="100" w:line="259" w:lineRule="auto"/>
      <w:ind w:left="1100"/>
    </w:pPr>
    <w:rPr>
      <w:lang w:eastAsia="en-AU"/>
    </w:rPr>
  </w:style>
  <w:style w:type="paragraph" w:styleId="TOC7">
    <w:name w:val="toc 7"/>
    <w:basedOn w:val="Normal"/>
    <w:next w:val="Normal"/>
    <w:autoRedefine/>
    <w:uiPriority w:val="39"/>
    <w:unhideWhenUsed/>
    <w:rsid w:val="00CC4E3D"/>
    <w:pPr>
      <w:spacing w:after="100" w:line="259" w:lineRule="auto"/>
      <w:ind w:left="1320"/>
    </w:pPr>
    <w:rPr>
      <w:lang w:eastAsia="en-AU"/>
    </w:rPr>
  </w:style>
  <w:style w:type="paragraph" w:styleId="TOC8">
    <w:name w:val="toc 8"/>
    <w:basedOn w:val="Normal"/>
    <w:next w:val="Normal"/>
    <w:autoRedefine/>
    <w:uiPriority w:val="39"/>
    <w:unhideWhenUsed/>
    <w:rsid w:val="00CC4E3D"/>
    <w:pPr>
      <w:spacing w:after="100" w:line="259" w:lineRule="auto"/>
      <w:ind w:left="1540"/>
    </w:pPr>
    <w:rPr>
      <w:lang w:eastAsia="en-AU"/>
    </w:rPr>
  </w:style>
  <w:style w:type="paragraph" w:styleId="TOC9">
    <w:name w:val="toc 9"/>
    <w:basedOn w:val="Normal"/>
    <w:next w:val="Normal"/>
    <w:autoRedefine/>
    <w:uiPriority w:val="39"/>
    <w:unhideWhenUsed/>
    <w:rsid w:val="00CC4E3D"/>
    <w:pPr>
      <w:spacing w:after="100" w:line="259" w:lineRule="auto"/>
      <w:ind w:left="1760"/>
    </w:pPr>
    <w:rPr>
      <w:lang w:eastAsia="en-AU"/>
    </w:rPr>
  </w:style>
  <w:style w:type="paragraph" w:customStyle="1" w:styleId="Body">
    <w:name w:val="Body"/>
    <w:basedOn w:val="Normal"/>
    <w:link w:val="BodyChar"/>
    <w:qFormat/>
    <w:rsid w:val="00CC4E3D"/>
    <w:pPr>
      <w:spacing w:before="120" w:after="120" w:line="300" w:lineRule="auto"/>
    </w:pPr>
    <w:rPr>
      <w:rFonts w:ascii="Arial" w:eastAsia="Times New Roman" w:hAnsi="Arial" w:cs="Times New Roman"/>
      <w:sz w:val="20"/>
      <w:szCs w:val="20"/>
    </w:rPr>
  </w:style>
  <w:style w:type="character" w:customStyle="1" w:styleId="BodyChar">
    <w:name w:val="Body Char"/>
    <w:link w:val="Body"/>
    <w:rsid w:val="00CC4E3D"/>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21" Type="http://schemas.openxmlformats.org/officeDocument/2006/relationships/footer" Target="footer5.xml"/><Relationship Id="rId42" Type="http://schemas.openxmlformats.org/officeDocument/2006/relationships/image" Target="media/image22.emf"/><Relationship Id="rId47" Type="http://schemas.openxmlformats.org/officeDocument/2006/relationships/image" Target="media/image27.png"/><Relationship Id="rId63" Type="http://schemas.openxmlformats.org/officeDocument/2006/relationships/image" Target="media/image43.emf"/><Relationship Id="rId68" Type="http://schemas.openxmlformats.org/officeDocument/2006/relationships/header" Target="header5.xml"/><Relationship Id="rId16" Type="http://schemas.openxmlformats.org/officeDocument/2006/relationships/image" Target="media/image3.png"/><Relationship Id="rId11" Type="http://schemas.openxmlformats.org/officeDocument/2006/relationships/header" Target="header2.xml"/><Relationship Id="rId24" Type="http://schemas.openxmlformats.org/officeDocument/2006/relationships/hyperlink" Target="https://docs.jobs.gov.au/documents/transition-work-evaluation-strategy" TargetMode="External"/><Relationship Id="rId32" Type="http://schemas.openxmlformats.org/officeDocument/2006/relationships/image" Target="media/image12.emf"/><Relationship Id="rId37" Type="http://schemas.openxmlformats.org/officeDocument/2006/relationships/image" Target="media/image17.emf"/><Relationship Id="rId40" Type="http://schemas.openxmlformats.org/officeDocument/2006/relationships/image" Target="media/image20.emf"/><Relationship Id="rId45" Type="http://schemas.openxmlformats.org/officeDocument/2006/relationships/image" Target="media/image25.emf"/><Relationship Id="rId53" Type="http://schemas.openxmlformats.org/officeDocument/2006/relationships/image" Target="media/image33.emf"/><Relationship Id="rId58" Type="http://schemas.openxmlformats.org/officeDocument/2006/relationships/image" Target="media/image38.emf"/><Relationship Id="rId66" Type="http://schemas.openxmlformats.org/officeDocument/2006/relationships/footer" Target="footer6.xml"/><Relationship Id="rId74" Type="http://schemas.openxmlformats.org/officeDocument/2006/relationships/image" Target="media/image47.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1.emf"/><Relationship Id="rId19" Type="http://schemas.openxmlformats.org/officeDocument/2006/relationships/hyperlink" Target="http://creativecommons.org/licenses/by/3.0/au/legalcode" TargetMode="External"/><Relationship Id="rId14" Type="http://schemas.openxmlformats.org/officeDocument/2006/relationships/header" Target="header3.xml"/><Relationship Id="rId22" Type="http://schemas.openxmlformats.org/officeDocument/2006/relationships/image" Target="media/image4.png"/><Relationship Id="rId27" Type="http://schemas.openxmlformats.org/officeDocument/2006/relationships/image" Target="media/image7.png"/><Relationship Id="rId30" Type="http://schemas.openxmlformats.org/officeDocument/2006/relationships/image" Target="media/image10.emf"/><Relationship Id="rId35" Type="http://schemas.openxmlformats.org/officeDocument/2006/relationships/image" Target="media/image15.emf"/><Relationship Id="rId43" Type="http://schemas.openxmlformats.org/officeDocument/2006/relationships/image" Target="media/image23.emf"/><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image" Target="media/image44.emf"/><Relationship Id="rId69" Type="http://schemas.openxmlformats.org/officeDocument/2006/relationships/header" Target="header6.xml"/><Relationship Id="rId77" Type="http://schemas.openxmlformats.org/officeDocument/2006/relationships/image" Target="media/image50.emf"/><Relationship Id="rId8" Type="http://schemas.openxmlformats.org/officeDocument/2006/relationships/image" Target="media/image1.png"/><Relationship Id="rId51" Type="http://schemas.openxmlformats.org/officeDocument/2006/relationships/image" Target="media/image31.emf"/><Relationship Id="rId72" Type="http://schemas.openxmlformats.org/officeDocument/2006/relationships/footer" Target="footer8.xm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cid:image001.png@01CC5B5E.C6C84990" TargetMode="External"/><Relationship Id="rId25" Type="http://schemas.openxmlformats.org/officeDocument/2006/relationships/hyperlink" Target="https://docs.jobs.gov.au/documents/transition-work-evaluation-strategy" TargetMode="External"/><Relationship Id="rId33" Type="http://schemas.openxmlformats.org/officeDocument/2006/relationships/image" Target="media/image13.png"/><Relationship Id="rId38" Type="http://schemas.openxmlformats.org/officeDocument/2006/relationships/image" Target="media/image18.emf"/><Relationship Id="rId46" Type="http://schemas.openxmlformats.org/officeDocument/2006/relationships/image" Target="media/image26.png"/><Relationship Id="rId59" Type="http://schemas.openxmlformats.org/officeDocument/2006/relationships/image" Target="media/image39.emf"/><Relationship Id="rId67" Type="http://schemas.openxmlformats.org/officeDocument/2006/relationships/image" Target="media/image45.png"/><Relationship Id="rId20" Type="http://schemas.openxmlformats.org/officeDocument/2006/relationships/footer" Target="footer4.xml"/><Relationship Id="rId41" Type="http://schemas.openxmlformats.org/officeDocument/2006/relationships/image" Target="media/image21.emf"/><Relationship Id="rId54" Type="http://schemas.openxmlformats.org/officeDocument/2006/relationships/image" Target="media/image34.emf"/><Relationship Id="rId62" Type="http://schemas.openxmlformats.org/officeDocument/2006/relationships/image" Target="media/image42.png"/><Relationship Id="rId70" Type="http://schemas.openxmlformats.org/officeDocument/2006/relationships/footer" Target="footer7.xml"/><Relationship Id="rId75" Type="http://schemas.openxmlformats.org/officeDocument/2006/relationships/image" Target="media/image48.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5.png"/><Relationship Id="rId28" Type="http://schemas.openxmlformats.org/officeDocument/2006/relationships/image" Target="media/image8.png"/><Relationship Id="rId36" Type="http://schemas.openxmlformats.org/officeDocument/2006/relationships/image" Target="media/image16.emf"/><Relationship Id="rId49" Type="http://schemas.openxmlformats.org/officeDocument/2006/relationships/image" Target="media/image29.png"/><Relationship Id="rId57" Type="http://schemas.openxmlformats.org/officeDocument/2006/relationships/image" Target="media/image37.png"/><Relationship Id="rId10" Type="http://schemas.openxmlformats.org/officeDocument/2006/relationships/header" Target="header1.xml"/><Relationship Id="rId31" Type="http://schemas.openxmlformats.org/officeDocument/2006/relationships/image" Target="media/image11.emf"/><Relationship Id="rId44" Type="http://schemas.openxmlformats.org/officeDocument/2006/relationships/image" Target="media/image24.png"/><Relationship Id="rId52" Type="http://schemas.openxmlformats.org/officeDocument/2006/relationships/image" Target="media/image32.emf"/><Relationship Id="rId60" Type="http://schemas.openxmlformats.org/officeDocument/2006/relationships/image" Target="media/image40.png"/><Relationship Id="rId65" Type="http://schemas.openxmlformats.org/officeDocument/2006/relationships/header" Target="header4.xml"/><Relationship Id="rId73" Type="http://schemas.openxmlformats.org/officeDocument/2006/relationships/image" Target="media/image46.emf"/><Relationship Id="rId78" Type="http://schemas.openxmlformats.org/officeDocument/2006/relationships/footer" Target="footer9.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yperlink" Target="http://creativecommons.org/licenses/by/3.0/au/" TargetMode="External"/><Relationship Id="rId39" Type="http://schemas.openxmlformats.org/officeDocument/2006/relationships/image" Target="media/image19.emf"/><Relationship Id="rId34" Type="http://schemas.openxmlformats.org/officeDocument/2006/relationships/image" Target="media/image14.emf"/><Relationship Id="rId50" Type="http://schemas.openxmlformats.org/officeDocument/2006/relationships/image" Target="media/image30.emf"/><Relationship Id="rId55" Type="http://schemas.openxmlformats.org/officeDocument/2006/relationships/image" Target="media/image35.png"/><Relationship Id="rId76" Type="http://schemas.openxmlformats.org/officeDocument/2006/relationships/image" Target="media/image49.emf"/><Relationship Id="rId7" Type="http://schemas.openxmlformats.org/officeDocument/2006/relationships/endnotes" Target="endnotes.xml"/><Relationship Id="rId71" Type="http://schemas.openxmlformats.org/officeDocument/2006/relationships/header" Target="header7.xml"/><Relationship Id="rId2" Type="http://schemas.openxmlformats.org/officeDocument/2006/relationships/numbering" Target="numbering.xml"/><Relationship Id="rId29" Type="http://schemas.openxmlformats.org/officeDocument/2006/relationships/image" Target="media/image9.png"/></Relationships>
</file>

<file path=word/theme/theme1.xml><?xml version="1.0" encoding="utf-8"?>
<a:theme xmlns:a="http://schemas.openxmlformats.org/drawingml/2006/main" name="Office Theme">
  <a:themeElements>
    <a:clrScheme name="Jobs theme">
      <a:dk1>
        <a:sysClr val="windowText" lastClr="000000"/>
      </a:dk1>
      <a:lt1>
        <a:srgbClr val="FFFFFF"/>
      </a:lt1>
      <a:dk2>
        <a:srgbClr val="1E3D6B"/>
      </a:dk2>
      <a:lt2>
        <a:srgbClr val="F2F2F2"/>
      </a:lt2>
      <a:accent1>
        <a:srgbClr val="415772"/>
      </a:accent1>
      <a:accent2>
        <a:srgbClr val="00746B"/>
      </a:accent2>
      <a:accent3>
        <a:srgbClr val="71C043"/>
      </a:accent3>
      <a:accent4>
        <a:srgbClr val="404040"/>
      </a:accent4>
      <a:accent5>
        <a:srgbClr val="808080"/>
      </a:accent5>
      <a:accent6>
        <a:srgbClr val="F48221"/>
      </a:accent6>
      <a:hlink>
        <a:srgbClr val="165788"/>
      </a:hlink>
      <a:folHlink>
        <a:srgbClr val="00746B"/>
      </a:folHlink>
    </a:clrScheme>
    <a:fontScheme name="Jobs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4FE4F-B252-476E-AA51-B6046C553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130</Pages>
  <Words>36331</Words>
  <Characters>199340</Characters>
  <Application>Microsoft Office Word</Application>
  <DocSecurity>0</DocSecurity>
  <Lines>4403</Lines>
  <Paragraphs>2229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 to Work Interim Evaluation Report</dc:title>
  <dc:creator/>
  <cp:lastModifiedBy/>
  <cp:revision>1</cp:revision>
  <dcterms:created xsi:type="dcterms:W3CDTF">2023-03-20T04:42:00Z</dcterms:created>
  <dcterms:modified xsi:type="dcterms:W3CDTF">2023-03-20T04:42:00Z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2023-03-20T04:42:20Z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0788a37a-93f5-48b3-a348-ae1b7fdfebba</vt:lpwstr>
  </property>
  <property fmtid="{D5CDD505-2E9C-101B-9397-08002B2CF9AE}" pid="8" name="MSIP_Label_79d889eb-932f-4752-8739-64d25806ef64_ContentBits">
    <vt:lpwstr>0</vt:lpwstr>
  </property>
</Properties>
</file>