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9CA" w:rsidRDefault="00D959CA" w:rsidP="00D959CA">
      <w:pPr>
        <w:pStyle w:val="Department"/>
      </w:pPr>
    </w:p>
    <w:p w:rsidR="00D959CA" w:rsidRDefault="00D959CA" w:rsidP="00D959CA">
      <w:pPr>
        <w:pStyle w:val="Department"/>
        <w:spacing w:before="1320"/>
      </w:pPr>
      <w:bookmarkStart w:id="0" w:name="_Toc448134584"/>
      <w:r>
        <w:t>Asbestos Safety and Eradication Agency</w:t>
      </w:r>
      <w:bookmarkEnd w:id="0"/>
    </w:p>
    <w:p w:rsidR="00D959CA" w:rsidRDefault="00D959CA" w:rsidP="00D959CA">
      <w:pPr>
        <w:pStyle w:val="DepartmentSubtitle"/>
        <w:spacing w:before="2080"/>
      </w:pPr>
      <w:r>
        <w:t>Entity resources and planned performance</w:t>
      </w:r>
    </w:p>
    <w:p w:rsidR="00D959CA" w:rsidRDefault="00D959CA" w:rsidP="00D959CA">
      <w:pPr>
        <w:pStyle w:val="DepartmentSubtitle"/>
        <w:spacing w:before="2080"/>
      </w:pPr>
    </w:p>
    <w:p w:rsidR="00D959CA" w:rsidRDefault="00D959CA" w:rsidP="00D959CA">
      <w:pPr>
        <w:pStyle w:val="ContentsHeading"/>
        <w:sectPr w:rsidR="00D959CA" w:rsidSect="00D959CA">
          <w:footerReference w:type="even" r:id="rId8"/>
          <w:footerReference w:type="default" r:id="rId9"/>
          <w:footerReference w:type="first" r:id="rId10"/>
          <w:pgSz w:w="11907" w:h="16839" w:code="9"/>
          <w:pgMar w:top="2466" w:right="2098" w:bottom="2466" w:left="2098" w:header="1899" w:footer="1899" w:gutter="0"/>
          <w:pgNumType w:start="47"/>
          <w:cols w:space="708"/>
          <w:titlePg/>
          <w:docGrid w:linePitch="360"/>
        </w:sectPr>
      </w:pPr>
    </w:p>
    <w:p w:rsidR="00D959CA" w:rsidRDefault="00D959CA" w:rsidP="00D959CA">
      <w:pPr>
        <w:pStyle w:val="ContentsHeading"/>
      </w:pPr>
      <w:r>
        <w:lastRenderedPageBreak/>
        <w:t>Asbestos Safety and Eradication Agency</w:t>
      </w:r>
    </w:p>
    <w:p w:rsidR="00D959CA" w:rsidRDefault="00D959CA" w:rsidP="00D959CA">
      <w:pPr>
        <w:pStyle w:val="TOC1"/>
        <w:rPr>
          <w:rFonts w:asciiTheme="minorHAnsi" w:eastAsiaTheme="minorEastAsia" w:hAnsiTheme="minorHAnsi" w:cstheme="minorBidi"/>
          <w:b w:val="0"/>
          <w:noProof/>
          <w:sz w:val="22"/>
          <w:szCs w:val="22"/>
        </w:rPr>
      </w:pPr>
      <w:r>
        <w:fldChar w:fldCharType="begin"/>
      </w:r>
      <w:r>
        <w:instrText xml:space="preserve"> TOC \h \z \t "Heading 2,1,Heading 3,2" </w:instrText>
      </w:r>
      <w:r>
        <w:fldChar w:fldCharType="separate"/>
      </w:r>
      <w:hyperlink w:anchor="_Toc447115237" w:history="1">
        <w:r w:rsidRPr="00DD5241">
          <w:rPr>
            <w:rStyle w:val="Hyperlink"/>
            <w:noProof/>
          </w:rPr>
          <w:t>Section 1: Entity overview and resources</w:t>
        </w:r>
        <w:r>
          <w:rPr>
            <w:noProof/>
            <w:webHidden/>
          </w:rPr>
          <w:tab/>
        </w:r>
        <w:r>
          <w:rPr>
            <w:noProof/>
            <w:webHidden/>
          </w:rPr>
          <w:fldChar w:fldCharType="begin"/>
        </w:r>
        <w:r>
          <w:rPr>
            <w:noProof/>
            <w:webHidden/>
          </w:rPr>
          <w:instrText xml:space="preserve"> PAGEREF _Toc447115237 \h </w:instrText>
        </w:r>
        <w:r>
          <w:rPr>
            <w:noProof/>
            <w:webHidden/>
          </w:rPr>
        </w:r>
        <w:r>
          <w:rPr>
            <w:noProof/>
            <w:webHidden/>
          </w:rPr>
          <w:fldChar w:fldCharType="separate"/>
        </w:r>
        <w:r>
          <w:rPr>
            <w:noProof/>
            <w:webHidden/>
          </w:rPr>
          <w:t>51</w:t>
        </w:r>
        <w:r>
          <w:rPr>
            <w:noProof/>
            <w:webHidden/>
          </w:rPr>
          <w:fldChar w:fldCharType="end"/>
        </w:r>
      </w:hyperlink>
    </w:p>
    <w:p w:rsidR="00D959CA" w:rsidRDefault="00D959CA" w:rsidP="00D959CA">
      <w:pPr>
        <w:pStyle w:val="TOC2"/>
        <w:tabs>
          <w:tab w:val="left" w:pos="800"/>
        </w:tabs>
        <w:rPr>
          <w:rFonts w:asciiTheme="minorHAnsi" w:eastAsiaTheme="minorEastAsia" w:hAnsiTheme="minorHAnsi" w:cstheme="minorBidi"/>
          <w:noProof/>
          <w:sz w:val="22"/>
          <w:szCs w:val="22"/>
        </w:rPr>
      </w:pPr>
      <w:hyperlink w:anchor="_Toc447115238" w:history="1">
        <w:r w:rsidRPr="00DD5241">
          <w:rPr>
            <w:rStyle w:val="Hyperlink"/>
            <w:noProof/>
          </w:rPr>
          <w:t>1.1</w:t>
        </w:r>
        <w:r>
          <w:rPr>
            <w:rFonts w:asciiTheme="minorHAnsi" w:eastAsiaTheme="minorEastAsia" w:hAnsiTheme="minorHAnsi" w:cstheme="minorBidi"/>
            <w:noProof/>
            <w:sz w:val="22"/>
            <w:szCs w:val="22"/>
          </w:rPr>
          <w:tab/>
        </w:r>
        <w:r w:rsidRPr="00DD5241">
          <w:rPr>
            <w:rStyle w:val="Hyperlink"/>
            <w:noProof/>
          </w:rPr>
          <w:t>Strategic direction statement</w:t>
        </w:r>
        <w:r>
          <w:rPr>
            <w:noProof/>
            <w:webHidden/>
          </w:rPr>
          <w:tab/>
        </w:r>
        <w:r>
          <w:rPr>
            <w:noProof/>
            <w:webHidden/>
          </w:rPr>
          <w:fldChar w:fldCharType="begin"/>
        </w:r>
        <w:r>
          <w:rPr>
            <w:noProof/>
            <w:webHidden/>
          </w:rPr>
          <w:instrText xml:space="preserve"> PAGEREF _Toc447115238 \h </w:instrText>
        </w:r>
        <w:r>
          <w:rPr>
            <w:noProof/>
            <w:webHidden/>
          </w:rPr>
        </w:r>
        <w:r>
          <w:rPr>
            <w:noProof/>
            <w:webHidden/>
          </w:rPr>
          <w:fldChar w:fldCharType="separate"/>
        </w:r>
        <w:r>
          <w:rPr>
            <w:noProof/>
            <w:webHidden/>
          </w:rPr>
          <w:t>51</w:t>
        </w:r>
        <w:r>
          <w:rPr>
            <w:noProof/>
            <w:webHidden/>
          </w:rPr>
          <w:fldChar w:fldCharType="end"/>
        </w:r>
      </w:hyperlink>
    </w:p>
    <w:p w:rsidR="00D959CA" w:rsidRDefault="00D959CA" w:rsidP="00D959CA">
      <w:pPr>
        <w:pStyle w:val="TOC2"/>
        <w:tabs>
          <w:tab w:val="left" w:pos="800"/>
        </w:tabs>
        <w:rPr>
          <w:rFonts w:asciiTheme="minorHAnsi" w:eastAsiaTheme="minorEastAsia" w:hAnsiTheme="minorHAnsi" w:cstheme="minorBidi"/>
          <w:noProof/>
          <w:sz w:val="22"/>
          <w:szCs w:val="22"/>
        </w:rPr>
      </w:pPr>
      <w:hyperlink w:anchor="_Toc447115239" w:history="1">
        <w:r w:rsidRPr="00DD5241">
          <w:rPr>
            <w:rStyle w:val="Hyperlink"/>
            <w:noProof/>
          </w:rPr>
          <w:t>1.2</w:t>
        </w:r>
        <w:r>
          <w:rPr>
            <w:rFonts w:asciiTheme="minorHAnsi" w:eastAsiaTheme="minorEastAsia" w:hAnsiTheme="minorHAnsi" w:cstheme="minorBidi"/>
            <w:noProof/>
            <w:sz w:val="22"/>
            <w:szCs w:val="22"/>
          </w:rPr>
          <w:tab/>
        </w:r>
        <w:r w:rsidRPr="00DD5241">
          <w:rPr>
            <w:rStyle w:val="Hyperlink"/>
            <w:noProof/>
          </w:rPr>
          <w:t>Entity resource statement</w:t>
        </w:r>
        <w:r>
          <w:rPr>
            <w:noProof/>
            <w:webHidden/>
          </w:rPr>
          <w:tab/>
        </w:r>
        <w:r>
          <w:rPr>
            <w:noProof/>
            <w:webHidden/>
          </w:rPr>
          <w:fldChar w:fldCharType="begin"/>
        </w:r>
        <w:r>
          <w:rPr>
            <w:noProof/>
            <w:webHidden/>
          </w:rPr>
          <w:instrText xml:space="preserve"> PAGEREF _Toc447115239 \h </w:instrText>
        </w:r>
        <w:r>
          <w:rPr>
            <w:noProof/>
            <w:webHidden/>
          </w:rPr>
        </w:r>
        <w:r>
          <w:rPr>
            <w:noProof/>
            <w:webHidden/>
          </w:rPr>
          <w:fldChar w:fldCharType="separate"/>
        </w:r>
        <w:r>
          <w:rPr>
            <w:noProof/>
            <w:webHidden/>
          </w:rPr>
          <w:t>52</w:t>
        </w:r>
        <w:r>
          <w:rPr>
            <w:noProof/>
            <w:webHidden/>
          </w:rPr>
          <w:fldChar w:fldCharType="end"/>
        </w:r>
      </w:hyperlink>
    </w:p>
    <w:p w:rsidR="00D959CA" w:rsidRDefault="00D959CA" w:rsidP="00D959CA">
      <w:pPr>
        <w:pStyle w:val="TOC2"/>
        <w:tabs>
          <w:tab w:val="left" w:pos="800"/>
        </w:tabs>
        <w:rPr>
          <w:rFonts w:asciiTheme="minorHAnsi" w:eastAsiaTheme="minorEastAsia" w:hAnsiTheme="minorHAnsi" w:cstheme="minorBidi"/>
          <w:noProof/>
          <w:sz w:val="22"/>
          <w:szCs w:val="22"/>
        </w:rPr>
      </w:pPr>
      <w:hyperlink w:anchor="_Toc447115240" w:history="1">
        <w:r w:rsidRPr="00DD5241">
          <w:rPr>
            <w:rStyle w:val="Hyperlink"/>
            <w:noProof/>
          </w:rPr>
          <w:t>1.3</w:t>
        </w:r>
        <w:r>
          <w:rPr>
            <w:rFonts w:asciiTheme="minorHAnsi" w:eastAsiaTheme="minorEastAsia" w:hAnsiTheme="minorHAnsi" w:cstheme="minorBidi"/>
            <w:noProof/>
            <w:sz w:val="22"/>
            <w:szCs w:val="22"/>
          </w:rPr>
          <w:tab/>
        </w:r>
        <w:r w:rsidRPr="00DD5241">
          <w:rPr>
            <w:rStyle w:val="Hyperlink"/>
            <w:noProof/>
          </w:rPr>
          <w:t>Budget measures</w:t>
        </w:r>
        <w:r>
          <w:rPr>
            <w:noProof/>
            <w:webHidden/>
          </w:rPr>
          <w:tab/>
        </w:r>
        <w:r>
          <w:rPr>
            <w:noProof/>
            <w:webHidden/>
          </w:rPr>
          <w:fldChar w:fldCharType="begin"/>
        </w:r>
        <w:r>
          <w:rPr>
            <w:noProof/>
            <w:webHidden/>
          </w:rPr>
          <w:instrText xml:space="preserve"> PAGEREF _Toc447115240 \h </w:instrText>
        </w:r>
        <w:r>
          <w:rPr>
            <w:noProof/>
            <w:webHidden/>
          </w:rPr>
        </w:r>
        <w:r>
          <w:rPr>
            <w:noProof/>
            <w:webHidden/>
          </w:rPr>
          <w:fldChar w:fldCharType="separate"/>
        </w:r>
        <w:r>
          <w:rPr>
            <w:noProof/>
            <w:webHidden/>
          </w:rPr>
          <w:t>53</w:t>
        </w:r>
        <w:r>
          <w:rPr>
            <w:noProof/>
            <w:webHidden/>
          </w:rPr>
          <w:fldChar w:fldCharType="end"/>
        </w:r>
      </w:hyperlink>
    </w:p>
    <w:p w:rsidR="00D959CA" w:rsidRDefault="00D959CA" w:rsidP="00D959CA">
      <w:pPr>
        <w:pStyle w:val="TOC1"/>
        <w:rPr>
          <w:rFonts w:asciiTheme="minorHAnsi" w:eastAsiaTheme="minorEastAsia" w:hAnsiTheme="minorHAnsi" w:cstheme="minorBidi"/>
          <w:b w:val="0"/>
          <w:noProof/>
          <w:sz w:val="22"/>
          <w:szCs w:val="22"/>
        </w:rPr>
      </w:pPr>
      <w:hyperlink w:anchor="_Toc447115241" w:history="1">
        <w:r w:rsidRPr="00DD5241">
          <w:rPr>
            <w:rStyle w:val="Hyperlink"/>
            <w:noProof/>
          </w:rPr>
          <w:t>Section 2: Outcomes and planned performance</w:t>
        </w:r>
        <w:r>
          <w:rPr>
            <w:noProof/>
            <w:webHidden/>
          </w:rPr>
          <w:tab/>
        </w:r>
        <w:r>
          <w:rPr>
            <w:noProof/>
            <w:webHidden/>
          </w:rPr>
          <w:fldChar w:fldCharType="begin"/>
        </w:r>
        <w:r>
          <w:rPr>
            <w:noProof/>
            <w:webHidden/>
          </w:rPr>
          <w:instrText xml:space="preserve"> PAGEREF _Toc447115241 \h </w:instrText>
        </w:r>
        <w:r>
          <w:rPr>
            <w:noProof/>
            <w:webHidden/>
          </w:rPr>
        </w:r>
        <w:r>
          <w:rPr>
            <w:noProof/>
            <w:webHidden/>
          </w:rPr>
          <w:fldChar w:fldCharType="separate"/>
        </w:r>
        <w:r>
          <w:rPr>
            <w:noProof/>
            <w:webHidden/>
          </w:rPr>
          <w:t>54</w:t>
        </w:r>
        <w:r>
          <w:rPr>
            <w:noProof/>
            <w:webHidden/>
          </w:rPr>
          <w:fldChar w:fldCharType="end"/>
        </w:r>
      </w:hyperlink>
    </w:p>
    <w:p w:rsidR="00D959CA" w:rsidRDefault="00D959CA" w:rsidP="00D959CA">
      <w:pPr>
        <w:pStyle w:val="TOC2"/>
        <w:tabs>
          <w:tab w:val="left" w:pos="800"/>
        </w:tabs>
        <w:rPr>
          <w:rFonts w:asciiTheme="minorHAnsi" w:eastAsiaTheme="minorEastAsia" w:hAnsiTheme="minorHAnsi" w:cstheme="minorBidi"/>
          <w:noProof/>
          <w:sz w:val="22"/>
          <w:szCs w:val="22"/>
        </w:rPr>
      </w:pPr>
      <w:hyperlink w:anchor="_Toc447115242" w:history="1">
        <w:r w:rsidRPr="00DD5241">
          <w:rPr>
            <w:rStyle w:val="Hyperlink"/>
            <w:noProof/>
          </w:rPr>
          <w:t xml:space="preserve">2.1 </w:t>
        </w:r>
        <w:r>
          <w:rPr>
            <w:rFonts w:asciiTheme="minorHAnsi" w:eastAsiaTheme="minorEastAsia" w:hAnsiTheme="minorHAnsi" w:cstheme="minorBidi"/>
            <w:noProof/>
            <w:sz w:val="22"/>
            <w:szCs w:val="22"/>
          </w:rPr>
          <w:tab/>
        </w:r>
        <w:r w:rsidRPr="00DD5241">
          <w:rPr>
            <w:rStyle w:val="Hyperlink"/>
            <w:noProof/>
          </w:rPr>
          <w:t>Budgeted expenses and performance for Outcome 1</w:t>
        </w:r>
        <w:r>
          <w:rPr>
            <w:noProof/>
            <w:webHidden/>
          </w:rPr>
          <w:tab/>
        </w:r>
        <w:r>
          <w:rPr>
            <w:noProof/>
            <w:webHidden/>
          </w:rPr>
          <w:fldChar w:fldCharType="begin"/>
        </w:r>
        <w:r>
          <w:rPr>
            <w:noProof/>
            <w:webHidden/>
          </w:rPr>
          <w:instrText xml:space="preserve"> PAGEREF _Toc447115242 \h </w:instrText>
        </w:r>
        <w:r>
          <w:rPr>
            <w:noProof/>
            <w:webHidden/>
          </w:rPr>
        </w:r>
        <w:r>
          <w:rPr>
            <w:noProof/>
            <w:webHidden/>
          </w:rPr>
          <w:fldChar w:fldCharType="separate"/>
        </w:r>
        <w:r>
          <w:rPr>
            <w:noProof/>
            <w:webHidden/>
          </w:rPr>
          <w:t>55</w:t>
        </w:r>
        <w:r>
          <w:rPr>
            <w:noProof/>
            <w:webHidden/>
          </w:rPr>
          <w:fldChar w:fldCharType="end"/>
        </w:r>
      </w:hyperlink>
    </w:p>
    <w:p w:rsidR="00D959CA" w:rsidRDefault="00D959CA" w:rsidP="00D959CA">
      <w:pPr>
        <w:pStyle w:val="TOC1"/>
        <w:rPr>
          <w:rFonts w:asciiTheme="minorHAnsi" w:eastAsiaTheme="minorEastAsia" w:hAnsiTheme="minorHAnsi" w:cstheme="minorBidi"/>
          <w:b w:val="0"/>
          <w:noProof/>
          <w:sz w:val="22"/>
          <w:szCs w:val="22"/>
        </w:rPr>
      </w:pPr>
      <w:hyperlink w:anchor="_Toc447115243" w:history="1">
        <w:r w:rsidRPr="00DD5241">
          <w:rPr>
            <w:rStyle w:val="Hyperlink"/>
            <w:noProof/>
          </w:rPr>
          <w:t>Section 3: Budgeted financial statements</w:t>
        </w:r>
        <w:r>
          <w:rPr>
            <w:noProof/>
            <w:webHidden/>
          </w:rPr>
          <w:tab/>
        </w:r>
        <w:r>
          <w:rPr>
            <w:noProof/>
            <w:webHidden/>
          </w:rPr>
          <w:fldChar w:fldCharType="begin"/>
        </w:r>
        <w:r>
          <w:rPr>
            <w:noProof/>
            <w:webHidden/>
          </w:rPr>
          <w:instrText xml:space="preserve"> PAGEREF _Toc447115243 \h </w:instrText>
        </w:r>
        <w:r>
          <w:rPr>
            <w:noProof/>
            <w:webHidden/>
          </w:rPr>
        </w:r>
        <w:r>
          <w:rPr>
            <w:noProof/>
            <w:webHidden/>
          </w:rPr>
          <w:fldChar w:fldCharType="separate"/>
        </w:r>
        <w:r>
          <w:rPr>
            <w:noProof/>
            <w:webHidden/>
          </w:rPr>
          <w:t>59</w:t>
        </w:r>
        <w:r>
          <w:rPr>
            <w:noProof/>
            <w:webHidden/>
          </w:rPr>
          <w:fldChar w:fldCharType="end"/>
        </w:r>
      </w:hyperlink>
    </w:p>
    <w:p w:rsidR="00D959CA" w:rsidRDefault="00D959CA" w:rsidP="00D959CA">
      <w:pPr>
        <w:pStyle w:val="TOC2"/>
        <w:tabs>
          <w:tab w:val="left" w:pos="800"/>
        </w:tabs>
        <w:rPr>
          <w:rFonts w:asciiTheme="minorHAnsi" w:eastAsiaTheme="minorEastAsia" w:hAnsiTheme="minorHAnsi" w:cstheme="minorBidi"/>
          <w:noProof/>
          <w:sz w:val="22"/>
          <w:szCs w:val="22"/>
        </w:rPr>
      </w:pPr>
      <w:hyperlink w:anchor="_Toc447115244" w:history="1">
        <w:r w:rsidRPr="00DD5241">
          <w:rPr>
            <w:rStyle w:val="Hyperlink"/>
            <w:noProof/>
          </w:rPr>
          <w:t>3.1</w:t>
        </w:r>
        <w:r>
          <w:rPr>
            <w:rFonts w:asciiTheme="minorHAnsi" w:eastAsiaTheme="minorEastAsia" w:hAnsiTheme="minorHAnsi" w:cstheme="minorBidi"/>
            <w:noProof/>
            <w:sz w:val="22"/>
            <w:szCs w:val="22"/>
          </w:rPr>
          <w:tab/>
        </w:r>
        <w:r w:rsidRPr="00DD5241">
          <w:rPr>
            <w:rStyle w:val="Hyperlink"/>
            <w:noProof/>
          </w:rPr>
          <w:t>Budgeted financial statements</w:t>
        </w:r>
        <w:r>
          <w:rPr>
            <w:noProof/>
            <w:webHidden/>
          </w:rPr>
          <w:tab/>
        </w:r>
        <w:r>
          <w:rPr>
            <w:noProof/>
            <w:webHidden/>
          </w:rPr>
          <w:fldChar w:fldCharType="begin"/>
        </w:r>
        <w:r>
          <w:rPr>
            <w:noProof/>
            <w:webHidden/>
          </w:rPr>
          <w:instrText xml:space="preserve"> PAGEREF _Toc447115244 \h </w:instrText>
        </w:r>
        <w:r>
          <w:rPr>
            <w:noProof/>
            <w:webHidden/>
          </w:rPr>
        </w:r>
        <w:r>
          <w:rPr>
            <w:noProof/>
            <w:webHidden/>
          </w:rPr>
          <w:fldChar w:fldCharType="separate"/>
        </w:r>
        <w:r>
          <w:rPr>
            <w:noProof/>
            <w:webHidden/>
          </w:rPr>
          <w:t>59</w:t>
        </w:r>
        <w:r>
          <w:rPr>
            <w:noProof/>
            <w:webHidden/>
          </w:rPr>
          <w:fldChar w:fldCharType="end"/>
        </w:r>
      </w:hyperlink>
    </w:p>
    <w:p w:rsidR="00D959CA" w:rsidRPr="001705A4" w:rsidRDefault="00D959CA" w:rsidP="00D959CA">
      <w:pPr>
        <w:pStyle w:val="TOC2"/>
        <w:tabs>
          <w:tab w:val="left" w:pos="800"/>
        </w:tabs>
        <w:rPr>
          <w:rFonts w:asciiTheme="minorHAnsi" w:eastAsiaTheme="minorEastAsia" w:hAnsiTheme="minorHAnsi" w:cstheme="minorBidi"/>
          <w:noProof/>
          <w:sz w:val="22"/>
          <w:szCs w:val="22"/>
        </w:rPr>
      </w:pPr>
      <w:hyperlink w:anchor="_Toc447115245" w:history="1">
        <w:r w:rsidRPr="00DD5241">
          <w:rPr>
            <w:rStyle w:val="Hyperlink"/>
            <w:noProof/>
          </w:rPr>
          <w:t>3.2.1</w:t>
        </w:r>
        <w:r>
          <w:rPr>
            <w:rFonts w:asciiTheme="minorHAnsi" w:eastAsiaTheme="minorEastAsia" w:hAnsiTheme="minorHAnsi" w:cstheme="minorBidi"/>
            <w:noProof/>
            <w:sz w:val="22"/>
            <w:szCs w:val="22"/>
          </w:rPr>
          <w:tab/>
        </w:r>
        <w:r w:rsidRPr="00DD5241">
          <w:rPr>
            <w:rStyle w:val="Hyperlink"/>
            <w:noProof/>
          </w:rPr>
          <w:t>Budgeted financial statements tables</w:t>
        </w:r>
        <w:r>
          <w:rPr>
            <w:noProof/>
            <w:webHidden/>
          </w:rPr>
          <w:tab/>
        </w:r>
        <w:r>
          <w:rPr>
            <w:noProof/>
            <w:webHidden/>
          </w:rPr>
          <w:fldChar w:fldCharType="begin"/>
        </w:r>
        <w:r>
          <w:rPr>
            <w:noProof/>
            <w:webHidden/>
          </w:rPr>
          <w:instrText xml:space="preserve"> PAGEREF _Toc447115245 \h </w:instrText>
        </w:r>
        <w:r>
          <w:rPr>
            <w:noProof/>
            <w:webHidden/>
          </w:rPr>
        </w:r>
        <w:r>
          <w:rPr>
            <w:noProof/>
            <w:webHidden/>
          </w:rPr>
          <w:fldChar w:fldCharType="separate"/>
        </w:r>
        <w:r>
          <w:rPr>
            <w:noProof/>
            <w:webHidden/>
          </w:rPr>
          <w:t>60</w:t>
        </w:r>
        <w:r>
          <w:rPr>
            <w:noProof/>
            <w:webHidden/>
          </w:rPr>
          <w:fldChar w:fldCharType="end"/>
        </w:r>
      </w:hyperlink>
      <w:r>
        <w:fldChar w:fldCharType="end"/>
      </w:r>
    </w:p>
    <w:p w:rsidR="00D959CA" w:rsidRPr="008B5AFD" w:rsidRDefault="00D959CA" w:rsidP="00D959CA"/>
    <w:p w:rsidR="00D959CA" w:rsidRDefault="00D959CA" w:rsidP="00D959CA">
      <w:pPr>
        <w:pStyle w:val="Heading1"/>
        <w:sectPr w:rsidR="00D959CA" w:rsidSect="006C6170">
          <w:footerReference w:type="first" r:id="rId11"/>
          <w:type w:val="oddPage"/>
          <w:pgSz w:w="11907" w:h="16839" w:code="9"/>
          <w:pgMar w:top="2466" w:right="2098" w:bottom="2466" w:left="2098" w:header="1899" w:footer="1899" w:gutter="0"/>
          <w:cols w:space="708"/>
          <w:titlePg/>
          <w:docGrid w:linePitch="360"/>
        </w:sectPr>
      </w:pPr>
      <w:bookmarkStart w:id="1" w:name="_Toc447611887"/>
    </w:p>
    <w:p w:rsidR="00D959CA" w:rsidRDefault="00D959CA" w:rsidP="00D959CA">
      <w:pPr>
        <w:pStyle w:val="Heading1"/>
      </w:pPr>
      <w:r>
        <w:lastRenderedPageBreak/>
        <w:t>Asbestos Safety and Eradication Agency</w:t>
      </w:r>
      <w:bookmarkEnd w:id="1"/>
    </w:p>
    <w:p w:rsidR="00D959CA" w:rsidRPr="002C4D41" w:rsidRDefault="00D959CA" w:rsidP="00D959CA">
      <w:pPr>
        <w:pStyle w:val="Heading2"/>
      </w:pPr>
      <w:bookmarkStart w:id="2" w:name="_Toc447006794"/>
      <w:bookmarkStart w:id="3" w:name="_Toc447007375"/>
      <w:bookmarkStart w:id="4" w:name="_Toc447008253"/>
      <w:bookmarkStart w:id="5" w:name="_Toc447008899"/>
      <w:bookmarkStart w:id="6" w:name="_Toc447012756"/>
      <w:bookmarkStart w:id="7" w:name="_Toc447013752"/>
      <w:bookmarkStart w:id="8" w:name="_Toc447016725"/>
      <w:bookmarkStart w:id="9" w:name="_Toc447115154"/>
      <w:bookmarkStart w:id="10" w:name="_Toc447115237"/>
      <w:bookmarkStart w:id="11" w:name="_Toc447115417"/>
      <w:bookmarkStart w:id="12" w:name="_Toc447116710"/>
      <w:bookmarkStart w:id="13" w:name="_Toc447117941"/>
      <w:bookmarkStart w:id="14" w:name="_Toc447119376"/>
      <w:bookmarkStart w:id="15" w:name="_Toc447709879"/>
      <w:bookmarkStart w:id="16" w:name="_Toc449100203"/>
      <w:bookmarkStart w:id="17" w:name="_Toc449623581"/>
      <w:r w:rsidRPr="002C4D41">
        <w:t>Section 1: Entity overview and resources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D959CA" w:rsidRDefault="00D959CA" w:rsidP="00D959CA">
      <w:pPr>
        <w:pStyle w:val="Heading3"/>
      </w:pPr>
      <w:bookmarkStart w:id="18" w:name="_Toc447006795"/>
      <w:bookmarkStart w:id="19" w:name="_Toc447007376"/>
      <w:bookmarkStart w:id="20" w:name="_Toc447008254"/>
      <w:bookmarkStart w:id="21" w:name="_Toc447008900"/>
      <w:bookmarkStart w:id="22" w:name="_Toc447012757"/>
      <w:bookmarkStart w:id="23" w:name="_Toc447013753"/>
      <w:bookmarkStart w:id="24" w:name="_Toc447016726"/>
      <w:bookmarkStart w:id="25" w:name="_Toc447115155"/>
      <w:bookmarkStart w:id="26" w:name="_Toc447115238"/>
      <w:bookmarkStart w:id="27" w:name="_Toc447115418"/>
      <w:bookmarkStart w:id="28" w:name="_Toc447116711"/>
      <w:bookmarkStart w:id="29" w:name="_Toc447117942"/>
      <w:bookmarkStart w:id="30" w:name="_Toc447119377"/>
      <w:bookmarkStart w:id="31" w:name="_Toc447709880"/>
      <w:bookmarkStart w:id="32" w:name="_Toc449100204"/>
      <w:bookmarkStart w:id="33" w:name="_Toc449623582"/>
      <w:r>
        <w:t>1.1</w:t>
      </w:r>
      <w:r>
        <w:tab/>
        <w:t>Strategic direction statement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D959CA" w:rsidRPr="0071745C" w:rsidRDefault="00D959CA" w:rsidP="00D959CA">
      <w:r w:rsidRPr="0071745C">
        <w:t>The</w:t>
      </w:r>
      <w:r w:rsidRPr="0071745C">
        <w:rPr>
          <w:spacing w:val="-3"/>
        </w:rPr>
        <w:t xml:space="preserve"> </w:t>
      </w:r>
      <w:r w:rsidRPr="0071745C">
        <w:rPr>
          <w:spacing w:val="1"/>
        </w:rPr>
        <w:t>A</w:t>
      </w:r>
      <w:r w:rsidRPr="0071745C">
        <w:t>sbes</w:t>
      </w:r>
      <w:r w:rsidRPr="0071745C">
        <w:rPr>
          <w:spacing w:val="2"/>
        </w:rPr>
        <w:t>t</w:t>
      </w:r>
      <w:r w:rsidRPr="0071745C">
        <w:rPr>
          <w:spacing w:val="-1"/>
        </w:rPr>
        <w:t>o</w:t>
      </w:r>
      <w:r w:rsidRPr="0071745C">
        <w:t>s</w:t>
      </w:r>
      <w:r w:rsidRPr="0071745C">
        <w:rPr>
          <w:spacing w:val="-8"/>
        </w:rPr>
        <w:t xml:space="preserve"> </w:t>
      </w:r>
      <w:r w:rsidRPr="0071745C">
        <w:rPr>
          <w:spacing w:val="1"/>
        </w:rPr>
        <w:t>Saf</w:t>
      </w:r>
      <w:r w:rsidRPr="0071745C">
        <w:t>ety</w:t>
      </w:r>
      <w:r w:rsidRPr="0071745C">
        <w:rPr>
          <w:spacing w:val="-5"/>
        </w:rPr>
        <w:t xml:space="preserve"> </w:t>
      </w:r>
      <w:r w:rsidRPr="0071745C">
        <w:rPr>
          <w:spacing w:val="1"/>
        </w:rPr>
        <w:t>a</w:t>
      </w:r>
      <w:r w:rsidRPr="0071745C">
        <w:rPr>
          <w:spacing w:val="-1"/>
        </w:rPr>
        <w:t>n</w:t>
      </w:r>
      <w:r w:rsidRPr="0071745C">
        <w:t>d</w:t>
      </w:r>
      <w:r w:rsidRPr="0071745C">
        <w:rPr>
          <w:spacing w:val="-2"/>
        </w:rPr>
        <w:t xml:space="preserve"> </w:t>
      </w:r>
      <w:r w:rsidRPr="0071745C">
        <w:t>Er</w:t>
      </w:r>
      <w:r w:rsidRPr="0071745C">
        <w:rPr>
          <w:spacing w:val="2"/>
        </w:rPr>
        <w:t>a</w:t>
      </w:r>
      <w:r w:rsidRPr="0071745C">
        <w:t>dic</w:t>
      </w:r>
      <w:r w:rsidRPr="0071745C">
        <w:rPr>
          <w:spacing w:val="1"/>
        </w:rPr>
        <w:t>a</w:t>
      </w:r>
      <w:r w:rsidRPr="0071745C">
        <w:t>ti</w:t>
      </w:r>
      <w:r w:rsidRPr="0071745C">
        <w:rPr>
          <w:spacing w:val="-1"/>
        </w:rPr>
        <w:t>o</w:t>
      </w:r>
      <w:r w:rsidRPr="0071745C">
        <w:t>n</w:t>
      </w:r>
      <w:r w:rsidRPr="0071745C">
        <w:rPr>
          <w:spacing w:val="-11"/>
        </w:rPr>
        <w:t xml:space="preserve"> </w:t>
      </w:r>
      <w:r w:rsidRPr="0071745C">
        <w:rPr>
          <w:spacing w:val="1"/>
        </w:rPr>
        <w:t>A</w:t>
      </w:r>
      <w:r w:rsidRPr="0071745C">
        <w:t>gen</w:t>
      </w:r>
      <w:r w:rsidRPr="0071745C">
        <w:rPr>
          <w:spacing w:val="2"/>
        </w:rPr>
        <w:t>c</w:t>
      </w:r>
      <w:r w:rsidRPr="0071745C">
        <w:t>y</w:t>
      </w:r>
      <w:r w:rsidRPr="0071745C">
        <w:rPr>
          <w:spacing w:val="-7"/>
        </w:rPr>
        <w:t xml:space="preserve"> </w:t>
      </w:r>
      <w:r w:rsidRPr="0071745C">
        <w:rPr>
          <w:spacing w:val="1"/>
        </w:rPr>
        <w:t>(AS</w:t>
      </w:r>
      <w:r w:rsidRPr="0071745C">
        <w:t>E</w:t>
      </w:r>
      <w:r w:rsidRPr="0071745C">
        <w:rPr>
          <w:spacing w:val="1"/>
        </w:rPr>
        <w:t>A</w:t>
      </w:r>
      <w:r w:rsidRPr="0071745C">
        <w:t>)</w:t>
      </w:r>
      <w:r w:rsidRPr="0071745C">
        <w:rPr>
          <w:spacing w:val="-8"/>
        </w:rPr>
        <w:t xml:space="preserve"> </w:t>
      </w:r>
      <w:proofErr w:type="gramStart"/>
      <w:r>
        <w:t>was</w:t>
      </w:r>
      <w:proofErr w:type="gramEnd"/>
      <w:r w:rsidRPr="0071745C">
        <w:rPr>
          <w:spacing w:val="-4"/>
        </w:rPr>
        <w:t xml:space="preserve"> </w:t>
      </w:r>
      <w:r w:rsidRPr="0071745C">
        <w:rPr>
          <w:spacing w:val="1"/>
        </w:rPr>
        <w:t>e</w:t>
      </w:r>
      <w:r w:rsidRPr="0071745C">
        <w:t>s</w:t>
      </w:r>
      <w:r w:rsidRPr="0071745C">
        <w:rPr>
          <w:spacing w:val="-1"/>
        </w:rPr>
        <w:t>t</w:t>
      </w:r>
      <w:r w:rsidRPr="0071745C">
        <w:rPr>
          <w:spacing w:val="1"/>
        </w:rPr>
        <w:t>a</w:t>
      </w:r>
      <w:r w:rsidRPr="0071745C">
        <w:t>bli</w:t>
      </w:r>
      <w:r w:rsidRPr="0071745C">
        <w:rPr>
          <w:spacing w:val="1"/>
        </w:rPr>
        <w:t>s</w:t>
      </w:r>
      <w:r w:rsidRPr="0071745C">
        <w:rPr>
          <w:spacing w:val="-1"/>
        </w:rPr>
        <w:t>h</w:t>
      </w:r>
      <w:r w:rsidRPr="0071745C">
        <w:t>ed</w:t>
      </w:r>
      <w:r w:rsidRPr="0071745C">
        <w:rPr>
          <w:spacing w:val="-1"/>
        </w:rPr>
        <w:t xml:space="preserve"> </w:t>
      </w:r>
      <w:r w:rsidRPr="0071745C">
        <w:t>by</w:t>
      </w:r>
      <w:r w:rsidRPr="0071745C">
        <w:rPr>
          <w:spacing w:val="-1"/>
        </w:rPr>
        <w:t xml:space="preserve"> </w:t>
      </w:r>
      <w:r w:rsidRPr="0071745C">
        <w:rPr>
          <w:spacing w:val="2"/>
        </w:rPr>
        <w:t>t</w:t>
      </w:r>
      <w:r w:rsidRPr="0071745C">
        <w:rPr>
          <w:spacing w:val="-1"/>
        </w:rPr>
        <w:t>h</w:t>
      </w:r>
      <w:r w:rsidRPr="0071745C">
        <w:t xml:space="preserve">e </w:t>
      </w:r>
      <w:r w:rsidRPr="0071745C">
        <w:rPr>
          <w:i/>
        </w:rPr>
        <w:t>As</w:t>
      </w:r>
      <w:r w:rsidRPr="0071745C">
        <w:rPr>
          <w:i/>
          <w:spacing w:val="1"/>
        </w:rPr>
        <w:t>b</w:t>
      </w:r>
      <w:r w:rsidRPr="0071745C">
        <w:rPr>
          <w:i/>
          <w:spacing w:val="-1"/>
        </w:rPr>
        <w:t>es</w:t>
      </w:r>
      <w:r w:rsidRPr="0071745C">
        <w:rPr>
          <w:i/>
          <w:spacing w:val="1"/>
        </w:rPr>
        <w:t>t</w:t>
      </w:r>
      <w:r w:rsidRPr="0071745C">
        <w:rPr>
          <w:i/>
        </w:rPr>
        <w:t>os</w:t>
      </w:r>
      <w:r w:rsidRPr="0071745C">
        <w:rPr>
          <w:i/>
          <w:spacing w:val="-7"/>
        </w:rPr>
        <w:t xml:space="preserve"> </w:t>
      </w:r>
      <w:r w:rsidRPr="0071745C">
        <w:rPr>
          <w:i/>
        </w:rPr>
        <w:t>S</w:t>
      </w:r>
      <w:r w:rsidRPr="0071745C">
        <w:rPr>
          <w:i/>
          <w:spacing w:val="2"/>
        </w:rPr>
        <w:t>a</w:t>
      </w:r>
      <w:r w:rsidRPr="0071745C">
        <w:rPr>
          <w:i/>
        </w:rPr>
        <w:t>f</w:t>
      </w:r>
      <w:r w:rsidRPr="0071745C">
        <w:rPr>
          <w:i/>
          <w:spacing w:val="-1"/>
        </w:rPr>
        <w:t>e</w:t>
      </w:r>
      <w:r w:rsidRPr="0071745C">
        <w:rPr>
          <w:i/>
          <w:spacing w:val="1"/>
        </w:rPr>
        <w:t>t</w:t>
      </w:r>
      <w:r w:rsidRPr="0071745C">
        <w:rPr>
          <w:i/>
        </w:rPr>
        <w:t>y</w:t>
      </w:r>
      <w:r w:rsidRPr="0071745C">
        <w:rPr>
          <w:i/>
          <w:spacing w:val="-4"/>
        </w:rPr>
        <w:t xml:space="preserve"> </w:t>
      </w:r>
      <w:r w:rsidRPr="0071745C">
        <w:rPr>
          <w:i/>
        </w:rPr>
        <w:t>and</w:t>
      </w:r>
      <w:r w:rsidRPr="0071745C">
        <w:rPr>
          <w:i/>
          <w:spacing w:val="-2"/>
        </w:rPr>
        <w:t xml:space="preserve"> </w:t>
      </w:r>
      <w:r w:rsidRPr="0071745C">
        <w:rPr>
          <w:i/>
        </w:rPr>
        <w:t>E</w:t>
      </w:r>
      <w:r w:rsidRPr="0071745C">
        <w:rPr>
          <w:i/>
          <w:spacing w:val="-1"/>
        </w:rPr>
        <w:t>r</w:t>
      </w:r>
      <w:r w:rsidRPr="0071745C">
        <w:rPr>
          <w:i/>
        </w:rPr>
        <w:t>a</w:t>
      </w:r>
      <w:r w:rsidRPr="0071745C">
        <w:rPr>
          <w:i/>
          <w:spacing w:val="1"/>
        </w:rPr>
        <w:t>d</w:t>
      </w:r>
      <w:r w:rsidRPr="0071745C">
        <w:rPr>
          <w:i/>
        </w:rPr>
        <w:t>ic</w:t>
      </w:r>
      <w:r w:rsidRPr="0071745C">
        <w:rPr>
          <w:i/>
          <w:spacing w:val="1"/>
        </w:rPr>
        <w:t>at</w:t>
      </w:r>
      <w:r w:rsidRPr="0071745C">
        <w:rPr>
          <w:i/>
        </w:rPr>
        <w:t>ion</w:t>
      </w:r>
      <w:r w:rsidRPr="0071745C">
        <w:rPr>
          <w:i/>
          <w:spacing w:val="-9"/>
        </w:rPr>
        <w:t xml:space="preserve"> </w:t>
      </w:r>
      <w:r w:rsidRPr="0071745C">
        <w:rPr>
          <w:i/>
        </w:rPr>
        <w:t>A</w:t>
      </w:r>
      <w:r w:rsidRPr="0071745C">
        <w:rPr>
          <w:i/>
          <w:spacing w:val="1"/>
        </w:rPr>
        <w:t>g</w:t>
      </w:r>
      <w:r w:rsidRPr="0071745C">
        <w:rPr>
          <w:i/>
          <w:spacing w:val="-1"/>
        </w:rPr>
        <w:t>e</w:t>
      </w:r>
      <w:r w:rsidRPr="0071745C">
        <w:rPr>
          <w:i/>
        </w:rPr>
        <w:t>ncy</w:t>
      </w:r>
      <w:r w:rsidRPr="0071745C">
        <w:rPr>
          <w:i/>
          <w:spacing w:val="-5"/>
        </w:rPr>
        <w:t xml:space="preserve"> </w:t>
      </w:r>
      <w:r w:rsidRPr="0071745C">
        <w:rPr>
          <w:i/>
        </w:rPr>
        <w:t>A</w:t>
      </w:r>
      <w:r w:rsidRPr="0071745C">
        <w:rPr>
          <w:i/>
          <w:spacing w:val="1"/>
        </w:rPr>
        <w:t>c</w:t>
      </w:r>
      <w:r w:rsidRPr="0071745C">
        <w:rPr>
          <w:i/>
        </w:rPr>
        <w:t>t</w:t>
      </w:r>
      <w:r w:rsidRPr="0071745C">
        <w:rPr>
          <w:i/>
          <w:spacing w:val="-2"/>
        </w:rPr>
        <w:t xml:space="preserve"> </w:t>
      </w:r>
      <w:r w:rsidRPr="0071745C">
        <w:rPr>
          <w:i/>
          <w:spacing w:val="1"/>
        </w:rPr>
        <w:t>201</w:t>
      </w:r>
      <w:r w:rsidRPr="0071745C">
        <w:rPr>
          <w:i/>
          <w:spacing w:val="4"/>
        </w:rPr>
        <w:t>3</w:t>
      </w:r>
      <w:r>
        <w:rPr>
          <w:i/>
          <w:spacing w:val="4"/>
        </w:rPr>
        <w:t>.</w:t>
      </w:r>
      <w:r w:rsidRPr="0071745C">
        <w:t xml:space="preserve"> </w:t>
      </w:r>
      <w:r>
        <w:t>T</w:t>
      </w:r>
      <w:r w:rsidRPr="0071745C">
        <w:t xml:space="preserve">he agency </w:t>
      </w:r>
      <w:r>
        <w:t>oversees efforts</w:t>
      </w:r>
      <w:r w:rsidRPr="0071745C">
        <w:t xml:space="preserve"> to prevent exposure to asbestos fibres in order to eliminate asbestos-related disease in Australia. </w:t>
      </w:r>
    </w:p>
    <w:p w:rsidR="00D959CA" w:rsidRPr="0071745C" w:rsidRDefault="00D959CA" w:rsidP="00D959CA">
      <w:r w:rsidRPr="0071745C">
        <w:rPr>
          <w:spacing w:val="1"/>
        </w:rPr>
        <w:t>AS</w:t>
      </w:r>
      <w:r w:rsidRPr="0071745C">
        <w:t>EA</w:t>
      </w:r>
      <w:r w:rsidRPr="0071745C">
        <w:rPr>
          <w:spacing w:val="-4"/>
        </w:rPr>
        <w:t xml:space="preserve"> </w:t>
      </w:r>
      <w:r w:rsidRPr="0071745C">
        <w:t>works</w:t>
      </w:r>
      <w:r w:rsidRPr="0071745C">
        <w:rPr>
          <w:spacing w:val="-6"/>
        </w:rPr>
        <w:t xml:space="preserve"> </w:t>
      </w:r>
      <w:r w:rsidRPr="0071745C">
        <w:t>w</w:t>
      </w:r>
      <w:r w:rsidRPr="0071745C">
        <w:rPr>
          <w:spacing w:val="-1"/>
        </w:rPr>
        <w:t>i</w:t>
      </w:r>
      <w:r w:rsidRPr="0071745C">
        <w:rPr>
          <w:spacing w:val="2"/>
        </w:rPr>
        <w:t>t</w:t>
      </w:r>
      <w:r w:rsidRPr="0071745C">
        <w:t>h</w:t>
      </w:r>
      <w:r w:rsidRPr="0071745C">
        <w:rPr>
          <w:spacing w:val="-5"/>
        </w:rPr>
        <w:t xml:space="preserve"> </w:t>
      </w:r>
      <w:r w:rsidRPr="0071745C">
        <w:rPr>
          <w:spacing w:val="-1"/>
        </w:rPr>
        <w:t>all levels of government</w:t>
      </w:r>
      <w:r w:rsidRPr="0071745C">
        <w:rPr>
          <w:spacing w:val="-11"/>
        </w:rPr>
        <w:t xml:space="preserve"> </w:t>
      </w:r>
      <w:r w:rsidRPr="0071745C">
        <w:rPr>
          <w:spacing w:val="1"/>
        </w:rPr>
        <w:t>a</w:t>
      </w:r>
      <w:r w:rsidRPr="0071745C">
        <w:rPr>
          <w:spacing w:val="-1"/>
        </w:rPr>
        <w:t>n</w:t>
      </w:r>
      <w:r w:rsidRPr="0071745C">
        <w:t>d s</w:t>
      </w:r>
      <w:r w:rsidRPr="0071745C">
        <w:rPr>
          <w:spacing w:val="-1"/>
        </w:rPr>
        <w:t>t</w:t>
      </w:r>
      <w:r w:rsidRPr="0071745C">
        <w:rPr>
          <w:spacing w:val="1"/>
        </w:rPr>
        <w:t>a</w:t>
      </w:r>
      <w:r w:rsidRPr="0071745C">
        <w:t>keh</w:t>
      </w:r>
      <w:r w:rsidRPr="0071745C">
        <w:rPr>
          <w:spacing w:val="1"/>
        </w:rPr>
        <w:t>o</w:t>
      </w:r>
      <w:r w:rsidRPr="0071745C">
        <w:t>ld</w:t>
      </w:r>
      <w:r w:rsidRPr="0071745C">
        <w:rPr>
          <w:spacing w:val="1"/>
        </w:rPr>
        <w:t>e</w:t>
      </w:r>
      <w:r w:rsidRPr="0071745C">
        <w:t>rs</w:t>
      </w:r>
      <w:r w:rsidRPr="0071745C">
        <w:rPr>
          <w:spacing w:val="-11"/>
        </w:rPr>
        <w:t xml:space="preserve"> </w:t>
      </w:r>
      <w:r w:rsidRPr="0071745C">
        <w:t>to</w:t>
      </w:r>
      <w:r w:rsidRPr="0071745C">
        <w:rPr>
          <w:spacing w:val="-3"/>
        </w:rPr>
        <w:t xml:space="preserve"> </w:t>
      </w:r>
      <w:r w:rsidRPr="0071745C">
        <w:t>c</w:t>
      </w:r>
      <w:r w:rsidRPr="0071745C">
        <w:rPr>
          <w:spacing w:val="1"/>
        </w:rPr>
        <w:t>r</w:t>
      </w:r>
      <w:r w:rsidRPr="0071745C">
        <w:t>e</w:t>
      </w:r>
      <w:r w:rsidRPr="0071745C">
        <w:rPr>
          <w:spacing w:val="2"/>
        </w:rPr>
        <w:t>a</w:t>
      </w:r>
      <w:r w:rsidRPr="0071745C">
        <w:t>te</w:t>
      </w:r>
      <w:r w:rsidRPr="0071745C">
        <w:rPr>
          <w:spacing w:val="-4"/>
        </w:rPr>
        <w:t xml:space="preserve"> </w:t>
      </w:r>
      <w:r w:rsidRPr="0071745C">
        <w:t xml:space="preserve">a </w:t>
      </w:r>
      <w:r w:rsidRPr="0071745C">
        <w:rPr>
          <w:spacing w:val="-1"/>
        </w:rPr>
        <w:t>n</w:t>
      </w:r>
      <w:r w:rsidRPr="0071745C">
        <w:rPr>
          <w:spacing w:val="1"/>
        </w:rPr>
        <w:t>a</w:t>
      </w:r>
      <w:r w:rsidRPr="0071745C">
        <w:t>ti</w:t>
      </w:r>
      <w:r w:rsidRPr="0071745C">
        <w:rPr>
          <w:spacing w:val="-1"/>
        </w:rPr>
        <w:t>on</w:t>
      </w:r>
      <w:r w:rsidRPr="0071745C">
        <w:rPr>
          <w:spacing w:val="1"/>
        </w:rPr>
        <w:t>a</w:t>
      </w:r>
      <w:r w:rsidRPr="0071745C">
        <w:t>l</w:t>
      </w:r>
      <w:r w:rsidRPr="0071745C">
        <w:rPr>
          <w:spacing w:val="1"/>
        </w:rPr>
        <w:t>l</w:t>
      </w:r>
      <w:r w:rsidRPr="0071745C">
        <w:t>y</w:t>
      </w:r>
      <w:r w:rsidRPr="0071745C">
        <w:rPr>
          <w:spacing w:val="-9"/>
        </w:rPr>
        <w:t xml:space="preserve"> </w:t>
      </w:r>
      <w:r w:rsidRPr="0071745C">
        <w:t>c</w:t>
      </w:r>
      <w:r w:rsidRPr="0071745C">
        <w:rPr>
          <w:spacing w:val="1"/>
        </w:rPr>
        <w:t>o</w:t>
      </w:r>
      <w:r w:rsidRPr="0071745C">
        <w:rPr>
          <w:spacing w:val="-1"/>
        </w:rPr>
        <w:t>n</w:t>
      </w:r>
      <w:r w:rsidRPr="0071745C">
        <w:t>s</w:t>
      </w:r>
      <w:r w:rsidRPr="0071745C">
        <w:rPr>
          <w:spacing w:val="1"/>
        </w:rPr>
        <w:t>i</w:t>
      </w:r>
      <w:r w:rsidRPr="0071745C">
        <w:t>s</w:t>
      </w:r>
      <w:r w:rsidRPr="0071745C">
        <w:rPr>
          <w:spacing w:val="-1"/>
        </w:rPr>
        <w:t>t</w:t>
      </w:r>
      <w:r w:rsidRPr="0071745C">
        <w:t>ent</w:t>
      </w:r>
      <w:r w:rsidRPr="0071745C">
        <w:rPr>
          <w:spacing w:val="-9"/>
        </w:rPr>
        <w:t xml:space="preserve"> </w:t>
      </w:r>
      <w:r w:rsidRPr="0071745C">
        <w:rPr>
          <w:spacing w:val="1"/>
        </w:rPr>
        <w:t>a</w:t>
      </w:r>
      <w:r w:rsidRPr="0071745C">
        <w:t>pp</w:t>
      </w:r>
      <w:r w:rsidRPr="0071745C">
        <w:rPr>
          <w:spacing w:val="1"/>
        </w:rPr>
        <w:t>r</w:t>
      </w:r>
      <w:r w:rsidRPr="0071745C">
        <w:rPr>
          <w:spacing w:val="-1"/>
        </w:rPr>
        <w:t>o</w:t>
      </w:r>
      <w:r w:rsidRPr="0071745C">
        <w:rPr>
          <w:spacing w:val="1"/>
        </w:rPr>
        <w:t>a</w:t>
      </w:r>
      <w:r w:rsidRPr="0071745C">
        <w:rPr>
          <w:spacing w:val="3"/>
        </w:rPr>
        <w:t>c</w:t>
      </w:r>
      <w:r w:rsidRPr="0071745C">
        <w:t>h</w:t>
      </w:r>
      <w:r w:rsidRPr="0071745C">
        <w:rPr>
          <w:spacing w:val="-6"/>
        </w:rPr>
        <w:t xml:space="preserve"> </w:t>
      </w:r>
      <w:r w:rsidRPr="0071745C">
        <w:t>to</w:t>
      </w:r>
      <w:r w:rsidRPr="0071745C">
        <w:rPr>
          <w:spacing w:val="-3"/>
        </w:rPr>
        <w:t xml:space="preserve"> asbestos management </w:t>
      </w:r>
      <w:r w:rsidRPr="0071745C">
        <w:rPr>
          <w:spacing w:val="1"/>
        </w:rPr>
        <w:t>a</w:t>
      </w:r>
      <w:r w:rsidRPr="0071745C">
        <w:rPr>
          <w:spacing w:val="-1"/>
        </w:rPr>
        <w:t>n</w:t>
      </w:r>
      <w:r w:rsidRPr="0071745C">
        <w:t>d</w:t>
      </w:r>
      <w:r w:rsidRPr="0071745C">
        <w:rPr>
          <w:spacing w:val="-2"/>
        </w:rPr>
        <w:t xml:space="preserve"> </w:t>
      </w:r>
      <w:r w:rsidRPr="0071745C">
        <w:rPr>
          <w:spacing w:val="1"/>
        </w:rPr>
        <w:t>a</w:t>
      </w:r>
      <w:r w:rsidRPr="0071745C">
        <w:t>war</w:t>
      </w:r>
      <w:r w:rsidRPr="0071745C">
        <w:rPr>
          <w:spacing w:val="1"/>
        </w:rPr>
        <w:t>e</w:t>
      </w:r>
      <w:r w:rsidRPr="0071745C">
        <w:rPr>
          <w:spacing w:val="-1"/>
        </w:rPr>
        <w:t>n</w:t>
      </w:r>
      <w:r w:rsidRPr="0071745C">
        <w:t>ess to reduce the risks of asbestos-related diseases.</w:t>
      </w:r>
      <w:r w:rsidRPr="0071745C">
        <w:rPr>
          <w:spacing w:val="-8"/>
        </w:rPr>
        <w:t xml:space="preserve"> </w:t>
      </w:r>
      <w:r w:rsidRPr="0071745C">
        <w:rPr>
          <w:spacing w:val="1"/>
        </w:rPr>
        <w:t>AS</w:t>
      </w:r>
      <w:r w:rsidRPr="0071745C">
        <w:t>EA</w:t>
      </w:r>
      <w:r w:rsidRPr="0071745C">
        <w:rPr>
          <w:spacing w:val="-4"/>
        </w:rPr>
        <w:t xml:space="preserve"> </w:t>
      </w:r>
      <w:r w:rsidRPr="0071745C">
        <w:t>p</w:t>
      </w:r>
      <w:r w:rsidRPr="0071745C">
        <w:rPr>
          <w:spacing w:val="1"/>
        </w:rPr>
        <w:t>r</w:t>
      </w:r>
      <w:r w:rsidRPr="0071745C">
        <w:rPr>
          <w:spacing w:val="-1"/>
        </w:rPr>
        <w:t>o</w:t>
      </w:r>
      <w:r w:rsidRPr="0071745C">
        <w:t>vid</w:t>
      </w:r>
      <w:r w:rsidRPr="0071745C">
        <w:rPr>
          <w:spacing w:val="1"/>
        </w:rPr>
        <w:t>e</w:t>
      </w:r>
      <w:r w:rsidRPr="0071745C">
        <w:t>s</w:t>
      </w:r>
      <w:r w:rsidRPr="0071745C">
        <w:rPr>
          <w:spacing w:val="-8"/>
        </w:rPr>
        <w:t xml:space="preserve"> </w:t>
      </w:r>
      <w:r w:rsidRPr="0071745C">
        <w:t xml:space="preserve">a </w:t>
      </w:r>
      <w:r w:rsidRPr="0071745C">
        <w:rPr>
          <w:spacing w:val="-1"/>
        </w:rPr>
        <w:t>n</w:t>
      </w:r>
      <w:r w:rsidRPr="0071745C">
        <w:rPr>
          <w:spacing w:val="1"/>
        </w:rPr>
        <w:t>a</w:t>
      </w:r>
      <w:r w:rsidRPr="0071745C">
        <w:t>ti</w:t>
      </w:r>
      <w:r w:rsidRPr="0071745C">
        <w:rPr>
          <w:spacing w:val="1"/>
        </w:rPr>
        <w:t>o</w:t>
      </w:r>
      <w:r w:rsidRPr="0071745C">
        <w:rPr>
          <w:spacing w:val="-1"/>
        </w:rPr>
        <w:t>n</w:t>
      </w:r>
      <w:r w:rsidRPr="0071745C">
        <w:rPr>
          <w:spacing w:val="8"/>
        </w:rPr>
        <w:t>a</w:t>
      </w:r>
      <w:r w:rsidRPr="0071745C">
        <w:t>l</w:t>
      </w:r>
      <w:r w:rsidRPr="0071745C">
        <w:rPr>
          <w:spacing w:val="-7"/>
        </w:rPr>
        <w:t xml:space="preserve"> </w:t>
      </w:r>
      <w:r w:rsidRPr="0071745C">
        <w:rPr>
          <w:spacing w:val="1"/>
        </w:rPr>
        <w:t>f</w:t>
      </w:r>
      <w:r w:rsidRPr="0071745C">
        <w:rPr>
          <w:spacing w:val="-1"/>
        </w:rPr>
        <w:t>o</w:t>
      </w:r>
      <w:r w:rsidRPr="0071745C">
        <w:t>cus</w:t>
      </w:r>
      <w:r w:rsidRPr="0071745C">
        <w:rPr>
          <w:spacing w:val="-3"/>
        </w:rPr>
        <w:t xml:space="preserve"> </w:t>
      </w:r>
      <w:r w:rsidRPr="0071745C">
        <w:rPr>
          <w:spacing w:val="-1"/>
        </w:rPr>
        <w:t>o</w:t>
      </w:r>
      <w:r w:rsidRPr="0071745C">
        <w:t xml:space="preserve">n </w:t>
      </w:r>
      <w:r w:rsidRPr="0071745C">
        <w:rPr>
          <w:spacing w:val="1"/>
        </w:rPr>
        <w:t>a</w:t>
      </w:r>
      <w:r w:rsidRPr="0071745C">
        <w:t>sbest</w:t>
      </w:r>
      <w:r w:rsidRPr="0071745C">
        <w:rPr>
          <w:spacing w:val="-1"/>
        </w:rPr>
        <w:t>o</w:t>
      </w:r>
      <w:r w:rsidRPr="0071745C">
        <w:t>s</w:t>
      </w:r>
      <w:r w:rsidRPr="0071745C">
        <w:rPr>
          <w:spacing w:val="-7"/>
        </w:rPr>
        <w:t xml:space="preserve"> </w:t>
      </w:r>
      <w:r w:rsidRPr="0071745C">
        <w:rPr>
          <w:spacing w:val="2"/>
        </w:rPr>
        <w:t>i</w:t>
      </w:r>
      <w:r w:rsidRPr="0071745C">
        <w:t>s</w:t>
      </w:r>
      <w:r w:rsidRPr="0071745C">
        <w:rPr>
          <w:spacing w:val="-1"/>
        </w:rPr>
        <w:t>s</w:t>
      </w:r>
      <w:r w:rsidRPr="0071745C">
        <w:t>u</w:t>
      </w:r>
      <w:r w:rsidRPr="0071745C">
        <w:rPr>
          <w:spacing w:val="3"/>
        </w:rPr>
        <w:t>e</w:t>
      </w:r>
      <w:r w:rsidRPr="0071745C">
        <w:t>s</w:t>
      </w:r>
      <w:r w:rsidRPr="0071745C">
        <w:rPr>
          <w:spacing w:val="-5"/>
        </w:rPr>
        <w:t xml:space="preserve"> </w:t>
      </w:r>
      <w:r w:rsidRPr="0071745C">
        <w:t>w</w:t>
      </w:r>
      <w:r w:rsidRPr="0071745C">
        <w:rPr>
          <w:spacing w:val="1"/>
        </w:rPr>
        <w:t>h</w:t>
      </w:r>
      <w:r w:rsidRPr="0071745C">
        <w:t>ich</w:t>
      </w:r>
      <w:r w:rsidRPr="0071745C">
        <w:rPr>
          <w:spacing w:val="-6"/>
        </w:rPr>
        <w:t xml:space="preserve"> </w:t>
      </w:r>
      <w:r w:rsidRPr="0071745C">
        <w:rPr>
          <w:spacing w:val="2"/>
        </w:rPr>
        <w:t>g</w:t>
      </w:r>
      <w:r w:rsidRPr="0071745C">
        <w:t>o</w:t>
      </w:r>
      <w:r w:rsidRPr="0071745C">
        <w:rPr>
          <w:spacing w:val="-3"/>
        </w:rPr>
        <w:t xml:space="preserve"> </w:t>
      </w:r>
      <w:r w:rsidRPr="0071745C">
        <w:t>b</w:t>
      </w:r>
      <w:r w:rsidRPr="0071745C">
        <w:rPr>
          <w:spacing w:val="3"/>
        </w:rPr>
        <w:t>e</w:t>
      </w:r>
      <w:r w:rsidRPr="0071745C">
        <w:t>y</w:t>
      </w:r>
      <w:r w:rsidRPr="0071745C">
        <w:rPr>
          <w:spacing w:val="-1"/>
        </w:rPr>
        <w:t>on</w:t>
      </w:r>
      <w:r w:rsidRPr="0071745C">
        <w:t>d</w:t>
      </w:r>
      <w:r w:rsidRPr="0071745C">
        <w:rPr>
          <w:spacing w:val="-4"/>
        </w:rPr>
        <w:t xml:space="preserve"> </w:t>
      </w:r>
      <w:r w:rsidRPr="0071745C">
        <w:t>w</w:t>
      </w:r>
      <w:r w:rsidRPr="0071745C">
        <w:rPr>
          <w:spacing w:val="-1"/>
        </w:rPr>
        <w:t>o</w:t>
      </w:r>
      <w:r w:rsidRPr="0071745C">
        <w:t>rk</w:t>
      </w:r>
      <w:r w:rsidRPr="0071745C">
        <w:rPr>
          <w:spacing w:val="3"/>
        </w:rPr>
        <w:t>p</w:t>
      </w:r>
      <w:r w:rsidRPr="0071745C">
        <w:t>l</w:t>
      </w:r>
      <w:r w:rsidRPr="0071745C">
        <w:rPr>
          <w:spacing w:val="1"/>
        </w:rPr>
        <w:t>a</w:t>
      </w:r>
      <w:r w:rsidRPr="0071745C">
        <w:t>ce</w:t>
      </w:r>
      <w:r w:rsidRPr="0071745C">
        <w:rPr>
          <w:spacing w:val="-8"/>
        </w:rPr>
        <w:t xml:space="preserve"> </w:t>
      </w:r>
      <w:r w:rsidRPr="0071745C">
        <w:t>s</w:t>
      </w:r>
      <w:r w:rsidRPr="0071745C">
        <w:rPr>
          <w:spacing w:val="1"/>
        </w:rPr>
        <w:t>af</w:t>
      </w:r>
      <w:r w:rsidRPr="0071745C">
        <w:t>ety</w:t>
      </w:r>
      <w:r w:rsidRPr="0071745C">
        <w:rPr>
          <w:spacing w:val="-5"/>
        </w:rPr>
        <w:t xml:space="preserve"> </w:t>
      </w:r>
      <w:r w:rsidRPr="0071745C">
        <w:t>to</w:t>
      </w:r>
      <w:r w:rsidRPr="0071745C">
        <w:rPr>
          <w:spacing w:val="-3"/>
        </w:rPr>
        <w:t xml:space="preserve"> </w:t>
      </w:r>
      <w:r w:rsidRPr="0071745C">
        <w:rPr>
          <w:spacing w:val="3"/>
        </w:rPr>
        <w:t>e</w:t>
      </w:r>
      <w:r w:rsidRPr="0071745C">
        <w:rPr>
          <w:spacing w:val="-1"/>
        </w:rPr>
        <w:t>n</w:t>
      </w:r>
      <w:r w:rsidRPr="0071745C">
        <w:t>c</w:t>
      </w:r>
      <w:r w:rsidRPr="0071745C">
        <w:rPr>
          <w:spacing w:val="2"/>
        </w:rPr>
        <w:t>o</w:t>
      </w:r>
      <w:r w:rsidRPr="0071745C">
        <w:rPr>
          <w:spacing w:val="-1"/>
        </w:rPr>
        <w:t>m</w:t>
      </w:r>
      <w:r w:rsidRPr="0071745C">
        <w:t>p</w:t>
      </w:r>
      <w:r w:rsidRPr="0071745C">
        <w:rPr>
          <w:spacing w:val="1"/>
        </w:rPr>
        <w:t>a</w:t>
      </w:r>
      <w:r w:rsidRPr="0071745C">
        <w:t>ss</w:t>
      </w:r>
      <w:r w:rsidRPr="0071745C">
        <w:rPr>
          <w:spacing w:val="-11"/>
        </w:rPr>
        <w:t xml:space="preserve"> </w:t>
      </w:r>
      <w:r w:rsidRPr="0071745C">
        <w:t>en</w:t>
      </w:r>
      <w:r w:rsidRPr="0071745C">
        <w:rPr>
          <w:spacing w:val="2"/>
        </w:rPr>
        <w:t>v</w:t>
      </w:r>
      <w:r w:rsidRPr="0071745C">
        <w:t>ir</w:t>
      </w:r>
      <w:r w:rsidRPr="0071745C">
        <w:rPr>
          <w:spacing w:val="-1"/>
        </w:rPr>
        <w:t>o</w:t>
      </w:r>
      <w:r w:rsidRPr="0071745C">
        <w:rPr>
          <w:spacing w:val="1"/>
        </w:rPr>
        <w:t>n</w:t>
      </w:r>
      <w:r w:rsidRPr="0071745C">
        <w:rPr>
          <w:spacing w:val="-1"/>
        </w:rPr>
        <w:t>m</w:t>
      </w:r>
      <w:r w:rsidRPr="0071745C">
        <w:t>e</w:t>
      </w:r>
      <w:r w:rsidRPr="0071745C">
        <w:rPr>
          <w:spacing w:val="2"/>
        </w:rPr>
        <w:t>n</w:t>
      </w:r>
      <w:r w:rsidRPr="0071745C">
        <w:t>t</w:t>
      </w:r>
      <w:r w:rsidRPr="0071745C">
        <w:rPr>
          <w:spacing w:val="1"/>
        </w:rPr>
        <w:t>a</w:t>
      </w:r>
      <w:r w:rsidRPr="0071745C">
        <w:t xml:space="preserve">l </w:t>
      </w:r>
      <w:r w:rsidRPr="0071745C">
        <w:rPr>
          <w:spacing w:val="1"/>
        </w:rPr>
        <w:t>a</w:t>
      </w:r>
      <w:r w:rsidRPr="0071745C">
        <w:rPr>
          <w:spacing w:val="-1"/>
        </w:rPr>
        <w:t>n</w:t>
      </w:r>
      <w:r w:rsidRPr="0071745C">
        <w:t>d</w:t>
      </w:r>
      <w:r w:rsidRPr="0071745C">
        <w:rPr>
          <w:spacing w:val="-2"/>
        </w:rPr>
        <w:t xml:space="preserve"> </w:t>
      </w:r>
      <w:r w:rsidRPr="0071745C">
        <w:t>public</w:t>
      </w:r>
      <w:r w:rsidRPr="0071745C">
        <w:rPr>
          <w:spacing w:val="-6"/>
        </w:rPr>
        <w:t xml:space="preserve"> </w:t>
      </w:r>
      <w:r w:rsidRPr="0071745C">
        <w:rPr>
          <w:spacing w:val="-1"/>
        </w:rPr>
        <w:t>h</w:t>
      </w:r>
      <w:r w:rsidRPr="0071745C">
        <w:t>e</w:t>
      </w:r>
      <w:r w:rsidRPr="0071745C">
        <w:rPr>
          <w:spacing w:val="2"/>
        </w:rPr>
        <w:t>a</w:t>
      </w:r>
      <w:r w:rsidRPr="0071745C">
        <w:t>l</w:t>
      </w:r>
      <w:r w:rsidRPr="0071745C">
        <w:rPr>
          <w:spacing w:val="2"/>
        </w:rPr>
        <w:t>t</w:t>
      </w:r>
      <w:r w:rsidRPr="0071745C">
        <w:t>h</w:t>
      </w:r>
      <w:r w:rsidRPr="0071745C">
        <w:rPr>
          <w:spacing w:val="-7"/>
        </w:rPr>
        <w:t xml:space="preserve"> </w:t>
      </w:r>
      <w:r w:rsidRPr="0071745C">
        <w:t>i</w:t>
      </w:r>
      <w:r w:rsidRPr="0071745C">
        <w:rPr>
          <w:spacing w:val="-1"/>
        </w:rPr>
        <w:t>s</w:t>
      </w:r>
      <w:r w:rsidRPr="0071745C">
        <w:rPr>
          <w:spacing w:val="2"/>
        </w:rPr>
        <w:t>s</w:t>
      </w:r>
      <w:r w:rsidRPr="0071745C">
        <w:t>ues. The agency is supported by the Asbestos Safety and Eradication Council</w:t>
      </w:r>
      <w:r>
        <w:t>,</w:t>
      </w:r>
      <w:r w:rsidRPr="0071745C">
        <w:t xml:space="preserve"> </w:t>
      </w:r>
      <w:r>
        <w:t>which</w:t>
      </w:r>
      <w:r w:rsidRPr="0071745C">
        <w:t xml:space="preserve"> provide</w:t>
      </w:r>
      <w:r>
        <w:t>s</w:t>
      </w:r>
      <w:r w:rsidRPr="0071745C">
        <w:t xml:space="preserve"> advice and make</w:t>
      </w:r>
      <w:r>
        <w:t>s</w:t>
      </w:r>
      <w:r w:rsidRPr="0071745C">
        <w:t xml:space="preserve"> recommendations to the agency. </w:t>
      </w:r>
    </w:p>
    <w:p w:rsidR="00D959CA" w:rsidRPr="0071745C" w:rsidRDefault="00D959CA" w:rsidP="00D959CA">
      <w:r w:rsidRPr="0071745C">
        <w:t>ASEA</w:t>
      </w:r>
      <w:r w:rsidRPr="0071745C">
        <w:rPr>
          <w:spacing w:val="-6"/>
        </w:rPr>
        <w:t xml:space="preserve"> </w:t>
      </w:r>
      <w:r w:rsidRPr="0071745C">
        <w:rPr>
          <w:spacing w:val="1"/>
        </w:rPr>
        <w:t>a</w:t>
      </w:r>
      <w:r w:rsidRPr="0071745C">
        <w:rPr>
          <w:spacing w:val="-1"/>
        </w:rPr>
        <w:t>n</w:t>
      </w:r>
      <w:r w:rsidRPr="0071745C">
        <w:t>d</w:t>
      </w:r>
      <w:r w:rsidRPr="0071745C">
        <w:rPr>
          <w:spacing w:val="-2"/>
        </w:rPr>
        <w:t xml:space="preserve"> </w:t>
      </w:r>
      <w:r w:rsidRPr="0071745C">
        <w:rPr>
          <w:spacing w:val="2"/>
        </w:rPr>
        <w:t>t</w:t>
      </w:r>
      <w:r w:rsidRPr="0071745C">
        <w:rPr>
          <w:spacing w:val="-1"/>
        </w:rPr>
        <w:t>h</w:t>
      </w:r>
      <w:r w:rsidRPr="0071745C">
        <w:t>e</w:t>
      </w:r>
      <w:r w:rsidRPr="0071745C">
        <w:rPr>
          <w:spacing w:val="-1"/>
        </w:rPr>
        <w:t xml:space="preserve"> </w:t>
      </w:r>
      <w:r w:rsidRPr="0071745C">
        <w:t>co</w:t>
      </w:r>
      <w:r w:rsidRPr="0071745C">
        <w:rPr>
          <w:spacing w:val="2"/>
        </w:rPr>
        <w:t>u</w:t>
      </w:r>
      <w:r w:rsidRPr="0071745C">
        <w:rPr>
          <w:spacing w:val="-1"/>
        </w:rPr>
        <w:t>n</w:t>
      </w:r>
      <w:r w:rsidRPr="0071745C">
        <w:t>cil</w:t>
      </w:r>
      <w:r w:rsidRPr="0071745C">
        <w:rPr>
          <w:spacing w:val="-4"/>
        </w:rPr>
        <w:t xml:space="preserve"> </w:t>
      </w:r>
      <w:r w:rsidRPr="0071745C">
        <w:t>w</w:t>
      </w:r>
      <w:r w:rsidRPr="0071745C">
        <w:rPr>
          <w:spacing w:val="-1"/>
        </w:rPr>
        <w:t>o</w:t>
      </w:r>
      <w:r w:rsidRPr="0071745C">
        <w:t>rk</w:t>
      </w:r>
      <w:r w:rsidRPr="0071745C">
        <w:rPr>
          <w:spacing w:val="-5"/>
        </w:rPr>
        <w:t xml:space="preserve"> </w:t>
      </w:r>
      <w:r w:rsidRPr="0071745C">
        <w:rPr>
          <w:spacing w:val="2"/>
        </w:rPr>
        <w:t>t</w:t>
      </w:r>
      <w:r w:rsidRPr="0071745C">
        <w:t>owards the achievement of the elimination of asbestos-related diseases in Australia by</w:t>
      </w:r>
      <w:r w:rsidRPr="0071745C">
        <w:rPr>
          <w:spacing w:val="-3"/>
        </w:rPr>
        <w:t xml:space="preserve"> </w:t>
      </w:r>
      <w:r w:rsidRPr="0071745C">
        <w:rPr>
          <w:spacing w:val="1"/>
        </w:rPr>
        <w:t>coordinating</w:t>
      </w:r>
      <w:r w:rsidRPr="0071745C">
        <w:rPr>
          <w:spacing w:val="-9"/>
        </w:rPr>
        <w:t xml:space="preserve"> </w:t>
      </w:r>
      <w:r w:rsidRPr="0071745C">
        <w:t>t</w:t>
      </w:r>
      <w:r w:rsidRPr="0071745C">
        <w:rPr>
          <w:spacing w:val="-1"/>
        </w:rPr>
        <w:t>h</w:t>
      </w:r>
      <w:r w:rsidRPr="0071745C">
        <w:t>e N</w:t>
      </w:r>
      <w:r w:rsidRPr="0071745C">
        <w:rPr>
          <w:spacing w:val="1"/>
        </w:rPr>
        <w:t>a</w:t>
      </w:r>
      <w:r w:rsidRPr="0071745C">
        <w:t>ti</w:t>
      </w:r>
      <w:r w:rsidRPr="0071745C">
        <w:rPr>
          <w:spacing w:val="-1"/>
        </w:rPr>
        <w:t>on</w:t>
      </w:r>
      <w:r w:rsidRPr="0071745C">
        <w:rPr>
          <w:spacing w:val="1"/>
        </w:rPr>
        <w:t>a</w:t>
      </w:r>
      <w:r w:rsidRPr="0071745C">
        <w:t>l</w:t>
      </w:r>
      <w:r w:rsidRPr="0071745C">
        <w:rPr>
          <w:spacing w:val="-8"/>
        </w:rPr>
        <w:t xml:space="preserve"> </w:t>
      </w:r>
      <w:r w:rsidRPr="0071745C">
        <w:rPr>
          <w:spacing w:val="1"/>
        </w:rPr>
        <w:t>S</w:t>
      </w:r>
      <w:r w:rsidRPr="0071745C">
        <w:t>tr</w:t>
      </w:r>
      <w:r w:rsidRPr="0071745C">
        <w:rPr>
          <w:spacing w:val="1"/>
        </w:rPr>
        <w:t>a</w:t>
      </w:r>
      <w:r w:rsidRPr="0071745C">
        <w:t>tegic</w:t>
      </w:r>
      <w:r w:rsidRPr="0071745C">
        <w:rPr>
          <w:spacing w:val="-8"/>
        </w:rPr>
        <w:t xml:space="preserve"> </w:t>
      </w:r>
      <w:r w:rsidRPr="0071745C">
        <w:rPr>
          <w:spacing w:val="2"/>
        </w:rPr>
        <w:t>P</w:t>
      </w:r>
      <w:r w:rsidRPr="0071745C">
        <w:t>l</w:t>
      </w:r>
      <w:r w:rsidRPr="0071745C">
        <w:rPr>
          <w:spacing w:val="1"/>
        </w:rPr>
        <w:t>a</w:t>
      </w:r>
      <w:r w:rsidRPr="0071745C">
        <w:t>n</w:t>
      </w:r>
      <w:r w:rsidRPr="0071745C">
        <w:rPr>
          <w:spacing w:val="-5"/>
        </w:rPr>
        <w:t xml:space="preserve"> </w:t>
      </w:r>
      <w:r w:rsidRPr="0071745C">
        <w:rPr>
          <w:spacing w:val="1"/>
        </w:rPr>
        <w:t>f</w:t>
      </w:r>
      <w:r w:rsidRPr="0071745C">
        <w:rPr>
          <w:spacing w:val="-1"/>
        </w:rPr>
        <w:t>o</w:t>
      </w:r>
      <w:r w:rsidRPr="0071745C">
        <w:t xml:space="preserve">r </w:t>
      </w:r>
      <w:r w:rsidRPr="0071745C">
        <w:rPr>
          <w:spacing w:val="1"/>
        </w:rPr>
        <w:t>A</w:t>
      </w:r>
      <w:r w:rsidRPr="0071745C">
        <w:t>sbest</w:t>
      </w:r>
      <w:r w:rsidRPr="0071745C">
        <w:rPr>
          <w:spacing w:val="-1"/>
        </w:rPr>
        <w:t>o</w:t>
      </w:r>
      <w:r w:rsidRPr="0071745C">
        <w:t>s</w:t>
      </w:r>
      <w:r w:rsidRPr="0071745C">
        <w:rPr>
          <w:spacing w:val="-8"/>
        </w:rPr>
        <w:t xml:space="preserve"> Management and </w:t>
      </w:r>
      <w:r w:rsidRPr="0071745C">
        <w:rPr>
          <w:spacing w:val="3"/>
        </w:rPr>
        <w:t>A</w:t>
      </w:r>
      <w:r w:rsidRPr="0071745C">
        <w:t>war</w:t>
      </w:r>
      <w:r w:rsidRPr="0071745C">
        <w:rPr>
          <w:spacing w:val="1"/>
        </w:rPr>
        <w:t>e</w:t>
      </w:r>
      <w:r w:rsidRPr="0071745C">
        <w:rPr>
          <w:spacing w:val="-1"/>
        </w:rPr>
        <w:t>n</w:t>
      </w:r>
      <w:r w:rsidRPr="0071745C">
        <w:t xml:space="preserve">ess </w:t>
      </w:r>
      <w:r w:rsidRPr="0071745C">
        <w:rPr>
          <w:spacing w:val="1"/>
        </w:rPr>
        <w:t>(</w:t>
      </w:r>
      <w:proofErr w:type="spellStart"/>
      <w:r w:rsidRPr="0071745C">
        <w:t>N</w:t>
      </w:r>
      <w:r w:rsidRPr="0071745C">
        <w:rPr>
          <w:spacing w:val="1"/>
        </w:rPr>
        <w:t>S</w:t>
      </w:r>
      <w:r w:rsidRPr="0071745C">
        <w:t>P</w:t>
      </w:r>
      <w:proofErr w:type="spellEnd"/>
      <w:r w:rsidRPr="0071745C">
        <w:t>).</w:t>
      </w:r>
      <w:r w:rsidRPr="0071745C">
        <w:rPr>
          <w:spacing w:val="-8"/>
        </w:rPr>
        <w:t xml:space="preserve"> </w:t>
      </w:r>
      <w:r w:rsidRPr="0071745C">
        <w:t>A</w:t>
      </w:r>
      <w:r w:rsidRPr="0071745C">
        <w:rPr>
          <w:spacing w:val="3"/>
        </w:rPr>
        <w:t>SEA</w:t>
      </w:r>
      <w:r w:rsidRPr="0071745C">
        <w:rPr>
          <w:spacing w:val="-6"/>
        </w:rPr>
        <w:t xml:space="preserve"> </w:t>
      </w:r>
      <w:r w:rsidRPr="0071745C">
        <w:t>is</w:t>
      </w:r>
      <w:r w:rsidRPr="0071745C">
        <w:rPr>
          <w:spacing w:val="-2"/>
        </w:rPr>
        <w:t xml:space="preserve"> </w:t>
      </w:r>
      <w:r w:rsidRPr="0071745C">
        <w:rPr>
          <w:spacing w:val="1"/>
        </w:rPr>
        <w:t>a</w:t>
      </w:r>
      <w:r w:rsidRPr="0071745C">
        <w:rPr>
          <w:spacing w:val="2"/>
        </w:rPr>
        <w:t>l</w:t>
      </w:r>
      <w:r w:rsidRPr="0071745C">
        <w:t>so r</w:t>
      </w:r>
      <w:r w:rsidRPr="0071745C">
        <w:rPr>
          <w:spacing w:val="1"/>
        </w:rPr>
        <w:t>e</w:t>
      </w:r>
      <w:r w:rsidRPr="0071745C">
        <w:t>sp</w:t>
      </w:r>
      <w:r w:rsidRPr="0071745C">
        <w:rPr>
          <w:spacing w:val="-1"/>
        </w:rPr>
        <w:t>o</w:t>
      </w:r>
      <w:r w:rsidRPr="0071745C">
        <w:rPr>
          <w:spacing w:val="1"/>
        </w:rPr>
        <w:t>n</w:t>
      </w:r>
      <w:r w:rsidRPr="0071745C">
        <w:t>s</w:t>
      </w:r>
      <w:r w:rsidRPr="0071745C">
        <w:rPr>
          <w:spacing w:val="-1"/>
        </w:rPr>
        <w:t>i</w:t>
      </w:r>
      <w:r w:rsidRPr="0071745C">
        <w:t>ble</w:t>
      </w:r>
      <w:r w:rsidRPr="0071745C">
        <w:rPr>
          <w:spacing w:val="-9"/>
        </w:rPr>
        <w:t xml:space="preserve"> </w:t>
      </w:r>
      <w:r w:rsidRPr="0071745C">
        <w:rPr>
          <w:spacing w:val="1"/>
        </w:rPr>
        <w:t>f</w:t>
      </w:r>
      <w:r w:rsidRPr="0071745C">
        <w:rPr>
          <w:spacing w:val="-1"/>
        </w:rPr>
        <w:t>o</w:t>
      </w:r>
      <w:r w:rsidRPr="0071745C">
        <w:t>r</w:t>
      </w:r>
      <w:r w:rsidRPr="0071745C">
        <w:rPr>
          <w:spacing w:val="-2"/>
        </w:rPr>
        <w:t xml:space="preserve"> </w:t>
      </w:r>
      <w:r w:rsidRPr="0071745C">
        <w:rPr>
          <w:spacing w:val="2"/>
        </w:rPr>
        <w:t>t</w:t>
      </w:r>
      <w:r w:rsidRPr="0071745C">
        <w:rPr>
          <w:spacing w:val="-1"/>
        </w:rPr>
        <w:t>h</w:t>
      </w:r>
      <w:r w:rsidRPr="0071745C">
        <w:t>e</w:t>
      </w:r>
      <w:r w:rsidRPr="0071745C">
        <w:rPr>
          <w:spacing w:val="-2"/>
        </w:rPr>
        <w:t xml:space="preserve"> </w:t>
      </w:r>
      <w:r w:rsidRPr="0071745C">
        <w:rPr>
          <w:spacing w:val="1"/>
        </w:rPr>
        <w:t>a</w:t>
      </w:r>
      <w:r w:rsidRPr="0071745C">
        <w:t>d</w:t>
      </w:r>
      <w:r w:rsidRPr="0071745C">
        <w:rPr>
          <w:spacing w:val="-1"/>
        </w:rPr>
        <w:t>m</w:t>
      </w:r>
      <w:r w:rsidRPr="0071745C">
        <w:t>i</w:t>
      </w:r>
      <w:r w:rsidRPr="0071745C">
        <w:rPr>
          <w:spacing w:val="1"/>
        </w:rPr>
        <w:t>n</w:t>
      </w:r>
      <w:r w:rsidRPr="0071745C">
        <w:t>i</w:t>
      </w:r>
      <w:r w:rsidRPr="0071745C">
        <w:rPr>
          <w:spacing w:val="1"/>
        </w:rPr>
        <w:t>s</w:t>
      </w:r>
      <w:r w:rsidRPr="0071745C">
        <w:t>tr</w:t>
      </w:r>
      <w:r w:rsidRPr="0071745C">
        <w:rPr>
          <w:spacing w:val="1"/>
        </w:rPr>
        <w:t>a</w:t>
      </w:r>
      <w:r w:rsidRPr="0071745C">
        <w:t>ti</w:t>
      </w:r>
      <w:r w:rsidRPr="0071745C">
        <w:rPr>
          <w:spacing w:val="-1"/>
        </w:rPr>
        <w:t>o</w:t>
      </w:r>
      <w:r w:rsidRPr="0071745C">
        <w:t>n</w:t>
      </w:r>
      <w:r w:rsidRPr="0071745C">
        <w:rPr>
          <w:spacing w:val="-11"/>
        </w:rPr>
        <w:t xml:space="preserve"> </w:t>
      </w:r>
      <w:r w:rsidRPr="0071745C">
        <w:rPr>
          <w:spacing w:val="-1"/>
        </w:rPr>
        <w:t>o</w:t>
      </w:r>
      <w:r w:rsidRPr="0071745C">
        <w:t>f</w:t>
      </w:r>
      <w:r w:rsidRPr="0071745C">
        <w:rPr>
          <w:spacing w:val="-1"/>
        </w:rPr>
        <w:t xml:space="preserve"> </w:t>
      </w:r>
      <w:r w:rsidRPr="0071745C">
        <w:t>t</w:t>
      </w:r>
      <w:r w:rsidRPr="0071745C">
        <w:rPr>
          <w:spacing w:val="-1"/>
        </w:rPr>
        <w:t>h</w:t>
      </w:r>
      <w:r w:rsidRPr="0071745C">
        <w:t>e</w:t>
      </w:r>
      <w:r w:rsidRPr="0071745C">
        <w:rPr>
          <w:spacing w:val="-2"/>
        </w:rPr>
        <w:t xml:space="preserve"> </w:t>
      </w:r>
      <w:r w:rsidRPr="0071745C">
        <w:t>N</w:t>
      </w:r>
      <w:r w:rsidRPr="0071745C">
        <w:rPr>
          <w:spacing w:val="1"/>
        </w:rPr>
        <w:t>a</w:t>
      </w:r>
      <w:r w:rsidRPr="0071745C">
        <w:t>ti</w:t>
      </w:r>
      <w:r w:rsidRPr="0071745C">
        <w:rPr>
          <w:spacing w:val="1"/>
        </w:rPr>
        <w:t>o</w:t>
      </w:r>
      <w:r w:rsidRPr="0071745C">
        <w:rPr>
          <w:spacing w:val="-1"/>
        </w:rPr>
        <w:t>n</w:t>
      </w:r>
      <w:r w:rsidRPr="0071745C">
        <w:rPr>
          <w:spacing w:val="1"/>
        </w:rPr>
        <w:t>a</w:t>
      </w:r>
      <w:r w:rsidRPr="0071745C">
        <w:t>l</w:t>
      </w:r>
      <w:r w:rsidRPr="0071745C">
        <w:rPr>
          <w:spacing w:val="-8"/>
        </w:rPr>
        <w:t xml:space="preserve"> </w:t>
      </w:r>
      <w:r w:rsidRPr="0071745C">
        <w:rPr>
          <w:spacing w:val="1"/>
        </w:rPr>
        <w:t>A</w:t>
      </w:r>
      <w:r w:rsidRPr="0071745C">
        <w:t>s</w:t>
      </w:r>
      <w:r w:rsidRPr="0071745C">
        <w:rPr>
          <w:spacing w:val="2"/>
        </w:rPr>
        <w:t>b</w:t>
      </w:r>
      <w:r w:rsidRPr="0071745C">
        <w:t>est</w:t>
      </w:r>
      <w:r w:rsidRPr="0071745C">
        <w:rPr>
          <w:spacing w:val="-1"/>
        </w:rPr>
        <w:t>o</w:t>
      </w:r>
      <w:r w:rsidRPr="0071745C">
        <w:t>s</w:t>
      </w:r>
      <w:r w:rsidRPr="0071745C">
        <w:rPr>
          <w:spacing w:val="-8"/>
        </w:rPr>
        <w:t xml:space="preserve"> </w:t>
      </w:r>
      <w:r w:rsidRPr="0071745C">
        <w:rPr>
          <w:spacing w:val="1"/>
        </w:rPr>
        <w:t>E</w:t>
      </w:r>
      <w:r w:rsidRPr="0071745C">
        <w:t>x</w:t>
      </w:r>
      <w:r w:rsidRPr="0071745C">
        <w:rPr>
          <w:spacing w:val="3"/>
        </w:rPr>
        <w:t>p</w:t>
      </w:r>
      <w:r w:rsidRPr="0071745C">
        <w:rPr>
          <w:spacing w:val="-1"/>
        </w:rPr>
        <w:t>o</w:t>
      </w:r>
      <w:r w:rsidRPr="0071745C">
        <w:t>sure</w:t>
      </w:r>
      <w:r w:rsidRPr="0071745C">
        <w:rPr>
          <w:spacing w:val="-5"/>
        </w:rPr>
        <w:t xml:space="preserve"> </w:t>
      </w:r>
      <w:r w:rsidRPr="0071745C">
        <w:rPr>
          <w:spacing w:val="-1"/>
        </w:rPr>
        <w:t>R</w:t>
      </w:r>
      <w:r w:rsidRPr="0071745C">
        <w:t>egi</w:t>
      </w:r>
      <w:r w:rsidRPr="0071745C">
        <w:rPr>
          <w:spacing w:val="2"/>
        </w:rPr>
        <w:t>s</w:t>
      </w:r>
      <w:r w:rsidRPr="0071745C">
        <w:t xml:space="preserve">ter. </w:t>
      </w:r>
    </w:p>
    <w:p w:rsidR="00D959CA" w:rsidRPr="0071745C" w:rsidRDefault="00D959CA" w:rsidP="00D959CA">
      <w:r w:rsidRPr="0071745C">
        <w:t>The agency’s main functions are to:</w:t>
      </w:r>
    </w:p>
    <w:p w:rsidR="00D959CA" w:rsidRPr="0071745C" w:rsidRDefault="00D959CA" w:rsidP="00D959CA">
      <w:pPr>
        <w:pStyle w:val="Bullets"/>
        <w:rPr>
          <w:rFonts w:eastAsia="Book Antiqua"/>
        </w:rPr>
      </w:pPr>
      <w:r w:rsidRPr="0071745C">
        <w:rPr>
          <w:rFonts w:eastAsia="Book Antiqua"/>
        </w:rPr>
        <w:t xml:space="preserve">encourage, coordinate, monitor and report on the implementation of the </w:t>
      </w:r>
      <w:proofErr w:type="spellStart"/>
      <w:r w:rsidRPr="0071745C">
        <w:rPr>
          <w:rFonts w:eastAsia="Book Antiqua"/>
        </w:rPr>
        <w:t>NSP</w:t>
      </w:r>
      <w:proofErr w:type="spellEnd"/>
      <w:r w:rsidRPr="0071745C">
        <w:rPr>
          <w:rFonts w:eastAsia="Book Antiqua"/>
          <w:spacing w:val="-6"/>
        </w:rPr>
        <w:t xml:space="preserve"> </w:t>
      </w:r>
    </w:p>
    <w:p w:rsidR="00D959CA" w:rsidRPr="0071745C" w:rsidRDefault="00D959CA" w:rsidP="00D959CA">
      <w:pPr>
        <w:pStyle w:val="Bullets"/>
        <w:rPr>
          <w:rFonts w:eastAsia="Book Antiqua"/>
        </w:rPr>
      </w:pPr>
      <w:r w:rsidRPr="0071745C">
        <w:rPr>
          <w:rFonts w:eastAsia="Book Antiqua"/>
        </w:rPr>
        <w:t xml:space="preserve">review and amend the </w:t>
      </w:r>
      <w:proofErr w:type="spellStart"/>
      <w:r w:rsidRPr="0071745C">
        <w:rPr>
          <w:rFonts w:eastAsia="Book Antiqua"/>
        </w:rPr>
        <w:t>NSP</w:t>
      </w:r>
      <w:proofErr w:type="spellEnd"/>
      <w:r w:rsidRPr="0071745C">
        <w:rPr>
          <w:rFonts w:eastAsia="Book Antiqua"/>
        </w:rPr>
        <w:t xml:space="preserve"> as required</w:t>
      </w:r>
    </w:p>
    <w:p w:rsidR="00D959CA" w:rsidRPr="0071745C" w:rsidRDefault="00D959CA" w:rsidP="00D959CA">
      <w:pPr>
        <w:pStyle w:val="Bullets"/>
        <w:rPr>
          <w:rFonts w:eastAsia="Book Antiqua"/>
        </w:rPr>
      </w:pPr>
      <w:r w:rsidRPr="0071745C">
        <w:rPr>
          <w:rFonts w:eastAsia="Book Antiqua"/>
        </w:rPr>
        <w:t xml:space="preserve">publish and promote the </w:t>
      </w:r>
      <w:proofErr w:type="spellStart"/>
      <w:r w:rsidRPr="0071745C">
        <w:rPr>
          <w:rFonts w:eastAsia="Book Antiqua"/>
        </w:rPr>
        <w:t>NSP</w:t>
      </w:r>
      <w:proofErr w:type="spellEnd"/>
    </w:p>
    <w:p w:rsidR="00D959CA" w:rsidRPr="0071745C" w:rsidRDefault="00D959CA" w:rsidP="00D959CA">
      <w:pPr>
        <w:pStyle w:val="Bullets"/>
        <w:rPr>
          <w:rFonts w:eastAsia="Book Antiqua"/>
        </w:rPr>
      </w:pPr>
      <w:r w:rsidRPr="0071745C">
        <w:rPr>
          <w:rFonts w:eastAsia="Book Antiqua"/>
        </w:rPr>
        <w:t>p</w:t>
      </w:r>
      <w:r w:rsidRPr="0071745C">
        <w:rPr>
          <w:rFonts w:eastAsia="Book Antiqua"/>
          <w:spacing w:val="1"/>
        </w:rPr>
        <w:t>r</w:t>
      </w:r>
      <w:r w:rsidRPr="0071745C">
        <w:rPr>
          <w:rFonts w:eastAsia="Book Antiqua"/>
          <w:spacing w:val="-1"/>
        </w:rPr>
        <w:t>o</w:t>
      </w:r>
      <w:r w:rsidRPr="0071745C">
        <w:rPr>
          <w:rFonts w:eastAsia="Book Antiqua"/>
        </w:rPr>
        <w:t>vid</w:t>
      </w:r>
      <w:r w:rsidRPr="0071745C">
        <w:rPr>
          <w:rFonts w:eastAsia="Book Antiqua"/>
          <w:spacing w:val="2"/>
        </w:rPr>
        <w:t>e</w:t>
      </w:r>
      <w:r w:rsidRPr="0071745C">
        <w:rPr>
          <w:rFonts w:eastAsia="Book Antiqua"/>
          <w:spacing w:val="-9"/>
        </w:rPr>
        <w:t xml:space="preserve"> </w:t>
      </w:r>
      <w:r w:rsidRPr="0071745C">
        <w:rPr>
          <w:rFonts w:eastAsia="Book Antiqua"/>
          <w:spacing w:val="1"/>
        </w:rPr>
        <w:t>a</w:t>
      </w:r>
      <w:r w:rsidRPr="0071745C">
        <w:rPr>
          <w:rFonts w:eastAsia="Book Antiqua"/>
        </w:rPr>
        <w:t>dvice</w:t>
      </w:r>
      <w:r w:rsidRPr="0071745C">
        <w:rPr>
          <w:rFonts w:eastAsia="Book Antiqua"/>
          <w:spacing w:val="-5"/>
        </w:rPr>
        <w:t xml:space="preserve"> </w:t>
      </w:r>
      <w:r w:rsidRPr="0071745C">
        <w:rPr>
          <w:rFonts w:eastAsia="Book Antiqua"/>
        </w:rPr>
        <w:t>to</w:t>
      </w:r>
      <w:r w:rsidRPr="0071745C">
        <w:rPr>
          <w:rFonts w:eastAsia="Book Antiqua"/>
          <w:spacing w:val="-3"/>
        </w:rPr>
        <w:t xml:space="preserve"> </w:t>
      </w:r>
      <w:r w:rsidRPr="0071745C">
        <w:rPr>
          <w:rFonts w:eastAsia="Book Antiqua"/>
          <w:spacing w:val="2"/>
        </w:rPr>
        <w:t>t</w:t>
      </w:r>
      <w:r w:rsidRPr="0071745C">
        <w:rPr>
          <w:rFonts w:eastAsia="Book Antiqua"/>
          <w:spacing w:val="-1"/>
        </w:rPr>
        <w:t>h</w:t>
      </w:r>
      <w:r w:rsidRPr="0071745C">
        <w:rPr>
          <w:rFonts w:eastAsia="Book Antiqua"/>
        </w:rPr>
        <w:t>e</w:t>
      </w:r>
      <w:r w:rsidRPr="0071745C">
        <w:rPr>
          <w:rFonts w:eastAsia="Book Antiqua"/>
          <w:spacing w:val="-2"/>
        </w:rPr>
        <w:t xml:space="preserve"> </w:t>
      </w:r>
      <w:r w:rsidRPr="0071745C">
        <w:rPr>
          <w:rFonts w:eastAsia="Book Antiqua"/>
          <w:spacing w:val="1"/>
        </w:rPr>
        <w:t>M</w:t>
      </w:r>
      <w:r w:rsidRPr="0071745C">
        <w:rPr>
          <w:rFonts w:eastAsia="Book Antiqua"/>
        </w:rPr>
        <w:t>i</w:t>
      </w:r>
      <w:r w:rsidRPr="0071745C">
        <w:rPr>
          <w:rFonts w:eastAsia="Book Antiqua"/>
          <w:spacing w:val="-1"/>
        </w:rPr>
        <w:t>n</w:t>
      </w:r>
      <w:r w:rsidRPr="0071745C">
        <w:rPr>
          <w:rFonts w:eastAsia="Book Antiqua"/>
          <w:spacing w:val="3"/>
        </w:rPr>
        <w:t>i</w:t>
      </w:r>
      <w:r w:rsidRPr="0071745C">
        <w:rPr>
          <w:rFonts w:eastAsia="Book Antiqua"/>
        </w:rPr>
        <w:t>s</w:t>
      </w:r>
      <w:r w:rsidRPr="0071745C">
        <w:rPr>
          <w:rFonts w:eastAsia="Book Antiqua"/>
          <w:spacing w:val="-1"/>
        </w:rPr>
        <w:t>t</w:t>
      </w:r>
      <w:r w:rsidRPr="0071745C">
        <w:rPr>
          <w:rFonts w:eastAsia="Book Antiqua"/>
        </w:rPr>
        <w:t>er</w:t>
      </w:r>
      <w:r w:rsidRPr="0071745C">
        <w:rPr>
          <w:rFonts w:eastAsia="Book Antiqua"/>
          <w:spacing w:val="-6"/>
        </w:rPr>
        <w:t xml:space="preserve"> </w:t>
      </w:r>
      <w:r w:rsidRPr="0071745C">
        <w:rPr>
          <w:rFonts w:eastAsia="Book Antiqua"/>
          <w:spacing w:val="1"/>
        </w:rPr>
        <w:t>a</w:t>
      </w:r>
      <w:r w:rsidRPr="0071745C">
        <w:rPr>
          <w:rFonts w:eastAsia="Book Antiqua"/>
        </w:rPr>
        <w:t>bo</w:t>
      </w:r>
      <w:r w:rsidRPr="0071745C">
        <w:rPr>
          <w:rFonts w:eastAsia="Book Antiqua"/>
          <w:spacing w:val="2"/>
        </w:rPr>
        <w:t>u</w:t>
      </w:r>
      <w:r w:rsidRPr="0071745C">
        <w:rPr>
          <w:rFonts w:eastAsia="Book Antiqua"/>
        </w:rPr>
        <w:t>t</w:t>
      </w:r>
      <w:r w:rsidRPr="0071745C">
        <w:rPr>
          <w:rFonts w:eastAsia="Book Antiqua"/>
          <w:spacing w:val="-5"/>
        </w:rPr>
        <w:t xml:space="preserve"> </w:t>
      </w:r>
      <w:r w:rsidRPr="0071745C">
        <w:rPr>
          <w:rFonts w:eastAsia="Book Antiqua"/>
          <w:spacing w:val="1"/>
        </w:rPr>
        <w:t>a</w:t>
      </w:r>
      <w:r w:rsidRPr="0071745C">
        <w:rPr>
          <w:rFonts w:eastAsia="Book Antiqua"/>
        </w:rPr>
        <w:t>sbes</w:t>
      </w:r>
      <w:r w:rsidRPr="0071745C">
        <w:rPr>
          <w:rFonts w:eastAsia="Book Antiqua"/>
          <w:spacing w:val="2"/>
        </w:rPr>
        <w:t>t</w:t>
      </w:r>
      <w:r w:rsidRPr="0071745C">
        <w:rPr>
          <w:rFonts w:eastAsia="Book Antiqua"/>
          <w:spacing w:val="-1"/>
        </w:rPr>
        <w:t>o</w:t>
      </w:r>
      <w:r w:rsidRPr="0071745C">
        <w:rPr>
          <w:rFonts w:eastAsia="Book Antiqua"/>
        </w:rPr>
        <w:t>s</w:t>
      </w:r>
      <w:r w:rsidRPr="0071745C">
        <w:rPr>
          <w:rFonts w:eastAsia="Book Antiqua"/>
          <w:spacing w:val="-7"/>
        </w:rPr>
        <w:t xml:space="preserve"> </w:t>
      </w:r>
      <w:r w:rsidRPr="0071745C">
        <w:rPr>
          <w:rFonts w:eastAsia="Book Antiqua"/>
        </w:rPr>
        <w:t>s</w:t>
      </w:r>
      <w:r w:rsidRPr="0071745C">
        <w:rPr>
          <w:rFonts w:eastAsia="Book Antiqua"/>
          <w:spacing w:val="1"/>
        </w:rPr>
        <w:t>af</w:t>
      </w:r>
      <w:r w:rsidRPr="0071745C">
        <w:rPr>
          <w:rFonts w:eastAsia="Book Antiqua"/>
        </w:rPr>
        <w:t>ety</w:t>
      </w:r>
    </w:p>
    <w:p w:rsidR="00D959CA" w:rsidRPr="0071745C" w:rsidRDefault="00D959CA" w:rsidP="00D959CA">
      <w:pPr>
        <w:pStyle w:val="Bullets"/>
        <w:rPr>
          <w:rFonts w:eastAsia="Book Antiqua"/>
        </w:rPr>
      </w:pPr>
      <w:r w:rsidRPr="0071745C">
        <w:rPr>
          <w:rFonts w:eastAsia="Book Antiqua"/>
        </w:rPr>
        <w:t>liaise</w:t>
      </w:r>
      <w:r w:rsidRPr="0071745C">
        <w:rPr>
          <w:rFonts w:eastAsia="Book Antiqua"/>
          <w:spacing w:val="-6"/>
        </w:rPr>
        <w:t xml:space="preserve"> </w:t>
      </w:r>
      <w:r w:rsidRPr="0071745C">
        <w:rPr>
          <w:rFonts w:eastAsia="Book Antiqua"/>
        </w:rPr>
        <w:t>w</w:t>
      </w:r>
      <w:r w:rsidRPr="0071745C">
        <w:rPr>
          <w:rFonts w:eastAsia="Book Antiqua"/>
          <w:spacing w:val="2"/>
        </w:rPr>
        <w:t>i</w:t>
      </w:r>
      <w:r w:rsidRPr="0071745C">
        <w:rPr>
          <w:rFonts w:eastAsia="Book Antiqua"/>
        </w:rPr>
        <w:t>th</w:t>
      </w:r>
      <w:r w:rsidRPr="0071745C">
        <w:rPr>
          <w:rFonts w:eastAsia="Book Antiqua"/>
          <w:spacing w:val="-5"/>
        </w:rPr>
        <w:t xml:space="preserve"> Commonwealth</w:t>
      </w:r>
      <w:r w:rsidRPr="0071745C">
        <w:rPr>
          <w:rFonts w:eastAsia="Book Antiqua"/>
        </w:rPr>
        <w:t>,</w:t>
      </w:r>
      <w:r w:rsidRPr="0071745C">
        <w:rPr>
          <w:rFonts w:eastAsia="Book Antiqua"/>
          <w:spacing w:val="-14"/>
        </w:rPr>
        <w:t xml:space="preserve"> </w:t>
      </w:r>
      <w:r w:rsidRPr="0071745C">
        <w:rPr>
          <w:rFonts w:eastAsia="Book Antiqua"/>
        </w:rPr>
        <w:t>s</w:t>
      </w:r>
      <w:r w:rsidRPr="0071745C">
        <w:rPr>
          <w:rFonts w:eastAsia="Book Antiqua"/>
          <w:spacing w:val="-1"/>
        </w:rPr>
        <w:t>t</w:t>
      </w:r>
      <w:r w:rsidRPr="0071745C">
        <w:rPr>
          <w:rFonts w:eastAsia="Book Antiqua"/>
          <w:spacing w:val="1"/>
        </w:rPr>
        <w:t>a</w:t>
      </w:r>
      <w:r w:rsidRPr="0071745C">
        <w:rPr>
          <w:rFonts w:eastAsia="Book Antiqua"/>
        </w:rPr>
        <w:t>te,</w:t>
      </w:r>
      <w:r w:rsidRPr="0071745C">
        <w:rPr>
          <w:rFonts w:eastAsia="Book Antiqua"/>
          <w:spacing w:val="-4"/>
        </w:rPr>
        <w:t xml:space="preserve"> </w:t>
      </w:r>
      <w:r w:rsidRPr="0071745C">
        <w:rPr>
          <w:rFonts w:eastAsia="Book Antiqua"/>
        </w:rPr>
        <w:t>te</w:t>
      </w:r>
      <w:r w:rsidRPr="0071745C">
        <w:rPr>
          <w:rFonts w:eastAsia="Book Antiqua"/>
          <w:spacing w:val="1"/>
        </w:rPr>
        <w:t>r</w:t>
      </w:r>
      <w:r w:rsidRPr="0071745C">
        <w:rPr>
          <w:rFonts w:eastAsia="Book Antiqua"/>
        </w:rPr>
        <w:t>rit</w:t>
      </w:r>
      <w:r w:rsidRPr="0071745C">
        <w:rPr>
          <w:rFonts w:eastAsia="Book Antiqua"/>
          <w:spacing w:val="-1"/>
        </w:rPr>
        <w:t>o</w:t>
      </w:r>
      <w:r w:rsidRPr="0071745C">
        <w:rPr>
          <w:rFonts w:eastAsia="Book Antiqua"/>
        </w:rPr>
        <w:t>ry</w:t>
      </w:r>
      <w:r w:rsidRPr="0071745C">
        <w:rPr>
          <w:rFonts w:eastAsia="Book Antiqua"/>
          <w:spacing w:val="-7"/>
        </w:rPr>
        <w:t xml:space="preserve"> </w:t>
      </w:r>
      <w:r w:rsidRPr="0071745C">
        <w:rPr>
          <w:rFonts w:eastAsia="Book Antiqua"/>
          <w:spacing w:val="1"/>
        </w:rPr>
        <w:t>a</w:t>
      </w:r>
      <w:r w:rsidRPr="0071745C">
        <w:rPr>
          <w:rFonts w:eastAsia="Book Antiqua"/>
          <w:spacing w:val="-1"/>
        </w:rPr>
        <w:t>n</w:t>
      </w:r>
      <w:r w:rsidRPr="0071745C">
        <w:rPr>
          <w:rFonts w:eastAsia="Book Antiqua"/>
        </w:rPr>
        <w:t>d</w:t>
      </w:r>
      <w:r w:rsidRPr="0071745C">
        <w:rPr>
          <w:rFonts w:eastAsia="Book Antiqua"/>
          <w:spacing w:val="-2"/>
        </w:rPr>
        <w:t xml:space="preserve"> </w:t>
      </w:r>
      <w:r w:rsidRPr="0071745C">
        <w:rPr>
          <w:rFonts w:eastAsia="Book Antiqua"/>
          <w:spacing w:val="2"/>
        </w:rPr>
        <w:t>l</w:t>
      </w:r>
      <w:r w:rsidRPr="0071745C">
        <w:rPr>
          <w:rFonts w:eastAsia="Book Antiqua"/>
          <w:spacing w:val="-1"/>
        </w:rPr>
        <w:t>o</w:t>
      </w:r>
      <w:r w:rsidRPr="0071745C">
        <w:rPr>
          <w:rFonts w:eastAsia="Book Antiqua"/>
        </w:rPr>
        <w:t>c</w:t>
      </w:r>
      <w:r w:rsidRPr="0071745C">
        <w:rPr>
          <w:rFonts w:eastAsia="Book Antiqua"/>
          <w:spacing w:val="1"/>
        </w:rPr>
        <w:t>a</w:t>
      </w:r>
      <w:r w:rsidRPr="0071745C">
        <w:rPr>
          <w:rFonts w:eastAsia="Book Antiqua"/>
        </w:rPr>
        <w:t>l</w:t>
      </w:r>
      <w:r w:rsidRPr="0071745C">
        <w:rPr>
          <w:rFonts w:eastAsia="Book Antiqua"/>
          <w:spacing w:val="-2"/>
        </w:rPr>
        <w:t xml:space="preserve"> and other </w:t>
      </w:r>
      <w:r w:rsidRPr="0071745C">
        <w:rPr>
          <w:rFonts w:eastAsia="Book Antiqua"/>
        </w:rPr>
        <w:t>g</w:t>
      </w:r>
      <w:r w:rsidRPr="0071745C">
        <w:rPr>
          <w:rFonts w:eastAsia="Book Antiqua"/>
          <w:spacing w:val="-1"/>
        </w:rPr>
        <w:t>o</w:t>
      </w:r>
      <w:r w:rsidRPr="0071745C">
        <w:rPr>
          <w:rFonts w:eastAsia="Book Antiqua"/>
        </w:rPr>
        <w:t>v</w:t>
      </w:r>
      <w:r w:rsidRPr="0071745C">
        <w:rPr>
          <w:rFonts w:eastAsia="Book Antiqua"/>
          <w:spacing w:val="1"/>
        </w:rPr>
        <w:t>e</w:t>
      </w:r>
      <w:r w:rsidRPr="0071745C">
        <w:rPr>
          <w:rFonts w:eastAsia="Book Antiqua"/>
        </w:rPr>
        <w:t>r</w:t>
      </w:r>
      <w:r w:rsidRPr="0071745C">
        <w:rPr>
          <w:rFonts w:eastAsia="Book Antiqua"/>
          <w:spacing w:val="2"/>
        </w:rPr>
        <w:t>n</w:t>
      </w:r>
      <w:r w:rsidRPr="0071745C">
        <w:rPr>
          <w:rFonts w:eastAsia="Book Antiqua"/>
          <w:spacing w:val="-1"/>
        </w:rPr>
        <w:t>m</w:t>
      </w:r>
      <w:r w:rsidRPr="0071745C">
        <w:rPr>
          <w:rFonts w:eastAsia="Book Antiqua"/>
        </w:rPr>
        <w:t>en</w:t>
      </w:r>
      <w:r w:rsidRPr="0071745C">
        <w:rPr>
          <w:rFonts w:eastAsia="Book Antiqua"/>
          <w:spacing w:val="2"/>
        </w:rPr>
        <w:t>t</w:t>
      </w:r>
      <w:r w:rsidRPr="0071745C">
        <w:rPr>
          <w:rFonts w:eastAsia="Book Antiqua"/>
        </w:rPr>
        <w:t>s,</w:t>
      </w:r>
      <w:r w:rsidRPr="0071745C">
        <w:rPr>
          <w:rFonts w:eastAsia="Book Antiqua"/>
          <w:spacing w:val="-12"/>
        </w:rPr>
        <w:t xml:space="preserve"> </w:t>
      </w:r>
      <w:r w:rsidRPr="0071745C">
        <w:rPr>
          <w:rFonts w:eastAsia="Book Antiqua"/>
          <w:spacing w:val="1"/>
        </w:rPr>
        <w:t>a</w:t>
      </w:r>
      <w:r w:rsidRPr="0071745C">
        <w:rPr>
          <w:rFonts w:eastAsia="Book Antiqua"/>
        </w:rPr>
        <w:t>gencies</w:t>
      </w:r>
      <w:r w:rsidRPr="0071745C">
        <w:rPr>
          <w:rFonts w:eastAsia="Book Antiqua"/>
          <w:spacing w:val="-6"/>
        </w:rPr>
        <w:t xml:space="preserve"> </w:t>
      </w:r>
      <w:r w:rsidRPr="0071745C">
        <w:rPr>
          <w:rFonts w:eastAsia="Book Antiqua"/>
          <w:spacing w:val="-1"/>
        </w:rPr>
        <w:t>o</w:t>
      </w:r>
      <w:r w:rsidRPr="0071745C">
        <w:rPr>
          <w:rFonts w:eastAsia="Book Antiqua"/>
        </w:rPr>
        <w:t>r</w:t>
      </w:r>
      <w:r w:rsidRPr="0071745C">
        <w:rPr>
          <w:rFonts w:eastAsia="Book Antiqua"/>
          <w:spacing w:val="-1"/>
        </w:rPr>
        <w:t xml:space="preserve"> </w:t>
      </w:r>
      <w:r w:rsidRPr="0071745C">
        <w:rPr>
          <w:rFonts w:eastAsia="Book Antiqua"/>
          <w:spacing w:val="2"/>
        </w:rPr>
        <w:t>b</w:t>
      </w:r>
      <w:r w:rsidRPr="0071745C">
        <w:rPr>
          <w:rFonts w:eastAsia="Book Antiqua"/>
          <w:spacing w:val="-1"/>
        </w:rPr>
        <w:t>o</w:t>
      </w:r>
      <w:r w:rsidRPr="0071745C">
        <w:rPr>
          <w:rFonts w:eastAsia="Book Antiqua"/>
        </w:rPr>
        <w:t>dies</w:t>
      </w:r>
      <w:r w:rsidRPr="0071745C">
        <w:rPr>
          <w:rFonts w:eastAsia="Book Antiqua"/>
          <w:spacing w:val="-6"/>
        </w:rPr>
        <w:t xml:space="preserve"> </w:t>
      </w:r>
      <w:r w:rsidRPr="0071745C">
        <w:rPr>
          <w:rFonts w:eastAsia="Book Antiqua"/>
          <w:spacing w:val="1"/>
        </w:rPr>
        <w:t>a</w:t>
      </w:r>
      <w:r w:rsidRPr="0071745C">
        <w:rPr>
          <w:rFonts w:eastAsia="Book Antiqua"/>
        </w:rPr>
        <w:t>bo</w:t>
      </w:r>
      <w:r w:rsidRPr="0071745C">
        <w:rPr>
          <w:rFonts w:eastAsia="Book Antiqua"/>
          <w:spacing w:val="-1"/>
        </w:rPr>
        <w:t>u</w:t>
      </w:r>
      <w:r w:rsidRPr="0071745C">
        <w:rPr>
          <w:rFonts w:eastAsia="Book Antiqua"/>
        </w:rPr>
        <w:t>t</w:t>
      </w:r>
      <w:r w:rsidRPr="0071745C">
        <w:rPr>
          <w:rFonts w:eastAsia="Book Antiqua"/>
          <w:spacing w:val="-5"/>
        </w:rPr>
        <w:t xml:space="preserve"> </w:t>
      </w:r>
      <w:r w:rsidRPr="0071745C">
        <w:rPr>
          <w:rFonts w:eastAsia="Book Antiqua"/>
          <w:spacing w:val="3"/>
        </w:rPr>
        <w:t>t</w:t>
      </w:r>
      <w:r w:rsidRPr="0071745C">
        <w:rPr>
          <w:rFonts w:eastAsia="Book Antiqua"/>
          <w:spacing w:val="-1"/>
        </w:rPr>
        <w:t>h</w:t>
      </w:r>
      <w:r w:rsidRPr="0071745C">
        <w:rPr>
          <w:rFonts w:eastAsia="Book Antiqua"/>
        </w:rPr>
        <w:t>e</w:t>
      </w:r>
      <w:r w:rsidRPr="0071745C">
        <w:rPr>
          <w:rFonts w:eastAsia="Book Antiqua"/>
          <w:spacing w:val="-2"/>
        </w:rPr>
        <w:t xml:space="preserve"> </w:t>
      </w:r>
      <w:r w:rsidRPr="0071745C">
        <w:rPr>
          <w:rFonts w:eastAsia="Book Antiqua"/>
          <w:spacing w:val="2"/>
        </w:rPr>
        <w:t>i</w:t>
      </w:r>
      <w:r w:rsidRPr="0071745C">
        <w:rPr>
          <w:rFonts w:eastAsia="Book Antiqua"/>
          <w:spacing w:val="-1"/>
        </w:rPr>
        <w:t>m</w:t>
      </w:r>
      <w:r w:rsidRPr="0071745C">
        <w:rPr>
          <w:rFonts w:eastAsia="Book Antiqua"/>
        </w:rPr>
        <w:t>plem</w:t>
      </w:r>
      <w:r w:rsidRPr="0071745C">
        <w:rPr>
          <w:rFonts w:eastAsia="Book Antiqua"/>
          <w:spacing w:val="3"/>
        </w:rPr>
        <w:t>e</w:t>
      </w:r>
      <w:r w:rsidRPr="0071745C">
        <w:rPr>
          <w:rFonts w:eastAsia="Book Antiqua"/>
          <w:spacing w:val="-1"/>
        </w:rPr>
        <w:t>n</w:t>
      </w:r>
      <w:r w:rsidRPr="0071745C">
        <w:rPr>
          <w:rFonts w:eastAsia="Book Antiqua"/>
          <w:spacing w:val="2"/>
        </w:rPr>
        <w:t>t</w:t>
      </w:r>
      <w:r w:rsidRPr="0071745C">
        <w:rPr>
          <w:rFonts w:eastAsia="Book Antiqua"/>
          <w:spacing w:val="1"/>
        </w:rPr>
        <w:t>a</w:t>
      </w:r>
      <w:r w:rsidRPr="0071745C">
        <w:rPr>
          <w:rFonts w:eastAsia="Book Antiqua"/>
        </w:rPr>
        <w:t>ti</w:t>
      </w:r>
      <w:r w:rsidRPr="0071745C">
        <w:rPr>
          <w:rFonts w:eastAsia="Book Antiqua"/>
          <w:spacing w:val="-1"/>
        </w:rPr>
        <w:t>on</w:t>
      </w:r>
      <w:r w:rsidRPr="0071745C">
        <w:rPr>
          <w:rFonts w:eastAsia="Book Antiqua"/>
          <w:spacing w:val="-11"/>
        </w:rPr>
        <w:t xml:space="preserve"> </w:t>
      </w:r>
      <w:r w:rsidRPr="0071745C">
        <w:rPr>
          <w:rFonts w:eastAsia="Book Antiqua"/>
        </w:rPr>
        <w:t>of</w:t>
      </w:r>
      <w:r w:rsidRPr="0071745C">
        <w:rPr>
          <w:rFonts w:eastAsia="Book Antiqua"/>
          <w:spacing w:val="-1"/>
        </w:rPr>
        <w:t xml:space="preserve"> </w:t>
      </w:r>
      <w:r w:rsidRPr="0071745C">
        <w:rPr>
          <w:rFonts w:eastAsia="Book Antiqua"/>
        </w:rPr>
        <w:t>t</w:t>
      </w:r>
      <w:r w:rsidRPr="0071745C">
        <w:rPr>
          <w:rFonts w:eastAsia="Book Antiqua"/>
          <w:spacing w:val="-1"/>
        </w:rPr>
        <w:t>h</w:t>
      </w:r>
      <w:r w:rsidRPr="0071745C">
        <w:rPr>
          <w:rFonts w:eastAsia="Book Antiqua"/>
        </w:rPr>
        <w:t>e</w:t>
      </w:r>
      <w:r w:rsidRPr="0071745C">
        <w:rPr>
          <w:rFonts w:eastAsia="Book Antiqua"/>
          <w:spacing w:val="-2"/>
        </w:rPr>
        <w:t xml:space="preserve"> </w:t>
      </w:r>
      <w:proofErr w:type="spellStart"/>
      <w:r w:rsidRPr="0071745C">
        <w:rPr>
          <w:rFonts w:eastAsia="Book Antiqua"/>
        </w:rPr>
        <w:t>N</w:t>
      </w:r>
      <w:r w:rsidRPr="0071745C">
        <w:rPr>
          <w:rFonts w:eastAsia="Book Antiqua"/>
          <w:spacing w:val="1"/>
        </w:rPr>
        <w:t>S</w:t>
      </w:r>
      <w:r w:rsidRPr="0071745C">
        <w:rPr>
          <w:rFonts w:eastAsia="Book Antiqua"/>
        </w:rPr>
        <w:t>P</w:t>
      </w:r>
      <w:proofErr w:type="spellEnd"/>
      <w:r w:rsidRPr="0071745C">
        <w:rPr>
          <w:rFonts w:eastAsia="Book Antiqua"/>
        </w:rPr>
        <w:t xml:space="preserve"> and </w:t>
      </w:r>
      <w:r w:rsidRPr="0071745C">
        <w:rPr>
          <w:rFonts w:eastAsia="Book Antiqua"/>
          <w:spacing w:val="1"/>
        </w:rPr>
        <w:t>a</w:t>
      </w:r>
      <w:r w:rsidRPr="0071745C">
        <w:rPr>
          <w:rFonts w:eastAsia="Book Antiqua"/>
        </w:rPr>
        <w:t>sbes</w:t>
      </w:r>
      <w:r w:rsidRPr="0071745C">
        <w:rPr>
          <w:rFonts w:eastAsia="Book Antiqua"/>
          <w:spacing w:val="2"/>
        </w:rPr>
        <w:t>t</w:t>
      </w:r>
      <w:r w:rsidRPr="0071745C">
        <w:rPr>
          <w:rFonts w:eastAsia="Book Antiqua"/>
          <w:spacing w:val="-1"/>
        </w:rPr>
        <w:t>o</w:t>
      </w:r>
      <w:r w:rsidRPr="0071745C">
        <w:rPr>
          <w:rFonts w:eastAsia="Book Antiqua"/>
        </w:rPr>
        <w:t>s</w:t>
      </w:r>
      <w:r w:rsidRPr="0071745C">
        <w:rPr>
          <w:rFonts w:eastAsia="Book Antiqua"/>
          <w:spacing w:val="-7"/>
        </w:rPr>
        <w:t xml:space="preserve"> </w:t>
      </w:r>
      <w:r w:rsidRPr="0071745C">
        <w:rPr>
          <w:rFonts w:eastAsia="Book Antiqua"/>
        </w:rPr>
        <w:t>s</w:t>
      </w:r>
      <w:r w:rsidRPr="0071745C">
        <w:rPr>
          <w:rFonts w:eastAsia="Book Antiqua"/>
          <w:spacing w:val="1"/>
        </w:rPr>
        <w:t>af</w:t>
      </w:r>
      <w:r w:rsidRPr="0071745C">
        <w:rPr>
          <w:rFonts w:eastAsia="Book Antiqua"/>
        </w:rPr>
        <w:t>ety</w:t>
      </w:r>
      <w:r w:rsidRPr="0071745C">
        <w:rPr>
          <w:rFonts w:eastAsia="Book Antiqua"/>
          <w:spacing w:val="-5"/>
        </w:rPr>
        <w:t xml:space="preserve"> </w:t>
      </w:r>
    </w:p>
    <w:p w:rsidR="00D959CA" w:rsidRPr="0071745C" w:rsidRDefault="00D959CA" w:rsidP="00D959CA">
      <w:pPr>
        <w:pStyle w:val="Bullets"/>
        <w:spacing w:after="120"/>
        <w:rPr>
          <w:rFonts w:eastAsia="Book Antiqua"/>
        </w:rPr>
      </w:pPr>
      <w:proofErr w:type="gramStart"/>
      <w:r w:rsidRPr="0071745C">
        <w:rPr>
          <w:rFonts w:eastAsia="Book Antiqua"/>
        </w:rPr>
        <w:t>co</w:t>
      </w:r>
      <w:r w:rsidRPr="0071745C">
        <w:rPr>
          <w:rFonts w:eastAsia="Book Antiqua"/>
          <w:spacing w:val="1"/>
        </w:rPr>
        <w:t>m</w:t>
      </w:r>
      <w:r w:rsidRPr="0071745C">
        <w:rPr>
          <w:rFonts w:eastAsia="Book Antiqua"/>
          <w:spacing w:val="-1"/>
        </w:rPr>
        <w:t>m</w:t>
      </w:r>
      <w:r w:rsidRPr="0071745C">
        <w:rPr>
          <w:rFonts w:eastAsia="Book Antiqua"/>
        </w:rPr>
        <w:t>i</w:t>
      </w:r>
      <w:r w:rsidRPr="0071745C">
        <w:rPr>
          <w:rFonts w:eastAsia="Book Antiqua"/>
          <w:spacing w:val="1"/>
        </w:rPr>
        <w:t>s</w:t>
      </w:r>
      <w:r w:rsidRPr="0071745C">
        <w:rPr>
          <w:rFonts w:eastAsia="Book Antiqua"/>
        </w:rPr>
        <w:t>s</w:t>
      </w:r>
      <w:r w:rsidRPr="0071745C">
        <w:rPr>
          <w:rFonts w:eastAsia="Book Antiqua"/>
          <w:spacing w:val="-1"/>
        </w:rPr>
        <w:t>i</w:t>
      </w:r>
      <w:r w:rsidRPr="0071745C">
        <w:rPr>
          <w:rFonts w:eastAsia="Book Antiqua"/>
          <w:spacing w:val="1"/>
        </w:rPr>
        <w:t>o</w:t>
      </w:r>
      <w:r w:rsidRPr="0071745C">
        <w:rPr>
          <w:rFonts w:eastAsia="Book Antiqua"/>
          <w:spacing w:val="-1"/>
        </w:rPr>
        <w:t>n</w:t>
      </w:r>
      <w:proofErr w:type="gramEnd"/>
      <w:r w:rsidRPr="0071745C">
        <w:rPr>
          <w:rFonts w:eastAsia="Book Antiqua"/>
          <w:spacing w:val="-1"/>
        </w:rPr>
        <w:t>,</w:t>
      </w:r>
      <w:r w:rsidRPr="0071745C">
        <w:rPr>
          <w:rFonts w:eastAsia="Book Antiqua"/>
          <w:spacing w:val="-14"/>
        </w:rPr>
        <w:t xml:space="preserve"> </w:t>
      </w:r>
      <w:r w:rsidRPr="0071745C">
        <w:rPr>
          <w:rFonts w:eastAsia="Book Antiqua"/>
          <w:spacing w:val="2"/>
        </w:rPr>
        <w:t>m</w:t>
      </w:r>
      <w:r w:rsidRPr="0071745C">
        <w:rPr>
          <w:rFonts w:eastAsia="Book Antiqua"/>
          <w:spacing w:val="-1"/>
        </w:rPr>
        <w:t>on</w:t>
      </w:r>
      <w:r w:rsidRPr="0071745C">
        <w:rPr>
          <w:rFonts w:eastAsia="Book Antiqua"/>
          <w:spacing w:val="2"/>
        </w:rPr>
        <w:t>i</w:t>
      </w:r>
      <w:r w:rsidRPr="0071745C">
        <w:rPr>
          <w:rFonts w:eastAsia="Book Antiqua"/>
        </w:rPr>
        <w:t>t</w:t>
      </w:r>
      <w:r w:rsidRPr="0071745C">
        <w:rPr>
          <w:rFonts w:eastAsia="Book Antiqua"/>
          <w:spacing w:val="-1"/>
        </w:rPr>
        <w:t>o</w:t>
      </w:r>
      <w:r w:rsidRPr="0071745C">
        <w:rPr>
          <w:rFonts w:eastAsia="Book Antiqua"/>
        </w:rPr>
        <w:t>r</w:t>
      </w:r>
      <w:r w:rsidRPr="0071745C">
        <w:rPr>
          <w:rFonts w:eastAsia="Book Antiqua"/>
          <w:spacing w:val="-8"/>
        </w:rPr>
        <w:t xml:space="preserve"> </w:t>
      </w:r>
      <w:r w:rsidRPr="0071745C">
        <w:rPr>
          <w:rFonts w:eastAsia="Book Antiqua"/>
          <w:spacing w:val="1"/>
        </w:rPr>
        <w:t>a</w:t>
      </w:r>
      <w:r w:rsidRPr="0071745C">
        <w:rPr>
          <w:rFonts w:eastAsia="Book Antiqua"/>
          <w:spacing w:val="-1"/>
        </w:rPr>
        <w:t>n</w:t>
      </w:r>
      <w:r w:rsidRPr="0071745C">
        <w:rPr>
          <w:rFonts w:eastAsia="Book Antiqua"/>
        </w:rPr>
        <w:t>d</w:t>
      </w:r>
      <w:r w:rsidRPr="0071745C">
        <w:rPr>
          <w:rFonts w:eastAsia="Book Antiqua"/>
          <w:spacing w:val="-2"/>
        </w:rPr>
        <w:t xml:space="preserve"> </w:t>
      </w:r>
      <w:r w:rsidRPr="0071745C">
        <w:rPr>
          <w:rFonts w:eastAsia="Book Antiqua"/>
        </w:rPr>
        <w:t>p</w:t>
      </w:r>
      <w:r w:rsidRPr="0071745C">
        <w:rPr>
          <w:rFonts w:eastAsia="Book Antiqua"/>
          <w:spacing w:val="1"/>
        </w:rPr>
        <w:t>r</w:t>
      </w:r>
      <w:r w:rsidRPr="0071745C">
        <w:rPr>
          <w:rFonts w:eastAsia="Book Antiqua"/>
          <w:spacing w:val="-1"/>
        </w:rPr>
        <w:t>om</w:t>
      </w:r>
      <w:r w:rsidRPr="0071745C">
        <w:rPr>
          <w:rFonts w:eastAsia="Book Antiqua"/>
          <w:spacing w:val="1"/>
        </w:rPr>
        <w:t>o</w:t>
      </w:r>
      <w:r w:rsidRPr="0071745C">
        <w:rPr>
          <w:rFonts w:eastAsia="Book Antiqua"/>
          <w:spacing w:val="4"/>
        </w:rPr>
        <w:t>t</w:t>
      </w:r>
      <w:r w:rsidRPr="0071745C">
        <w:rPr>
          <w:rFonts w:eastAsia="Book Antiqua"/>
        </w:rPr>
        <w:t>e</w:t>
      </w:r>
      <w:r w:rsidRPr="0071745C">
        <w:rPr>
          <w:rFonts w:eastAsia="Book Antiqua"/>
          <w:spacing w:val="1"/>
        </w:rPr>
        <w:t xml:space="preserve"> r</w:t>
      </w:r>
      <w:r w:rsidRPr="0071745C">
        <w:rPr>
          <w:rFonts w:eastAsia="Book Antiqua"/>
        </w:rPr>
        <w:t>es</w:t>
      </w:r>
      <w:r w:rsidRPr="0071745C">
        <w:rPr>
          <w:rFonts w:eastAsia="Book Antiqua"/>
          <w:spacing w:val="1"/>
        </w:rPr>
        <w:t>ea</w:t>
      </w:r>
      <w:r w:rsidRPr="0071745C">
        <w:rPr>
          <w:rFonts w:eastAsia="Book Antiqua"/>
        </w:rPr>
        <w:t>r</w:t>
      </w:r>
      <w:r w:rsidRPr="0071745C">
        <w:rPr>
          <w:rFonts w:eastAsia="Book Antiqua"/>
          <w:spacing w:val="1"/>
        </w:rPr>
        <w:t>c</w:t>
      </w:r>
      <w:r w:rsidRPr="0071745C">
        <w:rPr>
          <w:rFonts w:eastAsia="Book Antiqua"/>
        </w:rPr>
        <w:t>h</w:t>
      </w:r>
      <w:r w:rsidRPr="0071745C">
        <w:rPr>
          <w:rFonts w:eastAsia="Book Antiqua"/>
          <w:spacing w:val="-8"/>
        </w:rPr>
        <w:t xml:space="preserve"> </w:t>
      </w:r>
      <w:r w:rsidRPr="0071745C">
        <w:rPr>
          <w:rFonts w:eastAsia="Book Antiqua"/>
          <w:spacing w:val="1"/>
        </w:rPr>
        <w:t>a</w:t>
      </w:r>
      <w:r w:rsidRPr="0071745C">
        <w:rPr>
          <w:rFonts w:eastAsia="Book Antiqua"/>
        </w:rPr>
        <w:t>bo</w:t>
      </w:r>
      <w:r w:rsidRPr="0071745C">
        <w:rPr>
          <w:rFonts w:eastAsia="Book Antiqua"/>
          <w:spacing w:val="-1"/>
        </w:rPr>
        <w:t>u</w:t>
      </w:r>
      <w:r w:rsidRPr="0071745C">
        <w:rPr>
          <w:rFonts w:eastAsia="Book Antiqua"/>
        </w:rPr>
        <w:t>t</w:t>
      </w:r>
      <w:r w:rsidRPr="0071745C">
        <w:rPr>
          <w:rFonts w:eastAsia="Book Antiqua"/>
          <w:spacing w:val="-5"/>
        </w:rPr>
        <w:t xml:space="preserve"> </w:t>
      </w:r>
      <w:r w:rsidRPr="0071745C">
        <w:rPr>
          <w:rFonts w:eastAsia="Book Antiqua"/>
          <w:spacing w:val="1"/>
        </w:rPr>
        <w:t>a</w:t>
      </w:r>
      <w:r w:rsidRPr="0071745C">
        <w:rPr>
          <w:rFonts w:eastAsia="Book Antiqua"/>
        </w:rPr>
        <w:t>sbes</w:t>
      </w:r>
      <w:r w:rsidRPr="0071745C">
        <w:rPr>
          <w:rFonts w:eastAsia="Book Antiqua"/>
          <w:spacing w:val="2"/>
        </w:rPr>
        <w:t>t</w:t>
      </w:r>
      <w:r w:rsidRPr="0071745C">
        <w:rPr>
          <w:rFonts w:eastAsia="Book Antiqua"/>
          <w:spacing w:val="-1"/>
        </w:rPr>
        <w:t>o</w:t>
      </w:r>
      <w:r w:rsidRPr="0071745C">
        <w:rPr>
          <w:rFonts w:eastAsia="Book Antiqua"/>
        </w:rPr>
        <w:t>s</w:t>
      </w:r>
      <w:r w:rsidRPr="0071745C">
        <w:rPr>
          <w:rFonts w:eastAsia="Book Antiqua"/>
          <w:spacing w:val="-7"/>
        </w:rPr>
        <w:t xml:space="preserve"> </w:t>
      </w:r>
      <w:r w:rsidRPr="0071745C">
        <w:rPr>
          <w:rFonts w:eastAsia="Book Antiqua"/>
        </w:rPr>
        <w:t>s</w:t>
      </w:r>
      <w:r w:rsidRPr="0071745C">
        <w:rPr>
          <w:rFonts w:eastAsia="Book Antiqua"/>
          <w:spacing w:val="1"/>
        </w:rPr>
        <w:t>af</w:t>
      </w:r>
      <w:r w:rsidRPr="0071745C">
        <w:rPr>
          <w:rFonts w:eastAsia="Book Antiqua"/>
        </w:rPr>
        <w:t>ety.</w:t>
      </w:r>
    </w:p>
    <w:p w:rsidR="00D959CA" w:rsidRDefault="00D959CA" w:rsidP="00D959CA">
      <w:r w:rsidRPr="0071745C">
        <w:t>The elimination of asbestos-related disease is a long-term and complex challenge. T</w:t>
      </w:r>
      <w:r w:rsidRPr="0071745C">
        <w:rPr>
          <w:rFonts w:eastAsia="Book Antiqua"/>
        </w:rPr>
        <w:t xml:space="preserve">he </w:t>
      </w:r>
      <w:proofErr w:type="spellStart"/>
      <w:r w:rsidRPr="0071745C">
        <w:rPr>
          <w:rFonts w:eastAsia="Book Antiqua"/>
        </w:rPr>
        <w:t>N</w:t>
      </w:r>
      <w:r w:rsidRPr="0071745C">
        <w:rPr>
          <w:rFonts w:eastAsia="Book Antiqua"/>
          <w:spacing w:val="1"/>
        </w:rPr>
        <w:t>S</w:t>
      </w:r>
      <w:r w:rsidRPr="0071745C">
        <w:rPr>
          <w:rFonts w:eastAsia="Book Antiqua"/>
        </w:rPr>
        <w:t>P</w:t>
      </w:r>
      <w:proofErr w:type="spellEnd"/>
      <w:r w:rsidRPr="0071745C">
        <w:rPr>
          <w:rFonts w:eastAsia="Book Antiqua"/>
          <w:spacing w:val="-4"/>
        </w:rPr>
        <w:t xml:space="preserve"> </w:t>
      </w:r>
      <w:r w:rsidRPr="0071745C">
        <w:rPr>
          <w:rFonts w:eastAsia="Book Antiqua"/>
          <w:spacing w:val="1"/>
        </w:rPr>
        <w:t>e</w:t>
      </w:r>
      <w:r w:rsidRPr="0071745C">
        <w:rPr>
          <w:rFonts w:eastAsia="Book Antiqua"/>
        </w:rPr>
        <w:t>s</w:t>
      </w:r>
      <w:r w:rsidRPr="0071745C">
        <w:rPr>
          <w:rFonts w:eastAsia="Book Antiqua"/>
          <w:spacing w:val="-1"/>
        </w:rPr>
        <w:t>t</w:t>
      </w:r>
      <w:r w:rsidRPr="0071745C">
        <w:rPr>
          <w:rFonts w:eastAsia="Book Antiqua"/>
          <w:spacing w:val="1"/>
        </w:rPr>
        <w:t>a</w:t>
      </w:r>
      <w:r w:rsidRPr="0071745C">
        <w:rPr>
          <w:rFonts w:eastAsia="Book Antiqua"/>
        </w:rPr>
        <w:t>bli</w:t>
      </w:r>
      <w:r w:rsidRPr="0071745C">
        <w:rPr>
          <w:rFonts w:eastAsia="Book Antiqua"/>
          <w:spacing w:val="1"/>
        </w:rPr>
        <w:t>s</w:t>
      </w:r>
      <w:r w:rsidRPr="0071745C">
        <w:rPr>
          <w:rFonts w:eastAsia="Book Antiqua"/>
          <w:spacing w:val="-1"/>
        </w:rPr>
        <w:t>h</w:t>
      </w:r>
      <w:r w:rsidRPr="0071745C">
        <w:rPr>
          <w:rFonts w:eastAsia="Book Antiqua"/>
        </w:rPr>
        <w:t>es</w:t>
      </w:r>
      <w:r w:rsidRPr="0071745C">
        <w:rPr>
          <w:rFonts w:eastAsia="Book Antiqua"/>
          <w:spacing w:val="-10"/>
        </w:rPr>
        <w:t xml:space="preserve"> </w:t>
      </w:r>
      <w:r w:rsidRPr="0071745C">
        <w:rPr>
          <w:rFonts w:eastAsia="Book Antiqua"/>
        </w:rPr>
        <w:t xml:space="preserve">a </w:t>
      </w:r>
      <w:r w:rsidRPr="0071745C">
        <w:rPr>
          <w:rFonts w:eastAsia="Book Antiqua"/>
          <w:spacing w:val="1"/>
        </w:rPr>
        <w:t>f</w:t>
      </w:r>
      <w:r w:rsidRPr="0071745C">
        <w:rPr>
          <w:rFonts w:eastAsia="Book Antiqua"/>
        </w:rPr>
        <w:t>ive</w:t>
      </w:r>
      <w:r w:rsidRPr="0071745C">
        <w:rPr>
          <w:rFonts w:eastAsia="Book Antiqua"/>
          <w:spacing w:val="-2"/>
        </w:rPr>
        <w:t xml:space="preserve"> </w:t>
      </w:r>
      <w:r w:rsidRPr="0071745C">
        <w:rPr>
          <w:rFonts w:eastAsia="Book Antiqua"/>
        </w:rPr>
        <w:t>ye</w:t>
      </w:r>
      <w:r w:rsidRPr="0071745C">
        <w:rPr>
          <w:rFonts w:eastAsia="Book Antiqua"/>
          <w:spacing w:val="1"/>
        </w:rPr>
        <w:t>a</w:t>
      </w:r>
      <w:r w:rsidRPr="0071745C">
        <w:rPr>
          <w:rFonts w:eastAsia="Book Antiqua"/>
        </w:rPr>
        <w:t>r</w:t>
      </w:r>
      <w:r w:rsidRPr="0071745C">
        <w:rPr>
          <w:rFonts w:eastAsia="Book Antiqua"/>
          <w:spacing w:val="-3"/>
        </w:rPr>
        <w:t xml:space="preserve"> </w:t>
      </w:r>
      <w:r w:rsidRPr="0071745C">
        <w:rPr>
          <w:rFonts w:eastAsia="Book Antiqua"/>
          <w:spacing w:val="1"/>
        </w:rPr>
        <w:t>f</w:t>
      </w:r>
      <w:r w:rsidRPr="0071745C">
        <w:rPr>
          <w:rFonts w:eastAsia="Book Antiqua"/>
        </w:rPr>
        <w:t>r</w:t>
      </w:r>
      <w:r w:rsidRPr="0071745C">
        <w:rPr>
          <w:rFonts w:eastAsia="Book Antiqua"/>
          <w:spacing w:val="2"/>
        </w:rPr>
        <w:t>a</w:t>
      </w:r>
      <w:r w:rsidRPr="0071745C">
        <w:rPr>
          <w:rFonts w:eastAsia="Book Antiqua"/>
          <w:spacing w:val="-1"/>
        </w:rPr>
        <w:t>m</w:t>
      </w:r>
      <w:r w:rsidRPr="0071745C">
        <w:rPr>
          <w:rFonts w:eastAsia="Book Antiqua"/>
        </w:rPr>
        <w:t>ew</w:t>
      </w:r>
      <w:r w:rsidRPr="0071745C">
        <w:rPr>
          <w:rFonts w:eastAsia="Book Antiqua"/>
          <w:spacing w:val="-1"/>
        </w:rPr>
        <w:t>o</w:t>
      </w:r>
      <w:r w:rsidRPr="0071745C">
        <w:rPr>
          <w:rFonts w:eastAsia="Book Antiqua"/>
        </w:rPr>
        <w:t>rk</w:t>
      </w:r>
      <w:r w:rsidRPr="0071745C">
        <w:rPr>
          <w:rFonts w:eastAsia="Book Antiqua"/>
          <w:spacing w:val="-10"/>
        </w:rPr>
        <w:t xml:space="preserve"> </w:t>
      </w:r>
      <w:r w:rsidRPr="0071745C">
        <w:rPr>
          <w:rFonts w:eastAsia="Book Antiqua"/>
          <w:spacing w:val="1"/>
        </w:rPr>
        <w:t>f</w:t>
      </w:r>
      <w:r w:rsidRPr="0071745C">
        <w:rPr>
          <w:rFonts w:eastAsia="Book Antiqua"/>
          <w:spacing w:val="-1"/>
        </w:rPr>
        <w:t>o</w:t>
      </w:r>
      <w:r w:rsidRPr="0071745C">
        <w:rPr>
          <w:rFonts w:eastAsia="Book Antiqua"/>
        </w:rPr>
        <w:t>r</w:t>
      </w:r>
      <w:r w:rsidRPr="0071745C">
        <w:rPr>
          <w:rFonts w:eastAsia="Book Antiqua"/>
          <w:spacing w:val="2"/>
        </w:rPr>
        <w:t xml:space="preserve"> t</w:t>
      </w:r>
      <w:r w:rsidRPr="0071745C">
        <w:rPr>
          <w:rFonts w:eastAsia="Book Antiqua"/>
          <w:spacing w:val="-1"/>
        </w:rPr>
        <w:t>h</w:t>
      </w:r>
      <w:r w:rsidRPr="0071745C">
        <w:rPr>
          <w:rFonts w:eastAsia="Book Antiqua"/>
        </w:rPr>
        <w:t>is</w:t>
      </w:r>
      <w:r w:rsidRPr="0071745C">
        <w:rPr>
          <w:rFonts w:eastAsia="Book Antiqua"/>
          <w:spacing w:val="-1"/>
        </w:rPr>
        <w:t xml:space="preserve"> </w:t>
      </w:r>
      <w:r w:rsidRPr="0071745C">
        <w:rPr>
          <w:rFonts w:eastAsia="Book Antiqua"/>
        </w:rPr>
        <w:t>w</w:t>
      </w:r>
      <w:r w:rsidRPr="0071745C">
        <w:rPr>
          <w:rFonts w:eastAsia="Book Antiqua"/>
          <w:spacing w:val="-1"/>
        </w:rPr>
        <w:t>o</w:t>
      </w:r>
      <w:r w:rsidRPr="0071745C">
        <w:rPr>
          <w:rFonts w:eastAsia="Book Antiqua"/>
        </w:rPr>
        <w:t>rk.</w:t>
      </w:r>
      <w:r w:rsidRPr="0071745C">
        <w:rPr>
          <w:rFonts w:eastAsia="Book Antiqua"/>
          <w:spacing w:val="-4"/>
        </w:rPr>
        <w:t xml:space="preserve"> </w:t>
      </w:r>
      <w:r w:rsidRPr="0071745C">
        <w:t>To achi</w:t>
      </w:r>
      <w:r>
        <w:t xml:space="preserve">eve this, we need first to work </w:t>
      </w:r>
      <w:r w:rsidRPr="0071745C">
        <w:t>towards better understanding the current risk factors and exposure pathways in the Aust</w:t>
      </w:r>
      <w:r>
        <w:t xml:space="preserve">ralian community in relation to </w:t>
      </w:r>
      <w:r w:rsidRPr="0071745C">
        <w:t>asbestos. There is no single source of evidence to me</w:t>
      </w:r>
      <w:r>
        <w:t>asure this, and the agency will focus</w:t>
      </w:r>
      <w:r w:rsidRPr="0071745C">
        <w:t xml:space="preserve"> on building a national picture of asbestos risks in Australia. This will inform respo</w:t>
      </w:r>
      <w:r>
        <w:t xml:space="preserve">nses to asbestos management and </w:t>
      </w:r>
      <w:r w:rsidRPr="0071745C">
        <w:t>awareness to deliver behavioural change to reduce current exposure risks.</w:t>
      </w:r>
    </w:p>
    <w:p w:rsidR="00D959CA" w:rsidRDefault="00D959CA" w:rsidP="00D959CA">
      <w:pPr>
        <w:pStyle w:val="Heading3"/>
      </w:pPr>
      <w:r>
        <w:br w:type="page"/>
      </w:r>
      <w:bookmarkStart w:id="34" w:name="_Toc447006796"/>
      <w:bookmarkStart w:id="35" w:name="_Toc447007377"/>
      <w:bookmarkStart w:id="36" w:name="_Toc447008255"/>
      <w:bookmarkStart w:id="37" w:name="_Toc447008901"/>
      <w:bookmarkStart w:id="38" w:name="_Toc447012758"/>
      <w:bookmarkStart w:id="39" w:name="_Toc447013754"/>
      <w:bookmarkStart w:id="40" w:name="_Toc447016727"/>
      <w:bookmarkStart w:id="41" w:name="_Toc447115156"/>
      <w:bookmarkStart w:id="42" w:name="_Toc447115239"/>
      <w:bookmarkStart w:id="43" w:name="_Toc447115419"/>
      <w:bookmarkStart w:id="44" w:name="_Toc447116712"/>
      <w:bookmarkStart w:id="45" w:name="_Toc447117943"/>
      <w:bookmarkStart w:id="46" w:name="_Toc447119378"/>
      <w:bookmarkStart w:id="47" w:name="_Toc447709881"/>
      <w:bookmarkStart w:id="48" w:name="_Toc449100205"/>
      <w:bookmarkStart w:id="49" w:name="_Toc449623583"/>
      <w:r>
        <w:lastRenderedPageBreak/>
        <w:t>1.2</w:t>
      </w:r>
      <w:r>
        <w:tab/>
        <w:t>Entity resource statement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D959CA" w:rsidRDefault="00D959CA" w:rsidP="00D959CA">
      <w:r>
        <w:t xml:space="preserve">Table 1.1 shows the total funding from all sources available to the entity for its operations and to deliver programs and services on behalf of the government. </w:t>
      </w:r>
    </w:p>
    <w:p w:rsidR="00D959CA" w:rsidRDefault="00D959CA" w:rsidP="00D959CA">
      <w:r>
        <w:t>The table summarises how resources will be applied by outcome (government strategic policy objectives), and by administered (on behalf of the government or the public) and departmental (for the entity’s operations) classification.</w:t>
      </w:r>
    </w:p>
    <w:p w:rsidR="00D959CA" w:rsidRDefault="00D959CA" w:rsidP="00D959CA">
      <w:r>
        <w:t xml:space="preserve">For more detailed information please refer to </w:t>
      </w:r>
      <w:r>
        <w:rPr>
          <w:i/>
        </w:rPr>
        <w:t>Budget Paper No. 4—</w:t>
      </w:r>
      <w:r w:rsidRPr="00412C0B">
        <w:rPr>
          <w:i/>
        </w:rPr>
        <w:t>Agency Resourcing</w:t>
      </w:r>
      <w:r>
        <w:t>.</w:t>
      </w:r>
    </w:p>
    <w:p w:rsidR="00D959CA" w:rsidRDefault="00D959CA" w:rsidP="00D959CA">
      <w:r>
        <w:t xml:space="preserve">Information in this table is presented on a resourcing (i.e. appropriations/cash available) basis, whilst the ‘Budgeted expenses by Outcome 1’ table in Section 2 and the financial statements in Section 3 are presented on an accrual basis. </w:t>
      </w:r>
    </w:p>
    <w:p w:rsidR="00D959CA" w:rsidRPr="005731D3" w:rsidRDefault="00D959CA" w:rsidP="00D959CA">
      <w:pPr>
        <w:pStyle w:val="TableHeading"/>
      </w:pPr>
      <w:r w:rsidRPr="005731D3">
        <w:t xml:space="preserve">Table 1.1: </w:t>
      </w:r>
      <w:r>
        <w:rPr>
          <w:lang w:val="en-AU"/>
        </w:rPr>
        <w:t xml:space="preserve">Asbestos Safety and Eradication Agency </w:t>
      </w:r>
      <w:r>
        <w:t>resource statement</w:t>
      </w:r>
      <w:r>
        <w:rPr>
          <w:lang w:val="en-AU"/>
        </w:rPr>
        <w:t>—</w:t>
      </w:r>
      <w:r w:rsidRPr="005731D3">
        <w:t>Budget estimates for 2016</w:t>
      </w:r>
      <w:r>
        <w:rPr>
          <w:lang w:val="en-AU"/>
        </w:rPr>
        <w:t>–</w:t>
      </w:r>
      <w:r w:rsidRPr="005731D3">
        <w:t>17 as at Budget May 2016</w:t>
      </w:r>
    </w:p>
    <w:p w:rsidR="00D959CA" w:rsidRDefault="00D959CA" w:rsidP="00D959CA">
      <w:pPr>
        <w:pStyle w:val="TableGraphic"/>
      </w:pPr>
      <w:r w:rsidRPr="00856E2F">
        <w:rPr>
          <w:noProof/>
        </w:rPr>
        <w:drawing>
          <wp:inline distT="0" distB="0" distL="0" distR="0" wp14:anchorId="1C0C9A95" wp14:editId="2A930A17">
            <wp:extent cx="4822190" cy="21050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2190" cy="2105025"/>
                    </a:xfrm>
                    <a:prstGeom prst="rect">
                      <a:avLst/>
                    </a:prstGeom>
                    <a:noFill/>
                    <a:ln>
                      <a:noFill/>
                    </a:ln>
                  </pic:spPr>
                </pic:pic>
              </a:graphicData>
            </a:graphic>
          </wp:inline>
        </w:drawing>
      </w:r>
    </w:p>
    <w:p w:rsidR="00D959CA" w:rsidRDefault="00D959CA" w:rsidP="00D959CA">
      <w:pPr>
        <w:pStyle w:val="ChartandTableFootnote"/>
        <w:spacing w:before="120"/>
      </w:pPr>
      <w:r>
        <w:t>Prepared on a resourcing (i.e. appropriations available) basis.</w:t>
      </w:r>
    </w:p>
    <w:p w:rsidR="00D959CA" w:rsidRDefault="00D959CA" w:rsidP="00D959CA">
      <w:pPr>
        <w:pStyle w:val="ChartandTableFootnote"/>
      </w:pPr>
      <w:r w:rsidRPr="008D3E19">
        <w:rPr>
          <w:u w:val="single"/>
        </w:rPr>
        <w:t>Please note</w:t>
      </w:r>
      <w:r>
        <w:t>: All figures shown above are GST exclusive</w:t>
      </w:r>
      <w:r>
        <w:rPr>
          <w:lang w:val="en-AU"/>
        </w:rPr>
        <w:t>—</w:t>
      </w:r>
      <w:r>
        <w:t xml:space="preserve">these may not match figures in the cash flow statement. </w:t>
      </w:r>
    </w:p>
    <w:p w:rsidR="00D959CA" w:rsidRPr="005250EE" w:rsidRDefault="00D959CA" w:rsidP="00D959CA">
      <w:pPr>
        <w:pStyle w:val="ChartandTableFootnoteAlpha"/>
        <w:numPr>
          <w:ilvl w:val="0"/>
          <w:numId w:val="6"/>
        </w:numPr>
        <w:spacing w:before="120"/>
      </w:pPr>
      <w:r>
        <w:t>Appropriation Bill (</w:t>
      </w:r>
      <w:proofErr w:type="spellStart"/>
      <w:r>
        <w:t>No.1</w:t>
      </w:r>
      <w:proofErr w:type="spellEnd"/>
      <w:r>
        <w:t>) 2016–</w:t>
      </w:r>
      <w:r w:rsidRPr="005250EE">
        <w:t>17.</w:t>
      </w:r>
    </w:p>
    <w:p w:rsidR="00D959CA" w:rsidRPr="005250EE" w:rsidRDefault="00D959CA" w:rsidP="00D959CA">
      <w:pPr>
        <w:pStyle w:val="ChartandTableFootnoteAlpha"/>
      </w:pPr>
      <w:r>
        <w:t xml:space="preserve">Estimated adjusted balance carried forward from previous year. </w:t>
      </w:r>
    </w:p>
    <w:p w:rsidR="00D959CA" w:rsidRDefault="00D959CA" w:rsidP="00D959CA">
      <w:pPr>
        <w:pStyle w:val="ChartandTableFootnoteAlpha"/>
      </w:pPr>
      <w:r>
        <w:t>Departmental</w:t>
      </w:r>
      <w:r w:rsidRPr="008D3E19">
        <w:t xml:space="preserve"> capital budgets are not separately identified in Appropriation Bill (No. 1) and form part of ordinary annual services items. Please refer to Table</w:t>
      </w:r>
      <w:r>
        <w:t xml:space="preserve"> 3.5</w:t>
      </w:r>
      <w:r w:rsidRPr="008D3E19">
        <w:t xml:space="preserve"> for further details. For accounting purposes, this amount is designated as a 'contribution by owner'.</w:t>
      </w:r>
      <w:bookmarkStart w:id="50" w:name="_Toc447006797"/>
      <w:bookmarkStart w:id="51" w:name="_Toc447007378"/>
      <w:bookmarkStart w:id="52" w:name="_Toc447008256"/>
      <w:bookmarkStart w:id="53" w:name="_Toc447008902"/>
      <w:bookmarkStart w:id="54" w:name="_Toc447012759"/>
      <w:bookmarkStart w:id="55" w:name="_Toc447013755"/>
      <w:bookmarkStart w:id="56" w:name="_Toc447016728"/>
      <w:bookmarkStart w:id="57" w:name="_Toc447115157"/>
      <w:bookmarkStart w:id="58" w:name="_Toc447115240"/>
      <w:bookmarkStart w:id="59" w:name="_Toc447115420"/>
      <w:bookmarkStart w:id="60" w:name="_Toc447116713"/>
      <w:bookmarkStart w:id="61" w:name="_Toc447117944"/>
      <w:bookmarkStart w:id="62" w:name="_Toc447119379"/>
      <w:bookmarkStart w:id="63" w:name="_Toc447709882"/>
    </w:p>
    <w:p w:rsidR="00D959CA" w:rsidRDefault="00D959CA" w:rsidP="00D959CA">
      <w:pPr>
        <w:spacing w:after="0"/>
        <w:rPr>
          <w:rFonts w:ascii="Arial" w:hAnsi="Arial"/>
          <w:b/>
          <w:smallCaps/>
          <w:sz w:val="26"/>
          <w:highlight w:val="yellow"/>
        </w:rPr>
      </w:pPr>
      <w:bookmarkStart w:id="64" w:name="_Toc449100206"/>
      <w:r>
        <w:rPr>
          <w:highlight w:val="yellow"/>
        </w:rPr>
        <w:br w:type="page"/>
      </w:r>
    </w:p>
    <w:p w:rsidR="00D959CA" w:rsidRPr="00CD62C1" w:rsidRDefault="00D959CA" w:rsidP="00D959CA">
      <w:pPr>
        <w:pStyle w:val="Heading3"/>
      </w:pPr>
      <w:bookmarkStart w:id="65" w:name="_Toc449623584"/>
      <w:r w:rsidRPr="00CD62C1">
        <w:lastRenderedPageBreak/>
        <w:t>1.3</w:t>
      </w:r>
      <w:r w:rsidRPr="00CD62C1">
        <w:tab/>
        <w:t>Budget measures</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D959CA" w:rsidRPr="00CD62C1" w:rsidRDefault="00D959CA" w:rsidP="00D959CA">
      <w:pPr>
        <w:pStyle w:val="TableHeading"/>
        <w:rPr>
          <w:lang w:val="en-AU"/>
        </w:rPr>
      </w:pPr>
      <w:r w:rsidRPr="00CD62C1">
        <w:t>Table 1.</w:t>
      </w:r>
      <w:r w:rsidRPr="00CD62C1">
        <w:rPr>
          <w:lang w:val="en-AU"/>
        </w:rPr>
        <w:t>2</w:t>
      </w:r>
      <w:r w:rsidRPr="00CD62C1">
        <w:t xml:space="preserve">: Asbestos Safety and Eradication Agency </w:t>
      </w:r>
      <w:r w:rsidRPr="00CD62C1">
        <w:rPr>
          <w:lang w:val="en-AU"/>
        </w:rPr>
        <w:t>Budget measures</w:t>
      </w:r>
    </w:p>
    <w:p w:rsidR="00D959CA" w:rsidRDefault="00D959CA" w:rsidP="00D959CA">
      <w:r w:rsidRPr="00DC32EC">
        <w:t xml:space="preserve">Budget measures </w:t>
      </w:r>
      <w:r>
        <w:t xml:space="preserve">in Part 1 </w:t>
      </w:r>
      <w:r w:rsidRPr="00DC32EC">
        <w:t>relating to</w:t>
      </w:r>
      <w:r>
        <w:t xml:space="preserve"> the Asbestos Safety and Eradication Agency</w:t>
      </w:r>
      <w:r w:rsidRPr="00DC32EC">
        <w:t xml:space="preserve"> a</w:t>
      </w:r>
      <w:r>
        <w:t>re detailed in Budget Paper No. </w:t>
      </w:r>
      <w:r w:rsidRPr="00DC32EC">
        <w:t>2</w:t>
      </w:r>
      <w:r>
        <w:t xml:space="preserve"> and are summarised below. </w:t>
      </w:r>
    </w:p>
    <w:p w:rsidR="00D959CA" w:rsidRPr="009A40DD" w:rsidRDefault="00D959CA" w:rsidP="00D959CA">
      <w:pPr>
        <w:pStyle w:val="TableHeading"/>
      </w:pPr>
      <w:r w:rsidRPr="009A40DD">
        <w:t>Part 1: Measures announced since the 2015</w:t>
      </w:r>
      <w:r>
        <w:rPr>
          <w:lang w:val="en-AU"/>
        </w:rPr>
        <w:t>–</w:t>
      </w:r>
      <w:r w:rsidRPr="009A40DD">
        <w:t>16 Mid-Year Economic and Fiscal Outlook (</w:t>
      </w:r>
      <w:proofErr w:type="spellStart"/>
      <w:r w:rsidRPr="009A40DD">
        <w:t>MYEFO</w:t>
      </w:r>
      <w:proofErr w:type="spellEnd"/>
      <w:r w:rsidRPr="009A40DD">
        <w:t>)</w:t>
      </w:r>
    </w:p>
    <w:p w:rsidR="00D959CA" w:rsidRDefault="00D959CA" w:rsidP="00D959CA">
      <w:r w:rsidRPr="00ED68BA">
        <w:rPr>
          <w:noProof/>
        </w:rPr>
        <w:drawing>
          <wp:inline distT="0" distB="0" distL="0" distR="0" wp14:anchorId="668231E9" wp14:editId="2BC1A3FE">
            <wp:extent cx="4896485" cy="1712118"/>
            <wp:effectExtent l="0" t="0" r="0" b="254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6485" cy="1712118"/>
                    </a:xfrm>
                    <a:prstGeom prst="rect">
                      <a:avLst/>
                    </a:prstGeom>
                    <a:noFill/>
                    <a:ln>
                      <a:noFill/>
                    </a:ln>
                  </pic:spPr>
                </pic:pic>
              </a:graphicData>
            </a:graphic>
          </wp:inline>
        </w:drawing>
      </w:r>
    </w:p>
    <w:p w:rsidR="00D959CA" w:rsidRDefault="00D959CA" w:rsidP="00D959CA">
      <w:pPr>
        <w:pStyle w:val="ChartandTableFootnote"/>
        <w:rPr>
          <w:lang w:val="en-AU"/>
        </w:rPr>
      </w:pPr>
      <w:r w:rsidRPr="00E83749">
        <w:t>Prepared on a Government Finance Statistics (fiscal) basis. Figures displayed as a negative (-) represent a decrease in funds and a positive (+) represent an increase in funds.</w:t>
      </w:r>
    </w:p>
    <w:p w:rsidR="00D959CA" w:rsidRPr="00CD62C1" w:rsidRDefault="00D959CA" w:rsidP="00D959CA">
      <w:pPr>
        <w:rPr>
          <w:lang w:eastAsia="x-none"/>
        </w:rPr>
      </w:pPr>
    </w:p>
    <w:p w:rsidR="00D959CA" w:rsidRPr="005C4BEE" w:rsidRDefault="00D959CA" w:rsidP="00D959CA">
      <w:pPr>
        <w:pStyle w:val="TableHeadingcontinued"/>
        <w:rPr>
          <w:sz w:val="16"/>
        </w:rPr>
      </w:pPr>
      <w:r w:rsidRPr="005C4BEE">
        <w:t xml:space="preserve">Part 2: </w:t>
      </w:r>
      <w:r>
        <w:t>Other m</w:t>
      </w:r>
      <w:r w:rsidRPr="005C4BEE">
        <w:t>easures not previously reported in a portfolio statement</w:t>
      </w:r>
    </w:p>
    <w:p w:rsidR="00D959CA" w:rsidRDefault="00D959CA" w:rsidP="00D959CA">
      <w:pPr>
        <w:pStyle w:val="TableGraphic"/>
      </w:pPr>
      <w:r w:rsidRPr="00ED68BA">
        <w:rPr>
          <w:noProof/>
        </w:rPr>
        <w:drawing>
          <wp:inline distT="0" distB="0" distL="0" distR="0" wp14:anchorId="3F5C2290" wp14:editId="4CA6CD65">
            <wp:extent cx="4896485" cy="1712118"/>
            <wp:effectExtent l="0" t="0" r="0" b="254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6485" cy="1712118"/>
                    </a:xfrm>
                    <a:prstGeom prst="rect">
                      <a:avLst/>
                    </a:prstGeom>
                    <a:noFill/>
                    <a:ln>
                      <a:noFill/>
                    </a:ln>
                  </pic:spPr>
                </pic:pic>
              </a:graphicData>
            </a:graphic>
          </wp:inline>
        </w:drawing>
      </w:r>
    </w:p>
    <w:p w:rsidR="00D959CA" w:rsidRDefault="00D959CA" w:rsidP="00D959CA">
      <w:pPr>
        <w:pStyle w:val="ChartandTableFootnoteAlpha"/>
        <w:numPr>
          <w:ilvl w:val="0"/>
          <w:numId w:val="4"/>
        </w:numPr>
        <w:spacing w:before="120"/>
      </w:pPr>
      <w:r w:rsidRPr="00945B1B">
        <w:t>This measure was first published in the 2015</w:t>
      </w:r>
      <w:r>
        <w:t>–</w:t>
      </w:r>
      <w:r w:rsidRPr="00945B1B">
        <w:t xml:space="preserve">16 </w:t>
      </w:r>
      <w:r>
        <w:t>Mid-Year Economic and Fiscal Outlook</w:t>
      </w:r>
      <w:r w:rsidRPr="00945B1B">
        <w:t>.</w:t>
      </w:r>
    </w:p>
    <w:p w:rsidR="00D959CA" w:rsidRPr="008D35E3" w:rsidRDefault="00D959CA" w:rsidP="00D959CA">
      <w:pPr>
        <w:pStyle w:val="ChartandTableFootnote"/>
        <w:spacing w:before="120"/>
        <w:rPr>
          <w:lang w:val="en-AU"/>
        </w:rPr>
      </w:pPr>
      <w:r w:rsidRPr="006C5EE1">
        <w:t xml:space="preserve">Prepared on a Government </w:t>
      </w:r>
      <w:r>
        <w:t>Finance</w:t>
      </w:r>
      <w:r w:rsidRPr="006C5EE1">
        <w:t xml:space="preserve"> Statistics (fiscal) basis</w:t>
      </w:r>
      <w:r>
        <w:t xml:space="preserve">. Figures displayed as a negative (-) represent a decrease in funds and a positive (+) represent an increase in funds. </w:t>
      </w:r>
    </w:p>
    <w:p w:rsidR="00D959CA" w:rsidRPr="00810C6A" w:rsidRDefault="00D959CA" w:rsidP="00D959CA">
      <w:pPr>
        <w:pStyle w:val="Heading2"/>
      </w:pPr>
      <w:r>
        <w:br w:type="page"/>
      </w:r>
      <w:bookmarkStart w:id="66" w:name="_Toc447006798"/>
      <w:bookmarkStart w:id="67" w:name="_Toc447007379"/>
      <w:bookmarkStart w:id="68" w:name="_Toc447008257"/>
      <w:bookmarkStart w:id="69" w:name="_Toc447008903"/>
      <w:bookmarkStart w:id="70" w:name="_Toc447012760"/>
      <w:bookmarkStart w:id="71" w:name="_Toc447013756"/>
      <w:bookmarkStart w:id="72" w:name="_Toc447016729"/>
      <w:bookmarkStart w:id="73" w:name="_Toc447115158"/>
      <w:bookmarkStart w:id="74" w:name="_Toc447115241"/>
      <w:bookmarkStart w:id="75" w:name="_Toc447115421"/>
      <w:bookmarkStart w:id="76" w:name="_Toc447116714"/>
      <w:bookmarkStart w:id="77" w:name="_Toc447117945"/>
      <w:bookmarkStart w:id="78" w:name="_Toc447119380"/>
      <w:bookmarkStart w:id="79" w:name="_Toc447709883"/>
      <w:bookmarkStart w:id="80" w:name="_Toc449100207"/>
      <w:bookmarkStart w:id="81" w:name="_Toc449623585"/>
      <w:r w:rsidRPr="00810C6A">
        <w:lastRenderedPageBreak/>
        <w:t>Section 2: Outcomes and planned performance</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D959CA" w:rsidRPr="005E6F2B" w:rsidRDefault="00D959CA" w:rsidP="00D959CA">
      <w:r w:rsidRPr="005E6F2B">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D959CA" w:rsidRPr="005E6F2B" w:rsidRDefault="00D959CA" w:rsidP="00D959CA">
      <w:r w:rsidRPr="005E6F2B">
        <w:t xml:space="preserve">Each outcome is described below together with its related programs. The following provides detailed information on expenses for each outcome and program, further broken down by funding source. </w:t>
      </w:r>
    </w:p>
    <w:p w:rsidR="00D959CA" w:rsidRPr="006906E4" w:rsidRDefault="00D959CA" w:rsidP="00D959CA">
      <w:pPr>
        <w:pBdr>
          <w:top w:val="single" w:sz="2" w:space="6" w:color="auto"/>
          <w:left w:val="single" w:sz="2" w:space="4" w:color="auto"/>
          <w:bottom w:val="single" w:sz="2" w:space="6" w:color="auto"/>
          <w:right w:val="single" w:sz="2" w:space="4" w:color="auto"/>
        </w:pBdr>
        <w:rPr>
          <w:b/>
        </w:rPr>
      </w:pPr>
      <w:r w:rsidRPr="006906E4">
        <w:rPr>
          <w:b/>
        </w:rPr>
        <w:t>Note:</w:t>
      </w:r>
    </w:p>
    <w:p w:rsidR="00D959CA" w:rsidRDefault="00D959CA" w:rsidP="00D959CA">
      <w:pPr>
        <w:pBdr>
          <w:top w:val="single" w:sz="2" w:space="6" w:color="auto"/>
          <w:left w:val="single" w:sz="2" w:space="4" w:color="auto"/>
          <w:bottom w:val="single" w:sz="2" w:space="6" w:color="auto"/>
          <w:right w:val="single" w:sz="2" w:space="4" w:color="auto"/>
        </w:pBdr>
        <w:rPr>
          <w:highlight w:val="yellow"/>
        </w:rPr>
      </w:pPr>
      <w:r>
        <w:t>From 1 July 2015, performance reporting requirements in the Portfolio Budget Statements sit alongside those required under the enhanced commonwealth performance framework. It is anticipated that the performance criteria described in Portfolio Budget Statements will be read with broader information provided in an entity’s corporate plans and annual performance statements—included in Annual Reports from October 2016—to provide an entity’s complete performance story.</w:t>
      </w:r>
    </w:p>
    <w:p w:rsidR="00D959CA" w:rsidRDefault="00D959CA" w:rsidP="00D959CA">
      <w:pPr>
        <w:spacing w:after="0"/>
        <w:rPr>
          <w:rFonts w:ascii="Arial" w:hAnsi="Arial"/>
          <w:b/>
          <w:smallCaps/>
          <w:sz w:val="26"/>
        </w:rPr>
      </w:pPr>
      <w:bookmarkStart w:id="82" w:name="_Toc447006799"/>
      <w:bookmarkStart w:id="83" w:name="_Toc447007380"/>
      <w:bookmarkStart w:id="84" w:name="_Toc447008258"/>
      <w:bookmarkStart w:id="85" w:name="_Toc447008904"/>
      <w:bookmarkStart w:id="86" w:name="_Toc447012761"/>
      <w:bookmarkStart w:id="87" w:name="_Toc447013757"/>
      <w:bookmarkStart w:id="88" w:name="_Toc447016730"/>
      <w:bookmarkStart w:id="89" w:name="_Toc447115159"/>
      <w:bookmarkStart w:id="90" w:name="_Toc447115242"/>
      <w:bookmarkStart w:id="91" w:name="_Toc447115422"/>
      <w:bookmarkStart w:id="92" w:name="_Toc447116715"/>
      <w:bookmarkStart w:id="93" w:name="_Toc447117946"/>
      <w:bookmarkStart w:id="94" w:name="_Toc447119381"/>
      <w:r>
        <w:br w:type="page"/>
      </w:r>
    </w:p>
    <w:p w:rsidR="00D959CA" w:rsidRPr="005E6F2B" w:rsidRDefault="00D959CA" w:rsidP="00D959CA">
      <w:pPr>
        <w:pStyle w:val="Heading3"/>
      </w:pPr>
      <w:bookmarkStart w:id="95" w:name="_Toc447709884"/>
      <w:bookmarkStart w:id="96" w:name="_Toc449100208"/>
      <w:bookmarkStart w:id="97" w:name="_Toc449623586"/>
      <w:r w:rsidRPr="00F743D8">
        <w:lastRenderedPageBreak/>
        <w:t>2.</w:t>
      </w:r>
      <w:r>
        <w:t>1</w:t>
      </w:r>
      <w:r w:rsidRPr="00F743D8">
        <w:t xml:space="preserve"> </w:t>
      </w:r>
      <w:r w:rsidRPr="00F743D8">
        <w:tab/>
        <w:t xml:space="preserve">Budgeted expenses and performance for Outcome </w:t>
      </w:r>
      <w:r>
        <w:t>1</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5E6F2B">
        <w:t xml:space="preserve"> </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3"/>
      </w:tblGrid>
      <w:tr w:rsidR="00D959CA" w:rsidRPr="005E6F2B" w:rsidTr="00DC4D04">
        <w:tc>
          <w:tcPr>
            <w:tcW w:w="7713" w:type="dxa"/>
            <w:shd w:val="clear" w:color="auto" w:fill="E6E6E6"/>
          </w:tcPr>
          <w:p w:rsidR="00D959CA" w:rsidRPr="005E6F2B" w:rsidRDefault="00D959CA" w:rsidP="00DC4D04">
            <w:pPr>
              <w:pStyle w:val="TableColumnHeadingLeft"/>
            </w:pPr>
            <w:r w:rsidRPr="005E6F2B">
              <w:t xml:space="preserve">Outcome </w:t>
            </w:r>
            <w:r>
              <w:t xml:space="preserve">1: Assist in the prevention of exposure to asbestos fibres and the elimination of asbestos-related disease in Australia through implementing the National Strategic Plan for Asbestos Awareness and Management in Australia. </w:t>
            </w:r>
          </w:p>
        </w:tc>
      </w:tr>
    </w:tbl>
    <w:p w:rsidR="00D959CA" w:rsidRPr="00446612" w:rsidRDefault="00D959CA" w:rsidP="00D959CA">
      <w:pPr>
        <w:pStyle w:val="Heading5"/>
      </w:pPr>
      <w:r w:rsidRPr="00446612">
        <w:t xml:space="preserve">Budgeted expenses for Outcome </w:t>
      </w:r>
      <w:r>
        <w:t>1</w:t>
      </w:r>
    </w:p>
    <w:p w:rsidR="00D959CA" w:rsidRDefault="00D959CA" w:rsidP="00D959CA">
      <w:r w:rsidRPr="00950281">
        <w:t xml:space="preserve">This table shows how much the entity intends to spend (on an accrual basis) on achieving the outcome, broken </w:t>
      </w:r>
      <w:r>
        <w:t>down by program, as well as by administered and d</w:t>
      </w:r>
      <w:r w:rsidRPr="00950281">
        <w:t xml:space="preserve">epartmental funding sources. </w:t>
      </w:r>
    </w:p>
    <w:p w:rsidR="00D959CA" w:rsidRPr="00067D72" w:rsidRDefault="00D959CA" w:rsidP="00D959CA">
      <w:pPr>
        <w:pStyle w:val="TableHeading"/>
        <w:rPr>
          <w:lang w:val="en-AU"/>
        </w:rPr>
      </w:pPr>
      <w:r>
        <w:t>Table 2.</w:t>
      </w:r>
      <w:r>
        <w:rPr>
          <w:lang w:val="en-AU"/>
        </w:rPr>
        <w:t>1</w:t>
      </w:r>
      <w:r>
        <w:t xml:space="preserve">.1: Budgeted expenses for Outcome </w:t>
      </w:r>
      <w:r>
        <w:rPr>
          <w:lang w:val="en-AU"/>
        </w:rPr>
        <w:t>1</w:t>
      </w:r>
    </w:p>
    <w:p w:rsidR="00D959CA" w:rsidRDefault="00D959CA" w:rsidP="00D959CA">
      <w:pPr>
        <w:pStyle w:val="TableGraphic"/>
        <w:ind w:right="-86"/>
      </w:pPr>
      <w:r w:rsidRPr="00ED68BA">
        <w:rPr>
          <w:noProof/>
        </w:rPr>
        <w:drawing>
          <wp:inline distT="0" distB="0" distL="0" distR="0" wp14:anchorId="5ED77D10" wp14:editId="0BE5A86E">
            <wp:extent cx="4896485" cy="2546348"/>
            <wp:effectExtent l="0" t="0" r="0" b="698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6485" cy="2546348"/>
                    </a:xfrm>
                    <a:prstGeom prst="rect">
                      <a:avLst/>
                    </a:prstGeom>
                    <a:noFill/>
                    <a:ln>
                      <a:noFill/>
                    </a:ln>
                  </pic:spPr>
                </pic:pic>
              </a:graphicData>
            </a:graphic>
          </wp:inline>
        </w:drawing>
      </w:r>
    </w:p>
    <w:p w:rsidR="00D959CA" w:rsidRDefault="00D959CA" w:rsidP="00D959CA">
      <w:pPr>
        <w:pStyle w:val="ChartandTableFootnote"/>
        <w:spacing w:before="120"/>
      </w:pPr>
      <w:r w:rsidRPr="00446612">
        <w:t>Note: Departmental appropriation splits and totals are indicative estimates and may change in the course of the budget year a</w:t>
      </w:r>
      <w:r>
        <w:t>s government priorities change.</w:t>
      </w:r>
      <w:r>
        <w:br w:type="page"/>
      </w:r>
    </w:p>
    <w:p w:rsidR="00D959CA" w:rsidRPr="00F71634" w:rsidRDefault="00D959CA" w:rsidP="00D959CA">
      <w:pPr>
        <w:pStyle w:val="TableHeading"/>
      </w:pPr>
      <w:r w:rsidRPr="00F71634">
        <w:lastRenderedPageBreak/>
        <w:t>Table 2.</w:t>
      </w:r>
      <w:r>
        <w:t>1.2</w:t>
      </w:r>
      <w:r w:rsidRPr="00F71634">
        <w:t xml:space="preserve">: Performance criteria for Outcome </w:t>
      </w:r>
      <w:r>
        <w:t>1</w:t>
      </w:r>
    </w:p>
    <w:p w:rsidR="00D959CA" w:rsidRPr="00F71634" w:rsidRDefault="00D959CA" w:rsidP="00D959CA">
      <w:r w:rsidRPr="00F71634">
        <w:t>Table 2.</w:t>
      </w:r>
      <w:r>
        <w:t>1.2</w:t>
      </w:r>
      <w:r w:rsidRPr="00F71634">
        <w:t xml:space="preserve"> below details the performance criteria for each program associated with Outcome </w:t>
      </w:r>
      <w:r>
        <w:t>1</w:t>
      </w:r>
      <w:r w:rsidRPr="00F71634">
        <w:t>. It also summarises how each program is delivered and where 2016</w:t>
      </w:r>
      <w:r>
        <w:t>–</w:t>
      </w:r>
      <w:r w:rsidRPr="00F71634">
        <w:t>17 Budget measures have created new programs or materially changed existing programs.</w:t>
      </w:r>
      <w:r w:rsidRPr="009B011E">
        <w:rPr>
          <w:i/>
          <w:color w:val="FF0000"/>
        </w:rPr>
        <w:t xml:space="preserve"> </w:t>
      </w:r>
    </w:p>
    <w:tbl>
      <w:tblPr>
        <w:tblW w:w="7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1"/>
      </w:tblGrid>
      <w:tr w:rsidR="00D959CA" w:rsidRPr="00F71634" w:rsidTr="00DC4D04">
        <w:trPr>
          <w:tblHeader/>
        </w:trPr>
        <w:tc>
          <w:tcPr>
            <w:tcW w:w="7911" w:type="dxa"/>
            <w:shd w:val="clear" w:color="auto" w:fill="F2F2F2"/>
          </w:tcPr>
          <w:p w:rsidR="00D959CA" w:rsidRPr="006906E4" w:rsidRDefault="00D959CA" w:rsidP="00DC4D04">
            <w:pPr>
              <w:pStyle w:val="TableColumnHeadingLeft"/>
            </w:pPr>
            <w:r w:rsidRPr="006906E4">
              <w:t xml:space="preserve">Outcome </w:t>
            </w:r>
            <w:r>
              <w:t>1—Assist in the prevention of exposure to asbestos fibres and the elimination of asbestos-related disease in Australia through implementing the National Strategic Plan for Asbestos Awareness and Management in Australia.</w:t>
            </w:r>
          </w:p>
        </w:tc>
      </w:tr>
      <w:tr w:rsidR="00D959CA" w:rsidRPr="00F71634" w:rsidTr="00DC4D04">
        <w:trPr>
          <w:tblHeader/>
        </w:trPr>
        <w:tc>
          <w:tcPr>
            <w:tcW w:w="7911" w:type="dxa"/>
            <w:shd w:val="clear" w:color="auto" w:fill="F2F2F2"/>
          </w:tcPr>
          <w:p w:rsidR="00D959CA" w:rsidRDefault="00D959CA" w:rsidP="00DC4D04">
            <w:pPr>
              <w:tabs>
                <w:tab w:val="left" w:pos="709"/>
              </w:tabs>
              <w:spacing w:before="60" w:after="60"/>
              <w:rPr>
                <w:rFonts w:ascii="Arial" w:hAnsi="Arial" w:cs="Arial"/>
                <w:sz w:val="16"/>
                <w:szCs w:val="16"/>
              </w:rPr>
            </w:pPr>
            <w:r w:rsidRPr="006906E4">
              <w:rPr>
                <w:rFonts w:ascii="Arial" w:hAnsi="Arial" w:cs="Arial"/>
                <w:b/>
                <w:sz w:val="16"/>
                <w:szCs w:val="16"/>
              </w:rPr>
              <w:t xml:space="preserve">Program </w:t>
            </w:r>
            <w:r>
              <w:rPr>
                <w:rFonts w:ascii="Arial" w:hAnsi="Arial" w:cs="Arial"/>
                <w:b/>
                <w:sz w:val="16"/>
                <w:szCs w:val="16"/>
              </w:rPr>
              <w:t>1</w:t>
            </w:r>
            <w:r w:rsidRPr="006906E4">
              <w:rPr>
                <w:rFonts w:ascii="Arial" w:hAnsi="Arial" w:cs="Arial"/>
                <w:b/>
                <w:sz w:val="16"/>
                <w:szCs w:val="16"/>
              </w:rPr>
              <w:t>.1</w:t>
            </w:r>
            <w:r>
              <w:rPr>
                <w:rFonts w:ascii="Arial" w:hAnsi="Arial" w:cs="Arial"/>
                <w:b/>
                <w:sz w:val="16"/>
                <w:szCs w:val="16"/>
              </w:rPr>
              <w:t xml:space="preserve">—Asbestos Safety and Eradication Agency </w:t>
            </w:r>
          </w:p>
          <w:p w:rsidR="00D959CA" w:rsidRPr="006906E4" w:rsidRDefault="00D959CA" w:rsidP="00DC4D04">
            <w:pPr>
              <w:pStyle w:val="TableTextLeft"/>
            </w:pPr>
            <w:r w:rsidRPr="00124B9D">
              <w:t>The Asbestos Safety and Eradication Agency delivers Outcome 1 through the review, promotion, and coordination of the National Strategic Plan. To meet this objective, the agency commissions, monitors and promotes research about asbestos safety, works collaboratively with regulators, industry</w:t>
            </w:r>
            <w:r>
              <w:t>,</w:t>
            </w:r>
            <w:r w:rsidRPr="00124B9D">
              <w:t xml:space="preserve"> agencies and </w:t>
            </w:r>
            <w:r>
              <w:t xml:space="preserve">other </w:t>
            </w:r>
            <w:r w:rsidRPr="00124B9D">
              <w:t>bodies across the work, environment, public health and building and construction sectors that work with asbestos and asbestos safety, and the community to improve awareness of asbestos safety.</w:t>
            </w:r>
          </w:p>
        </w:tc>
      </w:tr>
    </w:tbl>
    <w:p w:rsidR="00D959CA" w:rsidRDefault="00D959CA" w:rsidP="00D959CA">
      <w:pPr>
        <w:tabs>
          <w:tab w:val="left" w:pos="709"/>
        </w:tabs>
        <w:spacing w:before="60" w:after="60"/>
        <w:rPr>
          <w:rFonts w:ascii="Arial" w:hAnsi="Arial" w:cs="Arial"/>
          <w:b/>
          <w:sz w:val="16"/>
          <w:szCs w:val="16"/>
        </w:rPr>
        <w:sectPr w:rsidR="00D959CA" w:rsidSect="006C6170">
          <w:headerReference w:type="even" r:id="rId16"/>
          <w:headerReference w:type="default" r:id="rId17"/>
          <w:headerReference w:type="first" r:id="rId18"/>
          <w:type w:val="oddPage"/>
          <w:pgSz w:w="11907" w:h="16839" w:code="9"/>
          <w:pgMar w:top="2466" w:right="2098" w:bottom="2466" w:left="2098" w:header="1899" w:footer="1899" w:gutter="0"/>
          <w:cols w:space="708"/>
          <w:docGrid w:linePitch="360"/>
        </w:sectPr>
      </w:pPr>
    </w:p>
    <w:p w:rsidR="00D959CA" w:rsidRDefault="00D959CA" w:rsidP="00D959CA">
      <w:pPr>
        <w:tabs>
          <w:tab w:val="left" w:pos="709"/>
        </w:tabs>
        <w:spacing w:before="60" w:after="60"/>
        <w:rPr>
          <w:rFonts w:ascii="Arial" w:hAnsi="Arial" w:cs="Arial"/>
          <w:b/>
          <w:sz w:val="16"/>
          <w:szCs w:val="16"/>
        </w:rPr>
        <w:sectPr w:rsidR="00D959CA" w:rsidSect="00ED68BA">
          <w:type w:val="continuous"/>
          <w:pgSz w:w="11907" w:h="16839" w:code="9"/>
          <w:pgMar w:top="2466" w:right="2098" w:bottom="2466" w:left="2098" w:header="1899" w:footer="1899" w:gutter="0"/>
          <w:cols w:space="708"/>
          <w:titlePg/>
          <w:docGrid w:linePitch="360"/>
        </w:sectPr>
      </w:pPr>
    </w:p>
    <w:tbl>
      <w:tblPr>
        <w:tblW w:w="7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210"/>
      </w:tblGrid>
      <w:tr w:rsidR="00D959CA" w:rsidRPr="00F71634" w:rsidTr="00DC4D04">
        <w:tc>
          <w:tcPr>
            <w:tcW w:w="1701" w:type="dxa"/>
          </w:tcPr>
          <w:p w:rsidR="00D959CA" w:rsidRPr="006906E4" w:rsidRDefault="00D959CA" w:rsidP="00DC4D04">
            <w:pPr>
              <w:tabs>
                <w:tab w:val="left" w:pos="709"/>
              </w:tabs>
              <w:spacing w:before="60" w:after="60"/>
              <w:rPr>
                <w:rFonts w:ascii="Arial" w:hAnsi="Arial" w:cs="Arial"/>
                <w:b/>
                <w:sz w:val="16"/>
                <w:szCs w:val="16"/>
              </w:rPr>
            </w:pPr>
            <w:r>
              <w:rPr>
                <w:rFonts w:ascii="Arial" w:hAnsi="Arial" w:cs="Arial"/>
                <w:b/>
                <w:sz w:val="16"/>
                <w:szCs w:val="16"/>
              </w:rPr>
              <w:lastRenderedPageBreak/>
              <w:t>Purposes</w:t>
            </w:r>
            <w:r>
              <w:rPr>
                <w:rStyle w:val="FootnoteReference"/>
                <w:rFonts w:ascii="Arial" w:hAnsi="Arial" w:cs="Arial"/>
                <w:b/>
                <w:sz w:val="16"/>
                <w:szCs w:val="16"/>
              </w:rPr>
              <w:footnoteReference w:id="1"/>
            </w:r>
          </w:p>
        </w:tc>
        <w:tc>
          <w:tcPr>
            <w:tcW w:w="6210" w:type="dxa"/>
          </w:tcPr>
          <w:p w:rsidR="00D959CA" w:rsidRPr="0021114A" w:rsidRDefault="00D959CA" w:rsidP="00DC4D04">
            <w:pPr>
              <w:pStyle w:val="TableTextLeft"/>
            </w:pPr>
            <w:r w:rsidRPr="0021114A">
              <w:t>The Asbestos Safety and Eradication Agency’s purpose is to</w:t>
            </w:r>
            <w:r>
              <w:t xml:space="preserve"> facilitate the</w:t>
            </w:r>
            <w:r w:rsidRPr="0021114A">
              <w:t xml:space="preserve"> prevent</w:t>
            </w:r>
            <w:r>
              <w:t>ion of</w:t>
            </w:r>
            <w:r w:rsidRPr="0021114A">
              <w:t xml:space="preserve"> exposure to asbestos fibres in order to eliminate asbestos-related disease in Australia. This will be primarily achieved through the National Strategic Plan for Asbestos</w:t>
            </w:r>
            <w:r>
              <w:t xml:space="preserve"> Awareness and</w:t>
            </w:r>
            <w:r w:rsidRPr="0021114A">
              <w:t xml:space="preserve"> Management. </w:t>
            </w:r>
          </w:p>
        </w:tc>
      </w:tr>
      <w:tr w:rsidR="00D959CA" w:rsidRPr="00F71634" w:rsidTr="00DC4D04">
        <w:tc>
          <w:tcPr>
            <w:tcW w:w="1701" w:type="dxa"/>
            <w:tcBorders>
              <w:bottom w:val="double" w:sz="4" w:space="0" w:color="auto"/>
            </w:tcBorders>
          </w:tcPr>
          <w:p w:rsidR="00D959CA" w:rsidRPr="006906E4" w:rsidRDefault="00D959CA" w:rsidP="00DC4D04">
            <w:pPr>
              <w:tabs>
                <w:tab w:val="left" w:pos="709"/>
              </w:tabs>
              <w:spacing w:before="60" w:after="60"/>
              <w:rPr>
                <w:rFonts w:ascii="Arial" w:hAnsi="Arial" w:cs="Arial"/>
                <w:b/>
                <w:sz w:val="16"/>
                <w:szCs w:val="16"/>
              </w:rPr>
            </w:pPr>
            <w:r w:rsidRPr="006906E4">
              <w:rPr>
                <w:rFonts w:ascii="Arial" w:hAnsi="Arial" w:cs="Arial"/>
                <w:b/>
                <w:sz w:val="16"/>
                <w:szCs w:val="16"/>
              </w:rPr>
              <w:t>Delivery</w:t>
            </w:r>
          </w:p>
        </w:tc>
        <w:tc>
          <w:tcPr>
            <w:tcW w:w="6210" w:type="dxa"/>
            <w:tcBorders>
              <w:bottom w:val="double" w:sz="4" w:space="0" w:color="auto"/>
            </w:tcBorders>
          </w:tcPr>
          <w:p w:rsidR="00D959CA" w:rsidRPr="0021114A" w:rsidRDefault="00D959CA" w:rsidP="00DC4D04">
            <w:pPr>
              <w:pStyle w:val="TableTextLeft"/>
            </w:pPr>
            <w:r w:rsidRPr="0021114A">
              <w:t>The deliverables for the Asbestos Safety and Eradication Agency</w:t>
            </w:r>
            <w:r>
              <w:t xml:space="preserve">, through the coordination of the implementation of </w:t>
            </w:r>
            <w:r w:rsidRPr="0021114A">
              <w:t xml:space="preserve"> the National Strategic Plan for Asbestos Awareness and Management </w:t>
            </w:r>
            <w:r>
              <w:t>include</w:t>
            </w:r>
            <w:r w:rsidRPr="0021114A">
              <w:t>:</w:t>
            </w:r>
          </w:p>
          <w:p w:rsidR="00D959CA" w:rsidRPr="001F6C49" w:rsidRDefault="00D959CA" w:rsidP="00D959CA">
            <w:pPr>
              <w:pStyle w:val="TableTextNumbered"/>
              <w:tabs>
                <w:tab w:val="clear" w:pos="360"/>
              </w:tabs>
              <w:ind w:left="360" w:hanging="360"/>
            </w:pPr>
            <w:r w:rsidRPr="001F6C49">
              <w:t>Awareness: Increase public awareness of the health risks posed by working with or being exposed to asbestos.</w:t>
            </w:r>
          </w:p>
          <w:p w:rsidR="00D959CA" w:rsidRPr="001F6C49" w:rsidRDefault="00D959CA" w:rsidP="00D959CA">
            <w:pPr>
              <w:pStyle w:val="TableTextNumbered"/>
              <w:tabs>
                <w:tab w:val="clear" w:pos="360"/>
              </w:tabs>
              <w:ind w:left="360" w:hanging="360"/>
            </w:pPr>
            <w:r w:rsidRPr="001F6C49">
              <w:t>Best practice: Identify and share best practice in asbestos management, education, handling, storage and disposal.</w:t>
            </w:r>
          </w:p>
          <w:p w:rsidR="00D959CA" w:rsidRPr="001F6C49" w:rsidRDefault="00D959CA" w:rsidP="00D959CA">
            <w:pPr>
              <w:pStyle w:val="TableTextNumbered"/>
              <w:tabs>
                <w:tab w:val="clear" w:pos="360"/>
              </w:tabs>
              <w:ind w:left="360" w:hanging="360"/>
            </w:pPr>
            <w:r w:rsidRPr="001F6C49">
              <w:t>Identification: Improve the identification and grading of asbestos and sharing of information regarding the location of asbestos-containing materials (</w:t>
            </w:r>
            <w:proofErr w:type="spellStart"/>
            <w:r w:rsidRPr="001F6C49">
              <w:t>ACMs</w:t>
            </w:r>
            <w:proofErr w:type="spellEnd"/>
            <w:r w:rsidRPr="001F6C49">
              <w:t>).</w:t>
            </w:r>
          </w:p>
          <w:p w:rsidR="00D959CA" w:rsidRPr="001F6C49" w:rsidRDefault="00D959CA" w:rsidP="00D959CA">
            <w:pPr>
              <w:pStyle w:val="TableTextNumbered"/>
              <w:tabs>
                <w:tab w:val="clear" w:pos="360"/>
              </w:tabs>
              <w:ind w:left="360" w:hanging="360"/>
            </w:pPr>
            <w:r w:rsidRPr="001F6C49">
              <w:t xml:space="preserve">Removal: Identify priority areas where </w:t>
            </w:r>
            <w:proofErr w:type="spellStart"/>
            <w:r w:rsidRPr="001F6C49">
              <w:t>ACMs</w:t>
            </w:r>
            <w:proofErr w:type="spellEnd"/>
            <w:r w:rsidRPr="001F6C49">
              <w:t xml:space="preserve"> present a risk, the barriers to the safe removal of asbestos and review management and removal infrastructure to estimate the capacity and rate for the safe removal of asbestos.</w:t>
            </w:r>
          </w:p>
          <w:p w:rsidR="00D959CA" w:rsidRPr="001F6C49" w:rsidRDefault="00D959CA" w:rsidP="00D959CA">
            <w:pPr>
              <w:pStyle w:val="TableTextNumbered"/>
              <w:tabs>
                <w:tab w:val="clear" w:pos="360"/>
              </w:tabs>
              <w:ind w:left="360" w:hanging="360"/>
            </w:pPr>
            <w:r w:rsidRPr="001F6C49">
              <w:t>Research: Commission, monitor and promote research into asbestos exposure pathways, prevention and asbestos-related diseases to inform policy options.</w:t>
            </w:r>
          </w:p>
          <w:p w:rsidR="00D959CA" w:rsidRPr="001F6C49" w:rsidRDefault="00D959CA" w:rsidP="00D959CA">
            <w:pPr>
              <w:pStyle w:val="TableTextNumbered"/>
              <w:tabs>
                <w:tab w:val="clear" w:pos="360"/>
              </w:tabs>
              <w:ind w:left="360" w:hanging="360"/>
            </w:pPr>
            <w:r w:rsidRPr="001F6C49">
              <w:t xml:space="preserve">International leadership: Australia to continue </w:t>
            </w:r>
            <w:r>
              <w:t xml:space="preserve">to </w:t>
            </w:r>
            <w:r w:rsidRPr="001F6C49">
              <w:t>play a leadership role in a global campaign for a worldwide asbestos ban.</w:t>
            </w:r>
          </w:p>
        </w:tc>
      </w:tr>
    </w:tbl>
    <w:p w:rsidR="00D959CA" w:rsidRDefault="00D959CA" w:rsidP="00D959CA">
      <w:r>
        <w:br w:type="page"/>
      </w:r>
    </w:p>
    <w:tbl>
      <w:tblPr>
        <w:tblW w:w="7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261"/>
        <w:gridCol w:w="2949"/>
      </w:tblGrid>
      <w:tr w:rsidR="00D959CA" w:rsidRPr="00F71634" w:rsidTr="00DC4D04">
        <w:tc>
          <w:tcPr>
            <w:tcW w:w="7911" w:type="dxa"/>
            <w:gridSpan w:val="3"/>
            <w:tcBorders>
              <w:top w:val="double" w:sz="4" w:space="0" w:color="auto"/>
              <w:bottom w:val="double" w:sz="4" w:space="0" w:color="auto"/>
            </w:tcBorders>
          </w:tcPr>
          <w:p w:rsidR="00D959CA" w:rsidRPr="006906E4" w:rsidRDefault="00D959CA" w:rsidP="00DC4D04">
            <w:pPr>
              <w:tabs>
                <w:tab w:val="left" w:pos="709"/>
              </w:tabs>
              <w:spacing w:before="60" w:after="60"/>
              <w:rPr>
                <w:rFonts w:ascii="Arial" w:hAnsi="Arial" w:cs="Arial"/>
                <w:b/>
                <w:sz w:val="16"/>
                <w:szCs w:val="16"/>
              </w:rPr>
            </w:pPr>
            <w:r w:rsidRPr="006906E4">
              <w:rPr>
                <w:rFonts w:ascii="Arial" w:hAnsi="Arial" w:cs="Arial"/>
                <w:b/>
                <w:sz w:val="16"/>
                <w:szCs w:val="16"/>
              </w:rPr>
              <w:lastRenderedPageBreak/>
              <w:t>Performance information</w:t>
            </w:r>
          </w:p>
        </w:tc>
      </w:tr>
      <w:tr w:rsidR="00D959CA" w:rsidRPr="00F71634" w:rsidTr="00DC4D04">
        <w:tc>
          <w:tcPr>
            <w:tcW w:w="1701" w:type="dxa"/>
            <w:tcBorders>
              <w:top w:val="double" w:sz="4" w:space="0" w:color="auto"/>
              <w:bottom w:val="single" w:sz="4" w:space="0" w:color="auto"/>
              <w:right w:val="single" w:sz="4" w:space="0" w:color="auto"/>
            </w:tcBorders>
          </w:tcPr>
          <w:p w:rsidR="00D959CA" w:rsidRPr="006906E4" w:rsidRDefault="00D959CA" w:rsidP="00DC4D04">
            <w:pPr>
              <w:tabs>
                <w:tab w:val="left" w:pos="709"/>
              </w:tabs>
              <w:spacing w:before="60" w:after="60"/>
              <w:rPr>
                <w:rFonts w:ascii="Arial" w:hAnsi="Arial" w:cs="Arial"/>
                <w:b/>
                <w:sz w:val="16"/>
                <w:szCs w:val="16"/>
              </w:rPr>
            </w:pPr>
            <w:r w:rsidRPr="006906E4">
              <w:rPr>
                <w:rFonts w:ascii="Arial" w:hAnsi="Arial" w:cs="Arial"/>
                <w:b/>
                <w:sz w:val="16"/>
                <w:szCs w:val="16"/>
              </w:rPr>
              <w:t>Year</w:t>
            </w:r>
          </w:p>
        </w:tc>
        <w:tc>
          <w:tcPr>
            <w:tcW w:w="3261" w:type="dxa"/>
            <w:tcBorders>
              <w:top w:val="double" w:sz="4" w:space="0" w:color="auto"/>
              <w:left w:val="single" w:sz="4" w:space="0" w:color="auto"/>
              <w:bottom w:val="single" w:sz="4" w:space="0" w:color="auto"/>
              <w:right w:val="single" w:sz="4" w:space="0" w:color="auto"/>
            </w:tcBorders>
          </w:tcPr>
          <w:p w:rsidR="00D959CA" w:rsidRPr="006906E4" w:rsidRDefault="00D959CA" w:rsidP="00DC4D04">
            <w:pPr>
              <w:tabs>
                <w:tab w:val="left" w:pos="709"/>
              </w:tabs>
              <w:spacing w:before="60" w:after="60"/>
              <w:rPr>
                <w:rFonts w:ascii="Arial" w:hAnsi="Arial" w:cs="Arial"/>
                <w:b/>
                <w:sz w:val="16"/>
                <w:szCs w:val="16"/>
              </w:rPr>
            </w:pPr>
            <w:r w:rsidRPr="006906E4">
              <w:rPr>
                <w:rFonts w:ascii="Arial" w:hAnsi="Arial" w:cs="Arial"/>
                <w:b/>
                <w:sz w:val="16"/>
                <w:szCs w:val="16"/>
              </w:rPr>
              <w:t>Performance criteria</w:t>
            </w:r>
          </w:p>
        </w:tc>
        <w:tc>
          <w:tcPr>
            <w:tcW w:w="2949" w:type="dxa"/>
            <w:tcBorders>
              <w:top w:val="double" w:sz="4" w:space="0" w:color="auto"/>
              <w:left w:val="single" w:sz="4" w:space="0" w:color="auto"/>
              <w:bottom w:val="single" w:sz="4" w:space="0" w:color="auto"/>
            </w:tcBorders>
          </w:tcPr>
          <w:p w:rsidR="00D959CA" w:rsidRPr="006906E4" w:rsidRDefault="00D959CA" w:rsidP="00DC4D04">
            <w:pPr>
              <w:tabs>
                <w:tab w:val="left" w:pos="709"/>
              </w:tabs>
              <w:spacing w:before="60" w:after="60"/>
              <w:rPr>
                <w:rFonts w:ascii="Arial" w:hAnsi="Arial" w:cs="Arial"/>
                <w:b/>
                <w:sz w:val="16"/>
                <w:szCs w:val="16"/>
              </w:rPr>
            </w:pPr>
            <w:r w:rsidRPr="006906E4">
              <w:rPr>
                <w:rFonts w:ascii="Arial" w:hAnsi="Arial" w:cs="Arial"/>
                <w:b/>
                <w:sz w:val="16"/>
                <w:szCs w:val="16"/>
              </w:rPr>
              <w:t>Targets</w:t>
            </w:r>
          </w:p>
        </w:tc>
      </w:tr>
      <w:tr w:rsidR="00D959CA" w:rsidRPr="00F71634" w:rsidTr="00DC4D04">
        <w:trPr>
          <w:cantSplit/>
          <w:trHeight w:val="60"/>
        </w:trPr>
        <w:tc>
          <w:tcPr>
            <w:tcW w:w="1701" w:type="dxa"/>
            <w:tcBorders>
              <w:top w:val="single" w:sz="4" w:space="0" w:color="auto"/>
              <w:bottom w:val="dotted" w:sz="4" w:space="0" w:color="auto"/>
              <w:right w:val="single" w:sz="4" w:space="0" w:color="auto"/>
            </w:tcBorders>
          </w:tcPr>
          <w:p w:rsidR="00D959CA" w:rsidRPr="006906E4" w:rsidRDefault="00D959CA" w:rsidP="00DC4D04">
            <w:pPr>
              <w:pStyle w:val="TableTextLeft"/>
            </w:pPr>
            <w:r w:rsidRPr="006906E4">
              <w:t>2015</w:t>
            </w:r>
            <w:r>
              <w:t>–</w:t>
            </w:r>
            <w:r w:rsidRPr="006906E4">
              <w:t>16</w:t>
            </w:r>
          </w:p>
        </w:tc>
        <w:tc>
          <w:tcPr>
            <w:tcW w:w="3261" w:type="dxa"/>
            <w:tcBorders>
              <w:top w:val="single" w:sz="4" w:space="0" w:color="auto"/>
              <w:left w:val="single" w:sz="4" w:space="0" w:color="auto"/>
              <w:bottom w:val="dotted" w:sz="4" w:space="0" w:color="auto"/>
              <w:right w:val="single" w:sz="4" w:space="0" w:color="auto"/>
            </w:tcBorders>
          </w:tcPr>
          <w:p w:rsidR="00D959CA" w:rsidRPr="001F6C49" w:rsidRDefault="00D959CA" w:rsidP="00DC4D04">
            <w:pPr>
              <w:pStyle w:val="TableTextLeft"/>
              <w:rPr>
                <w:rFonts w:eastAsia="Cambria"/>
                <w:lang w:eastAsia="en-US"/>
              </w:rPr>
            </w:pPr>
            <w:r w:rsidRPr="001F6C49">
              <w:rPr>
                <w:rFonts w:eastAsia="Cambria"/>
                <w:lang w:eastAsia="en-US"/>
              </w:rPr>
              <w:t>Increase public awareness about asbestos safety.</w:t>
            </w:r>
          </w:p>
          <w:p w:rsidR="00D959CA" w:rsidRPr="001F6C49" w:rsidRDefault="00D959CA" w:rsidP="00DC4D04">
            <w:pPr>
              <w:pStyle w:val="TableTextLeft"/>
              <w:rPr>
                <w:rFonts w:eastAsia="Cambria"/>
                <w:lang w:eastAsia="en-US"/>
              </w:rPr>
            </w:pPr>
            <w:r w:rsidRPr="001F6C49">
              <w:rPr>
                <w:rFonts w:eastAsia="Cambria"/>
                <w:lang w:eastAsia="en-US"/>
              </w:rPr>
              <w:t>Effectively coordinate national issues that relate to the plan and asbestos issues.</w:t>
            </w:r>
          </w:p>
          <w:p w:rsidR="00D959CA" w:rsidRPr="006906E4" w:rsidRDefault="00D959CA" w:rsidP="00DC4D04">
            <w:pPr>
              <w:pStyle w:val="TableTextLeft"/>
              <w:rPr>
                <w:i/>
              </w:rPr>
            </w:pPr>
            <w:r w:rsidRPr="001F6C49">
              <w:rPr>
                <w:rFonts w:eastAsia="Cambria"/>
                <w:lang w:eastAsia="en-US"/>
              </w:rPr>
              <w:t>Identify targeted and practical initiatives to reduce the risks of asbestos-related disease in Australia.</w:t>
            </w:r>
          </w:p>
        </w:tc>
        <w:tc>
          <w:tcPr>
            <w:tcW w:w="2949" w:type="dxa"/>
            <w:tcBorders>
              <w:top w:val="single" w:sz="4" w:space="0" w:color="auto"/>
              <w:left w:val="single" w:sz="4" w:space="0" w:color="auto"/>
              <w:bottom w:val="dotted" w:sz="4" w:space="0" w:color="auto"/>
            </w:tcBorders>
          </w:tcPr>
          <w:p w:rsidR="00D959CA" w:rsidRPr="00DA5E25" w:rsidRDefault="00D959CA" w:rsidP="00DC4D04">
            <w:pPr>
              <w:pStyle w:val="TableTextLeft"/>
            </w:pPr>
            <w:r w:rsidRPr="00DA5E25">
              <w:rPr>
                <w:rFonts w:eastAsia="Cambria"/>
              </w:rPr>
              <w:t xml:space="preserve">Increase in awareness, coordination and evidence demonstrating progress in relation to the </w:t>
            </w:r>
            <w:proofErr w:type="spellStart"/>
            <w:r w:rsidRPr="00DA5E25">
              <w:rPr>
                <w:rFonts w:eastAsia="Cambria"/>
              </w:rPr>
              <w:t>NSP</w:t>
            </w:r>
            <w:proofErr w:type="spellEnd"/>
            <w:r w:rsidRPr="00DA5E25">
              <w:rPr>
                <w:rFonts w:eastAsia="Cambria"/>
              </w:rPr>
              <w:t xml:space="preserve"> and reduction in asbestos exposure risks.</w:t>
            </w:r>
            <w:r w:rsidRPr="00DA5E25">
              <w:t xml:space="preserve"> </w:t>
            </w:r>
          </w:p>
          <w:p w:rsidR="00D959CA" w:rsidRPr="00175197" w:rsidRDefault="00D959CA" w:rsidP="00DC4D04">
            <w:pPr>
              <w:pStyle w:val="TableTextLeft"/>
              <w:rPr>
                <w:b/>
              </w:rPr>
            </w:pPr>
            <w:r w:rsidRPr="00175197">
              <w:rPr>
                <w:b/>
              </w:rPr>
              <w:t xml:space="preserve">Assessment: On track </w:t>
            </w:r>
          </w:p>
          <w:p w:rsidR="00D959CA" w:rsidRPr="00175197" w:rsidRDefault="00D959CA" w:rsidP="00DC4D04">
            <w:pPr>
              <w:pStyle w:val="TableTextLeft"/>
            </w:pPr>
            <w:r w:rsidRPr="00175197">
              <w:t xml:space="preserve">Demonstrated by development of resources, delivery of events, progress tracking of </w:t>
            </w:r>
            <w:proofErr w:type="spellStart"/>
            <w:r w:rsidRPr="00175197">
              <w:t>NSP</w:t>
            </w:r>
            <w:proofErr w:type="spellEnd"/>
            <w:r w:rsidRPr="00175197">
              <w:t xml:space="preserve"> and </w:t>
            </w:r>
            <w:r>
              <w:t>Asbestos Safety and Eradication Council</w:t>
            </w:r>
            <w:r w:rsidRPr="00175197">
              <w:t xml:space="preserve"> meetings. </w:t>
            </w:r>
          </w:p>
          <w:p w:rsidR="00D959CA" w:rsidRPr="00175197" w:rsidRDefault="00D959CA" w:rsidP="00DC4D04">
            <w:pPr>
              <w:pStyle w:val="TableTextLeft"/>
              <w:rPr>
                <w:i/>
                <w:color w:val="FF0000"/>
              </w:rPr>
            </w:pPr>
            <w:r w:rsidRPr="00175197">
              <w:rPr>
                <w:b/>
              </w:rPr>
              <w:t>Variation:</w:t>
            </w:r>
            <w:r w:rsidRPr="00175197">
              <w:t xml:space="preserve"> </w:t>
            </w:r>
            <w:proofErr w:type="spellStart"/>
            <w:r w:rsidRPr="00175197">
              <w:t>NSP</w:t>
            </w:r>
            <w:proofErr w:type="spellEnd"/>
            <w:r w:rsidRPr="00175197">
              <w:t xml:space="preserve"> progress report expected to be published in November</w:t>
            </w:r>
            <w:r>
              <w:t xml:space="preserve"> </w:t>
            </w:r>
            <w:r w:rsidRPr="00175197">
              <w:t>2016.</w:t>
            </w:r>
          </w:p>
        </w:tc>
      </w:tr>
      <w:tr w:rsidR="00D959CA" w:rsidRPr="00F71634" w:rsidTr="00DC4D04">
        <w:tc>
          <w:tcPr>
            <w:tcW w:w="1701" w:type="dxa"/>
            <w:tcBorders>
              <w:top w:val="dotted" w:sz="4" w:space="0" w:color="auto"/>
              <w:bottom w:val="dotted" w:sz="4" w:space="0" w:color="auto"/>
              <w:right w:val="single" w:sz="4" w:space="0" w:color="auto"/>
            </w:tcBorders>
          </w:tcPr>
          <w:p w:rsidR="00D959CA" w:rsidRPr="006906E4" w:rsidRDefault="00D959CA" w:rsidP="00DC4D04">
            <w:pPr>
              <w:pStyle w:val="TableTextLeft"/>
            </w:pPr>
            <w:r w:rsidRPr="006906E4">
              <w:t>2016</w:t>
            </w:r>
            <w:r>
              <w:t>–</w:t>
            </w:r>
            <w:r w:rsidRPr="006906E4">
              <w:t>17</w:t>
            </w:r>
          </w:p>
        </w:tc>
        <w:tc>
          <w:tcPr>
            <w:tcW w:w="3261" w:type="dxa"/>
            <w:tcBorders>
              <w:top w:val="dotted" w:sz="4" w:space="0" w:color="auto"/>
              <w:left w:val="single" w:sz="4" w:space="0" w:color="auto"/>
              <w:bottom w:val="dotted" w:sz="4" w:space="0" w:color="auto"/>
              <w:right w:val="single" w:sz="4" w:space="0" w:color="auto"/>
            </w:tcBorders>
          </w:tcPr>
          <w:p w:rsidR="00D959CA" w:rsidRPr="000744A8" w:rsidRDefault="00D959CA" w:rsidP="00DC4D04">
            <w:pPr>
              <w:pStyle w:val="TableTextLeft"/>
              <w:spacing w:after="120"/>
            </w:pPr>
            <w:r>
              <w:rPr>
                <w:rFonts w:eastAsia="Cambria"/>
                <w:lang w:eastAsia="en-US"/>
              </w:rPr>
              <w:t>As per 2015–16</w:t>
            </w:r>
          </w:p>
        </w:tc>
        <w:tc>
          <w:tcPr>
            <w:tcW w:w="2949" w:type="dxa"/>
            <w:tcBorders>
              <w:top w:val="dotted" w:sz="4" w:space="0" w:color="auto"/>
              <w:left w:val="single" w:sz="4" w:space="0" w:color="auto"/>
              <w:bottom w:val="dotted" w:sz="4" w:space="0" w:color="auto"/>
            </w:tcBorders>
          </w:tcPr>
          <w:p w:rsidR="00D959CA" w:rsidRPr="000744A8" w:rsidRDefault="00D959CA" w:rsidP="00DC4D04">
            <w:pPr>
              <w:pStyle w:val="TableTextLeft"/>
            </w:pPr>
            <w:r>
              <w:t>As per 2015–16</w:t>
            </w:r>
          </w:p>
        </w:tc>
      </w:tr>
      <w:tr w:rsidR="00D959CA" w:rsidRPr="00F71634" w:rsidTr="00DC4D04">
        <w:tc>
          <w:tcPr>
            <w:tcW w:w="1701" w:type="dxa"/>
            <w:tcBorders>
              <w:top w:val="dotted" w:sz="4" w:space="0" w:color="auto"/>
              <w:right w:val="single" w:sz="4" w:space="0" w:color="auto"/>
            </w:tcBorders>
          </w:tcPr>
          <w:p w:rsidR="00D959CA" w:rsidRPr="006906E4" w:rsidRDefault="00D959CA" w:rsidP="00DC4D04">
            <w:pPr>
              <w:pStyle w:val="TableTextLeft"/>
            </w:pPr>
            <w:r w:rsidRPr="006906E4">
              <w:t>2017</w:t>
            </w:r>
            <w:r>
              <w:t>–</w:t>
            </w:r>
            <w:r w:rsidRPr="006906E4">
              <w:t>18 and beyond</w:t>
            </w:r>
          </w:p>
        </w:tc>
        <w:tc>
          <w:tcPr>
            <w:tcW w:w="3261" w:type="dxa"/>
            <w:tcBorders>
              <w:top w:val="dotted" w:sz="4" w:space="0" w:color="auto"/>
              <w:left w:val="single" w:sz="4" w:space="0" w:color="auto"/>
              <w:right w:val="single" w:sz="4" w:space="0" w:color="auto"/>
            </w:tcBorders>
          </w:tcPr>
          <w:p w:rsidR="00D959CA" w:rsidRPr="009674A6" w:rsidRDefault="00D959CA" w:rsidP="00DC4D04">
            <w:pPr>
              <w:pStyle w:val="TableTextLeft"/>
            </w:pPr>
            <w:r w:rsidRPr="009674A6">
              <w:t>As per 2016–17</w:t>
            </w:r>
          </w:p>
        </w:tc>
        <w:tc>
          <w:tcPr>
            <w:tcW w:w="2949" w:type="dxa"/>
            <w:tcBorders>
              <w:top w:val="dotted" w:sz="4" w:space="0" w:color="auto"/>
              <w:left w:val="single" w:sz="4" w:space="0" w:color="auto"/>
            </w:tcBorders>
          </w:tcPr>
          <w:p w:rsidR="00D959CA" w:rsidRPr="009674A6" w:rsidRDefault="00D959CA" w:rsidP="00DC4D04">
            <w:pPr>
              <w:pStyle w:val="TableTextLeft"/>
            </w:pPr>
            <w:r w:rsidRPr="009674A6">
              <w:t>As per 2016–17 and outcomes of the first phase of the plan inform the next National Strategic Plan for Asbestos Management and Awareness</w:t>
            </w:r>
          </w:p>
        </w:tc>
      </w:tr>
      <w:tr w:rsidR="00D959CA" w:rsidRPr="00F71634" w:rsidTr="00DC4D04">
        <w:tc>
          <w:tcPr>
            <w:tcW w:w="7911" w:type="dxa"/>
            <w:gridSpan w:val="3"/>
            <w:shd w:val="clear" w:color="auto" w:fill="F2F2F2"/>
          </w:tcPr>
          <w:p w:rsidR="00D959CA" w:rsidRPr="00060530" w:rsidRDefault="00D959CA" w:rsidP="00DC4D04">
            <w:pPr>
              <w:pStyle w:val="TableTextLeft"/>
              <w:rPr>
                <w:rFonts w:eastAsia="Cambria"/>
                <w:b/>
              </w:rPr>
            </w:pPr>
            <w:r w:rsidRPr="00060530">
              <w:rPr>
                <w:rFonts w:eastAsia="Cambria"/>
                <w:b/>
              </w:rPr>
              <w:t>Material changes to Program 1.1 resulting from the following measures:</w:t>
            </w:r>
          </w:p>
          <w:p w:rsidR="00D959CA" w:rsidRPr="00372F16" w:rsidRDefault="00D959CA" w:rsidP="00DC4D04">
            <w:pPr>
              <w:pStyle w:val="TableTextLeft"/>
            </w:pPr>
            <w:r w:rsidRPr="00DA5E25">
              <w:rPr>
                <w:rFonts w:eastAsia="Cambria"/>
              </w:rPr>
              <w:t>Nil</w:t>
            </w:r>
          </w:p>
        </w:tc>
      </w:tr>
    </w:tbl>
    <w:p w:rsidR="00D959CA" w:rsidRPr="00BE6D85" w:rsidRDefault="00D959CA" w:rsidP="00D959CA">
      <w:pPr>
        <w:pStyle w:val="Heading2"/>
      </w:pPr>
      <w:r w:rsidRPr="00C3303C">
        <w:rPr>
          <w:rFonts w:ascii="Book Antiqua" w:hAnsi="Book Antiqua"/>
          <w:i/>
          <w:color w:val="FF0000"/>
          <w:sz w:val="20"/>
        </w:rPr>
        <w:br w:type="page"/>
      </w:r>
      <w:bookmarkStart w:id="98" w:name="_Toc447006802"/>
      <w:bookmarkStart w:id="99" w:name="_Toc447007383"/>
      <w:bookmarkStart w:id="100" w:name="_Toc447008261"/>
      <w:bookmarkStart w:id="101" w:name="_Toc447008907"/>
      <w:bookmarkStart w:id="102" w:name="_Toc447012764"/>
      <w:bookmarkStart w:id="103" w:name="_Toc447013760"/>
      <w:bookmarkStart w:id="104" w:name="_Toc447016733"/>
      <w:bookmarkStart w:id="105" w:name="_Toc447115160"/>
      <w:bookmarkStart w:id="106" w:name="_Toc447115243"/>
      <w:bookmarkStart w:id="107" w:name="_Toc447115423"/>
      <w:bookmarkStart w:id="108" w:name="_Toc447116716"/>
      <w:bookmarkStart w:id="109" w:name="_Toc447117947"/>
      <w:bookmarkStart w:id="110" w:name="_Toc447119382"/>
      <w:bookmarkStart w:id="111" w:name="_Toc447709885"/>
      <w:bookmarkStart w:id="112" w:name="_Toc449100209"/>
      <w:bookmarkStart w:id="113" w:name="_Toc449623587"/>
      <w:r w:rsidRPr="00BE6D85">
        <w:lastRenderedPageBreak/>
        <w:t>Section 3: Budgeted financial statements</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D959CA" w:rsidRDefault="00D959CA" w:rsidP="00D959CA">
      <w:r>
        <w:t>Section 3 presents budgeted financial statements which provide a comprehensive snapshot of entity finances for the 2016–17</w:t>
      </w:r>
      <w:r>
        <w:rPr>
          <w:color w:val="00B050"/>
        </w:rPr>
        <w:t xml:space="preserve"> </w:t>
      </w:r>
      <w:r>
        <w:t xml:space="preserve">budget </w:t>
      </w:r>
      <w:proofErr w:type="gramStart"/>
      <w:r>
        <w:t>year</w:t>
      </w:r>
      <w:proofErr w:type="gramEnd"/>
      <w:r>
        <w:t>, including the impact of budget measures and resourcing on financial statements.</w:t>
      </w:r>
    </w:p>
    <w:p w:rsidR="00D959CA" w:rsidRDefault="00D959CA" w:rsidP="00D959CA">
      <w:pPr>
        <w:pStyle w:val="Heading3"/>
      </w:pPr>
      <w:bookmarkStart w:id="114" w:name="_Toc447006803"/>
      <w:bookmarkStart w:id="115" w:name="_Toc447007384"/>
      <w:bookmarkStart w:id="116" w:name="_Toc447008262"/>
      <w:bookmarkStart w:id="117" w:name="_Toc447008908"/>
      <w:bookmarkStart w:id="118" w:name="_Toc447012765"/>
      <w:bookmarkStart w:id="119" w:name="_Toc447013761"/>
      <w:bookmarkStart w:id="120" w:name="_Toc447016734"/>
      <w:bookmarkStart w:id="121" w:name="_Toc447115161"/>
      <w:bookmarkStart w:id="122" w:name="_Toc447115244"/>
      <w:bookmarkStart w:id="123" w:name="_Toc447115424"/>
      <w:bookmarkStart w:id="124" w:name="_Toc447116717"/>
      <w:bookmarkStart w:id="125" w:name="_Toc447117948"/>
      <w:bookmarkStart w:id="126" w:name="_Toc447119383"/>
      <w:bookmarkStart w:id="127" w:name="_Toc447709886"/>
      <w:bookmarkStart w:id="128" w:name="_Toc449100210"/>
      <w:bookmarkStart w:id="129" w:name="_Toc449623588"/>
      <w:r>
        <w:t>3.1</w:t>
      </w:r>
      <w:r>
        <w:tab/>
        <w:t>Budgeted financial statements</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D959CA" w:rsidRDefault="00D959CA" w:rsidP="00D959CA">
      <w:pPr>
        <w:pStyle w:val="Heading4"/>
      </w:pPr>
      <w:r>
        <w:t>3.1.1</w:t>
      </w:r>
      <w:r>
        <w:tab/>
        <w:t>Differences between entity resourcing and financial statements</w:t>
      </w:r>
    </w:p>
    <w:p w:rsidR="00D959CA" w:rsidRPr="00281C7B" w:rsidRDefault="00D959CA" w:rsidP="00D959CA">
      <w:r>
        <w:t>The Asbestos Safety and Eradication Agency has nil differences to report.</w:t>
      </w:r>
    </w:p>
    <w:p w:rsidR="00D959CA" w:rsidRDefault="00D959CA" w:rsidP="00D959CA">
      <w:pPr>
        <w:pStyle w:val="Heading4"/>
      </w:pPr>
      <w:r>
        <w:t>3.1.2</w:t>
      </w:r>
      <w:r>
        <w:tab/>
        <w:t>Explanatory notes and analysis of budgeted financial statements</w:t>
      </w:r>
    </w:p>
    <w:p w:rsidR="00D959CA" w:rsidRDefault="00D959CA" w:rsidP="00D959CA">
      <w:r>
        <w:t xml:space="preserve">The Asbestos Safety and Eradication Agency is budgeting for zero operating result for the 2016–17 financial </w:t>
      </w:r>
      <w:proofErr w:type="gramStart"/>
      <w:r>
        <w:t>year</w:t>
      </w:r>
      <w:proofErr w:type="gramEnd"/>
      <w:r>
        <w:t>.</w:t>
      </w:r>
    </w:p>
    <w:p w:rsidR="00D959CA" w:rsidRDefault="00D959CA" w:rsidP="00D959CA">
      <w:r>
        <w:t>Total revenues are estimated to be $4.6 million and total expenses $4.6 million.</w:t>
      </w:r>
    </w:p>
    <w:p w:rsidR="00D959CA" w:rsidRDefault="00D959CA" w:rsidP="00D959CA">
      <w:r>
        <w:t xml:space="preserve">Total assets at the end of the 2016–17 financial </w:t>
      </w:r>
      <w:proofErr w:type="gramStart"/>
      <w:r>
        <w:t>year</w:t>
      </w:r>
      <w:proofErr w:type="gramEnd"/>
      <w:r>
        <w:t xml:space="preserve"> are estimated to be $5.9 million. The majority of the assets represent appropriations receivable.</w:t>
      </w:r>
    </w:p>
    <w:p w:rsidR="00D959CA" w:rsidRDefault="00D959CA" w:rsidP="00D959CA">
      <w:r>
        <w:t>Total liabilities for 2016–17 are estimated at $2.0 million. The largest liability item is supplier payables.</w:t>
      </w:r>
    </w:p>
    <w:p w:rsidR="00D959CA" w:rsidRDefault="00D959CA" w:rsidP="00D959CA">
      <w:pPr>
        <w:pStyle w:val="Heading3"/>
      </w:pPr>
      <w:r>
        <w:br w:type="page"/>
      </w:r>
      <w:bookmarkStart w:id="130" w:name="_Toc447006804"/>
      <w:bookmarkStart w:id="131" w:name="_Toc447007385"/>
      <w:bookmarkStart w:id="132" w:name="_Toc447008263"/>
      <w:bookmarkStart w:id="133" w:name="_Toc447008909"/>
      <w:bookmarkStart w:id="134" w:name="_Toc447012766"/>
      <w:bookmarkStart w:id="135" w:name="_Toc447013762"/>
      <w:bookmarkStart w:id="136" w:name="_Toc447016735"/>
      <w:bookmarkStart w:id="137" w:name="_Toc447115162"/>
      <w:bookmarkStart w:id="138" w:name="_Toc447115245"/>
      <w:bookmarkStart w:id="139" w:name="_Toc447115425"/>
      <w:bookmarkStart w:id="140" w:name="_Toc447116718"/>
      <w:bookmarkStart w:id="141" w:name="_Toc447117949"/>
      <w:bookmarkStart w:id="142" w:name="_Toc447119384"/>
      <w:bookmarkStart w:id="143" w:name="_Toc447709887"/>
      <w:bookmarkStart w:id="144" w:name="_Toc449100211"/>
      <w:bookmarkStart w:id="145" w:name="_Toc449623589"/>
      <w:r>
        <w:lastRenderedPageBreak/>
        <w:t>3.2.1</w:t>
      </w:r>
      <w:r>
        <w:tab/>
        <w:t>Budgeted financial statements tables</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D959CA" w:rsidRDefault="00D959CA" w:rsidP="00D959CA">
      <w:pPr>
        <w:pStyle w:val="TableHeading"/>
        <w:rPr>
          <w:snapToGrid w:val="0"/>
        </w:rPr>
      </w:pPr>
      <w:r w:rsidRPr="00E855E0">
        <w:t>Table</w:t>
      </w:r>
      <w:r>
        <w:t xml:space="preserve"> 3.</w:t>
      </w:r>
      <w:r w:rsidRPr="00E855E0">
        <w:t>1</w:t>
      </w:r>
      <w:r>
        <w:t>:</w:t>
      </w:r>
      <w:r w:rsidRPr="00E855E0">
        <w:t xml:space="preserve"> Comprehensive income statement (showing net cost of services)</w:t>
      </w:r>
      <w:r>
        <w:t xml:space="preserve"> </w:t>
      </w:r>
      <w:r>
        <w:rPr>
          <w:snapToGrid w:val="0"/>
        </w:rPr>
        <w:t>for the period ended 30 June</w:t>
      </w:r>
    </w:p>
    <w:p w:rsidR="00D959CA" w:rsidRPr="00F626C2" w:rsidRDefault="00D959CA" w:rsidP="00D959CA">
      <w:pPr>
        <w:pStyle w:val="TableGraphic"/>
      </w:pPr>
      <w:r w:rsidRPr="001A5BCB">
        <w:rPr>
          <w:noProof/>
        </w:rPr>
        <w:drawing>
          <wp:inline distT="0" distB="0" distL="0" distR="0" wp14:anchorId="23C82F23" wp14:editId="51C50BA2">
            <wp:extent cx="4896485" cy="3373775"/>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96485" cy="3373775"/>
                    </a:xfrm>
                    <a:prstGeom prst="rect">
                      <a:avLst/>
                    </a:prstGeom>
                    <a:noFill/>
                    <a:ln>
                      <a:noFill/>
                    </a:ln>
                  </pic:spPr>
                </pic:pic>
              </a:graphicData>
            </a:graphic>
          </wp:inline>
        </w:drawing>
      </w:r>
    </w:p>
    <w:p w:rsidR="00D959CA" w:rsidRDefault="00D959CA" w:rsidP="00D959CA">
      <w:pPr>
        <w:pStyle w:val="ChartandTableFootnote"/>
        <w:spacing w:before="120"/>
      </w:pPr>
      <w:r w:rsidRPr="00E4582E">
        <w:t>Prepared on Australian Accounting Standards basis</w:t>
      </w:r>
      <w:r>
        <w:t xml:space="preserve">. </w:t>
      </w:r>
      <w:r>
        <w:br w:type="page"/>
      </w:r>
    </w:p>
    <w:p w:rsidR="00D959CA" w:rsidRDefault="00D959CA" w:rsidP="00D959CA">
      <w:pPr>
        <w:pStyle w:val="TableHeading"/>
      </w:pPr>
      <w:r w:rsidRPr="00E4582E">
        <w:lastRenderedPageBreak/>
        <w:t>Table</w:t>
      </w:r>
      <w:r>
        <w:t xml:space="preserve"> 3.</w:t>
      </w:r>
      <w:r w:rsidRPr="00E4582E">
        <w:t>2: Budg</w:t>
      </w:r>
      <w:r>
        <w:t xml:space="preserve">eted departmental balance sheet </w:t>
      </w:r>
      <w:r w:rsidRPr="00E4582E">
        <w:t>(as at 30 June)</w:t>
      </w:r>
    </w:p>
    <w:p w:rsidR="00D959CA" w:rsidRPr="00F626C2" w:rsidRDefault="00D959CA" w:rsidP="00D959CA">
      <w:pPr>
        <w:pStyle w:val="TableGraphic"/>
      </w:pPr>
      <w:r w:rsidRPr="007973A8">
        <w:rPr>
          <w:noProof/>
        </w:rPr>
        <w:drawing>
          <wp:inline distT="0" distB="0" distL="0" distR="0" wp14:anchorId="37EC9C70" wp14:editId="0B3A3953">
            <wp:extent cx="4896485" cy="423727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96485" cy="4237270"/>
                    </a:xfrm>
                    <a:prstGeom prst="rect">
                      <a:avLst/>
                    </a:prstGeom>
                    <a:noFill/>
                    <a:ln>
                      <a:noFill/>
                    </a:ln>
                  </pic:spPr>
                </pic:pic>
              </a:graphicData>
            </a:graphic>
          </wp:inline>
        </w:drawing>
      </w:r>
    </w:p>
    <w:p w:rsidR="00D959CA" w:rsidRPr="007973A8" w:rsidRDefault="00D959CA" w:rsidP="00D959CA">
      <w:pPr>
        <w:pStyle w:val="ChartandTableFootnote"/>
        <w:spacing w:before="120"/>
        <w:rPr>
          <w:lang w:val="en-AU"/>
        </w:rPr>
      </w:pPr>
      <w:r w:rsidRPr="00E4582E">
        <w:t>*</w:t>
      </w:r>
      <w:r>
        <w:rPr>
          <w:lang w:val="en-AU"/>
        </w:rPr>
        <w:t xml:space="preserve"> </w:t>
      </w:r>
      <w:r w:rsidRPr="00F626C2">
        <w:t>E</w:t>
      </w:r>
      <w:r>
        <w:t>quity</w:t>
      </w:r>
      <w:r w:rsidRPr="00E4582E">
        <w:t xml:space="preserve"> is the residual interest in assets after deduction of liabilities.</w:t>
      </w:r>
    </w:p>
    <w:p w:rsidR="00D959CA" w:rsidRDefault="00D959CA" w:rsidP="00D959CA">
      <w:pPr>
        <w:pStyle w:val="ChartandTableFootnote"/>
        <w:spacing w:before="120"/>
      </w:pPr>
      <w:r>
        <w:t>Prepared on Australian Accounting Standards basis.</w:t>
      </w:r>
    </w:p>
    <w:p w:rsidR="00D959CA" w:rsidRDefault="00D959CA" w:rsidP="00D959CA">
      <w:pPr>
        <w:pStyle w:val="TableHeading"/>
      </w:pPr>
      <w:r>
        <w:br w:type="page"/>
      </w:r>
      <w:r>
        <w:lastRenderedPageBreak/>
        <w:t>Table 3.3</w:t>
      </w:r>
      <w:r w:rsidRPr="00D30CBA">
        <w:t xml:space="preserve">: Departmental </w:t>
      </w:r>
      <w:r>
        <w:t>s</w:t>
      </w:r>
      <w:r w:rsidRPr="00D30CBA">
        <w:t xml:space="preserve">tatement of </w:t>
      </w:r>
      <w:r>
        <w:t>c</w:t>
      </w:r>
      <w:r w:rsidRPr="00D30CBA">
        <w:t xml:space="preserve">hanges in </w:t>
      </w:r>
      <w:r>
        <w:t>equity</w:t>
      </w:r>
      <w:r>
        <w:rPr>
          <w:lang w:val="en-AU"/>
        </w:rPr>
        <w:t>—</w:t>
      </w:r>
      <w:r>
        <w:t>s</w:t>
      </w:r>
      <w:r w:rsidRPr="00D30CBA">
        <w:t>ummar</w:t>
      </w:r>
      <w:r>
        <w:t>y of movement (Budget year 2016</w:t>
      </w:r>
      <w:r>
        <w:rPr>
          <w:lang w:val="en-AU"/>
        </w:rPr>
        <w:t>–</w:t>
      </w:r>
      <w:r>
        <w:t>17</w:t>
      </w:r>
      <w:r w:rsidRPr="00D30CBA">
        <w:t>)</w:t>
      </w:r>
    </w:p>
    <w:p w:rsidR="00D959CA" w:rsidRPr="00F626C2" w:rsidRDefault="00D959CA" w:rsidP="00D959CA">
      <w:pPr>
        <w:pStyle w:val="TableGraphic"/>
      </w:pPr>
      <w:r w:rsidRPr="007973A8">
        <w:rPr>
          <w:noProof/>
        </w:rPr>
        <w:drawing>
          <wp:inline distT="0" distB="0" distL="0" distR="0" wp14:anchorId="31B7D577" wp14:editId="7484F7B7">
            <wp:extent cx="4896485" cy="3303615"/>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96485" cy="3303615"/>
                    </a:xfrm>
                    <a:prstGeom prst="rect">
                      <a:avLst/>
                    </a:prstGeom>
                    <a:noFill/>
                    <a:ln>
                      <a:noFill/>
                    </a:ln>
                  </pic:spPr>
                </pic:pic>
              </a:graphicData>
            </a:graphic>
          </wp:inline>
        </w:drawing>
      </w:r>
    </w:p>
    <w:p w:rsidR="00D959CA" w:rsidRPr="008D35E3" w:rsidRDefault="00D959CA" w:rsidP="00D959CA">
      <w:pPr>
        <w:pStyle w:val="ChartandTableFootnote"/>
        <w:spacing w:before="120"/>
        <w:rPr>
          <w:lang w:val="en-AU"/>
        </w:rPr>
      </w:pPr>
      <w:r>
        <w:t>Prepared on Australian Accounting Standards basis.</w:t>
      </w:r>
    </w:p>
    <w:p w:rsidR="00D959CA" w:rsidRDefault="00D959CA" w:rsidP="00D959CA">
      <w:pPr>
        <w:pStyle w:val="TableHeading"/>
      </w:pPr>
      <w:r>
        <w:br w:type="page"/>
      </w:r>
      <w:r>
        <w:lastRenderedPageBreak/>
        <w:t xml:space="preserve">Table 3.4: </w:t>
      </w:r>
      <w:r w:rsidRPr="00D30CBA">
        <w:t xml:space="preserve">Budgeted </w:t>
      </w:r>
      <w:r>
        <w:t>d</w:t>
      </w:r>
      <w:r w:rsidRPr="00D30CBA">
        <w:t>epar</w:t>
      </w:r>
      <w:r>
        <w:t xml:space="preserve">tmental statement of cash flows </w:t>
      </w:r>
      <w:r w:rsidRPr="00D30CBA">
        <w:t>(</w:t>
      </w:r>
      <w:r>
        <w:t>for the period ended</w:t>
      </w:r>
      <w:r w:rsidRPr="00D30CBA">
        <w:t xml:space="preserve"> 30 June)</w:t>
      </w:r>
    </w:p>
    <w:p w:rsidR="00D959CA" w:rsidRPr="00F10305" w:rsidRDefault="00D959CA" w:rsidP="00D959CA">
      <w:pPr>
        <w:pStyle w:val="TableGraphic"/>
      </w:pPr>
      <w:r w:rsidRPr="007973A8">
        <w:rPr>
          <w:noProof/>
        </w:rPr>
        <w:drawing>
          <wp:inline distT="0" distB="0" distL="0" distR="0" wp14:anchorId="09C2AA5D" wp14:editId="0C0E6D5B">
            <wp:extent cx="4896485" cy="5313981"/>
            <wp:effectExtent l="0" t="0" r="0" b="127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96485" cy="5313981"/>
                    </a:xfrm>
                    <a:prstGeom prst="rect">
                      <a:avLst/>
                    </a:prstGeom>
                    <a:noFill/>
                    <a:ln>
                      <a:noFill/>
                    </a:ln>
                  </pic:spPr>
                </pic:pic>
              </a:graphicData>
            </a:graphic>
          </wp:inline>
        </w:drawing>
      </w:r>
    </w:p>
    <w:p w:rsidR="00D959CA" w:rsidRPr="007973A8" w:rsidRDefault="00D959CA" w:rsidP="00D959CA">
      <w:pPr>
        <w:pStyle w:val="ChartandTableFootnote"/>
        <w:spacing w:before="120"/>
        <w:rPr>
          <w:lang w:val="en-AU"/>
        </w:rPr>
      </w:pPr>
      <w:r>
        <w:t>Prepared on Australian Accounting Standards basis.</w:t>
      </w:r>
    </w:p>
    <w:p w:rsidR="00D959CA" w:rsidRPr="0041404E" w:rsidRDefault="00D959CA" w:rsidP="00D959CA">
      <w:pPr>
        <w:pStyle w:val="TableHeading"/>
      </w:pPr>
      <w:r>
        <w:br w:type="page"/>
      </w:r>
      <w:r w:rsidRPr="00D30CBA">
        <w:lastRenderedPageBreak/>
        <w:t>Table</w:t>
      </w:r>
      <w:r>
        <w:t xml:space="preserve"> 3.5</w:t>
      </w:r>
      <w:r w:rsidRPr="00D30CBA">
        <w:t xml:space="preserve">: </w:t>
      </w:r>
      <w:r>
        <w:t>Departmental capital budget statement (for the period ended 30</w:t>
      </w:r>
      <w:r>
        <w:rPr>
          <w:lang w:val="en-AU"/>
        </w:rPr>
        <w:t> </w:t>
      </w:r>
      <w:r>
        <w:t>June)</w:t>
      </w:r>
    </w:p>
    <w:p w:rsidR="00D959CA" w:rsidRDefault="00D959CA" w:rsidP="00D959CA">
      <w:pPr>
        <w:pStyle w:val="TableGraphic"/>
      </w:pPr>
      <w:r w:rsidRPr="007973A8">
        <w:rPr>
          <w:noProof/>
        </w:rPr>
        <w:drawing>
          <wp:inline distT="0" distB="0" distL="0" distR="0" wp14:anchorId="208DCB40" wp14:editId="7ABB21ED">
            <wp:extent cx="4896485" cy="2674229"/>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96485" cy="2674229"/>
                    </a:xfrm>
                    <a:prstGeom prst="rect">
                      <a:avLst/>
                    </a:prstGeom>
                    <a:noFill/>
                    <a:ln>
                      <a:noFill/>
                    </a:ln>
                  </pic:spPr>
                </pic:pic>
              </a:graphicData>
            </a:graphic>
          </wp:inline>
        </w:drawing>
      </w:r>
    </w:p>
    <w:p w:rsidR="00D959CA" w:rsidRDefault="00D959CA" w:rsidP="00D959CA">
      <w:pPr>
        <w:pStyle w:val="ChartandTableFootnoteAlpha"/>
        <w:numPr>
          <w:ilvl w:val="0"/>
          <w:numId w:val="5"/>
        </w:numPr>
        <w:spacing w:before="120"/>
      </w:pPr>
      <w:r>
        <w:t>Does not include annual finance lease costs. Includes purchases from current and previous years’ Departmental capital budgets (</w:t>
      </w:r>
      <w:proofErr w:type="spellStart"/>
      <w:r>
        <w:t>DCBs</w:t>
      </w:r>
      <w:proofErr w:type="spellEnd"/>
      <w:r>
        <w:t>).</w:t>
      </w:r>
    </w:p>
    <w:p w:rsidR="00D959CA" w:rsidRDefault="00D959CA" w:rsidP="00D959CA">
      <w:pPr>
        <w:pStyle w:val="ChartandTableFootnote"/>
        <w:spacing w:before="120"/>
      </w:pPr>
      <w:r>
        <w:t>Prepared on Australian Accounting Standards basis.</w:t>
      </w:r>
    </w:p>
    <w:p w:rsidR="00D959CA" w:rsidRDefault="00D959CA" w:rsidP="00D959CA">
      <w:pPr>
        <w:spacing w:after="0"/>
      </w:pPr>
      <w:r>
        <w:br w:type="page"/>
      </w:r>
    </w:p>
    <w:p w:rsidR="00D959CA" w:rsidRDefault="00D959CA" w:rsidP="00D959CA">
      <w:pPr>
        <w:pStyle w:val="TableHeading"/>
      </w:pPr>
      <w:r w:rsidRPr="00D30CBA">
        <w:lastRenderedPageBreak/>
        <w:t>Table</w:t>
      </w:r>
      <w:r>
        <w:t xml:space="preserve"> 3.6</w:t>
      </w:r>
      <w:r w:rsidRPr="00D30CBA">
        <w:t xml:space="preserve">: </w:t>
      </w:r>
      <w:r>
        <w:t>Statement of asset movements (Budget year 2016</w:t>
      </w:r>
      <w:r>
        <w:rPr>
          <w:lang w:val="en-AU"/>
        </w:rPr>
        <w:t>–</w:t>
      </w:r>
      <w:r>
        <w:t>17)</w:t>
      </w:r>
    </w:p>
    <w:p w:rsidR="00D959CA" w:rsidRDefault="00D959CA" w:rsidP="00D959CA">
      <w:pPr>
        <w:pStyle w:val="ChartandTableFootnote"/>
        <w:rPr>
          <w:lang w:val="en-AU"/>
        </w:rPr>
      </w:pPr>
      <w:r w:rsidRPr="007973A8">
        <w:rPr>
          <w:noProof/>
          <w:lang w:val="en-AU" w:eastAsia="en-AU"/>
        </w:rPr>
        <w:drawing>
          <wp:inline distT="0" distB="0" distL="0" distR="0" wp14:anchorId="3ABBB4DF" wp14:editId="4E16A81A">
            <wp:extent cx="4554855" cy="307086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54855" cy="3070860"/>
                    </a:xfrm>
                    <a:prstGeom prst="rect">
                      <a:avLst/>
                    </a:prstGeom>
                    <a:noFill/>
                    <a:ln>
                      <a:noFill/>
                    </a:ln>
                  </pic:spPr>
                </pic:pic>
              </a:graphicData>
            </a:graphic>
          </wp:inline>
        </w:drawing>
      </w:r>
    </w:p>
    <w:p w:rsidR="00D959CA" w:rsidRDefault="00D959CA" w:rsidP="00D959CA">
      <w:pPr>
        <w:pStyle w:val="ChartandTableFootnote"/>
        <w:spacing w:before="120"/>
      </w:pPr>
      <w:r w:rsidRPr="00BA35F2">
        <w:t>(a) 'Appropriation ordinary annual services' refers to funding provided through Appropriation Bill (</w:t>
      </w:r>
      <w:proofErr w:type="spellStart"/>
      <w:r w:rsidRPr="00BA35F2">
        <w:t>No.1</w:t>
      </w:r>
      <w:proofErr w:type="spellEnd"/>
      <w:r w:rsidRPr="00BA35F2">
        <w:t xml:space="preserve">) </w:t>
      </w:r>
      <w:r>
        <w:rPr>
          <w:lang w:val="en-AU"/>
        </w:rPr>
        <w:br/>
      </w:r>
      <w:r>
        <w:t>2016</w:t>
      </w:r>
      <w:r>
        <w:rPr>
          <w:lang w:val="en-AU"/>
        </w:rPr>
        <w:t>–</w:t>
      </w:r>
      <w:r w:rsidRPr="00BA35F2">
        <w:t xml:space="preserve">17 for depreciation/amortisation expenses, </w:t>
      </w:r>
      <w:proofErr w:type="spellStart"/>
      <w:r w:rsidRPr="00BA35F2">
        <w:t>DCBs</w:t>
      </w:r>
      <w:proofErr w:type="spellEnd"/>
      <w:r w:rsidRPr="00BA35F2">
        <w:t xml:space="preserve"> or other operational expenses. </w:t>
      </w:r>
    </w:p>
    <w:p w:rsidR="00D959CA" w:rsidRDefault="00D959CA" w:rsidP="00D959CA">
      <w:pPr>
        <w:spacing w:after="0"/>
        <w:rPr>
          <w:b/>
          <w:color w:val="000000"/>
          <w:lang w:eastAsia="x-none"/>
        </w:rPr>
      </w:pPr>
      <w:r>
        <w:br w:type="page"/>
      </w:r>
      <w:bookmarkStart w:id="146" w:name="_GoBack"/>
      <w:bookmarkEnd w:id="146"/>
    </w:p>
    <w:p w:rsidR="00D959CA" w:rsidRDefault="00D959CA" w:rsidP="00D959CA">
      <w:pPr>
        <w:pStyle w:val="TableHeading"/>
        <w:rPr>
          <w:lang w:val="en-AU"/>
        </w:rPr>
      </w:pPr>
      <w:r w:rsidRPr="00D30CBA">
        <w:lastRenderedPageBreak/>
        <w:t>Table</w:t>
      </w:r>
      <w:r>
        <w:t xml:space="preserve"> 3.7</w:t>
      </w:r>
      <w:r w:rsidRPr="00D30CBA">
        <w:t xml:space="preserve">: Schedule of </w:t>
      </w:r>
      <w:r>
        <w:t>b</w:t>
      </w:r>
      <w:r w:rsidRPr="00D30CBA">
        <w:t xml:space="preserve">udgeted </w:t>
      </w:r>
      <w:r>
        <w:t>i</w:t>
      </w:r>
      <w:r w:rsidRPr="00D30CBA">
        <w:t xml:space="preserve">ncome and </w:t>
      </w:r>
      <w:r>
        <w:t>e</w:t>
      </w:r>
      <w:r w:rsidRPr="00D30CBA">
        <w:t>xpe</w:t>
      </w:r>
      <w:r>
        <w:t>nses administered on behalf of G</w:t>
      </w:r>
      <w:r w:rsidRPr="00D30CBA">
        <w:t>ove</w:t>
      </w:r>
      <w:r>
        <w:t>rnment (for the period ended 30 </w:t>
      </w:r>
      <w:r w:rsidRPr="00D30CBA">
        <w:t>June)</w:t>
      </w:r>
    </w:p>
    <w:p w:rsidR="00D959CA" w:rsidRPr="00820C03" w:rsidRDefault="00D959CA" w:rsidP="00D959CA">
      <w:pPr>
        <w:pStyle w:val="TableGraphic"/>
        <w:rPr>
          <w:lang w:eastAsia="x-none"/>
        </w:rPr>
      </w:pPr>
      <w:r>
        <w:rPr>
          <w:lang w:eastAsia="x-none"/>
        </w:rPr>
        <w:t xml:space="preserve">ASEA has no income and expenses administered on behalf of government. For this reason Table 3.7 is not presented. </w:t>
      </w:r>
    </w:p>
    <w:p w:rsidR="00D959CA" w:rsidRDefault="00D959CA" w:rsidP="00D959CA">
      <w:pPr>
        <w:pStyle w:val="TableHeading"/>
        <w:rPr>
          <w:lang w:val="en-AU"/>
        </w:rPr>
      </w:pPr>
      <w:r w:rsidRPr="00D30CBA">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p w:rsidR="00D959CA" w:rsidRPr="00820C03" w:rsidRDefault="00D959CA" w:rsidP="00D959CA">
      <w:pPr>
        <w:pStyle w:val="TableGraphic"/>
        <w:rPr>
          <w:lang w:eastAsia="x-none"/>
        </w:rPr>
      </w:pPr>
      <w:r>
        <w:rPr>
          <w:lang w:eastAsia="x-none"/>
        </w:rPr>
        <w:t xml:space="preserve">ASEA has no administered assets and liabilities. For this reason Table 3.8 is not presented. </w:t>
      </w:r>
    </w:p>
    <w:p w:rsidR="00D959CA" w:rsidRDefault="00D959CA" w:rsidP="00D959CA">
      <w:pPr>
        <w:pStyle w:val="TableHeading"/>
        <w:rPr>
          <w:lang w:val="en-AU"/>
        </w:rPr>
      </w:pPr>
      <w:r>
        <w:t xml:space="preserve">Table 3.9: </w:t>
      </w:r>
      <w:r w:rsidRPr="00C41D55">
        <w:t xml:space="preserve">Schedule of </w:t>
      </w:r>
      <w:r>
        <w:t xml:space="preserve">budgeted administered cash flows </w:t>
      </w:r>
      <w:r w:rsidRPr="00C41D55">
        <w:t>(for</w:t>
      </w:r>
      <w:r>
        <w:t> the </w:t>
      </w:r>
      <w:r w:rsidRPr="00C41D55">
        <w:t>period ended 30 June)</w:t>
      </w:r>
    </w:p>
    <w:p w:rsidR="00D959CA" w:rsidRPr="002D5A4C" w:rsidRDefault="00D959CA" w:rsidP="00D959CA">
      <w:pPr>
        <w:pStyle w:val="TableGraphic"/>
        <w:rPr>
          <w:lang w:eastAsia="x-none"/>
        </w:rPr>
      </w:pPr>
      <w:r>
        <w:rPr>
          <w:lang w:eastAsia="x-none"/>
        </w:rPr>
        <w:t xml:space="preserve">ASEA has no administered cash flows. For this reason Table 3.9 is not presented. </w:t>
      </w:r>
    </w:p>
    <w:p w:rsidR="00D959CA" w:rsidRDefault="00D959CA" w:rsidP="00D959CA">
      <w:pPr>
        <w:pStyle w:val="TableHeading"/>
        <w:rPr>
          <w:lang w:val="en-AU"/>
        </w:rPr>
      </w:pPr>
      <w:r w:rsidRPr="00D30CBA">
        <w:t>Table</w:t>
      </w:r>
      <w:r>
        <w:t xml:space="preserve"> 3.10</w:t>
      </w:r>
      <w:r w:rsidRPr="00D30CBA">
        <w:t xml:space="preserve">: </w:t>
      </w:r>
      <w:r>
        <w:t>Administered capital budget statement (for the period ended 30</w:t>
      </w:r>
      <w:r>
        <w:rPr>
          <w:lang w:val="en-AU"/>
        </w:rPr>
        <w:t> </w:t>
      </w:r>
      <w:r>
        <w:t>June)</w:t>
      </w:r>
    </w:p>
    <w:p w:rsidR="00D959CA" w:rsidRPr="00820C03" w:rsidRDefault="00D959CA" w:rsidP="00D959CA">
      <w:pPr>
        <w:pStyle w:val="TableGraphic"/>
        <w:rPr>
          <w:lang w:eastAsia="x-none"/>
        </w:rPr>
      </w:pPr>
      <w:r>
        <w:rPr>
          <w:lang w:eastAsia="x-none"/>
        </w:rPr>
        <w:t xml:space="preserve">ASEA has no administered capital purchases. For this reason Table 3.10 is not presented. </w:t>
      </w:r>
    </w:p>
    <w:p w:rsidR="00D959CA" w:rsidRDefault="00D959CA" w:rsidP="00D959CA">
      <w:pPr>
        <w:pStyle w:val="TableHeading"/>
        <w:spacing w:after="0"/>
        <w:rPr>
          <w:lang w:val="en-AU"/>
        </w:rPr>
      </w:pPr>
      <w:r>
        <w:t xml:space="preserve">Table 3.11: Statement of administered asset movements (Budget year </w:t>
      </w:r>
      <w:r>
        <w:rPr>
          <w:lang w:val="en-AU"/>
        </w:rPr>
        <w:br/>
      </w:r>
      <w:r>
        <w:t>2016</w:t>
      </w:r>
      <w:r>
        <w:rPr>
          <w:lang w:val="en-AU"/>
        </w:rPr>
        <w:t>–</w:t>
      </w:r>
      <w:r>
        <w:t xml:space="preserve">17) </w:t>
      </w:r>
    </w:p>
    <w:p w:rsidR="00504A6D" w:rsidRDefault="00D959CA" w:rsidP="00D959CA">
      <w:r>
        <w:rPr>
          <w:lang w:eastAsia="x-none"/>
        </w:rPr>
        <w:t>ASEA has no administered non-financial assets. For this reason Table 3.11 is not presented.</w:t>
      </w:r>
    </w:p>
    <w:sectPr w:rsidR="00504A6D" w:rsidSect="00D959CA">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9CA" w:rsidRDefault="00D959CA" w:rsidP="00D959CA">
      <w:pPr>
        <w:spacing w:after="0"/>
      </w:pPr>
      <w:r>
        <w:separator/>
      </w:r>
    </w:p>
  </w:endnote>
  <w:endnote w:type="continuationSeparator" w:id="0">
    <w:p w:rsidR="00D959CA" w:rsidRDefault="00D959CA" w:rsidP="00D959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1903565"/>
      <w:docPartObj>
        <w:docPartGallery w:val="Page Numbers (Bottom of Page)"/>
        <w:docPartUnique/>
      </w:docPartObj>
    </w:sdtPr>
    <w:sdtEndPr>
      <w:rPr>
        <w:noProof/>
      </w:rPr>
    </w:sdtEndPr>
    <w:sdtContent>
      <w:p w:rsidR="00D959CA" w:rsidRPr="00D959CA" w:rsidRDefault="00D959CA" w:rsidP="00D959CA">
        <w:pPr>
          <w:pStyle w:val="Footer"/>
        </w:pPr>
        <w:r>
          <w:fldChar w:fldCharType="begin"/>
        </w:r>
        <w:r>
          <w:instrText xml:space="preserve"> PAGE   \* MERGEFORMAT </w:instrText>
        </w:r>
        <w:r>
          <w:fldChar w:fldCharType="separate"/>
        </w:r>
        <w:r w:rsidR="002A5A98">
          <w:rPr>
            <w:noProof/>
          </w:rPr>
          <w:t>64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86440"/>
      <w:docPartObj>
        <w:docPartGallery w:val="Page Numbers (Bottom of Page)"/>
        <w:docPartUnique/>
      </w:docPartObj>
    </w:sdtPr>
    <w:sdtEndPr>
      <w:rPr>
        <w:noProof/>
      </w:rPr>
    </w:sdtEndPr>
    <w:sdtContent>
      <w:p w:rsidR="00D959CA" w:rsidRPr="00D959CA" w:rsidRDefault="00D959CA" w:rsidP="00D959CA">
        <w:pPr>
          <w:pStyle w:val="Footer"/>
        </w:pPr>
        <w:r>
          <w:fldChar w:fldCharType="begin"/>
        </w:r>
        <w:r>
          <w:instrText xml:space="preserve"> PAGE   \* MERGEFORMAT </w:instrText>
        </w:r>
        <w:r>
          <w:fldChar w:fldCharType="separate"/>
        </w:r>
        <w:r w:rsidR="002A5A98">
          <w:rPr>
            <w:noProof/>
          </w:rPr>
          <w:t>65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9CA" w:rsidRPr="00D959CA" w:rsidRDefault="00D959CA" w:rsidP="00D959C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285299"/>
      <w:docPartObj>
        <w:docPartGallery w:val="Page Numbers (Bottom of Page)"/>
        <w:docPartUnique/>
      </w:docPartObj>
    </w:sdtPr>
    <w:sdtEndPr>
      <w:rPr>
        <w:noProof/>
      </w:rPr>
    </w:sdtEndPr>
    <w:sdtContent>
      <w:p w:rsidR="00D959CA" w:rsidRDefault="00D959CA">
        <w:pPr>
          <w:pStyle w:val="Footer"/>
        </w:pPr>
        <w:r>
          <w:fldChar w:fldCharType="begin"/>
        </w:r>
        <w:r>
          <w:instrText xml:space="preserve"> PAGE   \* MERGEFORMAT </w:instrText>
        </w:r>
        <w:r>
          <w:fldChar w:fldCharType="separate"/>
        </w:r>
        <w:r w:rsidR="002A5A98">
          <w:rPr>
            <w:noProof/>
          </w:rPr>
          <w:t>49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9CA" w:rsidRDefault="00D959CA" w:rsidP="00D959CA">
      <w:pPr>
        <w:spacing w:after="0"/>
      </w:pPr>
      <w:r>
        <w:separator/>
      </w:r>
    </w:p>
  </w:footnote>
  <w:footnote w:type="continuationSeparator" w:id="0">
    <w:p w:rsidR="00D959CA" w:rsidRDefault="00D959CA" w:rsidP="00D959CA">
      <w:pPr>
        <w:spacing w:after="0"/>
      </w:pPr>
      <w:r>
        <w:continuationSeparator/>
      </w:r>
    </w:p>
  </w:footnote>
  <w:footnote w:id="1">
    <w:p w:rsidR="00D959CA" w:rsidRDefault="00D959CA" w:rsidP="00D959CA">
      <w:pPr>
        <w:pStyle w:val="FootnoteText"/>
      </w:pPr>
      <w:r>
        <w:rPr>
          <w:rStyle w:val="FootnoteReference"/>
        </w:rPr>
        <w:footnoteRef/>
      </w:r>
      <w:r>
        <w:t xml:space="preserve"> </w:t>
      </w:r>
      <w:r>
        <w:rPr>
          <w:rStyle w:val="ChartandTableFootnoteChar"/>
        </w:rPr>
        <w:t>The Asbestos Safety and Eradication Agency’s</w:t>
      </w:r>
      <w:r w:rsidRPr="00270CA4">
        <w:rPr>
          <w:rStyle w:val="ChartandTableFootnoteChar"/>
        </w:rPr>
        <w:t xml:space="preserve"> purpose statement is published within the </w:t>
      </w:r>
      <w:r>
        <w:rPr>
          <w:rStyle w:val="ChartandTableFootnoteChar"/>
        </w:rPr>
        <w:t>Asbestos Safety and Eradication Agency</w:t>
      </w:r>
      <w:r w:rsidRPr="00270CA4">
        <w:rPr>
          <w:rStyle w:val="ChartandTableFootnoteChar"/>
        </w:rPr>
        <w:t xml:space="preserve"> Corporate Plan 2015–19.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9CA" w:rsidRDefault="00D959CA" w:rsidP="00023384">
    <w:pPr>
      <w:pStyle w:val="HeaderEven"/>
    </w:pPr>
    <w:r>
      <w:t>ASEA Budget Statements</w:t>
    </w:r>
    <w:r>
      <w:rPr>
        <w:noProof/>
      </w:rPr>
      <w:t xml:space="preserve"> </w:t>
    </w:r>
    <w:r>
      <w:rPr>
        <w:noProof/>
      </w:rPr>
      <mc:AlternateContent>
        <mc:Choice Requires="wps">
          <w:drawing>
            <wp:anchor distT="0" distB="0" distL="114300" distR="114300" simplePos="0" relativeHeight="251662336" behindDoc="0" locked="0" layoutInCell="1" allowOverlap="0" wp14:anchorId="33F4072C" wp14:editId="33C3FB67">
              <wp:simplePos x="0" y="0"/>
              <wp:positionH relativeFrom="page">
                <wp:posOffset>9135745</wp:posOffset>
              </wp:positionH>
              <wp:positionV relativeFrom="page">
                <wp:posOffset>1301750</wp:posOffset>
              </wp:positionV>
              <wp:extent cx="396240" cy="4910455"/>
              <wp:effectExtent l="1270" t="0" r="2540" b="0"/>
              <wp:wrapNone/>
              <wp:docPr id="2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4910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59CA" w:rsidRPr="00586BB5" w:rsidRDefault="00D959CA" w:rsidP="006756CD">
                          <w:pPr>
                            <w:pStyle w:val="HeaderEven"/>
                          </w:pPr>
                          <w:r>
                            <w:fldChar w:fldCharType="begin"/>
                          </w:r>
                          <w:r>
                            <w:instrText xml:space="preserve"> MACROBUTTON  AcceptAllChangesInDoc Department abbreviation </w:instrText>
                          </w:r>
                          <w:r>
                            <w:fldChar w:fldCharType="end"/>
                          </w:r>
                          <w:r>
                            <w:t xml:space="preserve"> </w:t>
                          </w:r>
                          <w:r w:rsidRPr="00586BB5">
                            <w:t>Budget Statements</w:t>
                          </w:r>
                        </w:p>
                        <w:p w:rsidR="00D959CA" w:rsidRPr="00586BB5" w:rsidRDefault="00D959CA" w:rsidP="006756CD">
                          <w:pPr>
                            <w:pStyle w:val="HeaderEven"/>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719.35pt;margin-top:102.5pt;width:31.2pt;height:386.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" o:allowoverlap="f" stroked="f">
              <v:textbox style="layout-flow:vertical">
                <w:txbxContent>
                  <w:p w:rsidR="00D959CA" w:rsidRPr="00586BB5" w:rsidRDefault="00D959CA" w:rsidP="006756CD">
                    <w:pPr>
                      <w:pStyle w:val="HeaderEven"/>
                    </w:pPr>
                    <w:r>
                      <w:fldChar w:fldCharType="begin"/>
                    </w:r>
                    <w:r>
                      <w:instrText xml:space="preserve"> MACROBUTTON  AcceptAllChangesInDoc Department abbreviation </w:instrText>
                    </w:r>
                    <w:r>
                      <w:fldChar w:fldCharType="end"/>
                    </w:r>
                    <w:r>
                      <w:t xml:space="preserve"> </w:t>
                    </w:r>
                    <w:r w:rsidRPr="00586BB5">
                      <w:t>Budget Statements</w:t>
                    </w:r>
                  </w:p>
                  <w:p w:rsidR="00D959CA" w:rsidRPr="00586BB5" w:rsidRDefault="00D959CA" w:rsidP="006756CD">
                    <w:pPr>
                      <w:pStyle w:val="HeaderEven"/>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9CA" w:rsidRDefault="00D959CA" w:rsidP="00023384">
    <w:pPr>
      <w:pStyle w:val="HeaderOd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0;margin-top:0;width:385.5pt;height:77.1pt;z-index:251661312"/>
      </w:pict>
    </w:r>
    <w:r>
      <w:t>ASEA Budget Statements</w:t>
    </w:r>
    <w:r>
      <w:rPr>
        <w:noProof/>
      </w:rPr>
      <mc:AlternateContent>
        <mc:Choice Requires="wps">
          <w:drawing>
            <wp:anchor distT="0" distB="0" distL="114300" distR="114300" simplePos="0" relativeHeight="251660288" behindDoc="0" locked="0" layoutInCell="1" allowOverlap="0" wp14:anchorId="3A8F0F0F" wp14:editId="1D418B18">
              <wp:simplePos x="0" y="0"/>
              <wp:positionH relativeFrom="page">
                <wp:posOffset>9136380</wp:posOffset>
              </wp:positionH>
              <wp:positionV relativeFrom="page">
                <wp:posOffset>1355725</wp:posOffset>
              </wp:positionV>
              <wp:extent cx="396240" cy="4910455"/>
              <wp:effectExtent l="1905" t="3175" r="1905" b="1270"/>
              <wp:wrapNone/>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4910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59CA" w:rsidRPr="00586BB5" w:rsidRDefault="00D959CA" w:rsidP="006756CD">
                          <w:pPr>
                            <w:pStyle w:val="HeaderOdd"/>
                          </w:pPr>
                          <w:r w:rsidRPr="006756CD">
                            <w:fldChar w:fldCharType="begin"/>
                          </w:r>
                          <w:r w:rsidRPr="006756CD">
                            <w:instrText xml:space="preserve"> MACROBUTTON  AcceptAllChangesInDoc Department abbreviation </w:instrText>
                          </w:r>
                          <w:r w:rsidRPr="006756CD">
                            <w:fldChar w:fldCharType="end"/>
                          </w:r>
                          <w:r>
                            <w:t xml:space="preserve"> </w:t>
                          </w:r>
                          <w:r w:rsidRPr="00586BB5">
                            <w:t>Budget Statements</w:t>
                          </w:r>
                        </w:p>
                        <w:p w:rsidR="00D959CA" w:rsidRPr="00586BB5" w:rsidRDefault="00D959CA" w:rsidP="006756CD">
                          <w:pPr>
                            <w:pStyle w:val="HeaderOdd"/>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719.4pt;margin-top:106.75pt;width:31.2pt;height:386.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" o:allowoverlap="f" stroked="f">
              <v:textbox style="layout-flow:vertical">
                <w:txbxContent>
                  <w:p w:rsidR="00D959CA" w:rsidRPr="00586BB5" w:rsidRDefault="00D959CA" w:rsidP="006756CD">
                    <w:pPr>
                      <w:pStyle w:val="HeaderOdd"/>
                    </w:pPr>
                    <w:r w:rsidRPr="006756CD">
                      <w:fldChar w:fldCharType="begin"/>
                    </w:r>
                    <w:r w:rsidRPr="006756CD">
                      <w:instrText xml:space="preserve"> MACROBUTTON  AcceptAllChangesInDoc Department abbreviation </w:instrText>
                    </w:r>
                    <w:r w:rsidRPr="006756CD">
                      <w:fldChar w:fldCharType="end"/>
                    </w:r>
                    <w:r>
                      <w:t xml:space="preserve"> </w:t>
                    </w:r>
                    <w:r w:rsidRPr="00586BB5">
                      <w:t>Budget Statements</w:t>
                    </w:r>
                  </w:p>
                  <w:p w:rsidR="00D959CA" w:rsidRPr="00586BB5" w:rsidRDefault="00D959CA" w:rsidP="006756CD">
                    <w:pPr>
                      <w:pStyle w:val="HeaderOdd"/>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9CA" w:rsidRPr="007E0749" w:rsidRDefault="00D959CA" w:rsidP="007E0749">
    <w:pPr>
      <w:pStyle w:val="Header"/>
    </w:pPr>
    <w:r>
      <w:rPr>
        <w:noProof/>
        <w:lang w:val="en-AU" w:eastAsia="en-AU"/>
      </w:rPr>
      <mc:AlternateContent>
        <mc:Choice Requires="wps">
          <w:drawing>
            <wp:anchor distT="0" distB="0" distL="114300" distR="114300" simplePos="0" relativeHeight="251659264" behindDoc="0" locked="0" layoutInCell="1" allowOverlap="0" wp14:anchorId="63EEAA18" wp14:editId="56005693">
              <wp:simplePos x="0" y="0"/>
              <wp:positionH relativeFrom="page">
                <wp:posOffset>9671506</wp:posOffset>
              </wp:positionH>
              <wp:positionV relativeFrom="page">
                <wp:posOffset>1106805</wp:posOffset>
              </wp:positionV>
              <wp:extent cx="396240" cy="4910455"/>
              <wp:effectExtent l="0" t="0" r="3810" b="4445"/>
              <wp:wrapNone/>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4910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59CA" w:rsidRPr="00586BB5" w:rsidRDefault="00D959CA" w:rsidP="00A248C9">
                          <w:pPr>
                            <w:pStyle w:val="HeaderOdd"/>
                          </w:pPr>
                          <w:r>
                            <w:fldChar w:fldCharType="begin"/>
                          </w:r>
                          <w:r>
                            <w:instrText xml:space="preserve"> MACROBUTTON  AcceptAllChangesInDoc Department abbreviation </w:instrText>
                          </w:r>
                          <w:r>
                            <w:fldChar w:fldCharType="end"/>
                          </w:r>
                          <w:r>
                            <w:t xml:space="preserve"> </w:t>
                          </w:r>
                          <w:r w:rsidRPr="00586BB5">
                            <w:t>Budget Statements</w:t>
                          </w:r>
                        </w:p>
                        <w:p w:rsidR="00D959CA" w:rsidRPr="00586BB5" w:rsidRDefault="00D959CA" w:rsidP="006756CD">
                          <w:pPr>
                            <w:pStyle w:val="HeaderEven"/>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761.55pt;margin-top:87.15pt;width:31.2pt;height:386.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" o:allowoverlap="f" stroked="f">
              <v:textbox style="layout-flow:vertical">
                <w:txbxContent>
                  <w:p w:rsidR="00D959CA" w:rsidRPr="00586BB5" w:rsidRDefault="00D959CA" w:rsidP="00A248C9">
                    <w:pPr>
                      <w:pStyle w:val="HeaderOdd"/>
                    </w:pPr>
                    <w:r>
                      <w:fldChar w:fldCharType="begin"/>
                    </w:r>
                    <w:r>
                      <w:instrText xml:space="preserve"> MACROBUTTON  AcceptAllChangesInDoc Department abbreviation </w:instrText>
                    </w:r>
                    <w:r>
                      <w:fldChar w:fldCharType="end"/>
                    </w:r>
                    <w:r>
                      <w:t xml:space="preserve"> </w:t>
                    </w:r>
                    <w:r w:rsidRPr="00586BB5">
                      <w:t>Budget Statements</w:t>
                    </w:r>
                  </w:p>
                  <w:p w:rsidR="00D959CA" w:rsidRPr="00586BB5" w:rsidRDefault="00D959CA" w:rsidP="006756CD">
                    <w:pPr>
                      <w:pStyle w:val="HeaderEven"/>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E0756"/>
    <w:multiLevelType w:val="hybridMultilevel"/>
    <w:tmpl w:val="EECCBD2E"/>
    <w:lvl w:ilvl="0" w:tplc="62A6173E">
      <w:start w:val="1"/>
      <w:numFmt w:val="decimal"/>
      <w:pStyle w:val="TableTextNumbered"/>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61503D5"/>
    <w:multiLevelType w:val="hybridMultilevel"/>
    <w:tmpl w:val="C19AC01E"/>
    <w:lvl w:ilvl="0" w:tplc="8E306B24">
      <w:start w:val="1"/>
      <w:numFmt w:val="bullet"/>
      <w:pStyle w:val="Bullets"/>
      <w:lvlText w:val=""/>
      <w:lvlJc w:val="left"/>
      <w:pPr>
        <w:tabs>
          <w:tab w:val="num" w:pos="284"/>
        </w:tabs>
        <w:ind w:left="284" w:hanging="284"/>
      </w:pPr>
      <w:rPr>
        <w:rFonts w:ascii="Wingdings" w:hAnsi="Wingdings" w:hint="default"/>
        <w:color w:val="auto"/>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num w:numId="1">
    <w:abstractNumId w:val="2"/>
    <w:lvlOverride w:ilvl="0">
      <w:startOverride w:val="1"/>
    </w:lvlOverride>
  </w:num>
  <w:num w:numId="2">
    <w:abstractNumId w:val="1"/>
  </w:num>
  <w:num w:numId="3">
    <w:abstractNumId w:val="0"/>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9CA"/>
    <w:rsid w:val="002A5A98"/>
    <w:rsid w:val="004F6C10"/>
    <w:rsid w:val="00504A6D"/>
    <w:rsid w:val="00533004"/>
    <w:rsid w:val="00D959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CA"/>
    <w:pPr>
      <w:spacing w:after="120" w:line="240" w:lineRule="auto"/>
    </w:pPr>
    <w:rPr>
      <w:rFonts w:ascii="Book Antiqua" w:eastAsia="Times New Roman" w:hAnsi="Book Antiqua" w:cs="Times New Roman"/>
      <w:szCs w:val="20"/>
      <w:lang w:eastAsia="en-AU"/>
    </w:rPr>
  </w:style>
  <w:style w:type="paragraph" w:styleId="Heading1">
    <w:name w:val="heading 1"/>
    <w:basedOn w:val="Normal"/>
    <w:next w:val="Normal"/>
    <w:link w:val="Heading1Char"/>
    <w:qFormat/>
    <w:rsid w:val="00D959CA"/>
    <w:pPr>
      <w:keepNext/>
      <w:spacing w:after="240"/>
      <w:jc w:val="center"/>
      <w:outlineLvl w:val="0"/>
    </w:pPr>
    <w:rPr>
      <w:rFonts w:ascii="Arial" w:hAnsi="Arial"/>
      <w:b/>
      <w:smallCaps/>
      <w:kern w:val="28"/>
      <w:sz w:val="34"/>
    </w:rPr>
  </w:style>
  <w:style w:type="paragraph" w:styleId="Heading2">
    <w:name w:val="heading 2"/>
    <w:basedOn w:val="Normal"/>
    <w:next w:val="Normal"/>
    <w:link w:val="Heading2Char"/>
    <w:qFormat/>
    <w:rsid w:val="00D959CA"/>
    <w:pPr>
      <w:keepNext/>
      <w:spacing w:before="240" w:after="240"/>
      <w:outlineLvl w:val="1"/>
    </w:pPr>
    <w:rPr>
      <w:rFonts w:ascii="Arial" w:hAnsi="Arial"/>
      <w:sz w:val="30"/>
    </w:rPr>
  </w:style>
  <w:style w:type="paragraph" w:styleId="Heading3">
    <w:name w:val="heading 3"/>
    <w:basedOn w:val="Normal"/>
    <w:next w:val="Normal"/>
    <w:link w:val="Heading3Char"/>
    <w:qFormat/>
    <w:rsid w:val="00D959CA"/>
    <w:pPr>
      <w:keepNext/>
      <w:tabs>
        <w:tab w:val="left" w:pos="709"/>
      </w:tabs>
      <w:spacing w:before="120"/>
      <w:outlineLvl w:val="2"/>
    </w:pPr>
    <w:rPr>
      <w:rFonts w:ascii="Arial" w:hAnsi="Arial"/>
      <w:b/>
      <w:smallCaps/>
      <w:sz w:val="26"/>
    </w:rPr>
  </w:style>
  <w:style w:type="paragraph" w:styleId="Heading4">
    <w:name w:val="heading 4"/>
    <w:basedOn w:val="Normal"/>
    <w:next w:val="Normal"/>
    <w:link w:val="Heading4Char"/>
    <w:qFormat/>
    <w:rsid w:val="00D959CA"/>
    <w:pPr>
      <w:keepNext/>
      <w:tabs>
        <w:tab w:val="left" w:pos="709"/>
      </w:tabs>
      <w:spacing w:before="120"/>
      <w:outlineLvl w:val="3"/>
    </w:pPr>
    <w:rPr>
      <w:rFonts w:ascii="Arial" w:hAnsi="Arial"/>
      <w:b/>
    </w:rPr>
  </w:style>
  <w:style w:type="paragraph" w:styleId="Heading5">
    <w:name w:val="heading 5"/>
    <w:basedOn w:val="Normal"/>
    <w:next w:val="Normal"/>
    <w:link w:val="Heading5Char"/>
    <w:qFormat/>
    <w:rsid w:val="00D959CA"/>
    <w:pPr>
      <w:keepNext/>
      <w:spacing w:before="20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59CA"/>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D959CA"/>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D959CA"/>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D959CA"/>
    <w:rPr>
      <w:rFonts w:ascii="Arial" w:eastAsia="Times New Roman" w:hAnsi="Arial" w:cs="Times New Roman"/>
      <w:b/>
      <w:szCs w:val="20"/>
      <w:lang w:eastAsia="en-AU"/>
    </w:rPr>
  </w:style>
  <w:style w:type="character" w:customStyle="1" w:styleId="Heading5Char">
    <w:name w:val="Heading 5 Char"/>
    <w:basedOn w:val="DefaultParagraphFont"/>
    <w:link w:val="Heading5"/>
    <w:rsid w:val="00D959CA"/>
    <w:rPr>
      <w:rFonts w:ascii="Book Antiqua" w:eastAsia="Times New Roman" w:hAnsi="Book Antiqua" w:cs="Times New Roman"/>
      <w:b/>
      <w:bCs/>
      <w:iCs/>
      <w:szCs w:val="26"/>
      <w:lang w:eastAsia="en-AU"/>
    </w:rPr>
  </w:style>
  <w:style w:type="paragraph" w:customStyle="1" w:styleId="TableHeading">
    <w:name w:val="Table Heading"/>
    <w:basedOn w:val="Normal"/>
    <w:next w:val="TableGraphic"/>
    <w:link w:val="TableHeadingChar"/>
    <w:rsid w:val="00D959CA"/>
    <w:pPr>
      <w:keepNext/>
      <w:spacing w:before="120" w:after="40"/>
    </w:pPr>
    <w:rPr>
      <w:b/>
      <w:color w:val="000000"/>
      <w:lang w:val="x-none" w:eastAsia="x-none"/>
    </w:rPr>
  </w:style>
  <w:style w:type="paragraph" w:customStyle="1" w:styleId="ChartandTableFootnoteAlpha">
    <w:name w:val="Chart and Table Footnote Alpha"/>
    <w:basedOn w:val="Normal"/>
    <w:next w:val="Normal"/>
    <w:rsid w:val="00D959CA"/>
    <w:pPr>
      <w:numPr>
        <w:numId w:val="1"/>
      </w:numPr>
      <w:spacing w:after="0"/>
    </w:pPr>
    <w:rPr>
      <w:rFonts w:ascii="Arial" w:hAnsi="Arial"/>
      <w:sz w:val="16"/>
    </w:rPr>
  </w:style>
  <w:style w:type="paragraph" w:customStyle="1" w:styleId="ChartandTableFootnote">
    <w:name w:val="Chart and Table Footnote"/>
    <w:basedOn w:val="Normal"/>
    <w:next w:val="Normal"/>
    <w:link w:val="ChartandTableFootnoteChar"/>
    <w:rsid w:val="00D959CA"/>
    <w:pPr>
      <w:tabs>
        <w:tab w:val="left" w:pos="284"/>
      </w:tabs>
      <w:spacing w:after="0"/>
    </w:pPr>
    <w:rPr>
      <w:rFonts w:ascii="Arial" w:hAnsi="Arial"/>
      <w:color w:val="000000"/>
      <w:sz w:val="16"/>
      <w:lang w:val="x-none" w:eastAsia="x-none"/>
    </w:rPr>
  </w:style>
  <w:style w:type="paragraph" w:customStyle="1" w:styleId="ContentsHeading">
    <w:name w:val="Contents Heading"/>
    <w:basedOn w:val="Normal"/>
    <w:next w:val="Normal"/>
    <w:rsid w:val="00D959CA"/>
    <w:pPr>
      <w:keepNext/>
      <w:spacing w:after="360"/>
      <w:jc w:val="center"/>
    </w:pPr>
    <w:rPr>
      <w:rFonts w:ascii="Arial" w:hAnsi="Arial"/>
      <w:b/>
      <w:smallCaps/>
      <w:sz w:val="34"/>
    </w:rPr>
  </w:style>
  <w:style w:type="paragraph" w:customStyle="1" w:styleId="TableGraphic">
    <w:name w:val="Table Graphic"/>
    <w:basedOn w:val="Normal"/>
    <w:next w:val="Normal"/>
    <w:rsid w:val="00D959CA"/>
    <w:pPr>
      <w:spacing w:after="0"/>
      <w:ind w:right="-113"/>
    </w:pPr>
  </w:style>
  <w:style w:type="paragraph" w:customStyle="1" w:styleId="TableTextLeft">
    <w:name w:val="Table Text Left"/>
    <w:basedOn w:val="Normal"/>
    <w:link w:val="TableTextLeftChar"/>
    <w:rsid w:val="00D959CA"/>
    <w:pPr>
      <w:spacing w:before="60" w:after="60"/>
    </w:pPr>
    <w:rPr>
      <w:rFonts w:ascii="Arial" w:hAnsi="Arial"/>
      <w:sz w:val="18"/>
    </w:rPr>
  </w:style>
  <w:style w:type="paragraph" w:customStyle="1" w:styleId="TableColumnHeadingLeft">
    <w:name w:val="Table Column Heading Left"/>
    <w:basedOn w:val="Normal"/>
    <w:next w:val="TableTextLeft"/>
    <w:rsid w:val="00D959CA"/>
    <w:pPr>
      <w:spacing w:before="60" w:after="60"/>
    </w:pPr>
    <w:rPr>
      <w:rFonts w:ascii="Arial" w:hAnsi="Arial"/>
      <w:b/>
      <w:sz w:val="20"/>
    </w:rPr>
  </w:style>
  <w:style w:type="paragraph" w:customStyle="1" w:styleId="TableHeadingcontinued">
    <w:name w:val="Table Heading continued"/>
    <w:basedOn w:val="Normal"/>
    <w:next w:val="TableGraphic"/>
    <w:rsid w:val="00D959CA"/>
    <w:pPr>
      <w:keepNext/>
      <w:spacing w:before="120" w:after="20"/>
    </w:pPr>
    <w:rPr>
      <w:b/>
    </w:rPr>
  </w:style>
  <w:style w:type="paragraph" w:customStyle="1" w:styleId="HeaderEven">
    <w:name w:val="Header Even"/>
    <w:basedOn w:val="Normal"/>
    <w:rsid w:val="00D959CA"/>
    <w:pPr>
      <w:spacing w:after="0"/>
    </w:pPr>
    <w:rPr>
      <w:i/>
      <w:sz w:val="20"/>
    </w:rPr>
  </w:style>
  <w:style w:type="paragraph" w:customStyle="1" w:styleId="HeaderOdd">
    <w:name w:val="Header Odd"/>
    <w:basedOn w:val="Normal"/>
    <w:rsid w:val="00D959CA"/>
    <w:pPr>
      <w:spacing w:after="0"/>
      <w:jc w:val="right"/>
    </w:pPr>
    <w:rPr>
      <w:i/>
      <w:sz w:val="20"/>
    </w:rPr>
  </w:style>
  <w:style w:type="paragraph" w:styleId="Header">
    <w:name w:val="header"/>
    <w:basedOn w:val="Normal"/>
    <w:link w:val="HeaderChar"/>
    <w:uiPriority w:val="99"/>
    <w:rsid w:val="00D959CA"/>
    <w:pPr>
      <w:tabs>
        <w:tab w:val="center" w:pos="4153"/>
        <w:tab w:val="right" w:pos="8306"/>
      </w:tabs>
      <w:spacing w:after="0"/>
    </w:pPr>
    <w:rPr>
      <w:i/>
      <w:sz w:val="20"/>
      <w:lang w:val="x-none" w:eastAsia="x-none"/>
    </w:rPr>
  </w:style>
  <w:style w:type="character" w:customStyle="1" w:styleId="HeaderChar">
    <w:name w:val="Header Char"/>
    <w:basedOn w:val="DefaultParagraphFont"/>
    <w:link w:val="Header"/>
    <w:uiPriority w:val="99"/>
    <w:rsid w:val="00D959CA"/>
    <w:rPr>
      <w:rFonts w:ascii="Book Antiqua" w:eastAsia="Times New Roman" w:hAnsi="Book Antiqua" w:cs="Times New Roman"/>
      <w:i/>
      <w:sz w:val="20"/>
      <w:szCs w:val="20"/>
      <w:lang w:val="x-none" w:eastAsia="x-none"/>
    </w:rPr>
  </w:style>
  <w:style w:type="paragraph" w:styleId="Footer">
    <w:name w:val="footer"/>
    <w:basedOn w:val="Normal"/>
    <w:link w:val="FooterChar"/>
    <w:uiPriority w:val="99"/>
    <w:rsid w:val="00D959CA"/>
    <w:pPr>
      <w:tabs>
        <w:tab w:val="center" w:pos="4153"/>
        <w:tab w:val="right" w:pos="8306"/>
      </w:tabs>
      <w:spacing w:after="0"/>
      <w:jc w:val="center"/>
    </w:pPr>
    <w:rPr>
      <w:rFonts w:ascii="Arial" w:hAnsi="Arial"/>
      <w:sz w:val="20"/>
      <w:lang w:val="x-none" w:eastAsia="x-none"/>
    </w:rPr>
  </w:style>
  <w:style w:type="character" w:customStyle="1" w:styleId="FooterChar">
    <w:name w:val="Footer Char"/>
    <w:basedOn w:val="DefaultParagraphFont"/>
    <w:link w:val="Footer"/>
    <w:uiPriority w:val="99"/>
    <w:rsid w:val="00D959CA"/>
    <w:rPr>
      <w:rFonts w:ascii="Arial" w:eastAsia="Times New Roman" w:hAnsi="Arial" w:cs="Times New Roman"/>
      <w:sz w:val="20"/>
      <w:szCs w:val="20"/>
      <w:lang w:val="x-none" w:eastAsia="x-none"/>
    </w:rPr>
  </w:style>
  <w:style w:type="character" w:styleId="FootnoteReference">
    <w:name w:val="footnote reference"/>
    <w:uiPriority w:val="99"/>
    <w:rsid w:val="00D959CA"/>
    <w:rPr>
      <w:vertAlign w:val="superscript"/>
    </w:rPr>
  </w:style>
  <w:style w:type="paragraph" w:styleId="TOC1">
    <w:name w:val="toc 1"/>
    <w:basedOn w:val="Normal"/>
    <w:next w:val="Normal"/>
    <w:uiPriority w:val="39"/>
    <w:rsid w:val="00D959CA"/>
    <w:pPr>
      <w:tabs>
        <w:tab w:val="right" w:leader="dot" w:pos="7700"/>
      </w:tabs>
      <w:spacing w:before="240" w:after="0"/>
      <w:ind w:right="851"/>
    </w:pPr>
    <w:rPr>
      <w:rFonts w:ascii="Arial" w:hAnsi="Arial"/>
      <w:b/>
      <w:sz w:val="20"/>
    </w:rPr>
  </w:style>
  <w:style w:type="paragraph" w:styleId="TOC2">
    <w:name w:val="toc 2"/>
    <w:basedOn w:val="Normal"/>
    <w:next w:val="Normal"/>
    <w:uiPriority w:val="39"/>
    <w:rsid w:val="00D959CA"/>
    <w:pPr>
      <w:keepNext/>
      <w:tabs>
        <w:tab w:val="right" w:leader="dot" w:pos="7700"/>
      </w:tabs>
      <w:spacing w:before="80" w:after="0"/>
      <w:ind w:right="851"/>
    </w:pPr>
    <w:rPr>
      <w:rFonts w:ascii="Arial" w:hAnsi="Arial"/>
      <w:sz w:val="20"/>
    </w:rPr>
  </w:style>
  <w:style w:type="paragraph" w:customStyle="1" w:styleId="Department">
    <w:name w:val="Department"/>
    <w:basedOn w:val="Normal"/>
    <w:rsid w:val="00D959CA"/>
    <w:pPr>
      <w:spacing w:after="0"/>
      <w:jc w:val="center"/>
    </w:pPr>
    <w:rPr>
      <w:rFonts w:ascii="Arial" w:hAnsi="Arial"/>
      <w:b/>
      <w:sz w:val="52"/>
    </w:rPr>
  </w:style>
  <w:style w:type="paragraph" w:customStyle="1" w:styleId="DepartmentSubtitle">
    <w:name w:val="Department Subtitle"/>
    <w:basedOn w:val="Department"/>
    <w:rsid w:val="00D959CA"/>
    <w:rPr>
      <w:sz w:val="44"/>
    </w:rPr>
  </w:style>
  <w:style w:type="character" w:styleId="Hyperlink">
    <w:name w:val="Hyperlink"/>
    <w:uiPriority w:val="99"/>
    <w:rsid w:val="00D959CA"/>
    <w:rPr>
      <w:color w:val="000000"/>
      <w:u w:val="none"/>
    </w:rPr>
  </w:style>
  <w:style w:type="character" w:customStyle="1" w:styleId="TableHeadingChar">
    <w:name w:val="Table Heading Char"/>
    <w:link w:val="TableHeading"/>
    <w:rsid w:val="00D959CA"/>
    <w:rPr>
      <w:rFonts w:ascii="Book Antiqua" w:eastAsia="Times New Roman" w:hAnsi="Book Antiqua" w:cs="Times New Roman"/>
      <w:b/>
      <w:color w:val="000000"/>
      <w:szCs w:val="20"/>
      <w:lang w:val="x-none" w:eastAsia="x-none"/>
    </w:rPr>
  </w:style>
  <w:style w:type="character" w:customStyle="1" w:styleId="TableTextLeftChar">
    <w:name w:val="Table Text Left Char"/>
    <w:link w:val="TableTextLeft"/>
    <w:rsid w:val="00D959CA"/>
    <w:rPr>
      <w:rFonts w:ascii="Arial" w:eastAsia="Times New Roman" w:hAnsi="Arial" w:cs="Times New Roman"/>
      <w:sz w:val="18"/>
      <w:szCs w:val="20"/>
      <w:lang w:eastAsia="en-AU"/>
    </w:rPr>
  </w:style>
  <w:style w:type="character" w:customStyle="1" w:styleId="ChartandTableFootnoteChar">
    <w:name w:val="Chart and Table Footnote Char"/>
    <w:link w:val="ChartandTableFootnote"/>
    <w:rsid w:val="00D959CA"/>
    <w:rPr>
      <w:rFonts w:ascii="Arial" w:eastAsia="Times New Roman" w:hAnsi="Arial" w:cs="Times New Roman"/>
      <w:color w:val="000000"/>
      <w:sz w:val="16"/>
      <w:szCs w:val="20"/>
      <w:lang w:val="x-none" w:eastAsia="x-none"/>
    </w:rPr>
  </w:style>
  <w:style w:type="paragraph" w:customStyle="1" w:styleId="Bullets">
    <w:name w:val="Bullets"/>
    <w:basedOn w:val="Normal"/>
    <w:link w:val="BulletsChar"/>
    <w:qFormat/>
    <w:rsid w:val="00D959CA"/>
    <w:pPr>
      <w:numPr>
        <w:numId w:val="2"/>
      </w:numPr>
      <w:spacing w:before="60" w:after="60"/>
    </w:pPr>
    <w:rPr>
      <w:rFonts w:cs="Arial"/>
      <w:color w:val="000000"/>
      <w:szCs w:val="16"/>
      <w:lang w:eastAsia="en-US"/>
    </w:rPr>
  </w:style>
  <w:style w:type="character" w:customStyle="1" w:styleId="BulletsChar">
    <w:name w:val="Bullets Char"/>
    <w:link w:val="Bullets"/>
    <w:locked/>
    <w:rsid w:val="00D959CA"/>
    <w:rPr>
      <w:rFonts w:ascii="Book Antiqua" w:eastAsia="Times New Roman" w:hAnsi="Book Antiqua" w:cs="Arial"/>
      <w:color w:val="000000"/>
      <w:szCs w:val="16"/>
    </w:rPr>
  </w:style>
  <w:style w:type="paragraph" w:customStyle="1" w:styleId="TableTextNumbered">
    <w:name w:val="Table Text Numbered"/>
    <w:basedOn w:val="TableTextLeft"/>
    <w:qFormat/>
    <w:rsid w:val="00D959CA"/>
    <w:pPr>
      <w:numPr>
        <w:numId w:val="3"/>
      </w:numPr>
      <w:tabs>
        <w:tab w:val="num" w:pos="360"/>
      </w:tabs>
      <w:ind w:left="0" w:firstLine="0"/>
    </w:pPr>
  </w:style>
  <w:style w:type="paragraph" w:styleId="FootnoteText">
    <w:name w:val="footnote text"/>
    <w:basedOn w:val="Normal"/>
    <w:link w:val="FootnoteTextChar"/>
    <w:rsid w:val="00D959CA"/>
    <w:pPr>
      <w:spacing w:after="0"/>
    </w:pPr>
    <w:rPr>
      <w:sz w:val="20"/>
    </w:rPr>
  </w:style>
  <w:style w:type="character" w:customStyle="1" w:styleId="FootnoteTextChar">
    <w:name w:val="Footnote Text Char"/>
    <w:basedOn w:val="DefaultParagraphFont"/>
    <w:link w:val="FootnoteText"/>
    <w:rsid w:val="00D959CA"/>
    <w:rPr>
      <w:rFonts w:ascii="Book Antiqua" w:eastAsia="Times New Roman" w:hAnsi="Book Antiqua" w:cs="Times New Roman"/>
      <w:sz w:val="20"/>
      <w:szCs w:val="20"/>
      <w:lang w:eastAsia="en-AU"/>
    </w:rPr>
  </w:style>
  <w:style w:type="paragraph" w:styleId="BalloonText">
    <w:name w:val="Balloon Text"/>
    <w:basedOn w:val="Normal"/>
    <w:link w:val="BalloonTextChar"/>
    <w:uiPriority w:val="99"/>
    <w:semiHidden/>
    <w:unhideWhenUsed/>
    <w:rsid w:val="00D959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CA"/>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9CA"/>
    <w:pPr>
      <w:spacing w:after="120" w:line="240" w:lineRule="auto"/>
    </w:pPr>
    <w:rPr>
      <w:rFonts w:ascii="Book Antiqua" w:eastAsia="Times New Roman" w:hAnsi="Book Antiqua" w:cs="Times New Roman"/>
      <w:szCs w:val="20"/>
      <w:lang w:eastAsia="en-AU"/>
    </w:rPr>
  </w:style>
  <w:style w:type="paragraph" w:styleId="Heading1">
    <w:name w:val="heading 1"/>
    <w:basedOn w:val="Normal"/>
    <w:next w:val="Normal"/>
    <w:link w:val="Heading1Char"/>
    <w:qFormat/>
    <w:rsid w:val="00D959CA"/>
    <w:pPr>
      <w:keepNext/>
      <w:spacing w:after="240"/>
      <w:jc w:val="center"/>
      <w:outlineLvl w:val="0"/>
    </w:pPr>
    <w:rPr>
      <w:rFonts w:ascii="Arial" w:hAnsi="Arial"/>
      <w:b/>
      <w:smallCaps/>
      <w:kern w:val="28"/>
      <w:sz w:val="34"/>
    </w:rPr>
  </w:style>
  <w:style w:type="paragraph" w:styleId="Heading2">
    <w:name w:val="heading 2"/>
    <w:basedOn w:val="Normal"/>
    <w:next w:val="Normal"/>
    <w:link w:val="Heading2Char"/>
    <w:qFormat/>
    <w:rsid w:val="00D959CA"/>
    <w:pPr>
      <w:keepNext/>
      <w:spacing w:before="240" w:after="240"/>
      <w:outlineLvl w:val="1"/>
    </w:pPr>
    <w:rPr>
      <w:rFonts w:ascii="Arial" w:hAnsi="Arial"/>
      <w:sz w:val="30"/>
    </w:rPr>
  </w:style>
  <w:style w:type="paragraph" w:styleId="Heading3">
    <w:name w:val="heading 3"/>
    <w:basedOn w:val="Normal"/>
    <w:next w:val="Normal"/>
    <w:link w:val="Heading3Char"/>
    <w:qFormat/>
    <w:rsid w:val="00D959CA"/>
    <w:pPr>
      <w:keepNext/>
      <w:tabs>
        <w:tab w:val="left" w:pos="709"/>
      </w:tabs>
      <w:spacing w:before="120"/>
      <w:outlineLvl w:val="2"/>
    </w:pPr>
    <w:rPr>
      <w:rFonts w:ascii="Arial" w:hAnsi="Arial"/>
      <w:b/>
      <w:smallCaps/>
      <w:sz w:val="26"/>
    </w:rPr>
  </w:style>
  <w:style w:type="paragraph" w:styleId="Heading4">
    <w:name w:val="heading 4"/>
    <w:basedOn w:val="Normal"/>
    <w:next w:val="Normal"/>
    <w:link w:val="Heading4Char"/>
    <w:qFormat/>
    <w:rsid w:val="00D959CA"/>
    <w:pPr>
      <w:keepNext/>
      <w:tabs>
        <w:tab w:val="left" w:pos="709"/>
      </w:tabs>
      <w:spacing w:before="120"/>
      <w:outlineLvl w:val="3"/>
    </w:pPr>
    <w:rPr>
      <w:rFonts w:ascii="Arial" w:hAnsi="Arial"/>
      <w:b/>
    </w:rPr>
  </w:style>
  <w:style w:type="paragraph" w:styleId="Heading5">
    <w:name w:val="heading 5"/>
    <w:basedOn w:val="Normal"/>
    <w:next w:val="Normal"/>
    <w:link w:val="Heading5Char"/>
    <w:qFormat/>
    <w:rsid w:val="00D959CA"/>
    <w:pPr>
      <w:keepNext/>
      <w:spacing w:before="20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59CA"/>
    <w:rPr>
      <w:rFonts w:ascii="Arial" w:eastAsia="Times New Roman" w:hAnsi="Arial" w:cs="Times New Roman"/>
      <w:b/>
      <w:smallCaps/>
      <w:kern w:val="28"/>
      <w:sz w:val="34"/>
      <w:szCs w:val="20"/>
      <w:lang w:eastAsia="en-AU"/>
    </w:rPr>
  </w:style>
  <w:style w:type="character" w:customStyle="1" w:styleId="Heading2Char">
    <w:name w:val="Heading 2 Char"/>
    <w:basedOn w:val="DefaultParagraphFont"/>
    <w:link w:val="Heading2"/>
    <w:rsid w:val="00D959CA"/>
    <w:rPr>
      <w:rFonts w:ascii="Arial" w:eastAsia="Times New Roman" w:hAnsi="Arial" w:cs="Times New Roman"/>
      <w:sz w:val="30"/>
      <w:szCs w:val="20"/>
      <w:lang w:eastAsia="en-AU"/>
    </w:rPr>
  </w:style>
  <w:style w:type="character" w:customStyle="1" w:styleId="Heading3Char">
    <w:name w:val="Heading 3 Char"/>
    <w:basedOn w:val="DefaultParagraphFont"/>
    <w:link w:val="Heading3"/>
    <w:rsid w:val="00D959CA"/>
    <w:rPr>
      <w:rFonts w:ascii="Arial" w:eastAsia="Times New Roman" w:hAnsi="Arial" w:cs="Times New Roman"/>
      <w:b/>
      <w:smallCaps/>
      <w:sz w:val="26"/>
      <w:szCs w:val="20"/>
      <w:lang w:eastAsia="en-AU"/>
    </w:rPr>
  </w:style>
  <w:style w:type="character" w:customStyle="1" w:styleId="Heading4Char">
    <w:name w:val="Heading 4 Char"/>
    <w:basedOn w:val="DefaultParagraphFont"/>
    <w:link w:val="Heading4"/>
    <w:rsid w:val="00D959CA"/>
    <w:rPr>
      <w:rFonts w:ascii="Arial" w:eastAsia="Times New Roman" w:hAnsi="Arial" w:cs="Times New Roman"/>
      <w:b/>
      <w:szCs w:val="20"/>
      <w:lang w:eastAsia="en-AU"/>
    </w:rPr>
  </w:style>
  <w:style w:type="character" w:customStyle="1" w:styleId="Heading5Char">
    <w:name w:val="Heading 5 Char"/>
    <w:basedOn w:val="DefaultParagraphFont"/>
    <w:link w:val="Heading5"/>
    <w:rsid w:val="00D959CA"/>
    <w:rPr>
      <w:rFonts w:ascii="Book Antiqua" w:eastAsia="Times New Roman" w:hAnsi="Book Antiqua" w:cs="Times New Roman"/>
      <w:b/>
      <w:bCs/>
      <w:iCs/>
      <w:szCs w:val="26"/>
      <w:lang w:eastAsia="en-AU"/>
    </w:rPr>
  </w:style>
  <w:style w:type="paragraph" w:customStyle="1" w:styleId="TableHeading">
    <w:name w:val="Table Heading"/>
    <w:basedOn w:val="Normal"/>
    <w:next w:val="TableGraphic"/>
    <w:link w:val="TableHeadingChar"/>
    <w:rsid w:val="00D959CA"/>
    <w:pPr>
      <w:keepNext/>
      <w:spacing w:before="120" w:after="40"/>
    </w:pPr>
    <w:rPr>
      <w:b/>
      <w:color w:val="000000"/>
      <w:lang w:val="x-none" w:eastAsia="x-none"/>
    </w:rPr>
  </w:style>
  <w:style w:type="paragraph" w:customStyle="1" w:styleId="ChartandTableFootnoteAlpha">
    <w:name w:val="Chart and Table Footnote Alpha"/>
    <w:basedOn w:val="Normal"/>
    <w:next w:val="Normal"/>
    <w:rsid w:val="00D959CA"/>
    <w:pPr>
      <w:numPr>
        <w:numId w:val="1"/>
      </w:numPr>
      <w:spacing w:after="0"/>
    </w:pPr>
    <w:rPr>
      <w:rFonts w:ascii="Arial" w:hAnsi="Arial"/>
      <w:sz w:val="16"/>
    </w:rPr>
  </w:style>
  <w:style w:type="paragraph" w:customStyle="1" w:styleId="ChartandTableFootnote">
    <w:name w:val="Chart and Table Footnote"/>
    <w:basedOn w:val="Normal"/>
    <w:next w:val="Normal"/>
    <w:link w:val="ChartandTableFootnoteChar"/>
    <w:rsid w:val="00D959CA"/>
    <w:pPr>
      <w:tabs>
        <w:tab w:val="left" w:pos="284"/>
      </w:tabs>
      <w:spacing w:after="0"/>
    </w:pPr>
    <w:rPr>
      <w:rFonts w:ascii="Arial" w:hAnsi="Arial"/>
      <w:color w:val="000000"/>
      <w:sz w:val="16"/>
      <w:lang w:val="x-none" w:eastAsia="x-none"/>
    </w:rPr>
  </w:style>
  <w:style w:type="paragraph" w:customStyle="1" w:styleId="ContentsHeading">
    <w:name w:val="Contents Heading"/>
    <w:basedOn w:val="Normal"/>
    <w:next w:val="Normal"/>
    <w:rsid w:val="00D959CA"/>
    <w:pPr>
      <w:keepNext/>
      <w:spacing w:after="360"/>
      <w:jc w:val="center"/>
    </w:pPr>
    <w:rPr>
      <w:rFonts w:ascii="Arial" w:hAnsi="Arial"/>
      <w:b/>
      <w:smallCaps/>
      <w:sz w:val="34"/>
    </w:rPr>
  </w:style>
  <w:style w:type="paragraph" w:customStyle="1" w:styleId="TableGraphic">
    <w:name w:val="Table Graphic"/>
    <w:basedOn w:val="Normal"/>
    <w:next w:val="Normal"/>
    <w:rsid w:val="00D959CA"/>
    <w:pPr>
      <w:spacing w:after="0"/>
      <w:ind w:right="-113"/>
    </w:pPr>
  </w:style>
  <w:style w:type="paragraph" w:customStyle="1" w:styleId="TableTextLeft">
    <w:name w:val="Table Text Left"/>
    <w:basedOn w:val="Normal"/>
    <w:link w:val="TableTextLeftChar"/>
    <w:rsid w:val="00D959CA"/>
    <w:pPr>
      <w:spacing w:before="60" w:after="60"/>
    </w:pPr>
    <w:rPr>
      <w:rFonts w:ascii="Arial" w:hAnsi="Arial"/>
      <w:sz w:val="18"/>
    </w:rPr>
  </w:style>
  <w:style w:type="paragraph" w:customStyle="1" w:styleId="TableColumnHeadingLeft">
    <w:name w:val="Table Column Heading Left"/>
    <w:basedOn w:val="Normal"/>
    <w:next w:val="TableTextLeft"/>
    <w:rsid w:val="00D959CA"/>
    <w:pPr>
      <w:spacing w:before="60" w:after="60"/>
    </w:pPr>
    <w:rPr>
      <w:rFonts w:ascii="Arial" w:hAnsi="Arial"/>
      <w:b/>
      <w:sz w:val="20"/>
    </w:rPr>
  </w:style>
  <w:style w:type="paragraph" w:customStyle="1" w:styleId="TableHeadingcontinued">
    <w:name w:val="Table Heading continued"/>
    <w:basedOn w:val="Normal"/>
    <w:next w:val="TableGraphic"/>
    <w:rsid w:val="00D959CA"/>
    <w:pPr>
      <w:keepNext/>
      <w:spacing w:before="120" w:after="20"/>
    </w:pPr>
    <w:rPr>
      <w:b/>
    </w:rPr>
  </w:style>
  <w:style w:type="paragraph" w:customStyle="1" w:styleId="HeaderEven">
    <w:name w:val="Header Even"/>
    <w:basedOn w:val="Normal"/>
    <w:rsid w:val="00D959CA"/>
    <w:pPr>
      <w:spacing w:after="0"/>
    </w:pPr>
    <w:rPr>
      <w:i/>
      <w:sz w:val="20"/>
    </w:rPr>
  </w:style>
  <w:style w:type="paragraph" w:customStyle="1" w:styleId="HeaderOdd">
    <w:name w:val="Header Odd"/>
    <w:basedOn w:val="Normal"/>
    <w:rsid w:val="00D959CA"/>
    <w:pPr>
      <w:spacing w:after="0"/>
      <w:jc w:val="right"/>
    </w:pPr>
    <w:rPr>
      <w:i/>
      <w:sz w:val="20"/>
    </w:rPr>
  </w:style>
  <w:style w:type="paragraph" w:styleId="Header">
    <w:name w:val="header"/>
    <w:basedOn w:val="Normal"/>
    <w:link w:val="HeaderChar"/>
    <w:uiPriority w:val="99"/>
    <w:rsid w:val="00D959CA"/>
    <w:pPr>
      <w:tabs>
        <w:tab w:val="center" w:pos="4153"/>
        <w:tab w:val="right" w:pos="8306"/>
      </w:tabs>
      <w:spacing w:after="0"/>
    </w:pPr>
    <w:rPr>
      <w:i/>
      <w:sz w:val="20"/>
      <w:lang w:val="x-none" w:eastAsia="x-none"/>
    </w:rPr>
  </w:style>
  <w:style w:type="character" w:customStyle="1" w:styleId="HeaderChar">
    <w:name w:val="Header Char"/>
    <w:basedOn w:val="DefaultParagraphFont"/>
    <w:link w:val="Header"/>
    <w:uiPriority w:val="99"/>
    <w:rsid w:val="00D959CA"/>
    <w:rPr>
      <w:rFonts w:ascii="Book Antiqua" w:eastAsia="Times New Roman" w:hAnsi="Book Antiqua" w:cs="Times New Roman"/>
      <w:i/>
      <w:sz w:val="20"/>
      <w:szCs w:val="20"/>
      <w:lang w:val="x-none" w:eastAsia="x-none"/>
    </w:rPr>
  </w:style>
  <w:style w:type="paragraph" w:styleId="Footer">
    <w:name w:val="footer"/>
    <w:basedOn w:val="Normal"/>
    <w:link w:val="FooterChar"/>
    <w:uiPriority w:val="99"/>
    <w:rsid w:val="00D959CA"/>
    <w:pPr>
      <w:tabs>
        <w:tab w:val="center" w:pos="4153"/>
        <w:tab w:val="right" w:pos="8306"/>
      </w:tabs>
      <w:spacing w:after="0"/>
      <w:jc w:val="center"/>
    </w:pPr>
    <w:rPr>
      <w:rFonts w:ascii="Arial" w:hAnsi="Arial"/>
      <w:sz w:val="20"/>
      <w:lang w:val="x-none" w:eastAsia="x-none"/>
    </w:rPr>
  </w:style>
  <w:style w:type="character" w:customStyle="1" w:styleId="FooterChar">
    <w:name w:val="Footer Char"/>
    <w:basedOn w:val="DefaultParagraphFont"/>
    <w:link w:val="Footer"/>
    <w:uiPriority w:val="99"/>
    <w:rsid w:val="00D959CA"/>
    <w:rPr>
      <w:rFonts w:ascii="Arial" w:eastAsia="Times New Roman" w:hAnsi="Arial" w:cs="Times New Roman"/>
      <w:sz w:val="20"/>
      <w:szCs w:val="20"/>
      <w:lang w:val="x-none" w:eastAsia="x-none"/>
    </w:rPr>
  </w:style>
  <w:style w:type="character" w:styleId="FootnoteReference">
    <w:name w:val="footnote reference"/>
    <w:uiPriority w:val="99"/>
    <w:rsid w:val="00D959CA"/>
    <w:rPr>
      <w:vertAlign w:val="superscript"/>
    </w:rPr>
  </w:style>
  <w:style w:type="paragraph" w:styleId="TOC1">
    <w:name w:val="toc 1"/>
    <w:basedOn w:val="Normal"/>
    <w:next w:val="Normal"/>
    <w:uiPriority w:val="39"/>
    <w:rsid w:val="00D959CA"/>
    <w:pPr>
      <w:tabs>
        <w:tab w:val="right" w:leader="dot" w:pos="7700"/>
      </w:tabs>
      <w:spacing w:before="240" w:after="0"/>
      <w:ind w:right="851"/>
    </w:pPr>
    <w:rPr>
      <w:rFonts w:ascii="Arial" w:hAnsi="Arial"/>
      <w:b/>
      <w:sz w:val="20"/>
    </w:rPr>
  </w:style>
  <w:style w:type="paragraph" w:styleId="TOC2">
    <w:name w:val="toc 2"/>
    <w:basedOn w:val="Normal"/>
    <w:next w:val="Normal"/>
    <w:uiPriority w:val="39"/>
    <w:rsid w:val="00D959CA"/>
    <w:pPr>
      <w:keepNext/>
      <w:tabs>
        <w:tab w:val="right" w:leader="dot" w:pos="7700"/>
      </w:tabs>
      <w:spacing w:before="80" w:after="0"/>
      <w:ind w:right="851"/>
    </w:pPr>
    <w:rPr>
      <w:rFonts w:ascii="Arial" w:hAnsi="Arial"/>
      <w:sz w:val="20"/>
    </w:rPr>
  </w:style>
  <w:style w:type="paragraph" w:customStyle="1" w:styleId="Department">
    <w:name w:val="Department"/>
    <w:basedOn w:val="Normal"/>
    <w:rsid w:val="00D959CA"/>
    <w:pPr>
      <w:spacing w:after="0"/>
      <w:jc w:val="center"/>
    </w:pPr>
    <w:rPr>
      <w:rFonts w:ascii="Arial" w:hAnsi="Arial"/>
      <w:b/>
      <w:sz w:val="52"/>
    </w:rPr>
  </w:style>
  <w:style w:type="paragraph" w:customStyle="1" w:styleId="DepartmentSubtitle">
    <w:name w:val="Department Subtitle"/>
    <w:basedOn w:val="Department"/>
    <w:rsid w:val="00D959CA"/>
    <w:rPr>
      <w:sz w:val="44"/>
    </w:rPr>
  </w:style>
  <w:style w:type="character" w:styleId="Hyperlink">
    <w:name w:val="Hyperlink"/>
    <w:uiPriority w:val="99"/>
    <w:rsid w:val="00D959CA"/>
    <w:rPr>
      <w:color w:val="000000"/>
      <w:u w:val="none"/>
    </w:rPr>
  </w:style>
  <w:style w:type="character" w:customStyle="1" w:styleId="TableHeadingChar">
    <w:name w:val="Table Heading Char"/>
    <w:link w:val="TableHeading"/>
    <w:rsid w:val="00D959CA"/>
    <w:rPr>
      <w:rFonts w:ascii="Book Antiqua" w:eastAsia="Times New Roman" w:hAnsi="Book Antiqua" w:cs="Times New Roman"/>
      <w:b/>
      <w:color w:val="000000"/>
      <w:szCs w:val="20"/>
      <w:lang w:val="x-none" w:eastAsia="x-none"/>
    </w:rPr>
  </w:style>
  <w:style w:type="character" w:customStyle="1" w:styleId="TableTextLeftChar">
    <w:name w:val="Table Text Left Char"/>
    <w:link w:val="TableTextLeft"/>
    <w:rsid w:val="00D959CA"/>
    <w:rPr>
      <w:rFonts w:ascii="Arial" w:eastAsia="Times New Roman" w:hAnsi="Arial" w:cs="Times New Roman"/>
      <w:sz w:val="18"/>
      <w:szCs w:val="20"/>
      <w:lang w:eastAsia="en-AU"/>
    </w:rPr>
  </w:style>
  <w:style w:type="character" w:customStyle="1" w:styleId="ChartandTableFootnoteChar">
    <w:name w:val="Chart and Table Footnote Char"/>
    <w:link w:val="ChartandTableFootnote"/>
    <w:rsid w:val="00D959CA"/>
    <w:rPr>
      <w:rFonts w:ascii="Arial" w:eastAsia="Times New Roman" w:hAnsi="Arial" w:cs="Times New Roman"/>
      <w:color w:val="000000"/>
      <w:sz w:val="16"/>
      <w:szCs w:val="20"/>
      <w:lang w:val="x-none" w:eastAsia="x-none"/>
    </w:rPr>
  </w:style>
  <w:style w:type="paragraph" w:customStyle="1" w:styleId="Bullets">
    <w:name w:val="Bullets"/>
    <w:basedOn w:val="Normal"/>
    <w:link w:val="BulletsChar"/>
    <w:qFormat/>
    <w:rsid w:val="00D959CA"/>
    <w:pPr>
      <w:numPr>
        <w:numId w:val="2"/>
      </w:numPr>
      <w:spacing w:before="60" w:after="60"/>
    </w:pPr>
    <w:rPr>
      <w:rFonts w:cs="Arial"/>
      <w:color w:val="000000"/>
      <w:szCs w:val="16"/>
      <w:lang w:eastAsia="en-US"/>
    </w:rPr>
  </w:style>
  <w:style w:type="character" w:customStyle="1" w:styleId="BulletsChar">
    <w:name w:val="Bullets Char"/>
    <w:link w:val="Bullets"/>
    <w:locked/>
    <w:rsid w:val="00D959CA"/>
    <w:rPr>
      <w:rFonts w:ascii="Book Antiqua" w:eastAsia="Times New Roman" w:hAnsi="Book Antiqua" w:cs="Arial"/>
      <w:color w:val="000000"/>
      <w:szCs w:val="16"/>
    </w:rPr>
  </w:style>
  <w:style w:type="paragraph" w:customStyle="1" w:styleId="TableTextNumbered">
    <w:name w:val="Table Text Numbered"/>
    <w:basedOn w:val="TableTextLeft"/>
    <w:qFormat/>
    <w:rsid w:val="00D959CA"/>
    <w:pPr>
      <w:numPr>
        <w:numId w:val="3"/>
      </w:numPr>
      <w:tabs>
        <w:tab w:val="num" w:pos="360"/>
      </w:tabs>
      <w:ind w:left="0" w:firstLine="0"/>
    </w:pPr>
  </w:style>
  <w:style w:type="paragraph" w:styleId="FootnoteText">
    <w:name w:val="footnote text"/>
    <w:basedOn w:val="Normal"/>
    <w:link w:val="FootnoteTextChar"/>
    <w:rsid w:val="00D959CA"/>
    <w:pPr>
      <w:spacing w:after="0"/>
    </w:pPr>
    <w:rPr>
      <w:sz w:val="20"/>
    </w:rPr>
  </w:style>
  <w:style w:type="character" w:customStyle="1" w:styleId="FootnoteTextChar">
    <w:name w:val="Footnote Text Char"/>
    <w:basedOn w:val="DefaultParagraphFont"/>
    <w:link w:val="FootnoteText"/>
    <w:rsid w:val="00D959CA"/>
    <w:rPr>
      <w:rFonts w:ascii="Book Antiqua" w:eastAsia="Times New Roman" w:hAnsi="Book Antiqua" w:cs="Times New Roman"/>
      <w:sz w:val="20"/>
      <w:szCs w:val="20"/>
      <w:lang w:eastAsia="en-AU"/>
    </w:rPr>
  </w:style>
  <w:style w:type="paragraph" w:styleId="BalloonText">
    <w:name w:val="Balloon Text"/>
    <w:basedOn w:val="Normal"/>
    <w:link w:val="BalloonTextChar"/>
    <w:uiPriority w:val="99"/>
    <w:semiHidden/>
    <w:unhideWhenUsed/>
    <w:rsid w:val="00D959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CA"/>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header" Target="header3.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image" Target="media/image10.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9.emf"/><Relationship Id="rId10" Type="http://schemas.openxmlformats.org/officeDocument/2006/relationships/footer" Target="footer3.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emf"/><Relationship Id="rId22"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1B68D839.dotm</Template>
  <TotalTime>3</TotalTime>
  <Pages>20</Pages>
  <Words>2068</Words>
  <Characters>11790</Characters>
  <Application>Microsoft Office Word</Application>
  <DocSecurity>0</DocSecurity>
  <Lines>98</Lines>
  <Paragraphs>27</Paragraphs>
  <ScaleCrop>false</ScaleCrop>
  <Company>Australian Government</Company>
  <LinksUpToDate>false</LinksUpToDate>
  <CharactersWithSpaces>13831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Walter</dc:creator>
  <cp:lastModifiedBy>Natasha Walter</cp:lastModifiedBy>
  <cp:revision>2</cp:revision>
  <dcterms:created xsi:type="dcterms:W3CDTF">2016-05-02T04:45:00Z</dcterms:created>
  <dcterms:modified xsi:type="dcterms:W3CDTF">2016-05-02T04:48:00Z</dcterms:modified>
</cp:coreProperties>
</file>