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4A36" w14:textId="4CCA39DD" w:rsidR="00EC6A53" w:rsidRPr="00F42A7F" w:rsidRDefault="003A2EFF" w:rsidP="008C0C26">
      <w:pPr>
        <w:pStyle w:val="Title"/>
        <w:spacing w:before="120"/>
        <w:rPr>
          <w:rFonts w:ascii="Aptos" w:hAnsi="Aptos"/>
          <w:noProof/>
        </w:rPr>
      </w:pPr>
      <w:r w:rsidRPr="00F42A7F">
        <w:rPr>
          <w:rFonts w:ascii="Aptos" w:hAnsi="Aptos"/>
          <w:noProof/>
        </w:rPr>
        <w:drawing>
          <wp:inline distT="0" distB="0" distL="0" distR="0" wp14:anchorId="0712A7B4" wp14:editId="051ABF1C">
            <wp:extent cx="2383155" cy="727075"/>
            <wp:effectExtent l="0" t="0" r="0" b="0"/>
            <wp:docPr id="1" name="Picture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Pr="00F42A7F">
        <w:rPr>
          <w:rFonts w:ascii="Aptos" w:hAnsi="Aptos"/>
          <w:noProof/>
        </w:rPr>
        <w:drawing>
          <wp:anchor distT="0" distB="0" distL="114300" distR="114300" simplePos="0" relativeHeight="251658240" behindDoc="1" locked="0" layoutInCell="1" allowOverlap="1" wp14:anchorId="46AB415B" wp14:editId="32F725E3">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0EDFC0CF" w14:textId="17644791" w:rsidR="008C0C26" w:rsidRPr="00F42A7F" w:rsidRDefault="008C0C26" w:rsidP="008C0C26">
      <w:pPr>
        <w:rPr>
          <w:rFonts w:ascii="Aptos" w:hAnsi="Aptos"/>
        </w:rPr>
      </w:pPr>
    </w:p>
    <w:p w14:paraId="75C449CB" w14:textId="7902CEE8" w:rsidR="00C87063" w:rsidRPr="00F42A7F" w:rsidRDefault="00635734" w:rsidP="00C87063">
      <w:pPr>
        <w:pStyle w:val="Title"/>
        <w:rPr>
          <w:rFonts w:ascii="Aptos" w:hAnsi="Aptos"/>
        </w:rPr>
      </w:pPr>
      <w:r w:rsidRPr="1FE74FA6">
        <w:rPr>
          <w:rFonts w:ascii="Aptos" w:hAnsi="Aptos"/>
        </w:rPr>
        <w:t xml:space="preserve">Procedures for Determining Breaches of the APS Code of Conduct and Deciding Sanctions </w:t>
      </w:r>
    </w:p>
    <w:p w14:paraId="68459122" w14:textId="53251F53" w:rsidR="00F4132C" w:rsidRPr="00F42A7F" w:rsidRDefault="00F4132C" w:rsidP="00F4132C">
      <w:pPr>
        <w:rPr>
          <w:rFonts w:ascii="Aptos" w:hAnsi="Aptos"/>
          <w:b/>
          <w:bCs/>
          <w:sz w:val="28"/>
          <w:szCs w:val="28"/>
        </w:rPr>
      </w:pPr>
    </w:p>
    <w:p w14:paraId="400A7ECD" w14:textId="42DE8C96" w:rsidR="00507B26" w:rsidRPr="00F42A7F" w:rsidRDefault="00507B26" w:rsidP="00F4132C">
      <w:pPr>
        <w:rPr>
          <w:rFonts w:ascii="Aptos" w:hAnsi="Aptos"/>
          <w:b/>
          <w:bCs/>
          <w:sz w:val="28"/>
          <w:szCs w:val="28"/>
        </w:rPr>
      </w:pPr>
      <w:r w:rsidRPr="00F42A7F">
        <w:rPr>
          <w:rFonts w:ascii="Aptos" w:hAnsi="Aptos"/>
          <w:b/>
          <w:bCs/>
          <w:sz w:val="28"/>
          <w:szCs w:val="28"/>
        </w:rPr>
        <w:t xml:space="preserve">Version: </w:t>
      </w:r>
      <w:r w:rsidR="0082483B" w:rsidRPr="00F42A7F">
        <w:rPr>
          <w:rFonts w:ascii="Aptos" w:hAnsi="Aptos"/>
          <w:b/>
          <w:bCs/>
          <w:sz w:val="28"/>
          <w:szCs w:val="28"/>
        </w:rPr>
        <w:t>1</w:t>
      </w:r>
      <w:r w:rsidRPr="00F42A7F">
        <w:rPr>
          <w:rFonts w:ascii="Aptos" w:hAnsi="Aptos"/>
          <w:b/>
          <w:bCs/>
          <w:sz w:val="28"/>
          <w:szCs w:val="28"/>
        </w:rPr>
        <w:t>.</w:t>
      </w:r>
      <w:r w:rsidR="003046BC">
        <w:rPr>
          <w:rFonts w:ascii="Aptos" w:hAnsi="Aptos"/>
          <w:b/>
          <w:bCs/>
          <w:sz w:val="28"/>
          <w:szCs w:val="28"/>
        </w:rPr>
        <w:t>1</w:t>
      </w:r>
    </w:p>
    <w:p w14:paraId="67718FD4" w14:textId="3A2673CD" w:rsidR="00507B26" w:rsidRPr="00F42A7F" w:rsidRDefault="00507B26" w:rsidP="00F4132C">
      <w:pPr>
        <w:rPr>
          <w:rFonts w:ascii="Aptos" w:hAnsi="Aptos"/>
          <w:b/>
          <w:bCs/>
          <w:sz w:val="28"/>
          <w:szCs w:val="28"/>
        </w:rPr>
      </w:pPr>
      <w:r w:rsidRPr="00F42A7F">
        <w:rPr>
          <w:rFonts w:ascii="Aptos" w:hAnsi="Aptos"/>
          <w:b/>
          <w:bCs/>
          <w:sz w:val="28"/>
          <w:szCs w:val="28"/>
        </w:rPr>
        <w:t>Effective date:</w:t>
      </w:r>
      <w:r w:rsidR="00B95F00" w:rsidRPr="00F42A7F">
        <w:rPr>
          <w:rFonts w:ascii="Aptos" w:hAnsi="Aptos"/>
          <w:b/>
          <w:bCs/>
          <w:sz w:val="28"/>
          <w:szCs w:val="28"/>
        </w:rPr>
        <w:t xml:space="preserve"> </w:t>
      </w:r>
      <w:r w:rsidR="00CB7391" w:rsidRPr="00326DFF">
        <w:rPr>
          <w:rFonts w:ascii="Aptos" w:hAnsi="Aptos"/>
          <w:b/>
          <w:bCs/>
          <w:sz w:val="28"/>
          <w:szCs w:val="28"/>
        </w:rPr>
        <w:t>31</w:t>
      </w:r>
      <w:r w:rsidR="00B95F00" w:rsidRPr="00326DFF">
        <w:rPr>
          <w:rFonts w:ascii="Aptos" w:hAnsi="Aptos"/>
          <w:b/>
          <w:bCs/>
          <w:sz w:val="28"/>
          <w:szCs w:val="28"/>
        </w:rPr>
        <w:t xml:space="preserve"> </w:t>
      </w:r>
      <w:r w:rsidR="003046BC" w:rsidRPr="00326DFF">
        <w:rPr>
          <w:rFonts w:ascii="Aptos" w:hAnsi="Aptos"/>
          <w:b/>
          <w:bCs/>
          <w:sz w:val="28"/>
          <w:szCs w:val="28"/>
        </w:rPr>
        <w:t>March</w:t>
      </w:r>
      <w:r w:rsidR="00B95F00" w:rsidRPr="00326DFF">
        <w:rPr>
          <w:rFonts w:ascii="Aptos" w:hAnsi="Aptos"/>
          <w:b/>
          <w:bCs/>
          <w:sz w:val="28"/>
          <w:szCs w:val="28"/>
        </w:rPr>
        <w:t xml:space="preserve"> </w:t>
      </w:r>
      <w:r w:rsidR="003046BC" w:rsidRPr="00326DFF">
        <w:rPr>
          <w:rFonts w:ascii="Aptos" w:hAnsi="Aptos"/>
          <w:b/>
          <w:bCs/>
          <w:sz w:val="28"/>
          <w:szCs w:val="28"/>
        </w:rPr>
        <w:t>2025</w:t>
      </w:r>
    </w:p>
    <w:p w14:paraId="46010D53" w14:textId="485802E7" w:rsidR="00BA2F66" w:rsidRPr="00F42A7F" w:rsidRDefault="00BA2F66" w:rsidP="00BA2F66">
      <w:pPr>
        <w:pStyle w:val="ListParagraph"/>
        <w:ind w:left="0"/>
        <w:rPr>
          <w:rFonts w:ascii="Aptos" w:hAnsi="Aptos"/>
          <w:i/>
          <w:iCs/>
        </w:rPr>
      </w:pPr>
    </w:p>
    <w:p w14:paraId="14DAA121" w14:textId="1F434CE1" w:rsidR="008C0C26" w:rsidRPr="00F42A7F" w:rsidRDefault="008C0C26" w:rsidP="008C0C26">
      <w:pPr>
        <w:ind w:firstLine="720"/>
        <w:rPr>
          <w:rFonts w:ascii="Aptos" w:eastAsiaTheme="majorEastAsia" w:hAnsi="Aptos" w:cstheme="majorBidi"/>
          <w:b/>
          <w:noProof/>
          <w:color w:val="404246"/>
          <w:spacing w:val="-10"/>
          <w:kern w:val="28"/>
          <w:sz w:val="60"/>
          <w:szCs w:val="56"/>
        </w:rPr>
      </w:pPr>
    </w:p>
    <w:p w14:paraId="0CECEAC3" w14:textId="3848AC23" w:rsidR="008C0C26" w:rsidRPr="00F42A7F" w:rsidRDefault="008C0C26" w:rsidP="008C0C26">
      <w:pPr>
        <w:tabs>
          <w:tab w:val="left" w:pos="720"/>
        </w:tabs>
        <w:rPr>
          <w:rFonts w:ascii="Aptos" w:hAnsi="Aptos"/>
        </w:rPr>
      </w:pPr>
    </w:p>
    <w:p w14:paraId="624A9399" w14:textId="1D98FD8E" w:rsidR="00F933CA" w:rsidRPr="00F42A7F" w:rsidRDefault="00F933CA" w:rsidP="008C0C26">
      <w:pPr>
        <w:tabs>
          <w:tab w:val="left" w:pos="720"/>
        </w:tabs>
        <w:rPr>
          <w:rFonts w:ascii="Aptos" w:hAnsi="Aptos"/>
        </w:rPr>
      </w:pPr>
    </w:p>
    <w:p w14:paraId="2F55EFED" w14:textId="2D7CEE5D" w:rsidR="00003035" w:rsidRPr="00F42A7F" w:rsidRDefault="00003035" w:rsidP="008C0C26">
      <w:pPr>
        <w:tabs>
          <w:tab w:val="left" w:pos="720"/>
        </w:tabs>
        <w:rPr>
          <w:rFonts w:ascii="Aptos" w:hAnsi="Aptos"/>
        </w:rPr>
      </w:pPr>
    </w:p>
    <w:p w14:paraId="11D06EA9" w14:textId="6E48098C" w:rsidR="00003035" w:rsidRPr="00F42A7F" w:rsidRDefault="00003035" w:rsidP="008C0C26">
      <w:pPr>
        <w:tabs>
          <w:tab w:val="left" w:pos="720"/>
        </w:tabs>
        <w:rPr>
          <w:rFonts w:ascii="Aptos" w:hAnsi="Aptos"/>
        </w:rPr>
      </w:pPr>
    </w:p>
    <w:p w14:paraId="10A15BF1" w14:textId="4A9CF72B" w:rsidR="00003035" w:rsidRPr="00F42A7F" w:rsidRDefault="00003035" w:rsidP="008C0C26">
      <w:pPr>
        <w:tabs>
          <w:tab w:val="left" w:pos="720"/>
        </w:tabs>
        <w:rPr>
          <w:rFonts w:ascii="Aptos" w:hAnsi="Aptos"/>
        </w:rPr>
      </w:pPr>
    </w:p>
    <w:p w14:paraId="4DA6CA1D" w14:textId="44B2C01A" w:rsidR="00003035" w:rsidRPr="00F42A7F" w:rsidRDefault="00003035" w:rsidP="008C0C26">
      <w:pPr>
        <w:tabs>
          <w:tab w:val="left" w:pos="720"/>
        </w:tabs>
        <w:rPr>
          <w:rFonts w:ascii="Aptos" w:hAnsi="Aptos"/>
        </w:rPr>
      </w:pPr>
    </w:p>
    <w:p w14:paraId="4E1F4115" w14:textId="46A148A0" w:rsidR="00003035" w:rsidRPr="00F42A7F" w:rsidRDefault="00003035" w:rsidP="008C0C26">
      <w:pPr>
        <w:tabs>
          <w:tab w:val="left" w:pos="720"/>
        </w:tabs>
        <w:rPr>
          <w:rFonts w:ascii="Aptos" w:hAnsi="Aptos"/>
        </w:rPr>
      </w:pPr>
    </w:p>
    <w:p w14:paraId="38C27418" w14:textId="3DB648BB" w:rsidR="00003035" w:rsidRPr="00F42A7F" w:rsidRDefault="00003035" w:rsidP="008C0C26">
      <w:pPr>
        <w:tabs>
          <w:tab w:val="left" w:pos="720"/>
        </w:tabs>
        <w:rPr>
          <w:rFonts w:ascii="Aptos" w:hAnsi="Aptos"/>
        </w:rPr>
      </w:pPr>
    </w:p>
    <w:p w14:paraId="0B92920F" w14:textId="2B8EEEED" w:rsidR="00003035" w:rsidRPr="00F42A7F" w:rsidRDefault="00003035" w:rsidP="008C0C26">
      <w:pPr>
        <w:tabs>
          <w:tab w:val="left" w:pos="720"/>
        </w:tabs>
        <w:rPr>
          <w:rFonts w:ascii="Aptos" w:hAnsi="Aptos"/>
        </w:rPr>
      </w:pPr>
    </w:p>
    <w:p w14:paraId="051A3263" w14:textId="7965F5CE" w:rsidR="00003035" w:rsidRPr="00F42A7F" w:rsidRDefault="00003035" w:rsidP="008C0C26">
      <w:pPr>
        <w:tabs>
          <w:tab w:val="left" w:pos="720"/>
        </w:tabs>
        <w:rPr>
          <w:rFonts w:ascii="Aptos" w:hAnsi="Aptos"/>
        </w:rPr>
        <w:sectPr w:rsidR="00003035" w:rsidRPr="00F42A7F" w:rsidSect="006F09E6">
          <w:headerReference w:type="default" r:id="rId11"/>
          <w:footerReference w:type="default" r:id="rId12"/>
          <w:headerReference w:type="first" r:id="rId13"/>
          <w:footerReference w:type="first" r:id="rId14"/>
          <w:type w:val="continuous"/>
          <w:pgSz w:w="11906" w:h="16838"/>
          <w:pgMar w:top="851" w:right="1418" w:bottom="1418" w:left="1418" w:header="0" w:footer="709" w:gutter="0"/>
          <w:cols w:space="708"/>
          <w:titlePg/>
          <w:docGrid w:linePitch="360"/>
        </w:sectPr>
      </w:pPr>
    </w:p>
    <w:p w14:paraId="6910ABD3" w14:textId="189D5F99" w:rsidR="00053A7D" w:rsidRPr="00F42A7F" w:rsidRDefault="00053A7D" w:rsidP="00466086">
      <w:pPr>
        <w:rPr>
          <w:rFonts w:ascii="Aptos" w:hAnsi="Aptos"/>
        </w:rPr>
      </w:pPr>
    </w:p>
    <w:p w14:paraId="2164805F" w14:textId="6C5DFDD6" w:rsidR="00053A7D" w:rsidRPr="00F42A7F" w:rsidRDefault="00053A7D" w:rsidP="00053A7D">
      <w:pPr>
        <w:rPr>
          <w:rFonts w:ascii="Aptos" w:hAnsi="Aptos"/>
        </w:rPr>
      </w:pPr>
      <w:r w:rsidRPr="00F42A7F">
        <w:rPr>
          <w:rFonts w:ascii="Aptos" w:eastAsia="Calibri" w:hAnsi="Aptos" w:cs="Calibri"/>
        </w:rPr>
        <w:t>© Commonwealth of Australia 2023</w:t>
      </w:r>
    </w:p>
    <w:p w14:paraId="279D8D5C"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The material in this document is licensed under a Creative Commons Attribution—4.0 International license, with the exception of: </w:t>
      </w:r>
    </w:p>
    <w:p w14:paraId="6244DBE2"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 the Commonwealth Coat of Arms </w:t>
      </w:r>
    </w:p>
    <w:p w14:paraId="06B468AA"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 this department’s logo </w:t>
      </w:r>
    </w:p>
    <w:p w14:paraId="521FE306"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 any third party material </w:t>
      </w:r>
    </w:p>
    <w:p w14:paraId="2C554FE5"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 any material protected by a </w:t>
      </w:r>
      <w:proofErr w:type="gramStart"/>
      <w:r w:rsidRPr="00F42A7F">
        <w:rPr>
          <w:rFonts w:ascii="Aptos" w:eastAsia="Calibri" w:hAnsi="Aptos" w:cs="Calibri"/>
        </w:rPr>
        <w:t>trade mark</w:t>
      </w:r>
      <w:proofErr w:type="gramEnd"/>
      <w:r w:rsidRPr="00F42A7F">
        <w:rPr>
          <w:rFonts w:ascii="Aptos" w:eastAsia="Calibri" w:hAnsi="Aptos" w:cs="Calibri"/>
        </w:rPr>
        <w:t xml:space="preserve">, and </w:t>
      </w:r>
    </w:p>
    <w:p w14:paraId="5FE6E18D"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 any images and/or photographs. </w:t>
      </w:r>
    </w:p>
    <w:p w14:paraId="3767C480" w14:textId="29423B2C" w:rsidR="00053A7D" w:rsidRPr="00F42A7F" w:rsidRDefault="00053A7D" w:rsidP="00053A7D">
      <w:pPr>
        <w:spacing w:line="240" w:lineRule="auto"/>
        <w:rPr>
          <w:rFonts w:ascii="Aptos" w:hAnsi="Aptos"/>
        </w:rPr>
      </w:pPr>
      <w:r w:rsidRPr="00F42A7F">
        <w:rPr>
          <w:rFonts w:ascii="Aptos" w:eastAsia="Calibri" w:hAnsi="Aptos" w:cs="Calibri"/>
        </w:rPr>
        <w:t xml:space="preserve">More information on this CC BY license is set out at the creative commons website: </w:t>
      </w:r>
      <w:hyperlink>
        <w:r w:rsidRPr="00F42A7F">
          <w:rPr>
            <w:rStyle w:val="Hyperlink"/>
            <w:rFonts w:ascii="Aptos" w:eastAsia="Calibri" w:hAnsi="Aptos" w:cs="Calibri"/>
          </w:rPr>
          <w:t>www.creativecommons.org</w:t>
        </w:r>
      </w:hyperlink>
      <w:r w:rsidRPr="00F42A7F">
        <w:rPr>
          <w:rFonts w:ascii="Aptos" w:eastAsia="Calibri" w:hAnsi="Aptos" w:cs="Calibri"/>
        </w:rPr>
        <w:t xml:space="preserve">. </w:t>
      </w:r>
    </w:p>
    <w:p w14:paraId="22EA3A05" w14:textId="77777777" w:rsidR="00053A7D" w:rsidRPr="00F42A7F" w:rsidRDefault="00053A7D" w:rsidP="00053A7D">
      <w:pPr>
        <w:spacing w:line="240" w:lineRule="auto"/>
        <w:rPr>
          <w:rFonts w:ascii="Aptos" w:hAnsi="Aptos"/>
        </w:rPr>
      </w:pPr>
      <w:r w:rsidRPr="00F42A7F">
        <w:rPr>
          <w:rFonts w:ascii="Aptos" w:eastAsia="Calibri" w:hAnsi="Aptos" w:cs="Calibri"/>
        </w:rPr>
        <w:t xml:space="preserve">Enquiries about this license and any use of this document can be sent to: </w:t>
      </w:r>
      <w:hyperlink r:id="rId15">
        <w:r w:rsidRPr="00F42A7F">
          <w:rPr>
            <w:rStyle w:val="Hyperlink"/>
            <w:rFonts w:ascii="Aptos" w:eastAsia="Calibri" w:hAnsi="Aptos" w:cs="Calibri"/>
            <w:color w:val="287BB3"/>
          </w:rPr>
          <w:t>copyright@dewr.gov.au</w:t>
        </w:r>
      </w:hyperlink>
      <w:r w:rsidRPr="00F42A7F">
        <w:rPr>
          <w:rFonts w:ascii="Aptos" w:eastAsia="Calibri" w:hAnsi="Aptos" w:cs="Calibri"/>
        </w:rPr>
        <w:t xml:space="preserve">. </w:t>
      </w:r>
    </w:p>
    <w:p w14:paraId="0EC08B4A" w14:textId="7DA18DCD" w:rsidR="00053A7D" w:rsidRPr="00F42A7F" w:rsidRDefault="00053A7D" w:rsidP="00053A7D">
      <w:pPr>
        <w:spacing w:line="240" w:lineRule="auto"/>
        <w:rPr>
          <w:rFonts w:ascii="Aptos" w:hAnsi="Aptos"/>
        </w:rPr>
      </w:pPr>
      <w:r w:rsidRPr="00F42A7F">
        <w:rPr>
          <w:rFonts w:ascii="Aptos" w:eastAsia="Calibri" w:hAnsi="Aptos" w:cs="Calibri"/>
        </w:rPr>
        <w:t xml:space="preserve">Use of all or part of this document must include the following attribution: </w:t>
      </w:r>
    </w:p>
    <w:p w14:paraId="0BAC5593" w14:textId="78BD3DE5" w:rsidR="00053A7D" w:rsidRPr="00F42A7F" w:rsidRDefault="00053A7D" w:rsidP="00053A7D">
      <w:pPr>
        <w:spacing w:line="240" w:lineRule="auto"/>
        <w:rPr>
          <w:rFonts w:ascii="Aptos" w:hAnsi="Aptos"/>
        </w:rPr>
      </w:pPr>
      <w:r w:rsidRPr="00F42A7F">
        <w:rPr>
          <w:rFonts w:ascii="Aptos" w:eastAsia="Calibri" w:hAnsi="Aptos" w:cs="Calibri"/>
        </w:rPr>
        <w:t xml:space="preserve">© Commonwealth of Australia 2023 </w:t>
      </w:r>
    </w:p>
    <w:p w14:paraId="6D5BAB03" w14:textId="0188D099" w:rsidR="00053A7D" w:rsidRPr="00F42A7F" w:rsidRDefault="00053A7D" w:rsidP="00053A7D">
      <w:pPr>
        <w:spacing w:line="240" w:lineRule="auto"/>
        <w:rPr>
          <w:rFonts w:ascii="Aptos" w:hAnsi="Aptos"/>
        </w:rPr>
      </w:pPr>
      <w:r w:rsidRPr="00F42A7F">
        <w:rPr>
          <w:rFonts w:ascii="Aptos" w:eastAsia="Calibri" w:hAnsi="Aptos" w:cs="Calibri"/>
        </w:rPr>
        <w:t xml:space="preserve">The terms of use for the Commonwealth Coat of Arms are available from the It’s an Honour website: </w:t>
      </w:r>
      <w:hyperlink r:id="rId16">
        <w:r w:rsidRPr="00F42A7F">
          <w:rPr>
            <w:rStyle w:val="Hyperlink"/>
            <w:rFonts w:ascii="Aptos" w:eastAsia="Calibri" w:hAnsi="Aptos" w:cs="Calibri"/>
          </w:rPr>
          <w:t>https://pmc.gov.au/government/its-honour</w:t>
        </w:r>
      </w:hyperlink>
      <w:r w:rsidRPr="00F42A7F">
        <w:rPr>
          <w:rFonts w:ascii="Aptos" w:eastAsia="Calibri" w:hAnsi="Aptos" w:cs="Calibri"/>
        </w:rPr>
        <w:t>.</w:t>
      </w:r>
    </w:p>
    <w:p w14:paraId="412EA1E4" w14:textId="035FFC05" w:rsidR="00053A7D" w:rsidRPr="00F42A7F" w:rsidRDefault="00053A7D" w:rsidP="00466086">
      <w:pPr>
        <w:rPr>
          <w:rFonts w:ascii="Aptos" w:hAnsi="Aptos"/>
        </w:rPr>
      </w:pPr>
    </w:p>
    <w:p w14:paraId="6CDE564D" w14:textId="0AEAD9E9" w:rsidR="00053A7D" w:rsidRPr="00F42A7F" w:rsidRDefault="00053A7D" w:rsidP="00466086">
      <w:pPr>
        <w:rPr>
          <w:rFonts w:ascii="Aptos" w:hAnsi="Aptos"/>
        </w:rPr>
      </w:pPr>
    </w:p>
    <w:p w14:paraId="5F41B245" w14:textId="3F2AD970" w:rsidR="00053A7D" w:rsidRPr="00F42A7F" w:rsidRDefault="00053A7D" w:rsidP="00466086">
      <w:pPr>
        <w:rPr>
          <w:rFonts w:ascii="Aptos" w:hAnsi="Aptos"/>
        </w:rPr>
      </w:pPr>
    </w:p>
    <w:p w14:paraId="014CB352" w14:textId="0CADD428" w:rsidR="00053A7D" w:rsidRPr="00F42A7F" w:rsidRDefault="00053A7D" w:rsidP="00466086">
      <w:pPr>
        <w:rPr>
          <w:rFonts w:ascii="Aptos" w:hAnsi="Aptos"/>
        </w:rPr>
      </w:pPr>
    </w:p>
    <w:p w14:paraId="5CA52487" w14:textId="08D1001F" w:rsidR="00053A7D" w:rsidRPr="00F42A7F" w:rsidRDefault="00053A7D" w:rsidP="00466086">
      <w:pPr>
        <w:rPr>
          <w:rFonts w:ascii="Aptos" w:hAnsi="Aptos"/>
        </w:rPr>
      </w:pPr>
    </w:p>
    <w:p w14:paraId="671458FE" w14:textId="1B830735" w:rsidR="00053A7D" w:rsidRPr="00F42A7F" w:rsidRDefault="00053A7D" w:rsidP="00466086">
      <w:pPr>
        <w:rPr>
          <w:rFonts w:ascii="Aptos" w:hAnsi="Aptos"/>
        </w:rPr>
      </w:pPr>
    </w:p>
    <w:p w14:paraId="29AA2846" w14:textId="2C5D280C" w:rsidR="00053A7D" w:rsidRPr="00F42A7F" w:rsidRDefault="00053A7D" w:rsidP="00466086">
      <w:pPr>
        <w:rPr>
          <w:rFonts w:ascii="Aptos" w:hAnsi="Aptos"/>
        </w:rPr>
      </w:pPr>
    </w:p>
    <w:p w14:paraId="36EC029B" w14:textId="601BD040" w:rsidR="00466086" w:rsidRPr="00F42A7F" w:rsidRDefault="00466086" w:rsidP="00466086">
      <w:pPr>
        <w:rPr>
          <w:rFonts w:ascii="Aptos" w:hAnsi="Aptos"/>
        </w:rPr>
      </w:pPr>
    </w:p>
    <w:p w14:paraId="6CE60A90" w14:textId="77777777" w:rsidR="00466086" w:rsidRPr="00F42A7F" w:rsidRDefault="00466086" w:rsidP="00466086">
      <w:pPr>
        <w:rPr>
          <w:rFonts w:ascii="Aptos" w:hAnsi="Aptos"/>
        </w:rPr>
      </w:pPr>
    </w:p>
    <w:p w14:paraId="5FD41BA2" w14:textId="77777777" w:rsidR="00466086" w:rsidRPr="00F42A7F" w:rsidRDefault="00466086" w:rsidP="00466086">
      <w:pPr>
        <w:rPr>
          <w:rFonts w:ascii="Aptos" w:hAnsi="Aptos"/>
        </w:rPr>
      </w:pPr>
    </w:p>
    <w:p w14:paraId="6A7CDEAF" w14:textId="77777777" w:rsidR="00466086" w:rsidRPr="00F42A7F" w:rsidRDefault="00466086" w:rsidP="00466086">
      <w:pPr>
        <w:rPr>
          <w:rFonts w:ascii="Aptos" w:hAnsi="Aptos"/>
        </w:rPr>
      </w:pPr>
    </w:p>
    <w:p w14:paraId="040E6DF0" w14:textId="77777777" w:rsidR="00466086" w:rsidRPr="00F42A7F" w:rsidRDefault="00466086" w:rsidP="00466086">
      <w:pPr>
        <w:rPr>
          <w:rFonts w:ascii="Aptos" w:hAnsi="Aptos"/>
        </w:rPr>
      </w:pPr>
    </w:p>
    <w:p w14:paraId="2ECB44CC" w14:textId="77777777" w:rsidR="00466086" w:rsidRPr="00F42A7F" w:rsidRDefault="00466086" w:rsidP="00466086">
      <w:pPr>
        <w:rPr>
          <w:rFonts w:ascii="Aptos" w:hAnsi="Aptos"/>
        </w:rPr>
      </w:pPr>
    </w:p>
    <w:p w14:paraId="14E1CAD0" w14:textId="77777777" w:rsidR="00466086" w:rsidRPr="00F42A7F" w:rsidRDefault="00466086" w:rsidP="00466086">
      <w:pPr>
        <w:rPr>
          <w:rFonts w:ascii="Aptos" w:hAnsi="Aptos"/>
        </w:rPr>
      </w:pPr>
    </w:p>
    <w:sdt>
      <w:sdtPr>
        <w:rPr>
          <w:rFonts w:ascii="Aptos" w:eastAsiaTheme="minorEastAsia" w:hAnsi="Aptos" w:cstheme="minorBidi"/>
          <w:b w:val="0"/>
          <w:color w:val="auto"/>
          <w:sz w:val="22"/>
          <w:szCs w:val="22"/>
        </w:rPr>
        <w:id w:val="-2104955960"/>
        <w:docPartObj>
          <w:docPartGallery w:val="Table of Contents"/>
          <w:docPartUnique/>
        </w:docPartObj>
      </w:sdtPr>
      <w:sdtEndPr>
        <w:rPr>
          <w:noProof/>
        </w:rPr>
      </w:sdtEndPr>
      <w:sdtContent>
        <w:p w14:paraId="56F39766" w14:textId="50A49D7F" w:rsidR="00466086" w:rsidRPr="00F42A7F" w:rsidRDefault="00466086">
          <w:pPr>
            <w:pStyle w:val="TOCHeading"/>
            <w:rPr>
              <w:rFonts w:ascii="Aptos" w:hAnsi="Aptos"/>
            </w:rPr>
          </w:pPr>
          <w:r w:rsidRPr="00F42A7F">
            <w:rPr>
              <w:rFonts w:ascii="Aptos" w:hAnsi="Aptos"/>
            </w:rPr>
            <w:t>Contents</w:t>
          </w:r>
        </w:p>
        <w:p w14:paraId="0AE5B871" w14:textId="4732438D" w:rsidR="00584F72" w:rsidRDefault="00466086">
          <w:pPr>
            <w:pStyle w:val="TOC1"/>
            <w:rPr>
              <w:rFonts w:eastAsiaTheme="minorEastAsia"/>
              <w:b w:val="0"/>
              <w:noProof/>
              <w:kern w:val="2"/>
              <w:sz w:val="24"/>
              <w:szCs w:val="24"/>
              <w:lang w:eastAsia="en-AU"/>
              <w14:ligatures w14:val="standardContextual"/>
            </w:rPr>
          </w:pPr>
          <w:r w:rsidRPr="00F42A7F">
            <w:rPr>
              <w:rFonts w:ascii="Aptos" w:hAnsi="Aptos"/>
            </w:rPr>
            <w:fldChar w:fldCharType="begin"/>
          </w:r>
          <w:r w:rsidRPr="00F42A7F">
            <w:rPr>
              <w:rFonts w:ascii="Aptos" w:hAnsi="Aptos"/>
            </w:rPr>
            <w:instrText xml:space="preserve"> TOC \o "1-3" \h \z \u </w:instrText>
          </w:r>
          <w:r w:rsidRPr="00F42A7F">
            <w:rPr>
              <w:rFonts w:ascii="Aptos" w:hAnsi="Aptos"/>
            </w:rPr>
            <w:fldChar w:fldCharType="separate"/>
          </w:r>
          <w:hyperlink w:anchor="_Toc194054497" w:history="1">
            <w:r w:rsidR="00584F72" w:rsidRPr="00C41DE8">
              <w:rPr>
                <w:rStyle w:val="Hyperlink"/>
                <w:rFonts w:ascii="Aptos" w:hAnsi="Aptos"/>
                <w:noProof/>
              </w:rPr>
              <w:t>1.</w:t>
            </w:r>
            <w:r w:rsidR="00584F72">
              <w:rPr>
                <w:rFonts w:eastAsiaTheme="minorEastAsia"/>
                <w:b w:val="0"/>
                <w:noProof/>
                <w:kern w:val="2"/>
                <w:sz w:val="24"/>
                <w:szCs w:val="24"/>
                <w:lang w:eastAsia="en-AU"/>
                <w14:ligatures w14:val="standardContextual"/>
              </w:rPr>
              <w:tab/>
            </w:r>
            <w:r w:rsidR="00584F72" w:rsidRPr="00C41DE8">
              <w:rPr>
                <w:rStyle w:val="Hyperlink"/>
                <w:rFonts w:ascii="Aptos" w:hAnsi="Aptos"/>
                <w:bCs/>
                <w:noProof/>
              </w:rPr>
              <w:t>Application of procedures</w:t>
            </w:r>
            <w:r w:rsidR="00584F72">
              <w:rPr>
                <w:noProof/>
                <w:webHidden/>
              </w:rPr>
              <w:tab/>
            </w:r>
            <w:r w:rsidR="00584F72">
              <w:rPr>
                <w:noProof/>
                <w:webHidden/>
              </w:rPr>
              <w:fldChar w:fldCharType="begin"/>
            </w:r>
            <w:r w:rsidR="00584F72">
              <w:rPr>
                <w:noProof/>
                <w:webHidden/>
              </w:rPr>
              <w:instrText xml:space="preserve"> PAGEREF _Toc194054497 \h </w:instrText>
            </w:r>
            <w:r w:rsidR="00584F72">
              <w:rPr>
                <w:noProof/>
                <w:webHidden/>
              </w:rPr>
            </w:r>
            <w:r w:rsidR="00584F72">
              <w:rPr>
                <w:noProof/>
                <w:webHidden/>
              </w:rPr>
              <w:fldChar w:fldCharType="separate"/>
            </w:r>
            <w:r w:rsidR="00AD02C9">
              <w:rPr>
                <w:noProof/>
                <w:webHidden/>
              </w:rPr>
              <w:t>4</w:t>
            </w:r>
            <w:r w:rsidR="00584F72">
              <w:rPr>
                <w:noProof/>
                <w:webHidden/>
              </w:rPr>
              <w:fldChar w:fldCharType="end"/>
            </w:r>
          </w:hyperlink>
        </w:p>
        <w:p w14:paraId="29E19042" w14:textId="032943DF" w:rsidR="00584F72" w:rsidRDefault="00584F72">
          <w:pPr>
            <w:pStyle w:val="TOC1"/>
            <w:rPr>
              <w:rFonts w:eastAsiaTheme="minorEastAsia"/>
              <w:b w:val="0"/>
              <w:noProof/>
              <w:kern w:val="2"/>
              <w:sz w:val="24"/>
              <w:szCs w:val="24"/>
              <w:lang w:eastAsia="en-AU"/>
              <w14:ligatures w14:val="standardContextual"/>
            </w:rPr>
          </w:pPr>
          <w:hyperlink w:anchor="_Toc194054498" w:history="1">
            <w:r w:rsidRPr="00C41DE8">
              <w:rPr>
                <w:rStyle w:val="Hyperlink"/>
                <w:rFonts w:ascii="Aptos" w:hAnsi="Aptos"/>
                <w:noProof/>
              </w:rPr>
              <w:t>2.</w:t>
            </w:r>
            <w:r>
              <w:rPr>
                <w:rFonts w:eastAsiaTheme="minorEastAsia"/>
                <w:b w:val="0"/>
                <w:noProof/>
                <w:kern w:val="2"/>
                <w:sz w:val="24"/>
                <w:szCs w:val="24"/>
                <w:lang w:eastAsia="en-AU"/>
                <w14:ligatures w14:val="standardContextual"/>
              </w:rPr>
              <w:tab/>
            </w:r>
            <w:r w:rsidRPr="00C41DE8">
              <w:rPr>
                <w:rStyle w:val="Hyperlink"/>
                <w:rFonts w:ascii="Aptos" w:hAnsi="Aptos"/>
                <w:bCs/>
                <w:noProof/>
              </w:rPr>
              <w:t>Availability of procedures of effect</w:t>
            </w:r>
            <w:r>
              <w:rPr>
                <w:noProof/>
                <w:webHidden/>
              </w:rPr>
              <w:tab/>
            </w:r>
            <w:r>
              <w:rPr>
                <w:noProof/>
                <w:webHidden/>
              </w:rPr>
              <w:fldChar w:fldCharType="begin"/>
            </w:r>
            <w:r>
              <w:rPr>
                <w:noProof/>
                <w:webHidden/>
              </w:rPr>
              <w:instrText xml:space="preserve"> PAGEREF _Toc194054498 \h </w:instrText>
            </w:r>
            <w:r>
              <w:rPr>
                <w:noProof/>
                <w:webHidden/>
              </w:rPr>
            </w:r>
            <w:r>
              <w:rPr>
                <w:noProof/>
                <w:webHidden/>
              </w:rPr>
              <w:fldChar w:fldCharType="separate"/>
            </w:r>
            <w:r w:rsidR="00AD02C9">
              <w:rPr>
                <w:noProof/>
                <w:webHidden/>
              </w:rPr>
              <w:t>4</w:t>
            </w:r>
            <w:r>
              <w:rPr>
                <w:noProof/>
                <w:webHidden/>
              </w:rPr>
              <w:fldChar w:fldCharType="end"/>
            </w:r>
          </w:hyperlink>
        </w:p>
        <w:p w14:paraId="4D67F936" w14:textId="446FF438" w:rsidR="00584F72" w:rsidRDefault="00584F72">
          <w:pPr>
            <w:pStyle w:val="TOC1"/>
            <w:rPr>
              <w:rFonts w:eastAsiaTheme="minorEastAsia"/>
              <w:b w:val="0"/>
              <w:noProof/>
              <w:kern w:val="2"/>
              <w:sz w:val="24"/>
              <w:szCs w:val="24"/>
              <w:lang w:eastAsia="en-AU"/>
              <w14:ligatures w14:val="standardContextual"/>
            </w:rPr>
          </w:pPr>
          <w:hyperlink w:anchor="_Toc194054499" w:history="1">
            <w:r w:rsidRPr="00C41DE8">
              <w:rPr>
                <w:rStyle w:val="Hyperlink"/>
                <w:rFonts w:ascii="Aptos" w:hAnsi="Aptos"/>
                <w:noProof/>
              </w:rPr>
              <w:t>3.</w:t>
            </w:r>
            <w:r>
              <w:rPr>
                <w:rFonts w:eastAsiaTheme="minorEastAsia"/>
                <w:b w:val="0"/>
                <w:noProof/>
                <w:kern w:val="2"/>
                <w:sz w:val="24"/>
                <w:szCs w:val="24"/>
                <w:lang w:eastAsia="en-AU"/>
                <w14:ligatures w14:val="standardContextual"/>
              </w:rPr>
              <w:tab/>
            </w:r>
            <w:r w:rsidRPr="00C41DE8">
              <w:rPr>
                <w:rStyle w:val="Hyperlink"/>
                <w:rFonts w:ascii="Aptos" w:hAnsi="Aptos"/>
                <w:bCs/>
                <w:noProof/>
              </w:rPr>
              <w:t>Decision to initiate Code process</w:t>
            </w:r>
            <w:r>
              <w:rPr>
                <w:noProof/>
                <w:webHidden/>
              </w:rPr>
              <w:tab/>
            </w:r>
            <w:r>
              <w:rPr>
                <w:noProof/>
                <w:webHidden/>
              </w:rPr>
              <w:fldChar w:fldCharType="begin"/>
            </w:r>
            <w:r>
              <w:rPr>
                <w:noProof/>
                <w:webHidden/>
              </w:rPr>
              <w:instrText xml:space="preserve"> PAGEREF _Toc194054499 \h </w:instrText>
            </w:r>
            <w:r>
              <w:rPr>
                <w:noProof/>
                <w:webHidden/>
              </w:rPr>
            </w:r>
            <w:r>
              <w:rPr>
                <w:noProof/>
                <w:webHidden/>
              </w:rPr>
              <w:fldChar w:fldCharType="separate"/>
            </w:r>
            <w:r w:rsidR="00AD02C9">
              <w:rPr>
                <w:noProof/>
                <w:webHidden/>
              </w:rPr>
              <w:t>4</w:t>
            </w:r>
            <w:r>
              <w:rPr>
                <w:noProof/>
                <w:webHidden/>
              </w:rPr>
              <w:fldChar w:fldCharType="end"/>
            </w:r>
          </w:hyperlink>
        </w:p>
        <w:p w14:paraId="28D0602A" w14:textId="08A24FE5" w:rsidR="00584F72" w:rsidRDefault="00584F72">
          <w:pPr>
            <w:pStyle w:val="TOC1"/>
            <w:rPr>
              <w:rFonts w:eastAsiaTheme="minorEastAsia"/>
              <w:b w:val="0"/>
              <w:noProof/>
              <w:kern w:val="2"/>
              <w:sz w:val="24"/>
              <w:szCs w:val="24"/>
              <w:lang w:eastAsia="en-AU"/>
              <w14:ligatures w14:val="standardContextual"/>
            </w:rPr>
          </w:pPr>
          <w:hyperlink w:anchor="_Toc194054500" w:history="1">
            <w:r w:rsidRPr="00C41DE8">
              <w:rPr>
                <w:rStyle w:val="Hyperlink"/>
                <w:rFonts w:ascii="Aptos" w:hAnsi="Aptos"/>
                <w:noProof/>
              </w:rPr>
              <w:t>4.</w:t>
            </w:r>
            <w:r>
              <w:rPr>
                <w:rFonts w:eastAsiaTheme="minorEastAsia"/>
                <w:b w:val="0"/>
                <w:noProof/>
                <w:kern w:val="2"/>
                <w:sz w:val="24"/>
                <w:szCs w:val="24"/>
                <w:lang w:eastAsia="en-AU"/>
                <w14:ligatures w14:val="standardContextual"/>
              </w:rPr>
              <w:tab/>
            </w:r>
            <w:r w:rsidRPr="00C41DE8">
              <w:rPr>
                <w:rStyle w:val="Hyperlink"/>
                <w:rFonts w:ascii="Aptos" w:hAnsi="Aptos"/>
                <w:bCs/>
                <w:noProof/>
              </w:rPr>
              <w:t>Breach decision-maker</w:t>
            </w:r>
            <w:r>
              <w:rPr>
                <w:noProof/>
                <w:webHidden/>
              </w:rPr>
              <w:tab/>
            </w:r>
            <w:r>
              <w:rPr>
                <w:noProof/>
                <w:webHidden/>
              </w:rPr>
              <w:fldChar w:fldCharType="begin"/>
            </w:r>
            <w:r>
              <w:rPr>
                <w:noProof/>
                <w:webHidden/>
              </w:rPr>
              <w:instrText xml:space="preserve"> PAGEREF _Toc194054500 \h </w:instrText>
            </w:r>
            <w:r>
              <w:rPr>
                <w:noProof/>
                <w:webHidden/>
              </w:rPr>
            </w:r>
            <w:r>
              <w:rPr>
                <w:noProof/>
                <w:webHidden/>
              </w:rPr>
              <w:fldChar w:fldCharType="separate"/>
            </w:r>
            <w:r w:rsidR="00AD02C9">
              <w:rPr>
                <w:noProof/>
                <w:webHidden/>
              </w:rPr>
              <w:t>5</w:t>
            </w:r>
            <w:r>
              <w:rPr>
                <w:noProof/>
                <w:webHidden/>
              </w:rPr>
              <w:fldChar w:fldCharType="end"/>
            </w:r>
          </w:hyperlink>
        </w:p>
        <w:p w14:paraId="5D05F30A" w14:textId="0447F945" w:rsidR="00584F72" w:rsidRDefault="00584F72">
          <w:pPr>
            <w:pStyle w:val="TOC1"/>
            <w:rPr>
              <w:rFonts w:eastAsiaTheme="minorEastAsia"/>
              <w:b w:val="0"/>
              <w:noProof/>
              <w:kern w:val="2"/>
              <w:sz w:val="24"/>
              <w:szCs w:val="24"/>
              <w:lang w:eastAsia="en-AU"/>
              <w14:ligatures w14:val="standardContextual"/>
            </w:rPr>
          </w:pPr>
          <w:hyperlink w:anchor="_Toc194054501" w:history="1">
            <w:r w:rsidRPr="00C41DE8">
              <w:rPr>
                <w:rStyle w:val="Hyperlink"/>
                <w:rFonts w:ascii="Aptos" w:hAnsi="Aptos"/>
                <w:noProof/>
              </w:rPr>
              <w:t>5.</w:t>
            </w:r>
            <w:r>
              <w:rPr>
                <w:rFonts w:eastAsiaTheme="minorEastAsia"/>
                <w:b w:val="0"/>
                <w:noProof/>
                <w:kern w:val="2"/>
                <w:sz w:val="24"/>
                <w:szCs w:val="24"/>
                <w:lang w:eastAsia="en-AU"/>
                <w14:ligatures w14:val="standardContextual"/>
              </w:rPr>
              <w:tab/>
            </w:r>
            <w:r w:rsidRPr="00C41DE8">
              <w:rPr>
                <w:rStyle w:val="Hyperlink"/>
                <w:rFonts w:ascii="Aptos" w:hAnsi="Aptos"/>
                <w:noProof/>
              </w:rPr>
              <w:t>Sanction Delegate</w:t>
            </w:r>
            <w:r>
              <w:rPr>
                <w:noProof/>
                <w:webHidden/>
              </w:rPr>
              <w:tab/>
            </w:r>
            <w:r>
              <w:rPr>
                <w:noProof/>
                <w:webHidden/>
              </w:rPr>
              <w:fldChar w:fldCharType="begin"/>
            </w:r>
            <w:r>
              <w:rPr>
                <w:noProof/>
                <w:webHidden/>
              </w:rPr>
              <w:instrText xml:space="preserve"> PAGEREF _Toc194054501 \h </w:instrText>
            </w:r>
            <w:r>
              <w:rPr>
                <w:noProof/>
                <w:webHidden/>
              </w:rPr>
            </w:r>
            <w:r>
              <w:rPr>
                <w:noProof/>
                <w:webHidden/>
              </w:rPr>
              <w:fldChar w:fldCharType="separate"/>
            </w:r>
            <w:r w:rsidR="00AD02C9">
              <w:rPr>
                <w:noProof/>
                <w:webHidden/>
              </w:rPr>
              <w:t>5</w:t>
            </w:r>
            <w:r>
              <w:rPr>
                <w:noProof/>
                <w:webHidden/>
              </w:rPr>
              <w:fldChar w:fldCharType="end"/>
            </w:r>
          </w:hyperlink>
        </w:p>
        <w:p w14:paraId="4849A0EC" w14:textId="22FDB88F" w:rsidR="00584F72" w:rsidRDefault="00584F72">
          <w:pPr>
            <w:pStyle w:val="TOC1"/>
            <w:rPr>
              <w:rFonts w:eastAsiaTheme="minorEastAsia"/>
              <w:b w:val="0"/>
              <w:noProof/>
              <w:kern w:val="2"/>
              <w:sz w:val="24"/>
              <w:szCs w:val="24"/>
              <w:lang w:eastAsia="en-AU"/>
              <w14:ligatures w14:val="standardContextual"/>
            </w:rPr>
          </w:pPr>
          <w:hyperlink w:anchor="_Toc194054502" w:history="1">
            <w:r w:rsidRPr="00C41DE8">
              <w:rPr>
                <w:rStyle w:val="Hyperlink"/>
                <w:rFonts w:ascii="Aptos" w:hAnsi="Aptos"/>
                <w:noProof/>
              </w:rPr>
              <w:t>6.</w:t>
            </w:r>
            <w:r>
              <w:rPr>
                <w:rFonts w:eastAsiaTheme="minorEastAsia"/>
                <w:b w:val="0"/>
                <w:noProof/>
                <w:kern w:val="2"/>
                <w:sz w:val="24"/>
                <w:szCs w:val="24"/>
                <w:lang w:eastAsia="en-AU"/>
                <w14:ligatures w14:val="standardContextual"/>
              </w:rPr>
              <w:tab/>
            </w:r>
            <w:r w:rsidRPr="00C41DE8">
              <w:rPr>
                <w:rStyle w:val="Hyperlink"/>
                <w:rFonts w:ascii="Aptos" w:hAnsi="Aptos"/>
                <w:noProof/>
              </w:rPr>
              <w:t>Suspension Delegate</w:t>
            </w:r>
            <w:r>
              <w:rPr>
                <w:noProof/>
                <w:webHidden/>
              </w:rPr>
              <w:tab/>
            </w:r>
            <w:r>
              <w:rPr>
                <w:noProof/>
                <w:webHidden/>
              </w:rPr>
              <w:fldChar w:fldCharType="begin"/>
            </w:r>
            <w:r>
              <w:rPr>
                <w:noProof/>
                <w:webHidden/>
              </w:rPr>
              <w:instrText xml:space="preserve"> PAGEREF _Toc194054502 \h </w:instrText>
            </w:r>
            <w:r>
              <w:rPr>
                <w:noProof/>
                <w:webHidden/>
              </w:rPr>
            </w:r>
            <w:r>
              <w:rPr>
                <w:noProof/>
                <w:webHidden/>
              </w:rPr>
              <w:fldChar w:fldCharType="separate"/>
            </w:r>
            <w:r w:rsidR="00AD02C9">
              <w:rPr>
                <w:noProof/>
                <w:webHidden/>
              </w:rPr>
              <w:t>5</w:t>
            </w:r>
            <w:r>
              <w:rPr>
                <w:noProof/>
                <w:webHidden/>
              </w:rPr>
              <w:fldChar w:fldCharType="end"/>
            </w:r>
          </w:hyperlink>
        </w:p>
        <w:p w14:paraId="4BAF52DA" w14:textId="1DE60930" w:rsidR="00584F72" w:rsidRDefault="00584F72">
          <w:pPr>
            <w:pStyle w:val="TOC1"/>
            <w:rPr>
              <w:rFonts w:eastAsiaTheme="minorEastAsia"/>
              <w:b w:val="0"/>
              <w:noProof/>
              <w:kern w:val="2"/>
              <w:sz w:val="24"/>
              <w:szCs w:val="24"/>
              <w:lang w:eastAsia="en-AU"/>
              <w14:ligatures w14:val="standardContextual"/>
            </w:rPr>
          </w:pPr>
          <w:hyperlink w:anchor="_Toc194054503" w:history="1">
            <w:r w:rsidRPr="00C41DE8">
              <w:rPr>
                <w:rStyle w:val="Hyperlink"/>
                <w:rFonts w:ascii="Aptos" w:hAnsi="Aptos"/>
                <w:noProof/>
              </w:rPr>
              <w:t>7.</w:t>
            </w:r>
            <w:r>
              <w:rPr>
                <w:rFonts w:eastAsiaTheme="minorEastAsia"/>
                <w:b w:val="0"/>
                <w:noProof/>
                <w:kern w:val="2"/>
                <w:sz w:val="24"/>
                <w:szCs w:val="24"/>
                <w:lang w:eastAsia="en-AU"/>
                <w14:ligatures w14:val="standardContextual"/>
              </w:rPr>
              <w:tab/>
            </w:r>
            <w:r w:rsidRPr="00C41DE8">
              <w:rPr>
                <w:rStyle w:val="Hyperlink"/>
                <w:rFonts w:ascii="Aptos" w:hAnsi="Aptos"/>
                <w:bCs/>
                <w:noProof/>
              </w:rPr>
              <w:t>Breach decision-maker</w:t>
            </w:r>
            <w:r w:rsidRPr="00C41DE8">
              <w:rPr>
                <w:rStyle w:val="Hyperlink"/>
                <w:rFonts w:ascii="Aptos" w:hAnsi="Aptos"/>
                <w:noProof/>
              </w:rPr>
              <w:t xml:space="preserve"> and sanction delegate to be independent and unbiased</w:t>
            </w:r>
            <w:r>
              <w:rPr>
                <w:noProof/>
                <w:webHidden/>
              </w:rPr>
              <w:tab/>
            </w:r>
            <w:r>
              <w:rPr>
                <w:noProof/>
                <w:webHidden/>
              </w:rPr>
              <w:fldChar w:fldCharType="begin"/>
            </w:r>
            <w:r>
              <w:rPr>
                <w:noProof/>
                <w:webHidden/>
              </w:rPr>
              <w:instrText xml:space="preserve"> PAGEREF _Toc194054503 \h </w:instrText>
            </w:r>
            <w:r>
              <w:rPr>
                <w:noProof/>
                <w:webHidden/>
              </w:rPr>
            </w:r>
            <w:r>
              <w:rPr>
                <w:noProof/>
                <w:webHidden/>
              </w:rPr>
              <w:fldChar w:fldCharType="separate"/>
            </w:r>
            <w:r w:rsidR="00AD02C9">
              <w:rPr>
                <w:noProof/>
                <w:webHidden/>
              </w:rPr>
              <w:t>6</w:t>
            </w:r>
            <w:r>
              <w:rPr>
                <w:noProof/>
                <w:webHidden/>
              </w:rPr>
              <w:fldChar w:fldCharType="end"/>
            </w:r>
          </w:hyperlink>
        </w:p>
        <w:p w14:paraId="200A5C39" w14:textId="6DB9E2B1" w:rsidR="00584F72" w:rsidRDefault="00584F72">
          <w:pPr>
            <w:pStyle w:val="TOC1"/>
            <w:rPr>
              <w:rFonts w:eastAsiaTheme="minorEastAsia"/>
              <w:b w:val="0"/>
              <w:noProof/>
              <w:kern w:val="2"/>
              <w:sz w:val="24"/>
              <w:szCs w:val="24"/>
              <w:lang w:eastAsia="en-AU"/>
              <w14:ligatures w14:val="standardContextual"/>
            </w:rPr>
          </w:pPr>
          <w:hyperlink w:anchor="_Toc194054504" w:history="1">
            <w:r w:rsidRPr="00C41DE8">
              <w:rPr>
                <w:rStyle w:val="Hyperlink"/>
                <w:rFonts w:ascii="Aptos" w:hAnsi="Aptos"/>
                <w:noProof/>
              </w:rPr>
              <w:t>8.</w:t>
            </w:r>
            <w:r>
              <w:rPr>
                <w:rFonts w:eastAsiaTheme="minorEastAsia"/>
                <w:b w:val="0"/>
                <w:noProof/>
                <w:kern w:val="2"/>
                <w:sz w:val="24"/>
                <w:szCs w:val="24"/>
                <w:lang w:eastAsia="en-AU"/>
                <w14:ligatures w14:val="standardContextual"/>
              </w:rPr>
              <w:tab/>
            </w:r>
            <w:r w:rsidRPr="00C41DE8">
              <w:rPr>
                <w:rStyle w:val="Hyperlink"/>
                <w:rFonts w:ascii="Aptos" w:hAnsi="Aptos"/>
                <w:bCs/>
                <w:noProof/>
              </w:rPr>
              <w:t>The determination process</w:t>
            </w:r>
            <w:r>
              <w:rPr>
                <w:noProof/>
                <w:webHidden/>
              </w:rPr>
              <w:tab/>
            </w:r>
            <w:r>
              <w:rPr>
                <w:noProof/>
                <w:webHidden/>
              </w:rPr>
              <w:fldChar w:fldCharType="begin"/>
            </w:r>
            <w:r>
              <w:rPr>
                <w:noProof/>
                <w:webHidden/>
              </w:rPr>
              <w:instrText xml:space="preserve"> PAGEREF _Toc194054504 \h </w:instrText>
            </w:r>
            <w:r>
              <w:rPr>
                <w:noProof/>
                <w:webHidden/>
              </w:rPr>
            </w:r>
            <w:r>
              <w:rPr>
                <w:noProof/>
                <w:webHidden/>
              </w:rPr>
              <w:fldChar w:fldCharType="separate"/>
            </w:r>
            <w:r w:rsidR="00AD02C9">
              <w:rPr>
                <w:noProof/>
                <w:webHidden/>
              </w:rPr>
              <w:t>6</w:t>
            </w:r>
            <w:r>
              <w:rPr>
                <w:noProof/>
                <w:webHidden/>
              </w:rPr>
              <w:fldChar w:fldCharType="end"/>
            </w:r>
          </w:hyperlink>
        </w:p>
        <w:p w14:paraId="4880C72E" w14:textId="52F3773C" w:rsidR="00584F72" w:rsidRDefault="00584F72">
          <w:pPr>
            <w:pStyle w:val="TOC1"/>
            <w:rPr>
              <w:rFonts w:eastAsiaTheme="minorEastAsia"/>
              <w:b w:val="0"/>
              <w:noProof/>
              <w:kern w:val="2"/>
              <w:sz w:val="24"/>
              <w:szCs w:val="24"/>
              <w:lang w:eastAsia="en-AU"/>
              <w14:ligatures w14:val="standardContextual"/>
            </w:rPr>
          </w:pPr>
          <w:hyperlink w:anchor="_Toc194054505" w:history="1">
            <w:r w:rsidRPr="00C41DE8">
              <w:rPr>
                <w:rStyle w:val="Hyperlink"/>
                <w:rFonts w:ascii="Aptos" w:hAnsi="Aptos"/>
                <w:noProof/>
              </w:rPr>
              <w:t>9.</w:t>
            </w:r>
            <w:r>
              <w:rPr>
                <w:rFonts w:eastAsiaTheme="minorEastAsia"/>
                <w:b w:val="0"/>
                <w:noProof/>
                <w:kern w:val="2"/>
                <w:sz w:val="24"/>
                <w:szCs w:val="24"/>
                <w:lang w:eastAsia="en-AU"/>
                <w14:ligatures w14:val="standardContextual"/>
              </w:rPr>
              <w:tab/>
            </w:r>
            <w:r w:rsidRPr="00C41DE8">
              <w:rPr>
                <w:rStyle w:val="Hyperlink"/>
                <w:rFonts w:ascii="Aptos" w:hAnsi="Aptos"/>
                <w:bCs/>
                <w:noProof/>
              </w:rPr>
              <w:t>Sanctions</w:t>
            </w:r>
            <w:r>
              <w:rPr>
                <w:noProof/>
                <w:webHidden/>
              </w:rPr>
              <w:tab/>
            </w:r>
            <w:r>
              <w:rPr>
                <w:noProof/>
                <w:webHidden/>
              </w:rPr>
              <w:fldChar w:fldCharType="begin"/>
            </w:r>
            <w:r>
              <w:rPr>
                <w:noProof/>
                <w:webHidden/>
              </w:rPr>
              <w:instrText xml:space="preserve"> PAGEREF _Toc194054505 \h </w:instrText>
            </w:r>
            <w:r>
              <w:rPr>
                <w:noProof/>
                <w:webHidden/>
              </w:rPr>
            </w:r>
            <w:r>
              <w:rPr>
                <w:noProof/>
                <w:webHidden/>
              </w:rPr>
              <w:fldChar w:fldCharType="separate"/>
            </w:r>
            <w:r w:rsidR="00AD02C9">
              <w:rPr>
                <w:noProof/>
                <w:webHidden/>
              </w:rPr>
              <w:t>7</w:t>
            </w:r>
            <w:r>
              <w:rPr>
                <w:noProof/>
                <w:webHidden/>
              </w:rPr>
              <w:fldChar w:fldCharType="end"/>
            </w:r>
          </w:hyperlink>
        </w:p>
        <w:p w14:paraId="0F660CB3" w14:textId="5C3AC3C5" w:rsidR="00584F72" w:rsidRDefault="00584F72">
          <w:pPr>
            <w:pStyle w:val="TOC1"/>
            <w:rPr>
              <w:rFonts w:eastAsiaTheme="minorEastAsia"/>
              <w:b w:val="0"/>
              <w:noProof/>
              <w:kern w:val="2"/>
              <w:sz w:val="24"/>
              <w:szCs w:val="24"/>
              <w:lang w:eastAsia="en-AU"/>
              <w14:ligatures w14:val="standardContextual"/>
            </w:rPr>
          </w:pPr>
          <w:hyperlink w:anchor="_Toc194054506" w:history="1">
            <w:r w:rsidRPr="00C41DE8">
              <w:rPr>
                <w:rStyle w:val="Hyperlink"/>
                <w:rFonts w:ascii="Aptos" w:hAnsi="Aptos"/>
                <w:bCs/>
                <w:noProof/>
              </w:rPr>
              <w:t>10.</w:t>
            </w:r>
            <w:r>
              <w:rPr>
                <w:rFonts w:eastAsiaTheme="minorEastAsia"/>
                <w:b w:val="0"/>
                <w:noProof/>
                <w:kern w:val="2"/>
                <w:sz w:val="24"/>
                <w:szCs w:val="24"/>
                <w:lang w:eastAsia="en-AU"/>
                <w14:ligatures w14:val="standardContextual"/>
              </w:rPr>
              <w:tab/>
            </w:r>
            <w:r w:rsidRPr="00C41DE8">
              <w:rPr>
                <w:rStyle w:val="Hyperlink"/>
                <w:rFonts w:ascii="Aptos" w:hAnsi="Aptos"/>
                <w:bCs/>
                <w:noProof/>
              </w:rPr>
              <w:t>Record of determination and sanction</w:t>
            </w:r>
            <w:r>
              <w:rPr>
                <w:noProof/>
                <w:webHidden/>
              </w:rPr>
              <w:tab/>
            </w:r>
            <w:r>
              <w:rPr>
                <w:noProof/>
                <w:webHidden/>
              </w:rPr>
              <w:fldChar w:fldCharType="begin"/>
            </w:r>
            <w:r>
              <w:rPr>
                <w:noProof/>
                <w:webHidden/>
              </w:rPr>
              <w:instrText xml:space="preserve"> PAGEREF _Toc194054506 \h </w:instrText>
            </w:r>
            <w:r>
              <w:rPr>
                <w:noProof/>
                <w:webHidden/>
              </w:rPr>
            </w:r>
            <w:r>
              <w:rPr>
                <w:noProof/>
                <w:webHidden/>
              </w:rPr>
              <w:fldChar w:fldCharType="separate"/>
            </w:r>
            <w:r w:rsidR="00AD02C9">
              <w:rPr>
                <w:noProof/>
                <w:webHidden/>
              </w:rPr>
              <w:t>7</w:t>
            </w:r>
            <w:r>
              <w:rPr>
                <w:noProof/>
                <w:webHidden/>
              </w:rPr>
              <w:fldChar w:fldCharType="end"/>
            </w:r>
          </w:hyperlink>
        </w:p>
        <w:p w14:paraId="5901F276" w14:textId="0D9DDAFB" w:rsidR="00584F72" w:rsidRDefault="00584F72">
          <w:pPr>
            <w:pStyle w:val="TOC1"/>
            <w:rPr>
              <w:rFonts w:eastAsiaTheme="minorEastAsia"/>
              <w:b w:val="0"/>
              <w:noProof/>
              <w:kern w:val="2"/>
              <w:sz w:val="24"/>
              <w:szCs w:val="24"/>
              <w:lang w:eastAsia="en-AU"/>
              <w14:ligatures w14:val="standardContextual"/>
            </w:rPr>
          </w:pPr>
          <w:hyperlink w:anchor="_Toc194054507" w:history="1">
            <w:r w:rsidRPr="00C41DE8">
              <w:rPr>
                <w:rStyle w:val="Hyperlink"/>
                <w:rFonts w:ascii="Aptos" w:hAnsi="Aptos"/>
                <w:bCs/>
                <w:noProof/>
              </w:rPr>
              <w:t>11.</w:t>
            </w:r>
            <w:r>
              <w:rPr>
                <w:rFonts w:eastAsiaTheme="minorEastAsia"/>
                <w:b w:val="0"/>
                <w:noProof/>
                <w:kern w:val="2"/>
                <w:sz w:val="24"/>
                <w:szCs w:val="24"/>
                <w:lang w:eastAsia="en-AU"/>
                <w14:ligatures w14:val="standardContextual"/>
              </w:rPr>
              <w:tab/>
            </w:r>
            <w:r w:rsidRPr="00C41DE8">
              <w:rPr>
                <w:rStyle w:val="Hyperlink"/>
                <w:rFonts w:ascii="Aptos" w:hAnsi="Aptos"/>
                <w:bCs/>
                <w:noProof/>
              </w:rPr>
              <w:t>Additional procedural requirement for SES employees</w:t>
            </w:r>
            <w:r>
              <w:rPr>
                <w:noProof/>
                <w:webHidden/>
              </w:rPr>
              <w:tab/>
            </w:r>
            <w:r>
              <w:rPr>
                <w:noProof/>
                <w:webHidden/>
              </w:rPr>
              <w:fldChar w:fldCharType="begin"/>
            </w:r>
            <w:r>
              <w:rPr>
                <w:noProof/>
                <w:webHidden/>
              </w:rPr>
              <w:instrText xml:space="preserve"> PAGEREF _Toc194054507 \h </w:instrText>
            </w:r>
            <w:r>
              <w:rPr>
                <w:noProof/>
                <w:webHidden/>
              </w:rPr>
            </w:r>
            <w:r>
              <w:rPr>
                <w:noProof/>
                <w:webHidden/>
              </w:rPr>
              <w:fldChar w:fldCharType="separate"/>
            </w:r>
            <w:r w:rsidR="00AD02C9">
              <w:rPr>
                <w:noProof/>
                <w:webHidden/>
              </w:rPr>
              <w:t>8</w:t>
            </w:r>
            <w:r>
              <w:rPr>
                <w:noProof/>
                <w:webHidden/>
              </w:rPr>
              <w:fldChar w:fldCharType="end"/>
            </w:r>
          </w:hyperlink>
        </w:p>
        <w:p w14:paraId="3ABF84FD" w14:textId="56D5EC0E" w:rsidR="00584F72" w:rsidRDefault="00584F72">
          <w:pPr>
            <w:pStyle w:val="TOC1"/>
            <w:rPr>
              <w:rFonts w:eastAsiaTheme="minorEastAsia"/>
              <w:b w:val="0"/>
              <w:noProof/>
              <w:kern w:val="2"/>
              <w:sz w:val="24"/>
              <w:szCs w:val="24"/>
              <w:lang w:eastAsia="en-AU"/>
              <w14:ligatures w14:val="standardContextual"/>
            </w:rPr>
          </w:pPr>
          <w:hyperlink w:anchor="_Toc194054508" w:history="1">
            <w:r w:rsidRPr="00C41DE8">
              <w:rPr>
                <w:rStyle w:val="Hyperlink"/>
                <w:rFonts w:ascii="Aptos" w:hAnsi="Aptos"/>
                <w:bCs/>
                <w:noProof/>
              </w:rPr>
              <w:t>12.</w:t>
            </w:r>
            <w:r>
              <w:rPr>
                <w:rFonts w:eastAsiaTheme="minorEastAsia"/>
                <w:b w:val="0"/>
                <w:noProof/>
                <w:kern w:val="2"/>
                <w:sz w:val="24"/>
                <w:szCs w:val="24"/>
                <w:lang w:eastAsia="en-AU"/>
                <w14:ligatures w14:val="standardContextual"/>
              </w:rPr>
              <w:tab/>
            </w:r>
            <w:r w:rsidRPr="00C41DE8">
              <w:rPr>
                <w:rStyle w:val="Hyperlink"/>
                <w:rFonts w:ascii="Aptos" w:hAnsi="Aptos"/>
                <w:bCs/>
                <w:noProof/>
              </w:rPr>
              <w:t>Movement between agencies during an investigation</w:t>
            </w:r>
            <w:r>
              <w:rPr>
                <w:noProof/>
                <w:webHidden/>
              </w:rPr>
              <w:tab/>
            </w:r>
            <w:r>
              <w:rPr>
                <w:noProof/>
                <w:webHidden/>
              </w:rPr>
              <w:fldChar w:fldCharType="begin"/>
            </w:r>
            <w:r>
              <w:rPr>
                <w:noProof/>
                <w:webHidden/>
              </w:rPr>
              <w:instrText xml:space="preserve"> PAGEREF _Toc194054508 \h </w:instrText>
            </w:r>
            <w:r>
              <w:rPr>
                <w:noProof/>
                <w:webHidden/>
              </w:rPr>
            </w:r>
            <w:r>
              <w:rPr>
                <w:noProof/>
                <w:webHidden/>
              </w:rPr>
              <w:fldChar w:fldCharType="separate"/>
            </w:r>
            <w:r w:rsidR="00AD02C9">
              <w:rPr>
                <w:noProof/>
                <w:webHidden/>
              </w:rPr>
              <w:t>8</w:t>
            </w:r>
            <w:r>
              <w:rPr>
                <w:noProof/>
                <w:webHidden/>
              </w:rPr>
              <w:fldChar w:fldCharType="end"/>
            </w:r>
          </w:hyperlink>
        </w:p>
        <w:p w14:paraId="605DBBDE" w14:textId="59E1BE94" w:rsidR="00584F72" w:rsidRDefault="00584F72">
          <w:pPr>
            <w:pStyle w:val="TOC1"/>
            <w:rPr>
              <w:rFonts w:eastAsiaTheme="minorEastAsia"/>
              <w:b w:val="0"/>
              <w:noProof/>
              <w:kern w:val="2"/>
              <w:sz w:val="24"/>
              <w:szCs w:val="24"/>
              <w:lang w:eastAsia="en-AU"/>
              <w14:ligatures w14:val="standardContextual"/>
            </w:rPr>
          </w:pPr>
          <w:hyperlink w:anchor="_Toc194054509" w:history="1">
            <w:r w:rsidRPr="00C41DE8">
              <w:rPr>
                <w:rStyle w:val="Hyperlink"/>
                <w:rFonts w:ascii="Aptos" w:hAnsi="Aptos"/>
                <w:bCs/>
                <w:noProof/>
              </w:rPr>
              <w:t>13.</w:t>
            </w:r>
            <w:r>
              <w:rPr>
                <w:rFonts w:eastAsiaTheme="minorEastAsia"/>
                <w:b w:val="0"/>
                <w:noProof/>
                <w:kern w:val="2"/>
                <w:sz w:val="24"/>
                <w:szCs w:val="24"/>
                <w:lang w:eastAsia="en-AU"/>
                <w14:ligatures w14:val="standardContextual"/>
              </w:rPr>
              <w:tab/>
            </w:r>
            <w:r w:rsidRPr="00C41DE8">
              <w:rPr>
                <w:rStyle w:val="Hyperlink"/>
                <w:rFonts w:ascii="Aptos" w:hAnsi="Aptos"/>
                <w:bCs/>
                <w:noProof/>
              </w:rPr>
              <w:t>Contact</w:t>
            </w:r>
            <w:r>
              <w:rPr>
                <w:noProof/>
                <w:webHidden/>
              </w:rPr>
              <w:tab/>
            </w:r>
            <w:r>
              <w:rPr>
                <w:noProof/>
                <w:webHidden/>
              </w:rPr>
              <w:fldChar w:fldCharType="begin"/>
            </w:r>
            <w:r>
              <w:rPr>
                <w:noProof/>
                <w:webHidden/>
              </w:rPr>
              <w:instrText xml:space="preserve"> PAGEREF _Toc194054509 \h </w:instrText>
            </w:r>
            <w:r>
              <w:rPr>
                <w:noProof/>
                <w:webHidden/>
              </w:rPr>
            </w:r>
            <w:r>
              <w:rPr>
                <w:noProof/>
                <w:webHidden/>
              </w:rPr>
              <w:fldChar w:fldCharType="separate"/>
            </w:r>
            <w:r w:rsidR="00AD02C9">
              <w:rPr>
                <w:noProof/>
                <w:webHidden/>
              </w:rPr>
              <w:t>8</w:t>
            </w:r>
            <w:r>
              <w:rPr>
                <w:noProof/>
                <w:webHidden/>
              </w:rPr>
              <w:fldChar w:fldCharType="end"/>
            </w:r>
          </w:hyperlink>
        </w:p>
        <w:p w14:paraId="06FD2B50" w14:textId="2799C2EA" w:rsidR="00584F72" w:rsidRDefault="00584F72">
          <w:pPr>
            <w:pStyle w:val="TOC1"/>
            <w:rPr>
              <w:rFonts w:eastAsiaTheme="minorEastAsia"/>
              <w:b w:val="0"/>
              <w:noProof/>
              <w:kern w:val="2"/>
              <w:sz w:val="24"/>
              <w:szCs w:val="24"/>
              <w:lang w:eastAsia="en-AU"/>
              <w14:ligatures w14:val="standardContextual"/>
            </w:rPr>
          </w:pPr>
          <w:hyperlink w:anchor="_Toc194054510" w:history="1">
            <w:r w:rsidRPr="00C41DE8">
              <w:rPr>
                <w:rStyle w:val="Hyperlink"/>
                <w:rFonts w:ascii="Aptos" w:hAnsi="Aptos"/>
                <w:noProof/>
              </w:rPr>
              <w:t>14.</w:t>
            </w:r>
            <w:r>
              <w:rPr>
                <w:rFonts w:eastAsiaTheme="minorEastAsia"/>
                <w:b w:val="0"/>
                <w:noProof/>
                <w:kern w:val="2"/>
                <w:sz w:val="24"/>
                <w:szCs w:val="24"/>
                <w:lang w:eastAsia="en-AU"/>
                <w14:ligatures w14:val="standardContextual"/>
              </w:rPr>
              <w:tab/>
            </w:r>
            <w:r w:rsidRPr="00C41DE8">
              <w:rPr>
                <w:rStyle w:val="Hyperlink"/>
                <w:rFonts w:ascii="Aptos" w:hAnsi="Aptos"/>
                <w:noProof/>
              </w:rPr>
              <w:t>Document details</w:t>
            </w:r>
            <w:r>
              <w:rPr>
                <w:noProof/>
                <w:webHidden/>
              </w:rPr>
              <w:tab/>
            </w:r>
            <w:r>
              <w:rPr>
                <w:noProof/>
                <w:webHidden/>
              </w:rPr>
              <w:fldChar w:fldCharType="begin"/>
            </w:r>
            <w:r>
              <w:rPr>
                <w:noProof/>
                <w:webHidden/>
              </w:rPr>
              <w:instrText xml:space="preserve"> PAGEREF _Toc194054510 \h </w:instrText>
            </w:r>
            <w:r>
              <w:rPr>
                <w:noProof/>
                <w:webHidden/>
              </w:rPr>
            </w:r>
            <w:r>
              <w:rPr>
                <w:noProof/>
                <w:webHidden/>
              </w:rPr>
              <w:fldChar w:fldCharType="separate"/>
            </w:r>
            <w:r w:rsidR="00AD02C9">
              <w:rPr>
                <w:noProof/>
                <w:webHidden/>
              </w:rPr>
              <w:t>9</w:t>
            </w:r>
            <w:r>
              <w:rPr>
                <w:noProof/>
                <w:webHidden/>
              </w:rPr>
              <w:fldChar w:fldCharType="end"/>
            </w:r>
          </w:hyperlink>
        </w:p>
        <w:p w14:paraId="5A040F33" w14:textId="3973529C" w:rsidR="00466086" w:rsidRPr="00F42A7F" w:rsidRDefault="00466086">
          <w:pPr>
            <w:rPr>
              <w:rFonts w:ascii="Aptos" w:hAnsi="Aptos"/>
            </w:rPr>
          </w:pPr>
          <w:r w:rsidRPr="00F42A7F">
            <w:rPr>
              <w:rFonts w:ascii="Aptos" w:hAnsi="Aptos"/>
              <w:b/>
              <w:bCs/>
              <w:noProof/>
            </w:rPr>
            <w:fldChar w:fldCharType="end"/>
          </w:r>
        </w:p>
      </w:sdtContent>
    </w:sdt>
    <w:p w14:paraId="3F6E66C8" w14:textId="291C268B" w:rsidR="007C34D9" w:rsidRPr="00F42A7F" w:rsidRDefault="007C34D9" w:rsidP="00466086">
      <w:pPr>
        <w:rPr>
          <w:rFonts w:ascii="Aptos" w:hAnsi="Aptos"/>
        </w:rPr>
      </w:pPr>
    </w:p>
    <w:p w14:paraId="3A836017" w14:textId="796C885A" w:rsidR="007C34D9" w:rsidRPr="00F42A7F" w:rsidRDefault="007C34D9" w:rsidP="00466086">
      <w:pPr>
        <w:rPr>
          <w:rFonts w:ascii="Aptos" w:hAnsi="Aptos"/>
        </w:rPr>
      </w:pPr>
    </w:p>
    <w:p w14:paraId="69121A0F" w14:textId="116E4144" w:rsidR="007C34D9" w:rsidRPr="00F42A7F" w:rsidRDefault="007C34D9" w:rsidP="00466086">
      <w:pPr>
        <w:rPr>
          <w:rFonts w:ascii="Aptos" w:hAnsi="Aptos"/>
        </w:rPr>
      </w:pPr>
    </w:p>
    <w:p w14:paraId="365217C3" w14:textId="6645EC9A" w:rsidR="006F665E" w:rsidRPr="00F42A7F" w:rsidRDefault="006F665E" w:rsidP="00466086">
      <w:pPr>
        <w:rPr>
          <w:rFonts w:ascii="Aptos" w:hAnsi="Aptos"/>
        </w:rPr>
      </w:pPr>
    </w:p>
    <w:p w14:paraId="1ED308B1" w14:textId="0D1AC023" w:rsidR="006F665E" w:rsidRPr="00F42A7F" w:rsidRDefault="006F665E" w:rsidP="00466086">
      <w:pPr>
        <w:rPr>
          <w:rFonts w:ascii="Aptos" w:hAnsi="Aptos"/>
        </w:rPr>
      </w:pPr>
    </w:p>
    <w:p w14:paraId="469B9CE2" w14:textId="0AF953EE" w:rsidR="006F665E" w:rsidRPr="00F42A7F" w:rsidRDefault="006F665E" w:rsidP="00466086">
      <w:pPr>
        <w:rPr>
          <w:rFonts w:ascii="Aptos" w:hAnsi="Aptos"/>
        </w:rPr>
      </w:pPr>
    </w:p>
    <w:p w14:paraId="20C6C510" w14:textId="3C8E2C2E" w:rsidR="006F665E" w:rsidRPr="00F42A7F" w:rsidRDefault="006F665E" w:rsidP="00466086">
      <w:pPr>
        <w:rPr>
          <w:rFonts w:ascii="Aptos" w:hAnsi="Aptos"/>
        </w:rPr>
      </w:pPr>
    </w:p>
    <w:p w14:paraId="23EB4922" w14:textId="55100E81" w:rsidR="006F665E" w:rsidRPr="00F42A7F" w:rsidRDefault="006F665E" w:rsidP="00466086">
      <w:pPr>
        <w:rPr>
          <w:rFonts w:ascii="Aptos" w:hAnsi="Aptos"/>
        </w:rPr>
      </w:pPr>
    </w:p>
    <w:p w14:paraId="7909D146" w14:textId="784E156A" w:rsidR="006F665E" w:rsidRPr="00F42A7F" w:rsidRDefault="006F665E" w:rsidP="00466086">
      <w:pPr>
        <w:rPr>
          <w:rFonts w:ascii="Aptos" w:hAnsi="Aptos"/>
        </w:rPr>
      </w:pPr>
    </w:p>
    <w:p w14:paraId="726C4E11" w14:textId="053A3E21" w:rsidR="00342796" w:rsidRPr="00F42A7F" w:rsidRDefault="00342796" w:rsidP="00B7566C">
      <w:pPr>
        <w:rPr>
          <w:rFonts w:ascii="Aptos" w:hAnsi="Aptos"/>
          <w:i/>
          <w:iCs/>
        </w:rPr>
      </w:pPr>
      <w:r w:rsidRPr="00F42A7F">
        <w:rPr>
          <w:rFonts w:ascii="Aptos" w:hAnsi="Aptos"/>
          <w:i/>
          <w:iCs/>
        </w:rPr>
        <w:t xml:space="preserve"> </w:t>
      </w:r>
    </w:p>
    <w:p w14:paraId="188F6F04" w14:textId="77777777" w:rsidR="00466086" w:rsidRPr="00F42A7F" w:rsidRDefault="00466086" w:rsidP="00466086">
      <w:pPr>
        <w:rPr>
          <w:rFonts w:ascii="Aptos" w:hAnsi="Aptos"/>
        </w:rPr>
      </w:pPr>
    </w:p>
    <w:p w14:paraId="719EFA4A" w14:textId="77777777" w:rsidR="00466086" w:rsidRPr="00F42A7F" w:rsidRDefault="00466086" w:rsidP="00466086">
      <w:pPr>
        <w:rPr>
          <w:rFonts w:ascii="Aptos" w:hAnsi="Aptos"/>
        </w:rPr>
      </w:pPr>
    </w:p>
    <w:p w14:paraId="4C6B44BF" w14:textId="77777777" w:rsidR="00B17E4B" w:rsidRPr="00F42A7F" w:rsidRDefault="00B17E4B" w:rsidP="00466086">
      <w:pPr>
        <w:rPr>
          <w:rFonts w:ascii="Aptos" w:hAnsi="Aptos"/>
        </w:rPr>
      </w:pPr>
    </w:p>
    <w:p w14:paraId="451FBDDA" w14:textId="77777777" w:rsidR="00466086" w:rsidRPr="00F42A7F" w:rsidRDefault="00466086" w:rsidP="00466086">
      <w:pPr>
        <w:rPr>
          <w:rFonts w:ascii="Aptos" w:hAnsi="Aptos"/>
        </w:rPr>
      </w:pPr>
    </w:p>
    <w:p w14:paraId="3732C0A8" w14:textId="61FE69DB" w:rsidR="00453018" w:rsidRPr="00F42A7F" w:rsidRDefault="00351B32" w:rsidP="00153CA0">
      <w:pPr>
        <w:pStyle w:val="Heading1"/>
        <w:numPr>
          <w:ilvl w:val="0"/>
          <w:numId w:val="4"/>
        </w:numPr>
        <w:ind w:left="0"/>
        <w:rPr>
          <w:rFonts w:ascii="Aptos" w:hAnsi="Aptos"/>
        </w:rPr>
      </w:pPr>
      <w:r w:rsidRPr="00F42A7F">
        <w:rPr>
          <w:rFonts w:ascii="Aptos" w:hAnsi="Aptos"/>
          <w:bCs/>
          <w:color w:val="343741"/>
        </w:rPr>
        <w:lastRenderedPageBreak/>
        <w:t xml:space="preserve"> </w:t>
      </w:r>
      <w:bookmarkStart w:id="0" w:name="_Toc194054497"/>
      <w:r w:rsidRPr="00F42A7F">
        <w:rPr>
          <w:rFonts w:ascii="Aptos" w:hAnsi="Aptos"/>
          <w:bCs/>
          <w:color w:val="343741"/>
        </w:rPr>
        <w:t>Application of procedures</w:t>
      </w:r>
      <w:bookmarkEnd w:id="0"/>
      <w:r w:rsidR="00DC75DF" w:rsidRPr="00F42A7F">
        <w:rPr>
          <w:rFonts w:ascii="Aptos" w:hAnsi="Aptos"/>
        </w:rPr>
        <w:t xml:space="preserve"> </w:t>
      </w:r>
    </w:p>
    <w:p w14:paraId="3F0A1EE1" w14:textId="45AED1CE" w:rsidR="00B367E9" w:rsidRPr="00F42A7F" w:rsidRDefault="003215D3" w:rsidP="00153CA0">
      <w:pPr>
        <w:pStyle w:val="List"/>
        <w:numPr>
          <w:ilvl w:val="1"/>
          <w:numId w:val="4"/>
        </w:numPr>
        <w:ind w:left="0"/>
        <w:rPr>
          <w:rFonts w:ascii="Aptos" w:hAnsi="Aptos"/>
          <w:i/>
          <w:iCs/>
        </w:rPr>
      </w:pPr>
      <w:r w:rsidRPr="00F42A7F">
        <w:rPr>
          <w:rFonts w:ascii="Aptos" w:hAnsi="Aptos"/>
        </w:rPr>
        <w:t>These procedures apply in determining whether a person who is an Australian Public Service (</w:t>
      </w:r>
      <w:r w:rsidRPr="00F42A7F">
        <w:rPr>
          <w:rFonts w:ascii="Aptos" w:hAnsi="Aptos"/>
          <w:b/>
          <w:bCs/>
        </w:rPr>
        <w:t>APS)</w:t>
      </w:r>
      <w:r w:rsidRPr="00F42A7F">
        <w:rPr>
          <w:rFonts w:ascii="Aptos" w:hAnsi="Aptos"/>
        </w:rPr>
        <w:t xml:space="preserve"> employee in the Department of Employment and Workplace Relations (</w:t>
      </w:r>
      <w:r w:rsidRPr="00F42A7F">
        <w:rPr>
          <w:rFonts w:ascii="Aptos" w:hAnsi="Aptos"/>
          <w:b/>
          <w:bCs/>
        </w:rPr>
        <w:t>the department</w:t>
      </w:r>
      <w:r w:rsidRPr="00F42A7F">
        <w:rPr>
          <w:rFonts w:ascii="Aptos" w:hAnsi="Aptos"/>
        </w:rPr>
        <w:t>), or who is a former APS employee who was employed in the department at the time of the suspected misconduct, has breached the APS Code of Conduct (</w:t>
      </w:r>
      <w:r w:rsidRPr="00F42A7F">
        <w:rPr>
          <w:rFonts w:ascii="Aptos" w:hAnsi="Aptos"/>
          <w:b/>
          <w:bCs/>
        </w:rPr>
        <w:t>the Code</w:t>
      </w:r>
      <w:r w:rsidRPr="00F42A7F">
        <w:rPr>
          <w:rFonts w:ascii="Aptos" w:hAnsi="Aptos"/>
        </w:rPr>
        <w:t xml:space="preserve">) in section 13 of the </w:t>
      </w:r>
      <w:r w:rsidRPr="00F42A7F">
        <w:rPr>
          <w:rFonts w:ascii="Aptos" w:hAnsi="Aptos"/>
          <w:i/>
          <w:iCs/>
        </w:rPr>
        <w:t xml:space="preserve">Public Service Act 1999 </w:t>
      </w:r>
      <w:r w:rsidRPr="00F42A7F">
        <w:rPr>
          <w:rFonts w:ascii="Aptos" w:hAnsi="Aptos"/>
        </w:rPr>
        <w:t>(</w:t>
      </w:r>
      <w:r w:rsidRPr="00F42A7F">
        <w:rPr>
          <w:rFonts w:ascii="Aptos" w:hAnsi="Aptos"/>
          <w:b/>
          <w:bCs/>
        </w:rPr>
        <w:t>the Act</w:t>
      </w:r>
      <w:r w:rsidRPr="00F42A7F">
        <w:rPr>
          <w:rFonts w:ascii="Aptos" w:hAnsi="Aptos"/>
        </w:rPr>
        <w:t>).</w:t>
      </w:r>
      <w:r w:rsidR="00135881" w:rsidRPr="00F42A7F">
        <w:rPr>
          <w:rFonts w:ascii="Aptos" w:hAnsi="Aptos"/>
          <w:i/>
          <w:iCs/>
        </w:rPr>
        <w:t xml:space="preserve"> </w:t>
      </w:r>
    </w:p>
    <w:p w14:paraId="0CC7F266" w14:textId="4B1F64CC" w:rsidR="00ED018C" w:rsidRPr="00F42A7F" w:rsidRDefault="00290253" w:rsidP="00153CA0">
      <w:pPr>
        <w:pStyle w:val="List"/>
        <w:numPr>
          <w:ilvl w:val="1"/>
          <w:numId w:val="4"/>
        </w:numPr>
        <w:ind w:left="0"/>
        <w:rPr>
          <w:rFonts w:ascii="Aptos" w:hAnsi="Aptos"/>
          <w:i/>
          <w:iCs/>
        </w:rPr>
      </w:pPr>
      <w:r w:rsidRPr="00F42A7F">
        <w:rPr>
          <w:rFonts w:ascii="Aptos" w:hAnsi="Aptos"/>
        </w:rPr>
        <w:t>These procedures also apply in determining any sanction to be imposed on a current APS employee in the department who has been found to have breached the Code.</w:t>
      </w:r>
    </w:p>
    <w:p w14:paraId="30C2B9E8" w14:textId="1D0E6766" w:rsidR="00290253" w:rsidRPr="00F42A7F" w:rsidRDefault="00746B8B" w:rsidP="00153CA0">
      <w:pPr>
        <w:pStyle w:val="List"/>
        <w:numPr>
          <w:ilvl w:val="1"/>
          <w:numId w:val="4"/>
        </w:numPr>
        <w:ind w:left="0"/>
        <w:rPr>
          <w:rFonts w:ascii="Aptos" w:hAnsi="Aptos"/>
          <w:i/>
          <w:iCs/>
        </w:rPr>
      </w:pPr>
      <w:r w:rsidRPr="00F42A7F">
        <w:rPr>
          <w:rFonts w:ascii="Aptos" w:hAnsi="Aptos"/>
        </w:rPr>
        <w:t>In these procedures, a reference to a breach of the Code by a person includes a reference to a person engaging in conduct set out in subsection 15(2A) of the Act in connection with their engagement as an APS employee.</w:t>
      </w:r>
    </w:p>
    <w:p w14:paraId="015DD0A4" w14:textId="748AAEB8" w:rsidR="00746B8B" w:rsidRPr="00F42A7F" w:rsidRDefault="00D34F39" w:rsidP="00153CA0">
      <w:pPr>
        <w:pStyle w:val="List"/>
        <w:numPr>
          <w:ilvl w:val="1"/>
          <w:numId w:val="4"/>
        </w:numPr>
        <w:ind w:left="0"/>
        <w:rPr>
          <w:rFonts w:ascii="Aptos" w:hAnsi="Aptos"/>
          <w:i/>
          <w:iCs/>
        </w:rPr>
      </w:pPr>
      <w:r w:rsidRPr="00F42A7F">
        <w:rPr>
          <w:rFonts w:ascii="Aptos" w:hAnsi="Aptos"/>
        </w:rPr>
        <w:t xml:space="preserve">These procedures adhere to the Act and the </w:t>
      </w:r>
      <w:r w:rsidRPr="00F42A7F">
        <w:rPr>
          <w:rFonts w:ascii="Aptos" w:hAnsi="Aptos"/>
          <w:i/>
          <w:iCs/>
          <w:color w:val="287AB3"/>
        </w:rPr>
        <w:t>Australian Public Service Commissioner’s Directions 2022</w:t>
      </w:r>
      <w:r w:rsidRPr="00F42A7F">
        <w:rPr>
          <w:rFonts w:ascii="Aptos" w:hAnsi="Aptos"/>
          <w:i/>
          <w:iCs/>
        </w:rPr>
        <w:t>.</w:t>
      </w:r>
    </w:p>
    <w:p w14:paraId="68EB4286" w14:textId="607386AF" w:rsidR="004373E0" w:rsidRPr="00F42A7F" w:rsidRDefault="00474439" w:rsidP="00153CA0">
      <w:pPr>
        <w:pStyle w:val="Heading1"/>
        <w:numPr>
          <w:ilvl w:val="0"/>
          <w:numId w:val="4"/>
        </w:numPr>
        <w:ind w:left="0"/>
        <w:rPr>
          <w:rFonts w:ascii="Aptos" w:hAnsi="Aptos"/>
        </w:rPr>
      </w:pPr>
      <w:bookmarkStart w:id="1" w:name="_Toc194054498"/>
      <w:r w:rsidRPr="00F42A7F">
        <w:rPr>
          <w:rFonts w:ascii="Aptos" w:hAnsi="Aptos"/>
          <w:bCs/>
          <w:color w:val="343741"/>
        </w:rPr>
        <w:t>Availability of procedures of effect</w:t>
      </w:r>
      <w:bookmarkEnd w:id="1"/>
    </w:p>
    <w:p w14:paraId="0B6FBB48" w14:textId="38DB57A8" w:rsidR="00100F53" w:rsidRPr="00F42A7F" w:rsidRDefault="002602DB" w:rsidP="00153CA0">
      <w:pPr>
        <w:pStyle w:val="List"/>
        <w:numPr>
          <w:ilvl w:val="1"/>
          <w:numId w:val="4"/>
        </w:numPr>
        <w:ind w:left="0"/>
        <w:rPr>
          <w:rFonts w:ascii="Aptos" w:hAnsi="Aptos"/>
          <w:i/>
          <w:iCs/>
        </w:rPr>
      </w:pPr>
      <w:r w:rsidRPr="00F42A7F">
        <w:rPr>
          <w:rFonts w:ascii="Aptos" w:hAnsi="Aptos"/>
        </w:rPr>
        <w:t>As provided for in subsection 15(7) of the Act, these procedures are publicly available on the department’s website.</w:t>
      </w:r>
      <w:r w:rsidR="00492BD8" w:rsidRPr="00F42A7F">
        <w:rPr>
          <w:rFonts w:ascii="Aptos" w:hAnsi="Aptos"/>
          <w:i/>
          <w:iCs/>
        </w:rPr>
        <w:t xml:space="preserve"> </w:t>
      </w:r>
    </w:p>
    <w:p w14:paraId="6D01DDA3" w14:textId="6C5A3AB7" w:rsidR="005B3357" w:rsidRPr="00F42A7F" w:rsidRDefault="007B2C7A" w:rsidP="00153CA0">
      <w:pPr>
        <w:pStyle w:val="Heading1"/>
        <w:numPr>
          <w:ilvl w:val="0"/>
          <w:numId w:val="4"/>
        </w:numPr>
        <w:ind w:left="0"/>
        <w:rPr>
          <w:rFonts w:ascii="Aptos" w:hAnsi="Aptos"/>
        </w:rPr>
      </w:pPr>
      <w:r w:rsidRPr="00F42A7F">
        <w:rPr>
          <w:rFonts w:ascii="Aptos" w:hAnsi="Aptos"/>
        </w:rPr>
        <w:t xml:space="preserve"> </w:t>
      </w:r>
      <w:bookmarkStart w:id="2" w:name="_Toc194054499"/>
      <w:r w:rsidR="000B0CEA" w:rsidRPr="00F42A7F">
        <w:rPr>
          <w:rFonts w:ascii="Aptos" w:hAnsi="Aptos"/>
          <w:bCs/>
          <w:color w:val="343741"/>
        </w:rPr>
        <w:t>Decision to initiate Code process</w:t>
      </w:r>
      <w:bookmarkEnd w:id="2"/>
    </w:p>
    <w:p w14:paraId="7724350F" w14:textId="3C30FEBD" w:rsidR="002C4F83" w:rsidRPr="00F42A7F" w:rsidRDefault="00D12F44" w:rsidP="00153CA0">
      <w:pPr>
        <w:pStyle w:val="List"/>
        <w:numPr>
          <w:ilvl w:val="1"/>
          <w:numId w:val="4"/>
        </w:numPr>
        <w:ind w:left="0"/>
        <w:rPr>
          <w:rFonts w:ascii="Aptos" w:hAnsi="Aptos"/>
          <w:i/>
          <w:iCs/>
        </w:rPr>
      </w:pPr>
      <w:r w:rsidRPr="00F42A7F">
        <w:rPr>
          <w:rFonts w:ascii="Aptos" w:hAnsi="Aptos"/>
        </w:rPr>
        <w:t>As soon as practicable after a suspected breach of the Code has been identified, the Secretary or a person occupying one of the following roles will consider if it is appropriate to assess whether the suspected breach of the Code should be formally investigated under these procedures (</w:t>
      </w:r>
      <w:r w:rsidRPr="00F42A7F">
        <w:rPr>
          <w:rFonts w:ascii="Aptos" w:hAnsi="Aptos"/>
          <w:b/>
          <w:bCs/>
        </w:rPr>
        <w:t>initial decision-maker</w:t>
      </w:r>
      <w:r w:rsidRPr="00F42A7F">
        <w:rPr>
          <w:rFonts w:ascii="Aptos" w:hAnsi="Aptos"/>
        </w:rPr>
        <w:t>):</w:t>
      </w:r>
    </w:p>
    <w:p w14:paraId="72EDF817" w14:textId="77777777" w:rsidR="00790646" w:rsidRPr="00F42A7F" w:rsidRDefault="00790646" w:rsidP="00153CA0">
      <w:pPr>
        <w:pStyle w:val="Default"/>
        <w:numPr>
          <w:ilvl w:val="0"/>
          <w:numId w:val="5"/>
        </w:numPr>
        <w:spacing w:after="270"/>
        <w:rPr>
          <w:rFonts w:ascii="Aptos" w:hAnsi="Aptos"/>
          <w:sz w:val="22"/>
          <w:szCs w:val="22"/>
        </w:rPr>
      </w:pPr>
      <w:r w:rsidRPr="00F42A7F">
        <w:rPr>
          <w:rFonts w:ascii="Aptos" w:hAnsi="Aptos"/>
          <w:sz w:val="22"/>
          <w:szCs w:val="22"/>
        </w:rPr>
        <w:t xml:space="preserve">Deputy Secretary/Chief Operating Officer, Corporate and Enabling Services Group </w:t>
      </w:r>
    </w:p>
    <w:p w14:paraId="2E536F6F" w14:textId="5CB53B89" w:rsidR="00790646" w:rsidRPr="00F42A7F" w:rsidRDefault="00790646" w:rsidP="00153CA0">
      <w:pPr>
        <w:pStyle w:val="Default"/>
        <w:numPr>
          <w:ilvl w:val="0"/>
          <w:numId w:val="5"/>
        </w:numPr>
        <w:spacing w:after="270"/>
        <w:rPr>
          <w:rFonts w:ascii="Aptos" w:hAnsi="Aptos"/>
          <w:sz w:val="22"/>
          <w:szCs w:val="22"/>
        </w:rPr>
      </w:pPr>
      <w:r w:rsidRPr="00F42A7F">
        <w:rPr>
          <w:rFonts w:ascii="Aptos" w:hAnsi="Aptos"/>
          <w:sz w:val="22"/>
          <w:szCs w:val="22"/>
        </w:rPr>
        <w:t xml:space="preserve">First Assistant Secretary/Chief People Officer, People and Communication Division </w:t>
      </w:r>
    </w:p>
    <w:p w14:paraId="36A438A6" w14:textId="69226C49" w:rsidR="00790646" w:rsidRPr="00F42A7F" w:rsidRDefault="00790646" w:rsidP="00153CA0">
      <w:pPr>
        <w:pStyle w:val="Default"/>
        <w:numPr>
          <w:ilvl w:val="0"/>
          <w:numId w:val="5"/>
        </w:numPr>
        <w:spacing w:after="270"/>
        <w:rPr>
          <w:rFonts w:ascii="Aptos" w:hAnsi="Aptos"/>
          <w:sz w:val="22"/>
          <w:szCs w:val="22"/>
        </w:rPr>
      </w:pPr>
      <w:r w:rsidRPr="00F42A7F">
        <w:rPr>
          <w:rFonts w:ascii="Aptos" w:hAnsi="Aptos"/>
          <w:sz w:val="22"/>
          <w:szCs w:val="22"/>
        </w:rPr>
        <w:t xml:space="preserve">Assistant Secretary, </w:t>
      </w:r>
      <w:r w:rsidR="008F3685">
        <w:rPr>
          <w:rFonts w:ascii="Aptos" w:hAnsi="Aptos"/>
          <w:sz w:val="22"/>
          <w:szCs w:val="22"/>
        </w:rPr>
        <w:t>HR</w:t>
      </w:r>
      <w:r w:rsidRPr="00F42A7F">
        <w:rPr>
          <w:rFonts w:ascii="Aptos" w:hAnsi="Aptos"/>
          <w:sz w:val="22"/>
          <w:szCs w:val="22"/>
        </w:rPr>
        <w:t xml:space="preserve"> </w:t>
      </w:r>
    </w:p>
    <w:p w14:paraId="44F52C3B" w14:textId="007BE8E2" w:rsidR="00D12F44" w:rsidRPr="00F42A7F" w:rsidRDefault="00790646" w:rsidP="00153CA0">
      <w:pPr>
        <w:pStyle w:val="Default"/>
        <w:numPr>
          <w:ilvl w:val="0"/>
          <w:numId w:val="5"/>
        </w:numPr>
        <w:spacing w:after="270"/>
        <w:rPr>
          <w:rFonts w:ascii="Aptos" w:hAnsi="Aptos"/>
          <w:sz w:val="22"/>
          <w:szCs w:val="22"/>
        </w:rPr>
      </w:pPr>
      <w:r w:rsidRPr="00F42A7F">
        <w:rPr>
          <w:rFonts w:ascii="Aptos" w:hAnsi="Aptos"/>
          <w:sz w:val="22"/>
          <w:szCs w:val="22"/>
        </w:rPr>
        <w:t xml:space="preserve">Director, </w:t>
      </w:r>
      <w:r w:rsidR="008F3685">
        <w:rPr>
          <w:rFonts w:ascii="Aptos" w:hAnsi="Aptos"/>
          <w:sz w:val="22"/>
          <w:szCs w:val="22"/>
        </w:rPr>
        <w:t>People Branch</w:t>
      </w:r>
      <w:r w:rsidRPr="00F42A7F">
        <w:rPr>
          <w:rFonts w:ascii="Aptos" w:hAnsi="Aptos"/>
          <w:sz w:val="22"/>
          <w:szCs w:val="22"/>
        </w:rPr>
        <w:t>.</w:t>
      </w:r>
    </w:p>
    <w:p w14:paraId="74A252B5" w14:textId="2AC28676" w:rsidR="00EB7DAF" w:rsidRPr="00F42A7F" w:rsidRDefault="00865CDC" w:rsidP="00153CA0">
      <w:pPr>
        <w:pStyle w:val="List"/>
        <w:numPr>
          <w:ilvl w:val="1"/>
          <w:numId w:val="4"/>
        </w:numPr>
        <w:ind w:left="0"/>
        <w:rPr>
          <w:rFonts w:ascii="Aptos" w:hAnsi="Aptos"/>
          <w:i/>
          <w:iCs/>
        </w:rPr>
      </w:pPr>
      <w:r w:rsidRPr="00F42A7F">
        <w:rPr>
          <w:rFonts w:ascii="Aptos" w:hAnsi="Aptos"/>
        </w:rPr>
        <w:t>If an APS employee in the department has engaged in conduct that may breach the Code and raises concerns relating to effective performance, the initial decision-maker must, before deciding to initiate an inquiry under these procedures, have regard to any relevant standards and guidance issued by the APS Commissioner.</w:t>
      </w:r>
    </w:p>
    <w:p w14:paraId="2E06039B" w14:textId="37C52262" w:rsidR="005F321B" w:rsidRPr="00F42A7F" w:rsidRDefault="005F321B" w:rsidP="005F321B">
      <w:pPr>
        <w:pStyle w:val="List"/>
        <w:numPr>
          <w:ilvl w:val="0"/>
          <w:numId w:val="0"/>
        </w:numPr>
        <w:rPr>
          <w:rFonts w:ascii="Aptos" w:hAnsi="Aptos"/>
          <w:i/>
          <w:iCs/>
        </w:rPr>
      </w:pPr>
      <w:r w:rsidRPr="00F42A7F">
        <w:rPr>
          <w:rFonts w:ascii="Aptos" w:hAnsi="Aptos" w:cs="Calibri"/>
          <w:i/>
          <w:iCs/>
        </w:rPr>
        <w:t xml:space="preserve">Note: This reflects the requirements under section 52 of the Australian Public Service Commissioner's Directions 2022. </w:t>
      </w:r>
      <w:r w:rsidRPr="00F42A7F">
        <w:rPr>
          <w:rFonts w:ascii="Aptos" w:hAnsi="Aptos"/>
        </w:rPr>
        <w:t xml:space="preserve"> </w:t>
      </w:r>
      <w:r w:rsidRPr="00F42A7F">
        <w:rPr>
          <w:rFonts w:ascii="Aptos" w:hAnsi="Aptos" w:cs="Calibri"/>
          <w:i/>
          <w:iCs/>
        </w:rPr>
        <w:t>The standards and guidance are set out in Chapter 4 of the APS Commission’s publication “Handling Misconduct: a human resource manager’s guide”.</w:t>
      </w:r>
    </w:p>
    <w:p w14:paraId="0966D3DD" w14:textId="66561D85" w:rsidR="00FD2CA9" w:rsidRPr="00F42A7F" w:rsidRDefault="00801517" w:rsidP="00153CA0">
      <w:pPr>
        <w:pStyle w:val="List"/>
        <w:numPr>
          <w:ilvl w:val="1"/>
          <w:numId w:val="4"/>
        </w:numPr>
        <w:ind w:left="0"/>
        <w:rPr>
          <w:rFonts w:ascii="Aptos" w:hAnsi="Aptos"/>
          <w:i/>
          <w:iCs/>
        </w:rPr>
      </w:pPr>
      <w:r w:rsidRPr="00F42A7F">
        <w:rPr>
          <w:rFonts w:ascii="Aptos" w:hAnsi="Aptos"/>
        </w:rPr>
        <w:lastRenderedPageBreak/>
        <w:t>Not all suspected breaches of the Code need to be dealt with by way of determination under these procedures. In particular circumstances, another way of dealing with a suspected breach of the Code may be more appropriate, including performance management.</w:t>
      </w:r>
    </w:p>
    <w:p w14:paraId="10ABBE03" w14:textId="3704C08C" w:rsidR="0084132C" w:rsidRPr="00F42A7F" w:rsidRDefault="00281CEA" w:rsidP="00153CA0">
      <w:pPr>
        <w:pStyle w:val="Heading1"/>
        <w:numPr>
          <w:ilvl w:val="0"/>
          <w:numId w:val="4"/>
        </w:numPr>
        <w:ind w:left="0"/>
        <w:rPr>
          <w:rFonts w:ascii="Aptos" w:hAnsi="Aptos"/>
        </w:rPr>
      </w:pPr>
      <w:bookmarkStart w:id="3" w:name="_Toc194054500"/>
      <w:r w:rsidRPr="00F42A7F">
        <w:rPr>
          <w:rFonts w:ascii="Aptos" w:hAnsi="Aptos"/>
          <w:bCs/>
          <w:color w:val="343741"/>
        </w:rPr>
        <w:t>Breach decision-maker</w:t>
      </w:r>
      <w:bookmarkEnd w:id="3"/>
      <w:r w:rsidR="00433B22" w:rsidRPr="00F42A7F">
        <w:rPr>
          <w:rFonts w:ascii="Aptos" w:hAnsi="Aptos"/>
        </w:rPr>
        <w:t xml:space="preserve"> </w:t>
      </w:r>
      <w:r w:rsidR="000F182C" w:rsidRPr="00F42A7F">
        <w:rPr>
          <w:rFonts w:ascii="Aptos" w:hAnsi="Aptos"/>
        </w:rPr>
        <w:t xml:space="preserve"> </w:t>
      </w:r>
    </w:p>
    <w:p w14:paraId="1B6C1CD1" w14:textId="67A51B85" w:rsidR="001C46FA" w:rsidRPr="00F42A7F" w:rsidRDefault="000C649C" w:rsidP="00153CA0">
      <w:pPr>
        <w:pStyle w:val="List"/>
        <w:numPr>
          <w:ilvl w:val="1"/>
          <w:numId w:val="4"/>
        </w:numPr>
        <w:ind w:left="0"/>
        <w:rPr>
          <w:rFonts w:ascii="Aptos" w:hAnsi="Aptos"/>
          <w:i/>
          <w:iCs/>
        </w:rPr>
      </w:pPr>
      <w:r w:rsidRPr="00F42A7F">
        <w:rPr>
          <w:rFonts w:ascii="Aptos" w:hAnsi="Aptos"/>
          <w:i/>
          <w:iCs/>
        </w:rPr>
        <w:t xml:space="preserve">. </w:t>
      </w:r>
      <w:r w:rsidR="00A059AB" w:rsidRPr="00F42A7F">
        <w:rPr>
          <w:rFonts w:ascii="Aptos" w:hAnsi="Aptos"/>
        </w:rPr>
        <w:t>Once a decision is made to formally investigate the suspected breach of the Code under these procedures, the initial decision-maker will appoint a decision-maker (</w:t>
      </w:r>
      <w:r w:rsidR="00A059AB" w:rsidRPr="00F42A7F">
        <w:rPr>
          <w:rFonts w:ascii="Aptos" w:hAnsi="Aptos"/>
          <w:b/>
          <w:bCs/>
        </w:rPr>
        <w:t>the breach decision-maker</w:t>
      </w:r>
      <w:r w:rsidR="00A059AB" w:rsidRPr="00F42A7F">
        <w:rPr>
          <w:rFonts w:ascii="Aptos" w:hAnsi="Aptos"/>
        </w:rPr>
        <w:t xml:space="preserve">) to </w:t>
      </w:r>
      <w:proofErr w:type="gramStart"/>
      <w:r w:rsidR="00A059AB" w:rsidRPr="00F42A7F">
        <w:rPr>
          <w:rFonts w:ascii="Aptos" w:hAnsi="Aptos"/>
        </w:rPr>
        <w:t>make a determination</w:t>
      </w:r>
      <w:proofErr w:type="gramEnd"/>
      <w:r w:rsidR="00A059AB" w:rsidRPr="00F42A7F">
        <w:rPr>
          <w:rFonts w:ascii="Aptos" w:hAnsi="Aptos"/>
        </w:rPr>
        <w:t xml:space="preserve"> under these procedures.</w:t>
      </w:r>
    </w:p>
    <w:p w14:paraId="70F07859" w14:textId="5DCAA74A" w:rsidR="006C4A8C" w:rsidRPr="00F42A7F" w:rsidRDefault="000D2BEA" w:rsidP="00153CA0">
      <w:pPr>
        <w:pStyle w:val="List"/>
        <w:numPr>
          <w:ilvl w:val="1"/>
          <w:numId w:val="4"/>
        </w:numPr>
        <w:ind w:left="0"/>
        <w:rPr>
          <w:rFonts w:ascii="Aptos" w:hAnsi="Aptos"/>
          <w:i/>
          <w:iCs/>
        </w:rPr>
      </w:pPr>
      <w:r w:rsidRPr="00F42A7F">
        <w:rPr>
          <w:rFonts w:ascii="Aptos" w:hAnsi="Aptos"/>
        </w:rPr>
        <w:t>The role of the breach decision-maker is to determine in writing whether a breach of the Code has occurred.</w:t>
      </w:r>
    </w:p>
    <w:p w14:paraId="5C52C953" w14:textId="58BE78EF" w:rsidR="000D2BEA" w:rsidRPr="00F42A7F" w:rsidRDefault="0019213A" w:rsidP="00153CA0">
      <w:pPr>
        <w:pStyle w:val="List"/>
        <w:numPr>
          <w:ilvl w:val="1"/>
          <w:numId w:val="4"/>
        </w:numPr>
        <w:ind w:left="0"/>
        <w:rPr>
          <w:rFonts w:ascii="Aptos" w:hAnsi="Aptos"/>
          <w:i/>
          <w:iCs/>
        </w:rPr>
      </w:pPr>
      <w:r w:rsidRPr="00F42A7F">
        <w:rPr>
          <w:rFonts w:ascii="Aptos" w:hAnsi="Aptos"/>
        </w:rPr>
        <w:t>These procedures do not prevent the initial decision-maker from appointing themselves as the breach decision-maker in the same matter.</w:t>
      </w:r>
    </w:p>
    <w:p w14:paraId="39016204" w14:textId="77939BD4" w:rsidR="0019213A" w:rsidRPr="00F42A7F" w:rsidRDefault="0085755A" w:rsidP="00153CA0">
      <w:pPr>
        <w:pStyle w:val="List"/>
        <w:numPr>
          <w:ilvl w:val="1"/>
          <w:numId w:val="4"/>
        </w:numPr>
        <w:ind w:left="0"/>
        <w:rPr>
          <w:rFonts w:ascii="Aptos" w:hAnsi="Aptos"/>
          <w:i/>
          <w:iCs/>
        </w:rPr>
      </w:pPr>
      <w:r w:rsidRPr="00F42A7F">
        <w:rPr>
          <w:rFonts w:ascii="Aptos" w:hAnsi="Aptos"/>
        </w:rPr>
        <w:t>The breach decision-maker may undertake the investigation or seek the assistance of an investigator who may be external to the department. The investigator may investigate the alleged breach, gather evidence and make a report of recommended factual findings to the breach decision maker. The investigator may make recommendations to the breach decision-maker as to whether breaches of the Code have occurred, however it remains the responsibility of the breach decision-maker to ultimately determine whether a breach of the Code has occurred.</w:t>
      </w:r>
    </w:p>
    <w:p w14:paraId="3F65D6C4" w14:textId="7DACE0F8" w:rsidR="0085755A" w:rsidRPr="00F42A7F" w:rsidRDefault="000372F2" w:rsidP="00153CA0">
      <w:pPr>
        <w:pStyle w:val="List"/>
        <w:numPr>
          <w:ilvl w:val="1"/>
          <w:numId w:val="4"/>
        </w:numPr>
        <w:ind w:left="0"/>
        <w:rPr>
          <w:rFonts w:ascii="Aptos" w:hAnsi="Aptos"/>
          <w:i/>
          <w:iCs/>
        </w:rPr>
      </w:pPr>
      <w:r w:rsidRPr="00F42A7F">
        <w:rPr>
          <w:rFonts w:ascii="Aptos" w:hAnsi="Aptos"/>
        </w:rPr>
        <w:t>The breach decision-maker must have regard to the APS Commission’s publication, ‘Handling Misconduct: A human resource manager’s guide’ in making the determination.</w:t>
      </w:r>
    </w:p>
    <w:p w14:paraId="40BAA6F9" w14:textId="6638CAAA" w:rsidR="001C506C" w:rsidRPr="00F42A7F" w:rsidRDefault="00126CEC" w:rsidP="00153CA0">
      <w:pPr>
        <w:pStyle w:val="Heading1"/>
        <w:numPr>
          <w:ilvl w:val="0"/>
          <w:numId w:val="4"/>
        </w:numPr>
        <w:ind w:left="0"/>
        <w:rPr>
          <w:rFonts w:ascii="Aptos" w:hAnsi="Aptos"/>
        </w:rPr>
      </w:pPr>
      <w:bookmarkStart w:id="4" w:name="_Toc194054501"/>
      <w:r w:rsidRPr="00F42A7F">
        <w:rPr>
          <w:rFonts w:ascii="Aptos" w:hAnsi="Aptos"/>
        </w:rPr>
        <w:t>S</w:t>
      </w:r>
      <w:r w:rsidR="000372F2" w:rsidRPr="00F42A7F">
        <w:rPr>
          <w:rFonts w:ascii="Aptos" w:hAnsi="Aptos"/>
        </w:rPr>
        <w:t>anction Delegate</w:t>
      </w:r>
      <w:bookmarkEnd w:id="4"/>
      <w:r w:rsidR="00C9115C" w:rsidRPr="00F42A7F">
        <w:rPr>
          <w:rFonts w:ascii="Aptos" w:hAnsi="Aptos"/>
        </w:rPr>
        <w:t xml:space="preserve"> </w:t>
      </w:r>
    </w:p>
    <w:p w14:paraId="1479EF62" w14:textId="77777777" w:rsidR="008F7448" w:rsidRPr="00F42A7F" w:rsidRDefault="008F7448" w:rsidP="00153CA0">
      <w:pPr>
        <w:pStyle w:val="List"/>
        <w:numPr>
          <w:ilvl w:val="1"/>
          <w:numId w:val="4"/>
        </w:numPr>
        <w:ind w:left="0"/>
        <w:rPr>
          <w:rFonts w:ascii="Aptos" w:hAnsi="Aptos"/>
          <w:i/>
          <w:iCs/>
        </w:rPr>
      </w:pPr>
      <w:r w:rsidRPr="00F42A7F">
        <w:rPr>
          <w:rFonts w:ascii="Aptos" w:hAnsi="Aptos"/>
        </w:rPr>
        <w:t>The person who is to decide what, if any, sanction is to be imposed on an APS employee who is found to have breached the Code must hold a delegation of the power under section 15(1) of the Act to impose sanctions (</w:t>
      </w:r>
      <w:r w:rsidRPr="00F42A7F">
        <w:rPr>
          <w:rFonts w:ascii="Aptos" w:hAnsi="Aptos"/>
          <w:b/>
          <w:bCs/>
        </w:rPr>
        <w:t>the sanction delegate</w:t>
      </w:r>
      <w:r w:rsidRPr="00F42A7F">
        <w:rPr>
          <w:rFonts w:ascii="Aptos" w:hAnsi="Aptos"/>
        </w:rPr>
        <w:t>).</w:t>
      </w:r>
    </w:p>
    <w:p w14:paraId="7EBADF67" w14:textId="77777777" w:rsidR="00517326" w:rsidRPr="00F42A7F" w:rsidRDefault="00517326" w:rsidP="00153CA0">
      <w:pPr>
        <w:pStyle w:val="List"/>
        <w:numPr>
          <w:ilvl w:val="1"/>
          <w:numId w:val="4"/>
        </w:numPr>
        <w:ind w:left="0"/>
        <w:rPr>
          <w:rFonts w:ascii="Aptos" w:hAnsi="Aptos"/>
          <w:i/>
          <w:iCs/>
        </w:rPr>
      </w:pPr>
      <w:r w:rsidRPr="00F42A7F">
        <w:rPr>
          <w:rFonts w:ascii="Aptos" w:hAnsi="Aptos"/>
        </w:rPr>
        <w:t>These procedures do not prevent the breach decision-maker from being the sanction delegate in the same matter.</w:t>
      </w:r>
    </w:p>
    <w:p w14:paraId="7378AD77" w14:textId="63802690" w:rsidR="00B725A8" w:rsidRPr="00F42A7F" w:rsidRDefault="000423E8" w:rsidP="00153CA0">
      <w:pPr>
        <w:pStyle w:val="List"/>
        <w:numPr>
          <w:ilvl w:val="1"/>
          <w:numId w:val="4"/>
        </w:numPr>
        <w:ind w:left="0"/>
        <w:rPr>
          <w:rFonts w:ascii="Aptos" w:hAnsi="Aptos"/>
          <w:i/>
          <w:iCs/>
        </w:rPr>
      </w:pPr>
      <w:r w:rsidRPr="00F42A7F">
        <w:rPr>
          <w:rFonts w:ascii="Aptos" w:hAnsi="Aptos"/>
        </w:rPr>
        <w:t xml:space="preserve">The sanction delegate must have regard to the APS Commission’s publication, ‘Handling Misconduct: A human resource manager’s guide’ in making the sanction decision. </w:t>
      </w:r>
      <w:r w:rsidR="0097255E" w:rsidRPr="00F42A7F">
        <w:rPr>
          <w:rFonts w:ascii="Aptos" w:hAnsi="Aptos"/>
          <w:i/>
          <w:iCs/>
        </w:rPr>
        <w:t xml:space="preserve"> </w:t>
      </w:r>
      <w:bookmarkStart w:id="5" w:name="_Toc148354657"/>
      <w:bookmarkEnd w:id="5"/>
    </w:p>
    <w:p w14:paraId="402D7A5E" w14:textId="14AC3B73" w:rsidR="00B725A8" w:rsidRPr="00F42A7F" w:rsidRDefault="00B14D7B" w:rsidP="00153CA0">
      <w:pPr>
        <w:pStyle w:val="Heading1"/>
        <w:numPr>
          <w:ilvl w:val="0"/>
          <w:numId w:val="4"/>
        </w:numPr>
        <w:ind w:left="0"/>
        <w:rPr>
          <w:rFonts w:ascii="Aptos" w:hAnsi="Aptos"/>
        </w:rPr>
      </w:pPr>
      <w:bookmarkStart w:id="6" w:name="_Toc194054502"/>
      <w:r w:rsidRPr="00F42A7F">
        <w:rPr>
          <w:rFonts w:ascii="Aptos" w:hAnsi="Aptos"/>
        </w:rPr>
        <w:t>Suspension Delegate</w:t>
      </w:r>
      <w:bookmarkEnd w:id="6"/>
      <w:r w:rsidR="00126CEC" w:rsidRPr="00F42A7F">
        <w:rPr>
          <w:rFonts w:ascii="Aptos" w:hAnsi="Aptos"/>
        </w:rPr>
        <w:t xml:space="preserve"> </w:t>
      </w:r>
    </w:p>
    <w:p w14:paraId="47EA924D" w14:textId="31D2A76A" w:rsidR="007D563F" w:rsidRPr="00F42A7F" w:rsidRDefault="00CA26E4" w:rsidP="00153CA0">
      <w:pPr>
        <w:pStyle w:val="List"/>
        <w:numPr>
          <w:ilvl w:val="1"/>
          <w:numId w:val="4"/>
        </w:numPr>
        <w:ind w:left="0"/>
        <w:rPr>
          <w:rFonts w:ascii="Aptos" w:hAnsi="Aptos"/>
          <w:i/>
          <w:iCs/>
        </w:rPr>
      </w:pPr>
      <w:r w:rsidRPr="00F42A7F">
        <w:rPr>
          <w:rFonts w:ascii="Aptos" w:hAnsi="Aptos"/>
        </w:rPr>
        <w:t>The person who determines whether an employee should be suspended from duties, with or without remuneration, in accordance with section 28 of the Act (</w:t>
      </w:r>
      <w:r w:rsidRPr="00F42A7F">
        <w:rPr>
          <w:rFonts w:ascii="Aptos" w:hAnsi="Aptos"/>
          <w:b/>
          <w:bCs/>
        </w:rPr>
        <w:t>the suspension delegate</w:t>
      </w:r>
      <w:r w:rsidRPr="00F42A7F">
        <w:rPr>
          <w:rFonts w:ascii="Aptos" w:hAnsi="Aptos"/>
        </w:rPr>
        <w:t xml:space="preserve">) must hold a delegation of the powers and functions under that section and under section 14 of </w:t>
      </w:r>
      <w:r w:rsidRPr="00F42A7F">
        <w:rPr>
          <w:rFonts w:ascii="Aptos" w:hAnsi="Aptos"/>
        </w:rPr>
        <w:lastRenderedPageBreak/>
        <w:t xml:space="preserve">the </w:t>
      </w:r>
      <w:r w:rsidRPr="00F42A7F">
        <w:rPr>
          <w:rFonts w:ascii="Aptos" w:hAnsi="Aptos"/>
          <w:i/>
          <w:iCs/>
        </w:rPr>
        <w:t>Public Service Regulations 2023</w:t>
      </w:r>
      <w:r w:rsidR="00B07DB4">
        <w:rPr>
          <w:rFonts w:ascii="Aptos" w:hAnsi="Aptos"/>
        </w:rPr>
        <w:t xml:space="preserve"> (</w:t>
      </w:r>
      <w:r w:rsidR="00B07DB4" w:rsidRPr="00081C5D">
        <w:rPr>
          <w:rFonts w:ascii="Aptos" w:hAnsi="Aptos"/>
          <w:b/>
          <w:bCs/>
        </w:rPr>
        <w:t>the Regulations</w:t>
      </w:r>
      <w:r w:rsidR="00B07DB4">
        <w:rPr>
          <w:rFonts w:ascii="Aptos" w:hAnsi="Aptos"/>
        </w:rPr>
        <w:t>)</w:t>
      </w:r>
      <w:r w:rsidR="00081C5D">
        <w:rPr>
          <w:rFonts w:ascii="Aptos" w:hAnsi="Aptos"/>
        </w:rPr>
        <w:t>.</w:t>
      </w:r>
      <w:r w:rsidRPr="00F42A7F">
        <w:rPr>
          <w:rFonts w:ascii="Aptos" w:hAnsi="Aptos"/>
          <w:i/>
          <w:iCs/>
        </w:rPr>
        <w:t xml:space="preserve"> </w:t>
      </w:r>
      <w:r w:rsidRPr="00F42A7F">
        <w:rPr>
          <w:rFonts w:ascii="Aptos" w:hAnsi="Aptos"/>
        </w:rPr>
        <w:t>The suspension delegate will act consistently with section 14 of the</w:t>
      </w:r>
      <w:r w:rsidR="00081C5D">
        <w:rPr>
          <w:rFonts w:ascii="Aptos" w:hAnsi="Aptos"/>
        </w:rPr>
        <w:t xml:space="preserve"> Regulations</w:t>
      </w:r>
      <w:r w:rsidRPr="00F42A7F">
        <w:rPr>
          <w:rFonts w:ascii="Aptos" w:hAnsi="Aptos"/>
        </w:rPr>
        <w:t xml:space="preserve">. </w:t>
      </w:r>
    </w:p>
    <w:p w14:paraId="074CB1C3" w14:textId="71BC3F6E" w:rsidR="00187013" w:rsidRPr="00F42A7F" w:rsidRDefault="002D6A66" w:rsidP="00153CA0">
      <w:pPr>
        <w:pStyle w:val="List"/>
        <w:numPr>
          <w:ilvl w:val="1"/>
          <w:numId w:val="4"/>
        </w:numPr>
        <w:ind w:left="0"/>
        <w:rPr>
          <w:rFonts w:ascii="Aptos" w:hAnsi="Aptos"/>
          <w:i/>
          <w:iCs/>
        </w:rPr>
      </w:pPr>
      <w:r w:rsidRPr="00F42A7F">
        <w:rPr>
          <w:rFonts w:ascii="Aptos" w:hAnsi="Aptos"/>
          <w:color w:val="343741"/>
        </w:rPr>
        <w:t>Where suspension from duties is being considered, appointing a separate delegate from the breach decision-maker is preferable.</w:t>
      </w:r>
    </w:p>
    <w:p w14:paraId="69256FB8" w14:textId="47BB22D1" w:rsidR="00597210" w:rsidRPr="00F42A7F" w:rsidRDefault="00F55CCE" w:rsidP="00153CA0">
      <w:pPr>
        <w:pStyle w:val="Heading1"/>
        <w:numPr>
          <w:ilvl w:val="0"/>
          <w:numId w:val="4"/>
        </w:numPr>
        <w:ind w:left="0"/>
        <w:rPr>
          <w:rFonts w:ascii="Aptos" w:hAnsi="Aptos"/>
        </w:rPr>
      </w:pPr>
      <w:bookmarkStart w:id="7" w:name="_Toc194054503"/>
      <w:r w:rsidRPr="00F42A7F">
        <w:rPr>
          <w:rFonts w:ascii="Aptos" w:hAnsi="Aptos"/>
          <w:bCs/>
          <w:color w:val="343741"/>
        </w:rPr>
        <w:t>Breach decision-maker</w:t>
      </w:r>
      <w:r w:rsidR="00AA2671" w:rsidRPr="00F42A7F">
        <w:rPr>
          <w:rFonts w:ascii="Aptos" w:hAnsi="Aptos"/>
        </w:rPr>
        <w:t xml:space="preserve"> and sanction delegate to be independent and unbiased</w:t>
      </w:r>
      <w:bookmarkEnd w:id="7"/>
    </w:p>
    <w:p w14:paraId="3879296B" w14:textId="14D0CB6B" w:rsidR="009E4D17" w:rsidRPr="00F42A7F" w:rsidRDefault="00B75271" w:rsidP="00153CA0">
      <w:pPr>
        <w:pStyle w:val="List"/>
        <w:numPr>
          <w:ilvl w:val="1"/>
          <w:numId w:val="4"/>
        </w:numPr>
        <w:ind w:left="0"/>
        <w:rPr>
          <w:rFonts w:ascii="Aptos" w:hAnsi="Aptos"/>
          <w:i/>
          <w:iCs/>
        </w:rPr>
      </w:pPr>
      <w:r w:rsidRPr="00F42A7F">
        <w:rPr>
          <w:rFonts w:ascii="Aptos" w:hAnsi="Aptos"/>
        </w:rPr>
        <w:t>The breach decision-maker and the sanction delegate must be, and appear to be, independent and unbiased</w:t>
      </w:r>
      <w:r w:rsidR="009E4D17" w:rsidRPr="00F42A7F">
        <w:rPr>
          <w:rFonts w:ascii="Aptos" w:hAnsi="Aptos"/>
          <w:color w:val="343741"/>
        </w:rPr>
        <w:t>.</w:t>
      </w:r>
    </w:p>
    <w:p w14:paraId="45A24375" w14:textId="25F1D295" w:rsidR="00597210" w:rsidRPr="00F42A7F" w:rsidRDefault="000A7234" w:rsidP="00153CA0">
      <w:pPr>
        <w:pStyle w:val="List"/>
        <w:numPr>
          <w:ilvl w:val="1"/>
          <w:numId w:val="4"/>
        </w:numPr>
        <w:ind w:left="0"/>
        <w:rPr>
          <w:rFonts w:ascii="Aptos" w:hAnsi="Aptos"/>
          <w:i/>
          <w:iCs/>
        </w:rPr>
      </w:pPr>
      <w:r w:rsidRPr="00F42A7F">
        <w:rPr>
          <w:rFonts w:ascii="Aptos" w:hAnsi="Aptos"/>
        </w:rPr>
        <w:t>The breach decision maker and the sanction delegate must, in writing, advise the Secretary or the initial decision-maker if they consider that they may not be independent and unbiased or if they consider that they may reasonably be perceived not to be independent and unbiased, for example, if they are a witness in the matter.</w:t>
      </w:r>
    </w:p>
    <w:p w14:paraId="4A9A7227" w14:textId="403DA069" w:rsidR="00F55CCE" w:rsidRPr="00F42A7F" w:rsidRDefault="00F55CCE" w:rsidP="00153CA0">
      <w:pPr>
        <w:pStyle w:val="Heading1"/>
        <w:numPr>
          <w:ilvl w:val="0"/>
          <w:numId w:val="4"/>
        </w:numPr>
        <w:ind w:left="0"/>
        <w:rPr>
          <w:rFonts w:ascii="Aptos" w:hAnsi="Aptos"/>
        </w:rPr>
      </w:pPr>
      <w:bookmarkStart w:id="8" w:name="_Toc194054504"/>
      <w:r w:rsidRPr="00F42A7F">
        <w:rPr>
          <w:rFonts w:ascii="Aptos" w:hAnsi="Aptos"/>
          <w:bCs/>
          <w:color w:val="343741"/>
        </w:rPr>
        <w:t>The determination process</w:t>
      </w:r>
      <w:bookmarkEnd w:id="8"/>
      <w:r w:rsidRPr="00F42A7F">
        <w:rPr>
          <w:rFonts w:ascii="Aptos" w:hAnsi="Aptos"/>
        </w:rPr>
        <w:t xml:space="preserve">  </w:t>
      </w:r>
    </w:p>
    <w:p w14:paraId="18DF6D9C" w14:textId="44082B9A" w:rsidR="00D27BEE" w:rsidRPr="00F42A7F" w:rsidRDefault="00E4452A" w:rsidP="00153CA0">
      <w:pPr>
        <w:pStyle w:val="List"/>
        <w:numPr>
          <w:ilvl w:val="1"/>
          <w:numId w:val="4"/>
        </w:numPr>
        <w:ind w:left="0"/>
        <w:rPr>
          <w:rFonts w:ascii="Aptos" w:hAnsi="Aptos"/>
          <w:i/>
          <w:iCs/>
        </w:rPr>
      </w:pPr>
      <w:r w:rsidRPr="00F42A7F">
        <w:rPr>
          <w:rFonts w:ascii="Aptos" w:hAnsi="Aptos"/>
        </w:rPr>
        <w:t>The process for determining whether a person who a current or former APS employee in the department has breached the Code must be carried out with as little formality, and with as much expedition, as a proper consideration of the matter allows</w:t>
      </w:r>
      <w:r w:rsidR="00D27BEE" w:rsidRPr="00F42A7F">
        <w:rPr>
          <w:rFonts w:ascii="Aptos" w:hAnsi="Aptos"/>
          <w:color w:val="343741"/>
        </w:rPr>
        <w:t>.</w:t>
      </w:r>
    </w:p>
    <w:p w14:paraId="2EBBE353" w14:textId="7646249A" w:rsidR="00E4452A" w:rsidRPr="00F42A7F" w:rsidRDefault="00550700" w:rsidP="00153CA0">
      <w:pPr>
        <w:pStyle w:val="List"/>
        <w:numPr>
          <w:ilvl w:val="1"/>
          <w:numId w:val="4"/>
        </w:numPr>
        <w:ind w:left="0"/>
        <w:rPr>
          <w:rFonts w:ascii="Aptos" w:hAnsi="Aptos"/>
          <w:i/>
          <w:iCs/>
        </w:rPr>
      </w:pPr>
      <w:r w:rsidRPr="00F42A7F">
        <w:rPr>
          <w:rFonts w:ascii="Aptos" w:hAnsi="Aptos"/>
        </w:rPr>
        <w:t>The process must be consistent with the principles of procedural fairness</w:t>
      </w:r>
      <w:r w:rsidR="00E17C70" w:rsidRPr="00F42A7F">
        <w:rPr>
          <w:rFonts w:ascii="Aptos" w:hAnsi="Aptos"/>
        </w:rPr>
        <w:t>.</w:t>
      </w:r>
    </w:p>
    <w:p w14:paraId="5B216D45" w14:textId="77777777" w:rsidR="00523357" w:rsidRPr="00F42A7F" w:rsidRDefault="00523357" w:rsidP="00545E73">
      <w:pPr>
        <w:pStyle w:val="Default"/>
        <w:spacing w:line="360" w:lineRule="auto"/>
        <w:ind w:firstLine="720"/>
        <w:rPr>
          <w:rFonts w:ascii="Aptos" w:hAnsi="Aptos"/>
          <w:i/>
          <w:iCs/>
          <w:sz w:val="22"/>
          <w:szCs w:val="22"/>
        </w:rPr>
      </w:pPr>
      <w:r w:rsidRPr="00F42A7F">
        <w:rPr>
          <w:rFonts w:ascii="Aptos" w:hAnsi="Aptos"/>
          <w:i/>
          <w:iCs/>
          <w:sz w:val="22"/>
          <w:szCs w:val="22"/>
        </w:rPr>
        <w:t>Note: Procedural fairness generally requires that:</w:t>
      </w:r>
    </w:p>
    <w:p w14:paraId="2C69E4E2" w14:textId="61A60CD1" w:rsidR="00523357" w:rsidRPr="00F42A7F" w:rsidRDefault="00523357" w:rsidP="00153CA0">
      <w:pPr>
        <w:pStyle w:val="Default"/>
        <w:numPr>
          <w:ilvl w:val="0"/>
          <w:numId w:val="6"/>
        </w:numPr>
        <w:spacing w:line="360" w:lineRule="auto"/>
        <w:rPr>
          <w:rFonts w:ascii="Aptos" w:hAnsi="Aptos"/>
          <w:sz w:val="22"/>
          <w:szCs w:val="22"/>
        </w:rPr>
      </w:pPr>
      <w:r w:rsidRPr="00F42A7F">
        <w:rPr>
          <w:rFonts w:ascii="Aptos" w:hAnsi="Aptos"/>
          <w:i/>
          <w:iCs/>
          <w:sz w:val="22"/>
          <w:szCs w:val="22"/>
        </w:rPr>
        <w:t>the person suspected of breaching the Code is informed of the case against them (</w:t>
      </w:r>
      <w:r w:rsidR="002601BC">
        <w:rPr>
          <w:rFonts w:ascii="Aptos" w:hAnsi="Aptos"/>
          <w:i/>
          <w:iCs/>
          <w:sz w:val="22"/>
          <w:szCs w:val="22"/>
        </w:rPr>
        <w:t>that is,</w:t>
      </w:r>
      <w:r w:rsidRPr="00F42A7F">
        <w:rPr>
          <w:rFonts w:ascii="Aptos" w:hAnsi="Aptos"/>
          <w:i/>
          <w:iCs/>
          <w:sz w:val="22"/>
          <w:szCs w:val="22"/>
        </w:rPr>
        <w:t xml:space="preserve"> any material that is before the decision maker that is </w:t>
      </w:r>
      <w:proofErr w:type="gramStart"/>
      <w:r w:rsidRPr="00F42A7F">
        <w:rPr>
          <w:rFonts w:ascii="Aptos" w:hAnsi="Aptos"/>
          <w:i/>
          <w:iCs/>
          <w:sz w:val="22"/>
          <w:szCs w:val="22"/>
        </w:rPr>
        <w:t>adverse</w:t>
      </w:r>
      <w:proofErr w:type="gramEnd"/>
      <w:r w:rsidRPr="00F42A7F">
        <w:rPr>
          <w:rFonts w:ascii="Aptos" w:hAnsi="Aptos"/>
          <w:i/>
          <w:iCs/>
          <w:sz w:val="22"/>
          <w:szCs w:val="22"/>
        </w:rPr>
        <w:t xml:space="preserve"> to the person or their interests and that is credible, relevant and significant) </w:t>
      </w:r>
    </w:p>
    <w:p w14:paraId="757E6C65" w14:textId="77777777" w:rsidR="00523357" w:rsidRPr="00F42A7F" w:rsidRDefault="00523357" w:rsidP="00153CA0">
      <w:pPr>
        <w:pStyle w:val="Default"/>
        <w:numPr>
          <w:ilvl w:val="0"/>
          <w:numId w:val="6"/>
        </w:numPr>
        <w:spacing w:after="20" w:line="360" w:lineRule="auto"/>
        <w:rPr>
          <w:rFonts w:ascii="Aptos" w:hAnsi="Aptos"/>
          <w:sz w:val="22"/>
          <w:szCs w:val="22"/>
        </w:rPr>
      </w:pPr>
      <w:r w:rsidRPr="00F42A7F">
        <w:rPr>
          <w:rFonts w:ascii="Aptos" w:hAnsi="Aptos"/>
          <w:i/>
          <w:iCs/>
          <w:sz w:val="22"/>
          <w:szCs w:val="22"/>
        </w:rPr>
        <w:t xml:space="preserve">the person is provided with a reasonable opportunity to respond and put their case, in accordance with these procedures, before any decision is made on breach or sanction </w:t>
      </w:r>
    </w:p>
    <w:p w14:paraId="0E1144AC" w14:textId="77777777" w:rsidR="00523357" w:rsidRPr="00F42A7F" w:rsidRDefault="00523357" w:rsidP="00153CA0">
      <w:pPr>
        <w:pStyle w:val="Default"/>
        <w:numPr>
          <w:ilvl w:val="0"/>
          <w:numId w:val="6"/>
        </w:numPr>
        <w:spacing w:after="20" w:line="360" w:lineRule="auto"/>
        <w:rPr>
          <w:rFonts w:ascii="Aptos" w:hAnsi="Aptos"/>
          <w:i/>
          <w:iCs/>
          <w:sz w:val="22"/>
          <w:szCs w:val="22"/>
        </w:rPr>
      </w:pPr>
      <w:r w:rsidRPr="00F42A7F">
        <w:rPr>
          <w:rFonts w:ascii="Aptos" w:hAnsi="Aptos"/>
          <w:i/>
          <w:iCs/>
          <w:sz w:val="22"/>
          <w:szCs w:val="22"/>
        </w:rPr>
        <w:t xml:space="preserve">the decision maker acts without bias or an appearance of bias </w:t>
      </w:r>
    </w:p>
    <w:p w14:paraId="52679B96" w14:textId="7F59C6DD" w:rsidR="00E17C70" w:rsidRPr="00F42A7F" w:rsidRDefault="00523357" w:rsidP="00153CA0">
      <w:pPr>
        <w:pStyle w:val="List"/>
        <w:numPr>
          <w:ilvl w:val="0"/>
          <w:numId w:val="6"/>
        </w:numPr>
        <w:rPr>
          <w:rFonts w:ascii="Aptos" w:hAnsi="Aptos"/>
          <w:i/>
          <w:iCs/>
        </w:rPr>
      </w:pPr>
      <w:r w:rsidRPr="00F42A7F">
        <w:rPr>
          <w:rFonts w:ascii="Aptos" w:hAnsi="Aptos"/>
          <w:i/>
          <w:iCs/>
        </w:rPr>
        <w:t>there is logically probative evidence to support the making, on the balance of probabilities, of adverse findings.</w:t>
      </w:r>
    </w:p>
    <w:p w14:paraId="5D0C3EB9" w14:textId="1EB2A089" w:rsidR="005D486E" w:rsidRPr="00F42A7F" w:rsidRDefault="00523357" w:rsidP="00153CA0">
      <w:pPr>
        <w:pStyle w:val="List"/>
        <w:numPr>
          <w:ilvl w:val="1"/>
          <w:numId w:val="4"/>
        </w:numPr>
        <w:ind w:left="0"/>
        <w:rPr>
          <w:rFonts w:ascii="Aptos" w:hAnsi="Aptos"/>
          <w:i/>
          <w:iCs/>
        </w:rPr>
      </w:pPr>
      <w:r w:rsidRPr="00F42A7F">
        <w:rPr>
          <w:rFonts w:ascii="Aptos" w:hAnsi="Aptos"/>
        </w:rPr>
        <w:t>A determination may not be made in relation to a suspected breach of the Code by a current or former APS employee in the department unless reasonable steps have been taken to</w:t>
      </w:r>
      <w:r w:rsidR="005D486E" w:rsidRPr="00F42A7F">
        <w:rPr>
          <w:rFonts w:ascii="Aptos" w:hAnsi="Aptos"/>
        </w:rPr>
        <w:t>:</w:t>
      </w:r>
    </w:p>
    <w:p w14:paraId="54D121BF" w14:textId="02AD3A4C" w:rsidR="008117BD" w:rsidRPr="00F42A7F" w:rsidRDefault="008117BD" w:rsidP="00153CA0">
      <w:pPr>
        <w:pStyle w:val="Default"/>
        <w:numPr>
          <w:ilvl w:val="0"/>
          <w:numId w:val="7"/>
        </w:numPr>
        <w:spacing w:line="360" w:lineRule="auto"/>
        <w:rPr>
          <w:rFonts w:ascii="Aptos" w:hAnsi="Aptos"/>
          <w:sz w:val="22"/>
          <w:szCs w:val="22"/>
        </w:rPr>
      </w:pPr>
      <w:r w:rsidRPr="00F42A7F">
        <w:rPr>
          <w:rFonts w:ascii="Aptos" w:hAnsi="Aptos"/>
          <w:sz w:val="22"/>
          <w:szCs w:val="22"/>
        </w:rPr>
        <w:t xml:space="preserve">inform the person of: </w:t>
      </w:r>
    </w:p>
    <w:p w14:paraId="6C7B821F" w14:textId="56C4A9AF" w:rsidR="008117BD" w:rsidRPr="00F42A7F" w:rsidRDefault="008117BD" w:rsidP="00153CA0">
      <w:pPr>
        <w:pStyle w:val="Default"/>
        <w:numPr>
          <w:ilvl w:val="0"/>
          <w:numId w:val="9"/>
        </w:numPr>
        <w:spacing w:line="360" w:lineRule="auto"/>
        <w:rPr>
          <w:rFonts w:ascii="Aptos" w:hAnsi="Aptos"/>
          <w:sz w:val="22"/>
          <w:szCs w:val="22"/>
        </w:rPr>
      </w:pPr>
      <w:r w:rsidRPr="00F42A7F">
        <w:rPr>
          <w:rFonts w:ascii="Aptos" w:hAnsi="Aptos"/>
          <w:sz w:val="22"/>
          <w:szCs w:val="22"/>
        </w:rPr>
        <w:t xml:space="preserve">the details of the suspected breach of the Code (including any subsequent variation of those details); and </w:t>
      </w:r>
    </w:p>
    <w:p w14:paraId="34403277" w14:textId="74474052" w:rsidR="005D486E" w:rsidRPr="00F42A7F" w:rsidRDefault="008117BD" w:rsidP="00153CA0">
      <w:pPr>
        <w:pStyle w:val="Default"/>
        <w:numPr>
          <w:ilvl w:val="0"/>
          <w:numId w:val="8"/>
        </w:numPr>
        <w:spacing w:line="360" w:lineRule="auto"/>
        <w:rPr>
          <w:rFonts w:ascii="Aptos" w:hAnsi="Aptos"/>
          <w:sz w:val="22"/>
          <w:szCs w:val="22"/>
        </w:rPr>
      </w:pPr>
      <w:r w:rsidRPr="00F42A7F">
        <w:rPr>
          <w:rFonts w:ascii="Aptos" w:hAnsi="Aptos"/>
          <w:sz w:val="22"/>
          <w:szCs w:val="22"/>
        </w:rPr>
        <w:lastRenderedPageBreak/>
        <w:t>where the person is a current APS employee in the department, the sanctions that may be imposed on them under subsection 15(1) of the Act; and</w:t>
      </w:r>
    </w:p>
    <w:p w14:paraId="321AD45F" w14:textId="36849C06" w:rsidR="00C23778" w:rsidRPr="00F42A7F" w:rsidRDefault="008E6CFE" w:rsidP="00153CA0">
      <w:pPr>
        <w:pStyle w:val="Default"/>
        <w:numPr>
          <w:ilvl w:val="0"/>
          <w:numId w:val="7"/>
        </w:numPr>
        <w:spacing w:line="360" w:lineRule="auto"/>
        <w:rPr>
          <w:rFonts w:ascii="Aptos" w:hAnsi="Aptos"/>
          <w:sz w:val="22"/>
          <w:szCs w:val="22"/>
        </w:rPr>
      </w:pPr>
      <w:r w:rsidRPr="00F42A7F">
        <w:rPr>
          <w:rFonts w:ascii="Aptos" w:hAnsi="Aptos"/>
          <w:sz w:val="22"/>
          <w:szCs w:val="22"/>
        </w:rPr>
        <w:t xml:space="preserve">give the employee or former employee a reasonable opportunity of not less than </w:t>
      </w:r>
      <w:r w:rsidR="00E86547">
        <w:rPr>
          <w:rFonts w:ascii="Aptos" w:hAnsi="Aptos"/>
          <w:sz w:val="22"/>
          <w:szCs w:val="22"/>
        </w:rPr>
        <w:t>7</w:t>
      </w:r>
      <w:r w:rsidRPr="00F42A7F">
        <w:rPr>
          <w:rFonts w:ascii="Aptos" w:hAnsi="Aptos"/>
          <w:sz w:val="22"/>
          <w:szCs w:val="22"/>
        </w:rPr>
        <w:t xml:space="preserve"> calendar days to make a statement in relation to the suspected breach (or subsequent variation to any initially suspected breach).</w:t>
      </w:r>
    </w:p>
    <w:p w14:paraId="254CE79E" w14:textId="238CF2AB" w:rsidR="008E6CFE" w:rsidRPr="00F42A7F" w:rsidRDefault="0015060A" w:rsidP="00153CA0">
      <w:pPr>
        <w:pStyle w:val="List"/>
        <w:numPr>
          <w:ilvl w:val="1"/>
          <w:numId w:val="4"/>
        </w:numPr>
        <w:ind w:left="0"/>
        <w:rPr>
          <w:rFonts w:ascii="Aptos" w:hAnsi="Aptos"/>
          <w:i/>
          <w:iCs/>
        </w:rPr>
      </w:pPr>
      <w:r w:rsidRPr="00F42A7F">
        <w:rPr>
          <w:rFonts w:ascii="Aptos" w:hAnsi="Aptos"/>
        </w:rPr>
        <w:t>A person who does not make a statement in relation to the suspected breach is not, for that reason alone, to be taken to have admitted to committing the suspected breach</w:t>
      </w:r>
      <w:r w:rsidR="008E6CFE" w:rsidRPr="00F42A7F">
        <w:rPr>
          <w:rFonts w:ascii="Aptos" w:hAnsi="Aptos"/>
        </w:rPr>
        <w:t>.</w:t>
      </w:r>
    </w:p>
    <w:p w14:paraId="42DB35D0" w14:textId="452F1C5A" w:rsidR="0015060A" w:rsidRPr="00F42A7F" w:rsidRDefault="001C4083" w:rsidP="00153CA0">
      <w:pPr>
        <w:pStyle w:val="List"/>
        <w:numPr>
          <w:ilvl w:val="1"/>
          <w:numId w:val="4"/>
        </w:numPr>
        <w:ind w:left="0"/>
        <w:rPr>
          <w:rFonts w:ascii="Aptos" w:hAnsi="Aptos"/>
          <w:i/>
          <w:iCs/>
        </w:rPr>
      </w:pPr>
      <w:r w:rsidRPr="00F42A7F">
        <w:rPr>
          <w:rFonts w:ascii="Aptos" w:hAnsi="Aptos"/>
        </w:rPr>
        <w:t>For the purpose of determining whether a current or former APS employee in the department has breached the Code, a formal hearing is not required.</w:t>
      </w:r>
    </w:p>
    <w:p w14:paraId="096FCF4E" w14:textId="22B77A97" w:rsidR="009E5D2F" w:rsidRPr="00F42A7F" w:rsidRDefault="009E5D2F" w:rsidP="00153CA0">
      <w:pPr>
        <w:pStyle w:val="List"/>
        <w:numPr>
          <w:ilvl w:val="1"/>
          <w:numId w:val="4"/>
        </w:numPr>
        <w:ind w:left="0"/>
        <w:rPr>
          <w:rFonts w:ascii="Aptos" w:hAnsi="Aptos"/>
          <w:i/>
          <w:iCs/>
        </w:rPr>
      </w:pPr>
      <w:r w:rsidRPr="00F42A7F">
        <w:rPr>
          <w:rFonts w:ascii="Aptos" w:hAnsi="Aptos"/>
        </w:rPr>
        <w:t>The breach decision-maker or an investigator assisting the breach decision-maker, where they consider in all the circumstances that the request is reasonable, must agree to a request made by the person who is suspected of breaching the Code to have a support person present in a meeting or interview they conduct.</w:t>
      </w:r>
    </w:p>
    <w:p w14:paraId="4AD8058A" w14:textId="0702A23B" w:rsidR="00AA2671" w:rsidRPr="00F42A7F" w:rsidRDefault="00AA2671" w:rsidP="00153CA0">
      <w:pPr>
        <w:pStyle w:val="Heading1"/>
        <w:numPr>
          <w:ilvl w:val="0"/>
          <w:numId w:val="4"/>
        </w:numPr>
        <w:ind w:left="0"/>
        <w:rPr>
          <w:rFonts w:ascii="Aptos" w:hAnsi="Aptos"/>
        </w:rPr>
      </w:pPr>
      <w:bookmarkStart w:id="9" w:name="_Toc194054505"/>
      <w:r w:rsidRPr="00F42A7F">
        <w:rPr>
          <w:rFonts w:ascii="Aptos" w:hAnsi="Aptos"/>
          <w:bCs/>
          <w:color w:val="343741"/>
        </w:rPr>
        <w:t>Sanctions</w:t>
      </w:r>
      <w:bookmarkEnd w:id="9"/>
    </w:p>
    <w:p w14:paraId="3A38C6E5" w14:textId="604E914F" w:rsidR="009E5D2F" w:rsidRPr="00F42A7F" w:rsidRDefault="00963581" w:rsidP="00153CA0">
      <w:pPr>
        <w:pStyle w:val="List"/>
        <w:numPr>
          <w:ilvl w:val="1"/>
          <w:numId w:val="4"/>
        </w:numPr>
        <w:ind w:left="0"/>
        <w:rPr>
          <w:rFonts w:ascii="Aptos" w:hAnsi="Aptos"/>
          <w:i/>
          <w:iCs/>
        </w:rPr>
      </w:pPr>
      <w:r w:rsidRPr="00F42A7F">
        <w:rPr>
          <w:rFonts w:ascii="Aptos" w:hAnsi="Aptos"/>
        </w:rPr>
        <w:t>The process for deciding on sanctions must be consistent with the principles of procedural fairness</w:t>
      </w:r>
      <w:r w:rsidR="009E5D2F" w:rsidRPr="00F42A7F">
        <w:rPr>
          <w:rFonts w:ascii="Aptos" w:hAnsi="Aptos"/>
        </w:rPr>
        <w:t>.</w:t>
      </w:r>
    </w:p>
    <w:p w14:paraId="7C39EF93" w14:textId="7F328294" w:rsidR="00D33A3B" w:rsidRPr="00F42A7F" w:rsidRDefault="00D33A3B" w:rsidP="00153CA0">
      <w:pPr>
        <w:pStyle w:val="List"/>
        <w:numPr>
          <w:ilvl w:val="1"/>
          <w:numId w:val="4"/>
        </w:numPr>
        <w:ind w:left="0"/>
        <w:rPr>
          <w:rFonts w:ascii="Aptos" w:hAnsi="Aptos"/>
          <w:i/>
          <w:iCs/>
        </w:rPr>
      </w:pPr>
      <w:r w:rsidRPr="00F42A7F">
        <w:rPr>
          <w:rFonts w:ascii="Aptos" w:hAnsi="Aptos"/>
        </w:rPr>
        <w:t>If a determination is made that a current APS employee in the department has breached the Code, a sanction may not be imposed on the employee unless reasonable steps have been taken to:</w:t>
      </w:r>
    </w:p>
    <w:p w14:paraId="45BDEAFB" w14:textId="4DAC22AE" w:rsidR="0096043B" w:rsidRPr="00F42A7F" w:rsidRDefault="0096043B" w:rsidP="00153CA0">
      <w:pPr>
        <w:pStyle w:val="Default"/>
        <w:numPr>
          <w:ilvl w:val="0"/>
          <w:numId w:val="10"/>
        </w:numPr>
        <w:spacing w:after="270"/>
        <w:rPr>
          <w:rFonts w:ascii="Aptos" w:hAnsi="Aptos"/>
          <w:sz w:val="22"/>
          <w:szCs w:val="22"/>
        </w:rPr>
      </w:pPr>
      <w:r w:rsidRPr="00F42A7F">
        <w:rPr>
          <w:rFonts w:ascii="Aptos" w:hAnsi="Aptos"/>
          <w:sz w:val="22"/>
          <w:szCs w:val="22"/>
        </w:rPr>
        <w:t xml:space="preserve">inform the employee of: </w:t>
      </w:r>
    </w:p>
    <w:p w14:paraId="21EC7A09" w14:textId="3216D1E9" w:rsidR="0096043B" w:rsidRPr="00F42A7F" w:rsidRDefault="0096043B" w:rsidP="00326DFF">
      <w:pPr>
        <w:pStyle w:val="Default"/>
        <w:numPr>
          <w:ilvl w:val="0"/>
          <w:numId w:val="8"/>
        </w:numPr>
        <w:spacing w:after="270"/>
        <w:rPr>
          <w:rFonts w:ascii="Aptos" w:hAnsi="Aptos"/>
          <w:sz w:val="22"/>
          <w:szCs w:val="22"/>
        </w:rPr>
      </w:pPr>
      <w:r w:rsidRPr="00F42A7F">
        <w:rPr>
          <w:rFonts w:ascii="Aptos" w:hAnsi="Aptos"/>
          <w:sz w:val="22"/>
          <w:szCs w:val="22"/>
        </w:rPr>
        <w:t xml:space="preserve">the determination of the breach of the Code that has been made; and </w:t>
      </w:r>
    </w:p>
    <w:p w14:paraId="36C760FE" w14:textId="75D8FE7C" w:rsidR="0096043B" w:rsidRPr="00F42A7F" w:rsidRDefault="0096043B" w:rsidP="00153CA0">
      <w:pPr>
        <w:pStyle w:val="Default"/>
        <w:numPr>
          <w:ilvl w:val="0"/>
          <w:numId w:val="8"/>
        </w:numPr>
        <w:spacing w:after="270"/>
        <w:rPr>
          <w:rFonts w:ascii="Aptos" w:hAnsi="Aptos"/>
          <w:sz w:val="22"/>
          <w:szCs w:val="22"/>
        </w:rPr>
      </w:pPr>
      <w:r w:rsidRPr="00F42A7F">
        <w:rPr>
          <w:rFonts w:ascii="Aptos" w:hAnsi="Aptos"/>
          <w:sz w:val="22"/>
          <w:szCs w:val="22"/>
        </w:rPr>
        <w:t xml:space="preserve">the sanction or sanctions that are under consideration; and </w:t>
      </w:r>
    </w:p>
    <w:p w14:paraId="57ADD6CE" w14:textId="7BA9A90D" w:rsidR="0027427A" w:rsidRPr="00F42A7F" w:rsidRDefault="0096043B" w:rsidP="00153CA0">
      <w:pPr>
        <w:pStyle w:val="Default"/>
        <w:numPr>
          <w:ilvl w:val="0"/>
          <w:numId w:val="8"/>
        </w:numPr>
        <w:spacing w:after="270"/>
        <w:rPr>
          <w:rFonts w:ascii="Aptos" w:hAnsi="Aptos"/>
          <w:sz w:val="22"/>
          <w:szCs w:val="22"/>
        </w:rPr>
      </w:pPr>
      <w:r w:rsidRPr="00F42A7F">
        <w:rPr>
          <w:rFonts w:ascii="Aptos" w:hAnsi="Aptos"/>
          <w:sz w:val="22"/>
          <w:szCs w:val="22"/>
        </w:rPr>
        <w:t>the factors that are under consideration in determining any sanction to be imposed; and</w:t>
      </w:r>
    </w:p>
    <w:p w14:paraId="76FF8F8E" w14:textId="56EB50D4" w:rsidR="009E5D2F" w:rsidRPr="00F42A7F" w:rsidRDefault="0008632B" w:rsidP="00153CA0">
      <w:pPr>
        <w:pStyle w:val="Default"/>
        <w:numPr>
          <w:ilvl w:val="0"/>
          <w:numId w:val="10"/>
        </w:numPr>
        <w:spacing w:after="270"/>
        <w:rPr>
          <w:rFonts w:ascii="Aptos" w:hAnsi="Aptos"/>
        </w:rPr>
      </w:pPr>
      <w:r w:rsidRPr="00F42A7F">
        <w:rPr>
          <w:rFonts w:ascii="Aptos" w:hAnsi="Aptos"/>
          <w:sz w:val="22"/>
          <w:szCs w:val="22"/>
        </w:rPr>
        <w:t xml:space="preserve">give the employee a reasonable opportunity to make a written statement in relation to the sanction or sanctions under consideration within </w:t>
      </w:r>
      <w:r w:rsidR="00CB125F">
        <w:rPr>
          <w:rFonts w:ascii="Aptos" w:hAnsi="Aptos"/>
          <w:sz w:val="22"/>
          <w:szCs w:val="22"/>
        </w:rPr>
        <w:t>7</w:t>
      </w:r>
      <w:r w:rsidRPr="00F42A7F">
        <w:rPr>
          <w:rFonts w:ascii="Aptos" w:hAnsi="Aptos"/>
          <w:sz w:val="22"/>
          <w:szCs w:val="22"/>
        </w:rPr>
        <w:t xml:space="preserve"> calendar days, or any longer period that is allowed by the sanction delegate</w:t>
      </w:r>
      <w:r w:rsidR="00D60257" w:rsidRPr="00F42A7F">
        <w:rPr>
          <w:rFonts w:ascii="Aptos" w:hAnsi="Aptos"/>
          <w:sz w:val="22"/>
          <w:szCs w:val="22"/>
        </w:rPr>
        <w:t>.</w:t>
      </w:r>
    </w:p>
    <w:p w14:paraId="79E8332D" w14:textId="52860B87" w:rsidR="00D60257" w:rsidRPr="00F42A7F" w:rsidRDefault="00731609" w:rsidP="00153CA0">
      <w:pPr>
        <w:pStyle w:val="Heading1"/>
        <w:numPr>
          <w:ilvl w:val="0"/>
          <w:numId w:val="4"/>
        </w:numPr>
        <w:ind w:left="-210"/>
        <w:rPr>
          <w:rFonts w:ascii="Aptos" w:hAnsi="Aptos"/>
          <w:bCs/>
          <w:color w:val="343741"/>
        </w:rPr>
      </w:pPr>
      <w:bookmarkStart w:id="10" w:name="_Toc194054506"/>
      <w:r w:rsidRPr="00F42A7F">
        <w:rPr>
          <w:rFonts w:ascii="Aptos" w:hAnsi="Aptos"/>
          <w:bCs/>
          <w:color w:val="343741"/>
        </w:rPr>
        <w:t>Record of determination and sanction</w:t>
      </w:r>
      <w:bookmarkEnd w:id="10"/>
    </w:p>
    <w:p w14:paraId="446788BB" w14:textId="0F4E253B" w:rsidR="002722D0" w:rsidRPr="00F42A7F" w:rsidRDefault="00133AA9" w:rsidP="00153CA0">
      <w:pPr>
        <w:pStyle w:val="List"/>
        <w:numPr>
          <w:ilvl w:val="1"/>
          <w:numId w:val="4"/>
        </w:numPr>
        <w:ind w:left="0" w:hanging="567"/>
        <w:rPr>
          <w:rFonts w:ascii="Aptos" w:hAnsi="Aptos"/>
          <w:i/>
          <w:iCs/>
        </w:rPr>
      </w:pPr>
      <w:r w:rsidRPr="00F42A7F">
        <w:rPr>
          <w:rFonts w:ascii="Aptos" w:hAnsi="Aptos"/>
        </w:rPr>
        <w:t>If a determination is made in relation to a suspected breach of the Code by a current or former APS employee in the department, a written record must be made of</w:t>
      </w:r>
      <w:r w:rsidR="005842AD">
        <w:rPr>
          <w:rFonts w:ascii="Aptos" w:hAnsi="Aptos"/>
        </w:rPr>
        <w:t>:</w:t>
      </w:r>
    </w:p>
    <w:p w14:paraId="0D08D078" w14:textId="113A5B39" w:rsidR="00805874" w:rsidRPr="00F42A7F" w:rsidRDefault="00805874" w:rsidP="00153CA0">
      <w:pPr>
        <w:pStyle w:val="Default"/>
        <w:numPr>
          <w:ilvl w:val="0"/>
          <w:numId w:val="11"/>
        </w:numPr>
        <w:spacing w:after="270"/>
        <w:rPr>
          <w:rFonts w:ascii="Aptos" w:hAnsi="Aptos"/>
          <w:sz w:val="22"/>
          <w:szCs w:val="22"/>
        </w:rPr>
      </w:pPr>
      <w:r w:rsidRPr="00F42A7F">
        <w:rPr>
          <w:rFonts w:ascii="Aptos" w:hAnsi="Aptos"/>
          <w:sz w:val="22"/>
          <w:szCs w:val="22"/>
        </w:rPr>
        <w:t xml:space="preserve">the suspected breach; and </w:t>
      </w:r>
    </w:p>
    <w:p w14:paraId="2632448B" w14:textId="18DAAE71" w:rsidR="00805874" w:rsidRPr="00F42A7F" w:rsidRDefault="00805874" w:rsidP="00153CA0">
      <w:pPr>
        <w:pStyle w:val="Default"/>
        <w:numPr>
          <w:ilvl w:val="0"/>
          <w:numId w:val="11"/>
        </w:numPr>
        <w:spacing w:after="270"/>
        <w:rPr>
          <w:rFonts w:ascii="Aptos" w:hAnsi="Aptos"/>
          <w:sz w:val="22"/>
          <w:szCs w:val="22"/>
        </w:rPr>
      </w:pPr>
      <w:r w:rsidRPr="00F42A7F">
        <w:rPr>
          <w:rFonts w:ascii="Aptos" w:hAnsi="Aptos"/>
          <w:sz w:val="22"/>
          <w:szCs w:val="22"/>
        </w:rPr>
        <w:t xml:space="preserve">the determination; and </w:t>
      </w:r>
    </w:p>
    <w:p w14:paraId="407B625B" w14:textId="4CE9D6AB" w:rsidR="00805874" w:rsidRPr="00F42A7F" w:rsidRDefault="00805874" w:rsidP="00153CA0">
      <w:pPr>
        <w:pStyle w:val="Default"/>
        <w:numPr>
          <w:ilvl w:val="0"/>
          <w:numId w:val="11"/>
        </w:numPr>
        <w:spacing w:after="270"/>
        <w:rPr>
          <w:rFonts w:ascii="Aptos" w:hAnsi="Aptos"/>
          <w:sz w:val="22"/>
          <w:szCs w:val="22"/>
        </w:rPr>
      </w:pPr>
      <w:r w:rsidRPr="00F42A7F">
        <w:rPr>
          <w:rFonts w:ascii="Aptos" w:hAnsi="Aptos"/>
          <w:sz w:val="22"/>
          <w:szCs w:val="22"/>
        </w:rPr>
        <w:lastRenderedPageBreak/>
        <w:t>any sanctions</w:t>
      </w:r>
      <w:r w:rsidR="006F395A">
        <w:rPr>
          <w:rFonts w:ascii="Aptos" w:hAnsi="Aptos"/>
          <w:sz w:val="22"/>
          <w:szCs w:val="22"/>
        </w:rPr>
        <w:t>, where applicable,</w:t>
      </w:r>
      <w:r w:rsidRPr="00F42A7F">
        <w:rPr>
          <w:rFonts w:ascii="Aptos" w:hAnsi="Aptos"/>
          <w:sz w:val="22"/>
          <w:szCs w:val="22"/>
        </w:rPr>
        <w:t xml:space="preserve"> imposed as a result of a determination; and </w:t>
      </w:r>
    </w:p>
    <w:p w14:paraId="14744723" w14:textId="384DC8C7" w:rsidR="0026442D" w:rsidRPr="00F42A7F" w:rsidRDefault="00805874" w:rsidP="00153CA0">
      <w:pPr>
        <w:pStyle w:val="Default"/>
        <w:numPr>
          <w:ilvl w:val="0"/>
          <w:numId w:val="11"/>
        </w:numPr>
        <w:spacing w:after="270"/>
        <w:rPr>
          <w:rFonts w:ascii="Aptos" w:hAnsi="Aptos"/>
          <w:i/>
          <w:iCs/>
        </w:rPr>
      </w:pPr>
      <w:r w:rsidRPr="00F42A7F">
        <w:rPr>
          <w:rFonts w:ascii="Aptos" w:hAnsi="Aptos"/>
          <w:sz w:val="22"/>
          <w:szCs w:val="22"/>
        </w:rPr>
        <w:t>any statement of reasons given to the person.</w:t>
      </w:r>
    </w:p>
    <w:p w14:paraId="063DB41C" w14:textId="3BC532C5" w:rsidR="000B57B5" w:rsidRPr="00F42A7F" w:rsidRDefault="00590627" w:rsidP="00153CA0">
      <w:pPr>
        <w:pStyle w:val="List"/>
        <w:numPr>
          <w:ilvl w:val="1"/>
          <w:numId w:val="4"/>
        </w:numPr>
        <w:ind w:left="-210"/>
        <w:rPr>
          <w:rFonts w:ascii="Aptos" w:hAnsi="Aptos"/>
          <w:i/>
          <w:iCs/>
        </w:rPr>
      </w:pPr>
      <w:r w:rsidRPr="00F42A7F">
        <w:rPr>
          <w:rFonts w:ascii="Aptos" w:hAnsi="Aptos"/>
        </w:rPr>
        <w:t xml:space="preserve">The </w:t>
      </w:r>
      <w:r w:rsidRPr="00F42A7F">
        <w:rPr>
          <w:rFonts w:ascii="Aptos" w:hAnsi="Aptos"/>
          <w:i/>
          <w:iCs/>
        </w:rPr>
        <w:t xml:space="preserve">Archives Act 1983 </w:t>
      </w:r>
      <w:r w:rsidRPr="00F42A7F">
        <w:rPr>
          <w:rFonts w:ascii="Aptos" w:hAnsi="Aptos"/>
        </w:rPr>
        <w:t xml:space="preserve">and the </w:t>
      </w:r>
      <w:r w:rsidRPr="00F42A7F">
        <w:rPr>
          <w:rFonts w:ascii="Aptos" w:hAnsi="Aptos"/>
          <w:i/>
          <w:iCs/>
        </w:rPr>
        <w:t xml:space="preserve">Privacy Act 1988 </w:t>
      </w:r>
      <w:r w:rsidRPr="00F42A7F">
        <w:rPr>
          <w:rFonts w:ascii="Aptos" w:hAnsi="Aptos"/>
        </w:rPr>
        <w:t>apply to departmental records.</w:t>
      </w:r>
    </w:p>
    <w:p w14:paraId="0F524744" w14:textId="46205E1E" w:rsidR="0043617B" w:rsidRPr="00F42A7F" w:rsidRDefault="0043617B" w:rsidP="00153CA0">
      <w:pPr>
        <w:pStyle w:val="Heading1"/>
        <w:numPr>
          <w:ilvl w:val="0"/>
          <w:numId w:val="4"/>
        </w:numPr>
        <w:ind w:left="-210"/>
        <w:rPr>
          <w:rFonts w:ascii="Aptos" w:hAnsi="Aptos"/>
          <w:bCs/>
          <w:color w:val="343741"/>
        </w:rPr>
      </w:pPr>
      <w:bookmarkStart w:id="11" w:name="_Toc194054507"/>
      <w:r w:rsidRPr="00F42A7F">
        <w:rPr>
          <w:rFonts w:ascii="Aptos" w:hAnsi="Aptos"/>
          <w:bCs/>
          <w:color w:val="343741"/>
        </w:rPr>
        <w:t>Additional procedural requirement for SES employees</w:t>
      </w:r>
      <w:bookmarkEnd w:id="11"/>
    </w:p>
    <w:p w14:paraId="49710178" w14:textId="54E367B1" w:rsidR="0043617B" w:rsidRPr="00F42A7F" w:rsidRDefault="00E74066" w:rsidP="00153CA0">
      <w:pPr>
        <w:pStyle w:val="List"/>
        <w:numPr>
          <w:ilvl w:val="1"/>
          <w:numId w:val="4"/>
        </w:numPr>
        <w:ind w:left="0" w:hanging="567"/>
        <w:rPr>
          <w:rFonts w:ascii="Aptos" w:hAnsi="Aptos"/>
          <w:i/>
          <w:iCs/>
        </w:rPr>
      </w:pPr>
      <w:r w:rsidRPr="00F42A7F">
        <w:rPr>
          <w:rFonts w:ascii="Aptos" w:hAnsi="Aptos" w:cs="Calibri"/>
          <w:color w:val="343A40"/>
          <w:shd w:val="clear" w:color="auto" w:fill="FFFFFF"/>
        </w:rPr>
        <w:t>In accordance with section 64 of the </w:t>
      </w:r>
      <w:hyperlink r:id="rId17" w:history="1">
        <w:r w:rsidRPr="00F42A7F">
          <w:rPr>
            <w:rStyle w:val="Hyperlink"/>
            <w:rFonts w:ascii="Aptos" w:hAnsi="Aptos" w:cs="Calibri"/>
            <w:i/>
            <w:iCs/>
            <w:color w:val="000000"/>
            <w:shd w:val="clear" w:color="auto" w:fill="FFFFFF"/>
          </w:rPr>
          <w:t>Australian Public Service Commissioner’s Directions 2022</w:t>
        </w:r>
      </w:hyperlink>
      <w:r w:rsidRPr="00F42A7F">
        <w:rPr>
          <w:rFonts w:ascii="Aptos" w:hAnsi="Aptos" w:cs="Calibri"/>
          <w:color w:val="343A40"/>
          <w:shd w:val="clear" w:color="auto" w:fill="FFFFFF"/>
        </w:rPr>
        <w:t>, the delegate will consult with the APS Commissioner on the process for determining whether an SES employee has breached the Code, and before any sanction is imposed.</w:t>
      </w:r>
    </w:p>
    <w:p w14:paraId="46B8F56B" w14:textId="6B1F9526" w:rsidR="00803952" w:rsidRPr="00F42A7F" w:rsidRDefault="00803952" w:rsidP="00153CA0">
      <w:pPr>
        <w:pStyle w:val="Heading1"/>
        <w:numPr>
          <w:ilvl w:val="0"/>
          <w:numId w:val="4"/>
        </w:numPr>
        <w:ind w:left="-210"/>
        <w:rPr>
          <w:rFonts w:ascii="Aptos" w:hAnsi="Aptos"/>
          <w:bCs/>
          <w:color w:val="343741"/>
        </w:rPr>
      </w:pPr>
      <w:bookmarkStart w:id="12" w:name="_Toc194054508"/>
      <w:r w:rsidRPr="00F42A7F">
        <w:rPr>
          <w:rFonts w:ascii="Aptos" w:hAnsi="Aptos"/>
          <w:bCs/>
          <w:color w:val="343741"/>
        </w:rPr>
        <w:t>Movement between agencies during an investigation</w:t>
      </w:r>
      <w:bookmarkEnd w:id="12"/>
    </w:p>
    <w:p w14:paraId="7DA89069" w14:textId="61B9003E" w:rsidR="00803952" w:rsidRPr="00F42A7F" w:rsidRDefault="008C3F75" w:rsidP="00153CA0">
      <w:pPr>
        <w:pStyle w:val="List"/>
        <w:numPr>
          <w:ilvl w:val="1"/>
          <w:numId w:val="4"/>
        </w:numPr>
        <w:ind w:left="0" w:hanging="567"/>
        <w:rPr>
          <w:rFonts w:ascii="Aptos" w:hAnsi="Aptos"/>
          <w:i/>
          <w:iCs/>
        </w:rPr>
      </w:pPr>
      <w:r w:rsidRPr="00F42A7F">
        <w:rPr>
          <w:rFonts w:ascii="Aptos" w:hAnsi="Aptos"/>
        </w:rPr>
        <w:t>This clause applies if:</w:t>
      </w:r>
    </w:p>
    <w:p w14:paraId="10915CAD" w14:textId="22047E68" w:rsidR="00545E73" w:rsidRPr="00F42A7F" w:rsidRDefault="00545E73" w:rsidP="00153CA0">
      <w:pPr>
        <w:pStyle w:val="Default"/>
        <w:numPr>
          <w:ilvl w:val="0"/>
          <w:numId w:val="12"/>
        </w:numPr>
        <w:spacing w:after="229"/>
        <w:rPr>
          <w:rFonts w:ascii="Aptos" w:hAnsi="Aptos"/>
          <w:sz w:val="22"/>
          <w:szCs w:val="22"/>
        </w:rPr>
      </w:pPr>
      <w:r w:rsidRPr="00F42A7F">
        <w:rPr>
          <w:rFonts w:ascii="Aptos" w:hAnsi="Aptos"/>
          <w:sz w:val="22"/>
          <w:szCs w:val="22"/>
        </w:rPr>
        <w:t xml:space="preserve">a current APS employee in the department is suspected of having breached the Code; and </w:t>
      </w:r>
    </w:p>
    <w:p w14:paraId="339D0342" w14:textId="33DC3951" w:rsidR="00545E73" w:rsidRPr="00F42A7F" w:rsidRDefault="00545E73" w:rsidP="00153CA0">
      <w:pPr>
        <w:pStyle w:val="Default"/>
        <w:numPr>
          <w:ilvl w:val="0"/>
          <w:numId w:val="12"/>
        </w:numPr>
        <w:spacing w:after="229"/>
        <w:rPr>
          <w:rFonts w:ascii="Aptos" w:hAnsi="Aptos"/>
          <w:sz w:val="22"/>
          <w:szCs w:val="22"/>
        </w:rPr>
      </w:pPr>
      <w:r w:rsidRPr="00F42A7F">
        <w:rPr>
          <w:rFonts w:ascii="Aptos" w:hAnsi="Aptos"/>
          <w:sz w:val="22"/>
          <w:szCs w:val="22"/>
        </w:rPr>
        <w:t xml:space="preserve">the employee has been informed of the suspected breach in accordance with these procedures; and </w:t>
      </w:r>
    </w:p>
    <w:p w14:paraId="2992CD79" w14:textId="7BD3C219" w:rsidR="00545E73" w:rsidRPr="00F42A7F" w:rsidRDefault="00545E73" w:rsidP="00153CA0">
      <w:pPr>
        <w:pStyle w:val="Default"/>
        <w:numPr>
          <w:ilvl w:val="0"/>
          <w:numId w:val="12"/>
        </w:numPr>
        <w:spacing w:after="229"/>
        <w:rPr>
          <w:rFonts w:ascii="Aptos" w:hAnsi="Aptos"/>
          <w:color w:val="auto"/>
        </w:rPr>
      </w:pPr>
      <w:r w:rsidRPr="00F42A7F">
        <w:rPr>
          <w:rFonts w:ascii="Aptos" w:hAnsi="Aptos"/>
          <w:sz w:val="22"/>
          <w:szCs w:val="22"/>
        </w:rPr>
        <w:t xml:space="preserve">the matter to which the suspected breach relates has not yet been resolved; and </w:t>
      </w:r>
    </w:p>
    <w:p w14:paraId="22350B68" w14:textId="5B9BE13E" w:rsidR="008B1FC0" w:rsidRPr="00F42A7F" w:rsidRDefault="00545E73" w:rsidP="00153CA0">
      <w:pPr>
        <w:pStyle w:val="List"/>
        <w:numPr>
          <w:ilvl w:val="0"/>
          <w:numId w:val="12"/>
        </w:numPr>
        <w:rPr>
          <w:rFonts w:ascii="Aptos" w:hAnsi="Aptos"/>
          <w:i/>
          <w:iCs/>
        </w:rPr>
      </w:pPr>
      <w:r w:rsidRPr="00F42A7F">
        <w:rPr>
          <w:rFonts w:ascii="Aptos" w:hAnsi="Aptos"/>
        </w:rPr>
        <w:t>a decision has been made that, apart from this clause, would result in the movement of the employee under section 26 of the Act to another agency (including on promotion).</w:t>
      </w:r>
    </w:p>
    <w:p w14:paraId="062D67E8" w14:textId="18678BF9" w:rsidR="008B1FC0" w:rsidRPr="00F42A7F" w:rsidRDefault="001626E8" w:rsidP="00153CA0">
      <w:pPr>
        <w:pStyle w:val="List"/>
        <w:numPr>
          <w:ilvl w:val="1"/>
          <w:numId w:val="4"/>
        </w:numPr>
        <w:ind w:left="0" w:hanging="567"/>
        <w:rPr>
          <w:rFonts w:ascii="Aptos" w:hAnsi="Aptos"/>
          <w:i/>
          <w:iCs/>
        </w:rPr>
      </w:pPr>
      <w:r w:rsidRPr="00F42A7F">
        <w:rPr>
          <w:rFonts w:ascii="Aptos" w:hAnsi="Aptos"/>
        </w:rPr>
        <w:t>Unless the Secretary or delegate and the new Agency Head agree otherwise, the movement (including on promotion) does not take effect until the matter is resolved.</w:t>
      </w:r>
    </w:p>
    <w:p w14:paraId="227D3B02" w14:textId="0A6150E0" w:rsidR="00AB64A7" w:rsidRPr="00F42A7F" w:rsidRDefault="003B4BFF" w:rsidP="00153CA0">
      <w:pPr>
        <w:pStyle w:val="List"/>
        <w:numPr>
          <w:ilvl w:val="1"/>
          <w:numId w:val="4"/>
        </w:numPr>
        <w:ind w:left="0" w:hanging="567"/>
        <w:rPr>
          <w:rFonts w:ascii="Aptos" w:hAnsi="Aptos"/>
          <w:i/>
          <w:iCs/>
        </w:rPr>
      </w:pPr>
      <w:r w:rsidRPr="00F42A7F">
        <w:rPr>
          <w:rFonts w:ascii="Aptos" w:hAnsi="Aptos"/>
        </w:rPr>
        <w:t>For the purpose of this clause the matter is taken to be resolved when:</w:t>
      </w:r>
    </w:p>
    <w:p w14:paraId="7FD09D22" w14:textId="409E8B40" w:rsidR="0099481D" w:rsidRPr="00F42A7F" w:rsidRDefault="0099481D" w:rsidP="00153CA0">
      <w:pPr>
        <w:pStyle w:val="Default"/>
        <w:numPr>
          <w:ilvl w:val="0"/>
          <w:numId w:val="13"/>
        </w:numPr>
        <w:spacing w:line="360" w:lineRule="auto"/>
        <w:rPr>
          <w:rFonts w:ascii="Aptos" w:hAnsi="Aptos"/>
          <w:color w:val="auto"/>
          <w:sz w:val="22"/>
          <w:szCs w:val="22"/>
        </w:rPr>
      </w:pPr>
      <w:r w:rsidRPr="00F42A7F">
        <w:rPr>
          <w:rFonts w:ascii="Aptos" w:hAnsi="Aptos"/>
          <w:color w:val="auto"/>
          <w:sz w:val="22"/>
          <w:szCs w:val="22"/>
        </w:rPr>
        <w:t xml:space="preserve">a determination is made as to whether the APS employee has breached the Code; or </w:t>
      </w:r>
    </w:p>
    <w:p w14:paraId="4DBA62BA" w14:textId="55372BB4" w:rsidR="00CC75BF" w:rsidRPr="00F42A7F" w:rsidRDefault="0099481D" w:rsidP="00153CA0">
      <w:pPr>
        <w:pStyle w:val="List"/>
        <w:numPr>
          <w:ilvl w:val="0"/>
          <w:numId w:val="13"/>
        </w:numPr>
        <w:rPr>
          <w:rFonts w:ascii="Aptos" w:hAnsi="Aptos"/>
          <w:i/>
          <w:iCs/>
        </w:rPr>
      </w:pPr>
      <w:r w:rsidRPr="00F42A7F">
        <w:rPr>
          <w:rFonts w:ascii="Aptos" w:hAnsi="Aptos"/>
        </w:rPr>
        <w:t>the Secretary or delegate decides that a determination is not necessary.</w:t>
      </w:r>
    </w:p>
    <w:p w14:paraId="76105D9B" w14:textId="1AAEFD63" w:rsidR="00CC75BF" w:rsidRPr="00F42A7F" w:rsidRDefault="00435D2C" w:rsidP="00C07236">
      <w:pPr>
        <w:pStyle w:val="List"/>
        <w:numPr>
          <w:ilvl w:val="0"/>
          <w:numId w:val="0"/>
        </w:numPr>
        <w:rPr>
          <w:rFonts w:ascii="Aptos" w:hAnsi="Aptos"/>
          <w:i/>
          <w:iCs/>
        </w:rPr>
      </w:pPr>
      <w:r w:rsidRPr="00F42A7F">
        <w:rPr>
          <w:rFonts w:ascii="Aptos" w:hAnsi="Aptos"/>
          <w:i/>
          <w:iCs/>
        </w:rPr>
        <w:t>Note: This clause reflects the requirements of sections 42A, 46(5) and 46(6) of the Australian Public Service Commissioner’s Directions 2022.</w:t>
      </w:r>
    </w:p>
    <w:p w14:paraId="08CC1CD9" w14:textId="6CCDC80A" w:rsidR="002909A8" w:rsidRPr="00F42A7F" w:rsidRDefault="005975ED" w:rsidP="00153CA0">
      <w:pPr>
        <w:pStyle w:val="Heading1"/>
        <w:numPr>
          <w:ilvl w:val="0"/>
          <w:numId w:val="4"/>
        </w:numPr>
        <w:ind w:left="-210"/>
        <w:rPr>
          <w:rFonts w:ascii="Aptos" w:hAnsi="Aptos"/>
          <w:bCs/>
          <w:color w:val="343741"/>
        </w:rPr>
      </w:pPr>
      <w:bookmarkStart w:id="13" w:name="_Toc194054509"/>
      <w:r w:rsidRPr="00F42A7F">
        <w:rPr>
          <w:rFonts w:ascii="Aptos" w:hAnsi="Aptos"/>
          <w:bCs/>
          <w:color w:val="343741"/>
        </w:rPr>
        <w:t>Contact</w:t>
      </w:r>
      <w:bookmarkEnd w:id="13"/>
    </w:p>
    <w:p w14:paraId="149C54E0" w14:textId="0A0659C1" w:rsidR="009F728B" w:rsidRPr="00F42A7F" w:rsidRDefault="009F728B" w:rsidP="00607CEF">
      <w:pPr>
        <w:pStyle w:val="List"/>
        <w:numPr>
          <w:ilvl w:val="0"/>
          <w:numId w:val="0"/>
        </w:numPr>
        <w:ind w:left="357" w:hanging="357"/>
        <w:rPr>
          <w:rFonts w:ascii="Aptos" w:hAnsi="Aptos"/>
          <w:color w:val="FF3AAC" w:themeColor="accent4" w:themeTint="99"/>
        </w:rPr>
      </w:pPr>
    </w:p>
    <w:tbl>
      <w:tblPr>
        <w:tblW w:w="7801" w:type="dxa"/>
        <w:tblCellMar>
          <w:left w:w="0" w:type="dxa"/>
          <w:right w:w="0" w:type="dxa"/>
        </w:tblCellMar>
        <w:tblLook w:val="04A0" w:firstRow="1" w:lastRow="0" w:firstColumn="1" w:lastColumn="0" w:noHBand="0" w:noVBand="1"/>
      </w:tblPr>
      <w:tblGrid>
        <w:gridCol w:w="3230"/>
        <w:gridCol w:w="4571"/>
      </w:tblGrid>
      <w:tr w:rsidR="005411AA" w:rsidRPr="00F42A7F" w14:paraId="479FC4BD" w14:textId="77777777" w:rsidTr="00CC233B">
        <w:trPr>
          <w:trHeight w:val="661"/>
          <w:tblHeader/>
        </w:trPr>
        <w:tc>
          <w:tcPr>
            <w:tcW w:w="3466" w:type="dxa"/>
            <w:tcBorders>
              <w:top w:val="single" w:sz="8" w:space="0" w:color="auto"/>
              <w:left w:val="single" w:sz="8" w:space="0" w:color="auto"/>
              <w:bottom w:val="single" w:sz="4" w:space="0" w:color="auto"/>
              <w:right w:val="single" w:sz="8" w:space="0" w:color="auto"/>
            </w:tcBorders>
            <w:shd w:val="clear" w:color="auto" w:fill="595959"/>
            <w:tcMar>
              <w:top w:w="0" w:type="dxa"/>
              <w:left w:w="108" w:type="dxa"/>
              <w:bottom w:w="0" w:type="dxa"/>
              <w:right w:w="108" w:type="dxa"/>
            </w:tcMar>
            <w:vAlign w:val="center"/>
            <w:hideMark/>
          </w:tcPr>
          <w:p w14:paraId="7779483F" w14:textId="4BA862A2" w:rsidR="005411AA" w:rsidRPr="00F42A7F" w:rsidRDefault="00153723" w:rsidP="002F6FF3">
            <w:pPr>
              <w:pStyle w:val="List"/>
              <w:numPr>
                <w:ilvl w:val="0"/>
                <w:numId w:val="0"/>
              </w:numPr>
              <w:spacing w:after="0" w:line="240" w:lineRule="auto"/>
              <w:rPr>
                <w:rFonts w:ascii="Aptos" w:hAnsi="Aptos"/>
                <w:i/>
                <w:iCs/>
                <w:color w:val="FFFFFF"/>
              </w:rPr>
            </w:pPr>
            <w:r w:rsidRPr="00F42A7F">
              <w:rPr>
                <w:rFonts w:ascii="Aptos" w:hAnsi="Aptos"/>
                <w:i/>
                <w:iCs/>
                <w:color w:val="FFFFFF"/>
              </w:rPr>
              <w:t xml:space="preserve">Team Name </w:t>
            </w:r>
          </w:p>
        </w:tc>
        <w:tc>
          <w:tcPr>
            <w:tcW w:w="4335" w:type="dxa"/>
            <w:tcBorders>
              <w:top w:val="single" w:sz="8" w:space="0" w:color="auto"/>
              <w:left w:val="nil"/>
              <w:bottom w:val="single" w:sz="4" w:space="0" w:color="auto"/>
              <w:right w:val="single" w:sz="8" w:space="0" w:color="auto"/>
            </w:tcBorders>
            <w:shd w:val="clear" w:color="auto" w:fill="595959"/>
            <w:tcMar>
              <w:top w:w="0" w:type="dxa"/>
              <w:left w:w="108" w:type="dxa"/>
              <w:bottom w:w="0" w:type="dxa"/>
              <w:right w:w="108" w:type="dxa"/>
            </w:tcMar>
            <w:vAlign w:val="center"/>
            <w:hideMark/>
          </w:tcPr>
          <w:p w14:paraId="02D58CCE" w14:textId="7B1B3675" w:rsidR="005411AA" w:rsidRPr="00F42A7F" w:rsidRDefault="00AA4509" w:rsidP="002F6FF3">
            <w:pPr>
              <w:pStyle w:val="List"/>
              <w:numPr>
                <w:ilvl w:val="0"/>
                <w:numId w:val="0"/>
              </w:numPr>
              <w:spacing w:after="0" w:line="240" w:lineRule="auto"/>
              <w:rPr>
                <w:rFonts w:ascii="Aptos" w:hAnsi="Aptos"/>
                <w:i/>
                <w:iCs/>
                <w:color w:val="FFFFFF"/>
              </w:rPr>
            </w:pPr>
            <w:r w:rsidRPr="00F42A7F">
              <w:rPr>
                <w:rFonts w:ascii="Aptos" w:hAnsi="Aptos"/>
                <w:i/>
                <w:iCs/>
                <w:color w:val="FFFFFF"/>
              </w:rPr>
              <w:t xml:space="preserve">Contact </w:t>
            </w:r>
            <w:r w:rsidR="005411AA" w:rsidRPr="00F42A7F">
              <w:rPr>
                <w:rFonts w:ascii="Aptos" w:hAnsi="Aptos"/>
                <w:i/>
                <w:iCs/>
                <w:color w:val="FFFFFF"/>
              </w:rPr>
              <w:t xml:space="preserve"> </w:t>
            </w:r>
          </w:p>
        </w:tc>
      </w:tr>
      <w:tr w:rsidR="005411AA" w:rsidRPr="00F42A7F" w14:paraId="7CB86B2B" w14:textId="77777777" w:rsidTr="00CC233B">
        <w:trPr>
          <w:trHeight w:val="731"/>
        </w:trPr>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B50B0" w14:textId="7100585B" w:rsidR="005411AA" w:rsidRPr="00F42A7F" w:rsidRDefault="008E7DE1" w:rsidP="002F6FF3">
            <w:pPr>
              <w:pStyle w:val="List"/>
              <w:numPr>
                <w:ilvl w:val="0"/>
                <w:numId w:val="0"/>
              </w:numPr>
              <w:spacing w:after="0" w:line="240" w:lineRule="auto"/>
              <w:rPr>
                <w:rFonts w:ascii="Aptos" w:hAnsi="Aptos"/>
              </w:rPr>
            </w:pPr>
            <w:r w:rsidRPr="00F42A7F">
              <w:rPr>
                <w:rFonts w:ascii="Aptos" w:hAnsi="Aptos"/>
              </w:rPr>
              <w:t>Performance and Wellbeing Team</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51D6E7" w14:textId="312C56D2" w:rsidR="002739A8" w:rsidRPr="00F42A7F" w:rsidRDefault="005411AA" w:rsidP="002F6FF3">
            <w:pPr>
              <w:pStyle w:val="List"/>
              <w:numPr>
                <w:ilvl w:val="0"/>
                <w:numId w:val="0"/>
              </w:numPr>
              <w:spacing w:after="0" w:line="240" w:lineRule="auto"/>
              <w:rPr>
                <w:rStyle w:val="normaltextrun"/>
                <w:rFonts w:ascii="Aptos" w:hAnsi="Aptos"/>
              </w:rPr>
            </w:pPr>
            <w:r w:rsidRPr="00F42A7F">
              <w:rPr>
                <w:rStyle w:val="normaltextrun"/>
                <w:rFonts w:ascii="Arial" w:hAnsi="Arial" w:cs="Arial"/>
              </w:rPr>
              <w:t>​</w:t>
            </w:r>
            <w:hyperlink r:id="rId18" w:history="1">
              <w:r w:rsidR="00C630AE" w:rsidRPr="00F42A7F">
                <w:rPr>
                  <w:rStyle w:val="Hyperlink"/>
                  <w:rFonts w:ascii="Aptos" w:hAnsi="Aptos"/>
                </w:rPr>
                <w:t>performanceandwellbeingteam@dewr.gov.au</w:t>
              </w:r>
            </w:hyperlink>
          </w:p>
          <w:p w14:paraId="7F635B75" w14:textId="1A34781F" w:rsidR="002739A8" w:rsidRPr="00F42A7F" w:rsidRDefault="002739A8" w:rsidP="002F6FF3">
            <w:pPr>
              <w:pStyle w:val="List"/>
              <w:numPr>
                <w:ilvl w:val="0"/>
                <w:numId w:val="0"/>
              </w:numPr>
              <w:spacing w:after="0" w:line="240" w:lineRule="auto"/>
              <w:rPr>
                <w:rStyle w:val="normaltextrun"/>
                <w:rFonts w:ascii="Aptos" w:hAnsi="Aptos"/>
              </w:rPr>
            </w:pPr>
            <w:r w:rsidRPr="00F42A7F">
              <w:rPr>
                <w:rStyle w:val="normaltextrun"/>
                <w:rFonts w:ascii="Aptos" w:hAnsi="Aptos"/>
              </w:rPr>
              <w:t>(02)</w:t>
            </w:r>
            <w:r w:rsidR="00CC4E01" w:rsidRPr="00F42A7F">
              <w:rPr>
                <w:rStyle w:val="normaltextrun"/>
                <w:rFonts w:ascii="Aptos" w:hAnsi="Aptos"/>
              </w:rPr>
              <w:t xml:space="preserve"> </w:t>
            </w:r>
            <w:r w:rsidR="00C630AE" w:rsidRPr="00F42A7F">
              <w:rPr>
                <w:rStyle w:val="normaltextrun"/>
                <w:rFonts w:ascii="Aptos" w:hAnsi="Aptos"/>
              </w:rPr>
              <w:t>6240 6843</w:t>
            </w:r>
          </w:p>
        </w:tc>
      </w:tr>
    </w:tbl>
    <w:p w14:paraId="40B5017E" w14:textId="74869BE0" w:rsidR="005411AA" w:rsidRPr="00F42A7F" w:rsidRDefault="005411AA" w:rsidP="001C2657">
      <w:pPr>
        <w:pStyle w:val="List"/>
        <w:numPr>
          <w:ilvl w:val="0"/>
          <w:numId w:val="0"/>
        </w:numPr>
        <w:rPr>
          <w:rFonts w:ascii="Aptos" w:hAnsi="Aptos"/>
        </w:rPr>
      </w:pPr>
    </w:p>
    <w:p w14:paraId="7B6580CF" w14:textId="77777777" w:rsidR="00CC233B" w:rsidRPr="00F42A7F" w:rsidRDefault="00CC233B" w:rsidP="001C2657">
      <w:pPr>
        <w:pStyle w:val="List"/>
        <w:numPr>
          <w:ilvl w:val="0"/>
          <w:numId w:val="0"/>
        </w:numPr>
        <w:rPr>
          <w:rFonts w:ascii="Aptos" w:hAnsi="Aptos"/>
        </w:rPr>
      </w:pPr>
    </w:p>
    <w:p w14:paraId="54011E10" w14:textId="77777777" w:rsidR="00CC233B" w:rsidRPr="00F42A7F" w:rsidRDefault="00CC233B" w:rsidP="001C2657">
      <w:pPr>
        <w:pStyle w:val="List"/>
        <w:numPr>
          <w:ilvl w:val="0"/>
          <w:numId w:val="0"/>
        </w:numPr>
        <w:rPr>
          <w:rFonts w:ascii="Aptos" w:hAnsi="Aptos"/>
        </w:rPr>
      </w:pPr>
    </w:p>
    <w:p w14:paraId="06983676" w14:textId="0B5F2FAE" w:rsidR="000D300B" w:rsidRPr="00F42A7F" w:rsidRDefault="000D300B" w:rsidP="00153CA0">
      <w:pPr>
        <w:pStyle w:val="Heading1"/>
        <w:numPr>
          <w:ilvl w:val="0"/>
          <w:numId w:val="4"/>
        </w:numPr>
        <w:ind w:left="0"/>
        <w:rPr>
          <w:rFonts w:ascii="Aptos" w:hAnsi="Aptos"/>
        </w:rPr>
      </w:pPr>
      <w:bookmarkStart w:id="14" w:name="_Toc194054510"/>
      <w:r w:rsidRPr="00F42A7F">
        <w:rPr>
          <w:rFonts w:ascii="Aptos" w:hAnsi="Aptos"/>
        </w:rPr>
        <w:lastRenderedPageBreak/>
        <w:t>Document details</w:t>
      </w:r>
      <w:bookmarkEnd w:id="14"/>
    </w:p>
    <w:tbl>
      <w:tblPr>
        <w:tblStyle w:val="DEEWRTable"/>
        <w:tblW w:w="0" w:type="auto"/>
        <w:tblLook w:val="0400" w:firstRow="0" w:lastRow="0" w:firstColumn="0" w:lastColumn="0" w:noHBand="0" w:noVBand="1"/>
      </w:tblPr>
      <w:tblGrid>
        <w:gridCol w:w="2943"/>
        <w:gridCol w:w="3969"/>
      </w:tblGrid>
      <w:tr w:rsidR="000D300B" w:rsidRPr="00F42A7F" w14:paraId="657AC42A" w14:textId="77777777" w:rsidTr="002F6FF3">
        <w:tc>
          <w:tcPr>
            <w:tcW w:w="2943" w:type="dxa"/>
            <w:tcBorders>
              <w:top w:val="single" w:sz="4" w:space="0" w:color="auto"/>
              <w:bottom w:val="nil"/>
            </w:tcBorders>
          </w:tcPr>
          <w:p w14:paraId="186DFABA" w14:textId="77777777" w:rsidR="000D300B" w:rsidRPr="00F42A7F" w:rsidRDefault="000D300B" w:rsidP="002F6FF3">
            <w:pPr>
              <w:spacing w:after="0" w:line="240" w:lineRule="auto"/>
              <w:rPr>
                <w:rFonts w:ascii="Aptos" w:hAnsi="Aptos"/>
              </w:rPr>
            </w:pPr>
            <w:r w:rsidRPr="00F42A7F">
              <w:rPr>
                <w:rFonts w:ascii="Aptos" w:hAnsi="Aptos"/>
              </w:rPr>
              <w:t>Policy Owner</w:t>
            </w:r>
          </w:p>
        </w:tc>
        <w:tc>
          <w:tcPr>
            <w:tcW w:w="3969" w:type="dxa"/>
            <w:tcBorders>
              <w:top w:val="single" w:sz="4" w:space="0" w:color="auto"/>
              <w:bottom w:val="nil"/>
            </w:tcBorders>
          </w:tcPr>
          <w:p w14:paraId="4E386B57" w14:textId="401D139A" w:rsidR="000D300B" w:rsidRPr="00F42A7F" w:rsidRDefault="00CC233B" w:rsidP="002F6FF3">
            <w:pPr>
              <w:spacing w:after="0" w:line="240" w:lineRule="auto"/>
              <w:rPr>
                <w:rFonts w:ascii="Aptos" w:hAnsi="Aptos"/>
                <w:color w:val="auto"/>
              </w:rPr>
            </w:pPr>
            <w:r w:rsidRPr="00F42A7F">
              <w:rPr>
                <w:rFonts w:ascii="Aptos" w:hAnsi="Aptos"/>
                <w:color w:val="auto"/>
              </w:rPr>
              <w:t>P</w:t>
            </w:r>
            <w:r w:rsidRPr="00F42A7F">
              <w:rPr>
                <w:rFonts w:ascii="Aptos" w:hAnsi="Aptos"/>
              </w:rPr>
              <w:t>eople Branch</w:t>
            </w:r>
            <w:r w:rsidR="0018219D" w:rsidRPr="00F42A7F">
              <w:rPr>
                <w:rFonts w:ascii="Aptos" w:hAnsi="Aptos"/>
                <w:color w:val="auto"/>
              </w:rPr>
              <w:t xml:space="preserve"> </w:t>
            </w:r>
          </w:p>
        </w:tc>
      </w:tr>
      <w:tr w:rsidR="000D300B" w:rsidRPr="00F42A7F" w14:paraId="214D4C7E" w14:textId="77777777" w:rsidTr="002F6FF3">
        <w:tc>
          <w:tcPr>
            <w:tcW w:w="2943" w:type="dxa"/>
            <w:tcBorders>
              <w:top w:val="nil"/>
              <w:bottom w:val="nil"/>
            </w:tcBorders>
          </w:tcPr>
          <w:p w14:paraId="31C47E1D" w14:textId="77777777" w:rsidR="000D300B" w:rsidRPr="00F42A7F" w:rsidRDefault="000D300B" w:rsidP="002F6FF3">
            <w:pPr>
              <w:spacing w:after="0" w:line="240" w:lineRule="auto"/>
              <w:rPr>
                <w:rFonts w:ascii="Aptos" w:hAnsi="Aptos"/>
              </w:rPr>
            </w:pPr>
            <w:r w:rsidRPr="00F42A7F">
              <w:rPr>
                <w:rFonts w:ascii="Aptos" w:hAnsi="Aptos"/>
              </w:rPr>
              <w:t>Document Status</w:t>
            </w:r>
          </w:p>
        </w:tc>
        <w:tc>
          <w:tcPr>
            <w:tcW w:w="3969" w:type="dxa"/>
            <w:tcBorders>
              <w:top w:val="nil"/>
              <w:bottom w:val="nil"/>
            </w:tcBorders>
          </w:tcPr>
          <w:p w14:paraId="5A26E5DE" w14:textId="4088BB8E" w:rsidR="000D300B" w:rsidRPr="00F42A7F" w:rsidRDefault="00326DFF" w:rsidP="002F6FF3">
            <w:pPr>
              <w:spacing w:after="0" w:line="240" w:lineRule="auto"/>
              <w:rPr>
                <w:rFonts w:ascii="Aptos" w:hAnsi="Aptos"/>
                <w:color w:val="auto"/>
              </w:rPr>
            </w:pPr>
            <w:r>
              <w:rPr>
                <w:rFonts w:ascii="Aptos" w:hAnsi="Aptos"/>
                <w:color w:val="auto"/>
              </w:rPr>
              <w:t>Final</w:t>
            </w:r>
            <w:r w:rsidR="003F7576" w:rsidRPr="00F42A7F">
              <w:rPr>
                <w:rFonts w:ascii="Aptos" w:hAnsi="Aptos"/>
                <w:color w:val="auto"/>
              </w:rPr>
              <w:t xml:space="preserve"> </w:t>
            </w:r>
          </w:p>
        </w:tc>
      </w:tr>
      <w:tr w:rsidR="000D300B" w:rsidRPr="00F42A7F" w14:paraId="6C49E378" w14:textId="77777777" w:rsidTr="002F6FF3">
        <w:tc>
          <w:tcPr>
            <w:tcW w:w="2943" w:type="dxa"/>
            <w:tcBorders>
              <w:top w:val="nil"/>
              <w:bottom w:val="nil"/>
            </w:tcBorders>
          </w:tcPr>
          <w:p w14:paraId="2D7C4542" w14:textId="77777777" w:rsidR="000D300B" w:rsidRPr="00F42A7F" w:rsidRDefault="000D300B" w:rsidP="002F6FF3">
            <w:pPr>
              <w:spacing w:after="0" w:line="240" w:lineRule="auto"/>
              <w:rPr>
                <w:rFonts w:ascii="Aptos" w:hAnsi="Aptos"/>
              </w:rPr>
            </w:pPr>
            <w:r w:rsidRPr="00F42A7F">
              <w:rPr>
                <w:rFonts w:ascii="Aptos" w:hAnsi="Aptos"/>
              </w:rPr>
              <w:t>Point of Contact</w:t>
            </w:r>
          </w:p>
        </w:tc>
        <w:tc>
          <w:tcPr>
            <w:tcW w:w="3969" w:type="dxa"/>
            <w:tcBorders>
              <w:top w:val="nil"/>
              <w:bottom w:val="nil"/>
            </w:tcBorders>
          </w:tcPr>
          <w:p w14:paraId="486BD7FD" w14:textId="1F9CE5BB" w:rsidR="000D300B" w:rsidRPr="00F42A7F" w:rsidRDefault="004D7FD5" w:rsidP="00D329AA">
            <w:pPr>
              <w:spacing w:after="0" w:line="240" w:lineRule="auto"/>
              <w:rPr>
                <w:rFonts w:ascii="Aptos" w:hAnsi="Aptos"/>
                <w:color w:val="auto"/>
              </w:rPr>
            </w:pPr>
            <w:r w:rsidRPr="00F42A7F">
              <w:rPr>
                <w:rFonts w:ascii="Aptos" w:hAnsi="Aptos"/>
                <w:color w:val="auto"/>
              </w:rPr>
              <w:t>D</w:t>
            </w:r>
            <w:r w:rsidR="000D300B" w:rsidRPr="00F42A7F">
              <w:rPr>
                <w:rFonts w:ascii="Aptos" w:hAnsi="Aptos"/>
                <w:color w:val="auto"/>
              </w:rPr>
              <w:t>irector</w:t>
            </w:r>
            <w:r w:rsidR="00244695" w:rsidRPr="00F42A7F">
              <w:rPr>
                <w:rFonts w:ascii="Aptos" w:hAnsi="Aptos"/>
                <w:color w:val="auto"/>
              </w:rPr>
              <w:t xml:space="preserve">, Performance and Wellbeing </w:t>
            </w:r>
          </w:p>
        </w:tc>
      </w:tr>
      <w:tr w:rsidR="000D300B" w:rsidRPr="00F42A7F" w14:paraId="11AF3200" w14:textId="77777777" w:rsidTr="002F6FF3">
        <w:tc>
          <w:tcPr>
            <w:tcW w:w="2943" w:type="dxa"/>
            <w:tcBorders>
              <w:top w:val="nil"/>
              <w:bottom w:val="nil"/>
            </w:tcBorders>
          </w:tcPr>
          <w:p w14:paraId="69A85546" w14:textId="77777777" w:rsidR="000D300B" w:rsidRPr="00F42A7F" w:rsidRDefault="000D300B" w:rsidP="002F6FF3">
            <w:pPr>
              <w:spacing w:after="0" w:line="240" w:lineRule="auto"/>
              <w:rPr>
                <w:rFonts w:ascii="Aptos" w:hAnsi="Aptos"/>
              </w:rPr>
            </w:pPr>
            <w:r w:rsidRPr="00F42A7F">
              <w:rPr>
                <w:rFonts w:ascii="Aptos" w:hAnsi="Aptos"/>
              </w:rPr>
              <w:t>Approver</w:t>
            </w:r>
          </w:p>
        </w:tc>
        <w:tc>
          <w:tcPr>
            <w:tcW w:w="3969" w:type="dxa"/>
            <w:tcBorders>
              <w:top w:val="nil"/>
              <w:bottom w:val="nil"/>
            </w:tcBorders>
          </w:tcPr>
          <w:p w14:paraId="79DC40CF" w14:textId="0AA63BB7" w:rsidR="000D300B" w:rsidRPr="00F42A7F" w:rsidRDefault="00474DC3" w:rsidP="002F6FF3">
            <w:pPr>
              <w:spacing w:after="0" w:line="240" w:lineRule="auto"/>
              <w:rPr>
                <w:rFonts w:ascii="Aptos" w:hAnsi="Aptos"/>
                <w:color w:val="auto"/>
              </w:rPr>
            </w:pPr>
            <w:r w:rsidRPr="00F42A7F">
              <w:rPr>
                <w:rFonts w:ascii="Aptos" w:hAnsi="Aptos"/>
                <w:color w:val="auto"/>
              </w:rPr>
              <w:t>Bridie Cosgriff</w:t>
            </w:r>
            <w:r w:rsidR="004F438A" w:rsidRPr="00F42A7F">
              <w:rPr>
                <w:rFonts w:ascii="Aptos" w:hAnsi="Aptos"/>
                <w:color w:val="auto"/>
              </w:rPr>
              <w:t xml:space="preserve"> </w:t>
            </w:r>
          </w:p>
        </w:tc>
      </w:tr>
      <w:tr w:rsidR="000D300B" w:rsidRPr="00F42A7F" w14:paraId="68FE8437" w14:textId="77777777" w:rsidTr="002F6FF3">
        <w:tc>
          <w:tcPr>
            <w:tcW w:w="2943" w:type="dxa"/>
            <w:tcBorders>
              <w:top w:val="nil"/>
              <w:bottom w:val="nil"/>
            </w:tcBorders>
          </w:tcPr>
          <w:p w14:paraId="091DD397" w14:textId="77777777" w:rsidR="000D300B" w:rsidRPr="00F42A7F" w:rsidRDefault="000D300B" w:rsidP="002F6FF3">
            <w:pPr>
              <w:spacing w:after="0" w:line="240" w:lineRule="auto"/>
              <w:rPr>
                <w:rFonts w:ascii="Aptos" w:hAnsi="Aptos"/>
              </w:rPr>
            </w:pPr>
            <w:r w:rsidRPr="00F42A7F">
              <w:rPr>
                <w:rFonts w:ascii="Aptos" w:hAnsi="Aptos"/>
              </w:rPr>
              <w:t>Approval Authority</w:t>
            </w:r>
          </w:p>
        </w:tc>
        <w:tc>
          <w:tcPr>
            <w:tcW w:w="3969" w:type="dxa"/>
            <w:tcBorders>
              <w:top w:val="nil"/>
              <w:bottom w:val="nil"/>
            </w:tcBorders>
          </w:tcPr>
          <w:p w14:paraId="4E81EA18" w14:textId="6BF74C90" w:rsidR="000D300B" w:rsidRPr="00F42A7F" w:rsidRDefault="00A3474E" w:rsidP="00D049AB">
            <w:pPr>
              <w:spacing w:after="0" w:line="240" w:lineRule="auto"/>
              <w:rPr>
                <w:rFonts w:ascii="Aptos" w:hAnsi="Aptos"/>
                <w:color w:val="auto"/>
              </w:rPr>
            </w:pPr>
            <w:r w:rsidRPr="00F42A7F">
              <w:rPr>
                <w:rFonts w:ascii="Aptos" w:hAnsi="Aptos"/>
                <w:color w:val="auto"/>
              </w:rPr>
              <w:t xml:space="preserve">Assistant </w:t>
            </w:r>
            <w:r w:rsidR="0048090D" w:rsidRPr="00F42A7F">
              <w:rPr>
                <w:rFonts w:ascii="Aptos" w:hAnsi="Aptos"/>
                <w:color w:val="auto"/>
              </w:rPr>
              <w:t>Secretary</w:t>
            </w:r>
            <w:r w:rsidR="000D300B" w:rsidRPr="00F42A7F">
              <w:rPr>
                <w:rFonts w:ascii="Aptos" w:hAnsi="Aptos"/>
                <w:color w:val="auto"/>
              </w:rPr>
              <w:t>,</w:t>
            </w:r>
            <w:r w:rsidR="0048090D" w:rsidRPr="00F42A7F">
              <w:rPr>
                <w:rFonts w:ascii="Aptos" w:hAnsi="Aptos"/>
                <w:color w:val="auto"/>
              </w:rPr>
              <w:t xml:space="preserve"> People</w:t>
            </w:r>
          </w:p>
        </w:tc>
      </w:tr>
      <w:tr w:rsidR="000D300B" w:rsidRPr="00F42A7F" w14:paraId="255FB4C6" w14:textId="77777777" w:rsidTr="002F6FF3">
        <w:tc>
          <w:tcPr>
            <w:tcW w:w="2943" w:type="dxa"/>
            <w:tcBorders>
              <w:top w:val="nil"/>
              <w:bottom w:val="single" w:sz="4" w:space="0" w:color="auto"/>
            </w:tcBorders>
          </w:tcPr>
          <w:p w14:paraId="07232899" w14:textId="77777777" w:rsidR="000D300B" w:rsidRPr="00F42A7F" w:rsidRDefault="000D300B" w:rsidP="002F6FF3">
            <w:pPr>
              <w:spacing w:after="0" w:line="240" w:lineRule="auto"/>
              <w:rPr>
                <w:rFonts w:ascii="Aptos" w:hAnsi="Aptos"/>
              </w:rPr>
            </w:pPr>
            <w:r w:rsidRPr="00F42A7F">
              <w:rPr>
                <w:rFonts w:ascii="Aptos" w:hAnsi="Aptos"/>
              </w:rPr>
              <w:t>Date of Approval</w:t>
            </w:r>
          </w:p>
        </w:tc>
        <w:tc>
          <w:tcPr>
            <w:tcW w:w="3969" w:type="dxa"/>
            <w:tcBorders>
              <w:top w:val="nil"/>
              <w:bottom w:val="single" w:sz="4" w:space="0" w:color="auto"/>
            </w:tcBorders>
          </w:tcPr>
          <w:p w14:paraId="6AD9174C" w14:textId="4610B2C5" w:rsidR="000D300B" w:rsidRPr="00F42A7F" w:rsidRDefault="00F63528" w:rsidP="002F6FF3">
            <w:pPr>
              <w:spacing w:after="0" w:line="240" w:lineRule="auto"/>
              <w:rPr>
                <w:rFonts w:ascii="Aptos" w:hAnsi="Aptos"/>
                <w:color w:val="auto"/>
              </w:rPr>
            </w:pPr>
            <w:r w:rsidRPr="00326DFF">
              <w:rPr>
                <w:rFonts w:ascii="Aptos" w:hAnsi="Aptos"/>
                <w:color w:val="auto"/>
              </w:rPr>
              <w:t xml:space="preserve">28 </w:t>
            </w:r>
            <w:r w:rsidR="003E54D4" w:rsidRPr="00326DFF">
              <w:rPr>
                <w:rFonts w:ascii="Aptos" w:hAnsi="Aptos"/>
                <w:color w:val="auto"/>
              </w:rPr>
              <w:t>M</w:t>
            </w:r>
            <w:r w:rsidR="00153CA0" w:rsidRPr="00326DFF">
              <w:rPr>
                <w:rFonts w:ascii="Aptos" w:hAnsi="Aptos"/>
                <w:color w:val="auto"/>
              </w:rPr>
              <w:t>arch</w:t>
            </w:r>
            <w:r w:rsidRPr="00326DFF">
              <w:rPr>
                <w:rFonts w:ascii="Aptos" w:hAnsi="Aptos"/>
                <w:color w:val="auto"/>
              </w:rPr>
              <w:t xml:space="preserve"> </w:t>
            </w:r>
            <w:r w:rsidR="00153CA0" w:rsidRPr="00326DFF">
              <w:rPr>
                <w:rFonts w:ascii="Aptos" w:hAnsi="Aptos"/>
                <w:color w:val="auto"/>
              </w:rPr>
              <w:t>2025</w:t>
            </w:r>
            <w:r w:rsidR="000D300B" w:rsidRPr="00F42A7F">
              <w:rPr>
                <w:rFonts w:ascii="Aptos" w:hAnsi="Aptos"/>
                <w:color w:val="auto"/>
              </w:rPr>
              <w:t xml:space="preserve"> </w:t>
            </w:r>
          </w:p>
        </w:tc>
      </w:tr>
    </w:tbl>
    <w:p w14:paraId="63A6D4A3" w14:textId="72DBD186" w:rsidR="000D300B" w:rsidRPr="00F42A7F" w:rsidRDefault="000D300B" w:rsidP="000D300B">
      <w:pPr>
        <w:pStyle w:val="ListParagraph"/>
        <w:tabs>
          <w:tab w:val="left" w:pos="720"/>
        </w:tabs>
        <w:spacing w:after="0" w:line="240" w:lineRule="auto"/>
        <w:rPr>
          <w:rFonts w:ascii="Aptos" w:hAnsi="Aptos"/>
        </w:rPr>
      </w:pPr>
    </w:p>
    <w:p w14:paraId="123860B6" w14:textId="0F2CC501" w:rsidR="000D300B" w:rsidRPr="00F42A7F" w:rsidRDefault="000D300B" w:rsidP="000D300B">
      <w:pPr>
        <w:rPr>
          <w:rFonts w:ascii="Aptos" w:hAnsi="Aptos"/>
          <w:b/>
          <w:szCs w:val="20"/>
        </w:rPr>
      </w:pPr>
      <w:r w:rsidRPr="00F42A7F">
        <w:rPr>
          <w:rFonts w:ascii="Aptos" w:hAnsi="Aptos"/>
          <w:b/>
          <w:szCs w:val="20"/>
        </w:rPr>
        <w:t>Document Review and Change</w:t>
      </w:r>
    </w:p>
    <w:tbl>
      <w:tblPr>
        <w:tblStyle w:val="TableGrid"/>
        <w:tblW w:w="9073" w:type="dxa"/>
        <w:tblLook w:val="04A0" w:firstRow="1" w:lastRow="0" w:firstColumn="1" w:lastColumn="0" w:noHBand="0" w:noVBand="1"/>
      </w:tblPr>
      <w:tblGrid>
        <w:gridCol w:w="1805"/>
        <w:gridCol w:w="1812"/>
        <w:gridCol w:w="1813"/>
        <w:gridCol w:w="1821"/>
        <w:gridCol w:w="1822"/>
      </w:tblGrid>
      <w:tr w:rsidR="00A45491" w:rsidRPr="00F42A7F" w14:paraId="37471324" w14:textId="77777777" w:rsidTr="002F6FF3">
        <w:trPr>
          <w:trHeight w:val="932"/>
        </w:trPr>
        <w:tc>
          <w:tcPr>
            <w:tcW w:w="1805" w:type="dxa"/>
          </w:tcPr>
          <w:p w14:paraId="17E2E463" w14:textId="77777777" w:rsidR="000D300B" w:rsidRPr="00F42A7F" w:rsidRDefault="000D300B" w:rsidP="002F6FF3">
            <w:pPr>
              <w:rPr>
                <w:rFonts w:ascii="Aptos" w:hAnsi="Aptos"/>
                <w:b/>
                <w:szCs w:val="20"/>
              </w:rPr>
            </w:pPr>
            <w:r w:rsidRPr="00F42A7F">
              <w:rPr>
                <w:rFonts w:ascii="Aptos" w:hAnsi="Aptos"/>
                <w:b/>
                <w:szCs w:val="20"/>
              </w:rPr>
              <w:t xml:space="preserve">Version </w:t>
            </w:r>
          </w:p>
        </w:tc>
        <w:tc>
          <w:tcPr>
            <w:tcW w:w="1812" w:type="dxa"/>
          </w:tcPr>
          <w:p w14:paraId="76605B44" w14:textId="77777777" w:rsidR="000D300B" w:rsidRPr="00F42A7F" w:rsidRDefault="000D300B" w:rsidP="002F6FF3">
            <w:pPr>
              <w:rPr>
                <w:rFonts w:ascii="Aptos" w:hAnsi="Aptos"/>
                <w:b/>
                <w:szCs w:val="20"/>
              </w:rPr>
            </w:pPr>
            <w:r w:rsidRPr="00F42A7F">
              <w:rPr>
                <w:rFonts w:ascii="Aptos" w:hAnsi="Aptos"/>
                <w:b/>
                <w:szCs w:val="20"/>
              </w:rPr>
              <w:t>Date</w:t>
            </w:r>
          </w:p>
        </w:tc>
        <w:tc>
          <w:tcPr>
            <w:tcW w:w="1813" w:type="dxa"/>
          </w:tcPr>
          <w:p w14:paraId="699A2D79" w14:textId="77777777" w:rsidR="000D300B" w:rsidRPr="00F42A7F" w:rsidRDefault="000D300B" w:rsidP="002F6FF3">
            <w:pPr>
              <w:rPr>
                <w:rFonts w:ascii="Aptos" w:hAnsi="Aptos"/>
                <w:b/>
                <w:szCs w:val="20"/>
              </w:rPr>
            </w:pPr>
            <w:r w:rsidRPr="00F42A7F">
              <w:rPr>
                <w:rFonts w:ascii="Aptos" w:hAnsi="Aptos"/>
                <w:b/>
                <w:szCs w:val="20"/>
              </w:rPr>
              <w:t>Author/s</w:t>
            </w:r>
          </w:p>
        </w:tc>
        <w:tc>
          <w:tcPr>
            <w:tcW w:w="1821" w:type="dxa"/>
          </w:tcPr>
          <w:p w14:paraId="5ACF58D7" w14:textId="77777777" w:rsidR="000D300B" w:rsidRPr="00F42A7F" w:rsidRDefault="000D300B" w:rsidP="002F6FF3">
            <w:pPr>
              <w:rPr>
                <w:rFonts w:ascii="Aptos" w:hAnsi="Aptos"/>
                <w:b/>
                <w:szCs w:val="20"/>
              </w:rPr>
            </w:pPr>
            <w:r w:rsidRPr="00F42A7F">
              <w:rPr>
                <w:rFonts w:ascii="Aptos" w:hAnsi="Aptos"/>
                <w:b/>
                <w:szCs w:val="20"/>
              </w:rPr>
              <w:t xml:space="preserve">Summary of Changes </w:t>
            </w:r>
          </w:p>
        </w:tc>
        <w:tc>
          <w:tcPr>
            <w:tcW w:w="1822" w:type="dxa"/>
          </w:tcPr>
          <w:p w14:paraId="5F9020CC" w14:textId="4BAA8ABF" w:rsidR="000D300B" w:rsidRPr="00F42A7F" w:rsidRDefault="000D300B" w:rsidP="002F6FF3">
            <w:pPr>
              <w:rPr>
                <w:rFonts w:ascii="Aptos" w:hAnsi="Aptos"/>
                <w:b/>
                <w:szCs w:val="20"/>
              </w:rPr>
            </w:pPr>
            <w:r w:rsidRPr="00F42A7F">
              <w:rPr>
                <w:rFonts w:ascii="Aptos" w:hAnsi="Aptos"/>
                <w:b/>
                <w:szCs w:val="20"/>
              </w:rPr>
              <w:t>Date of next Scheduled review</w:t>
            </w:r>
          </w:p>
        </w:tc>
      </w:tr>
      <w:tr w:rsidR="00A45491" w:rsidRPr="00F42A7F" w14:paraId="4C7FB1CE" w14:textId="77777777" w:rsidTr="002F6FF3">
        <w:trPr>
          <w:trHeight w:val="859"/>
        </w:trPr>
        <w:tc>
          <w:tcPr>
            <w:tcW w:w="1805" w:type="dxa"/>
          </w:tcPr>
          <w:p w14:paraId="2D8D1232" w14:textId="7E726351" w:rsidR="000D300B" w:rsidRPr="00F42A7F" w:rsidRDefault="0079394A" w:rsidP="002F6FF3">
            <w:pPr>
              <w:rPr>
                <w:rFonts w:ascii="Aptos" w:hAnsi="Aptos"/>
                <w:i/>
                <w:iCs/>
                <w:szCs w:val="20"/>
              </w:rPr>
            </w:pPr>
            <w:r w:rsidRPr="00F42A7F">
              <w:rPr>
                <w:rFonts w:ascii="Aptos" w:hAnsi="Aptos"/>
                <w:i/>
                <w:iCs/>
                <w:szCs w:val="20"/>
              </w:rPr>
              <w:t>1.</w:t>
            </w:r>
            <w:r w:rsidR="003046BC">
              <w:rPr>
                <w:rFonts w:ascii="Aptos" w:hAnsi="Aptos"/>
                <w:i/>
                <w:iCs/>
                <w:szCs w:val="20"/>
              </w:rPr>
              <w:t>1</w:t>
            </w:r>
            <w:r w:rsidRPr="00F42A7F">
              <w:rPr>
                <w:rFonts w:ascii="Aptos" w:hAnsi="Aptos"/>
                <w:i/>
                <w:iCs/>
                <w:szCs w:val="20"/>
              </w:rPr>
              <w:t xml:space="preserve"> </w:t>
            </w:r>
          </w:p>
          <w:p w14:paraId="3CB62E89" w14:textId="0DE1102A" w:rsidR="0079394A" w:rsidRPr="00F42A7F" w:rsidRDefault="00C15737" w:rsidP="007635A4">
            <w:pPr>
              <w:pStyle w:val="ListParagraph"/>
              <w:spacing w:after="0" w:line="240" w:lineRule="auto"/>
              <w:ind w:left="176"/>
              <w:rPr>
                <w:rFonts w:ascii="Aptos" w:hAnsi="Aptos"/>
                <w:szCs w:val="20"/>
              </w:rPr>
            </w:pPr>
            <w:r w:rsidRPr="00F42A7F">
              <w:rPr>
                <w:rFonts w:ascii="Aptos" w:hAnsi="Aptos"/>
                <w:szCs w:val="20"/>
              </w:rPr>
              <w:t xml:space="preserve"> </w:t>
            </w:r>
          </w:p>
        </w:tc>
        <w:tc>
          <w:tcPr>
            <w:tcW w:w="1812" w:type="dxa"/>
          </w:tcPr>
          <w:p w14:paraId="623D1021" w14:textId="0A2DB428" w:rsidR="000D300B" w:rsidRPr="00F42A7F" w:rsidRDefault="00F63528" w:rsidP="002F6FF3">
            <w:pPr>
              <w:rPr>
                <w:rFonts w:ascii="Aptos" w:hAnsi="Aptos"/>
                <w:i/>
                <w:iCs/>
                <w:szCs w:val="20"/>
              </w:rPr>
            </w:pPr>
            <w:r w:rsidRPr="00326DFF">
              <w:rPr>
                <w:rFonts w:ascii="Aptos" w:hAnsi="Aptos"/>
                <w:i/>
                <w:iCs/>
                <w:szCs w:val="20"/>
              </w:rPr>
              <w:t>28</w:t>
            </w:r>
            <w:r w:rsidR="001A2EA9" w:rsidRPr="00326DFF">
              <w:rPr>
                <w:rFonts w:ascii="Aptos" w:hAnsi="Aptos"/>
                <w:i/>
                <w:iCs/>
                <w:szCs w:val="20"/>
              </w:rPr>
              <w:t>/</w:t>
            </w:r>
            <w:r w:rsidR="00BB2835" w:rsidRPr="00326DFF">
              <w:rPr>
                <w:rFonts w:ascii="Aptos" w:hAnsi="Aptos"/>
                <w:i/>
                <w:iCs/>
                <w:szCs w:val="20"/>
              </w:rPr>
              <w:t>03</w:t>
            </w:r>
            <w:r w:rsidR="001A2EA9" w:rsidRPr="00326DFF">
              <w:rPr>
                <w:rFonts w:ascii="Aptos" w:hAnsi="Aptos"/>
                <w:i/>
                <w:iCs/>
                <w:szCs w:val="20"/>
              </w:rPr>
              <w:t>/</w:t>
            </w:r>
            <w:r w:rsidR="00BB2835" w:rsidRPr="00326DFF">
              <w:rPr>
                <w:rFonts w:ascii="Aptos" w:hAnsi="Aptos"/>
                <w:i/>
                <w:iCs/>
                <w:szCs w:val="20"/>
              </w:rPr>
              <w:t>2025</w:t>
            </w:r>
          </w:p>
          <w:p w14:paraId="5BA0A604" w14:textId="485839A2" w:rsidR="00326100" w:rsidRPr="00F42A7F" w:rsidRDefault="00326100" w:rsidP="00E20C06">
            <w:pPr>
              <w:pStyle w:val="ListParagraph"/>
              <w:spacing w:after="0" w:line="240" w:lineRule="auto"/>
              <w:ind w:left="176"/>
              <w:rPr>
                <w:rFonts w:ascii="Aptos" w:hAnsi="Aptos"/>
                <w:i/>
                <w:iCs/>
                <w:szCs w:val="20"/>
              </w:rPr>
            </w:pPr>
          </w:p>
          <w:p w14:paraId="34240B2C" w14:textId="65C4A515" w:rsidR="00326100" w:rsidRPr="00F42A7F" w:rsidRDefault="00326100" w:rsidP="002F6FF3">
            <w:pPr>
              <w:rPr>
                <w:rFonts w:ascii="Aptos" w:hAnsi="Aptos"/>
                <w:szCs w:val="20"/>
              </w:rPr>
            </w:pPr>
          </w:p>
        </w:tc>
        <w:tc>
          <w:tcPr>
            <w:tcW w:w="1813" w:type="dxa"/>
          </w:tcPr>
          <w:p w14:paraId="3F75A115" w14:textId="6811F382" w:rsidR="00F27961" w:rsidRPr="00F42A7F" w:rsidRDefault="00BB2835" w:rsidP="004F2040">
            <w:pPr>
              <w:rPr>
                <w:rFonts w:ascii="Aptos" w:hAnsi="Aptos"/>
                <w:i/>
                <w:iCs/>
                <w:szCs w:val="20"/>
              </w:rPr>
            </w:pPr>
            <w:r>
              <w:rPr>
                <w:rFonts w:ascii="Aptos" w:hAnsi="Aptos"/>
                <w:i/>
                <w:iCs/>
                <w:szCs w:val="20"/>
              </w:rPr>
              <w:t xml:space="preserve">Performance and Wellbeing </w:t>
            </w:r>
          </w:p>
          <w:p w14:paraId="65CD62CF" w14:textId="30EFE246" w:rsidR="000D300B" w:rsidRPr="00F42A7F" w:rsidRDefault="006776FB" w:rsidP="00600693">
            <w:pPr>
              <w:pStyle w:val="ListParagraph"/>
              <w:spacing w:after="0" w:line="240" w:lineRule="auto"/>
              <w:ind w:left="176"/>
              <w:rPr>
                <w:rFonts w:ascii="Aptos" w:hAnsi="Aptos"/>
                <w:szCs w:val="20"/>
              </w:rPr>
            </w:pPr>
            <w:r w:rsidRPr="00F42A7F">
              <w:rPr>
                <w:rFonts w:ascii="Aptos" w:hAnsi="Aptos"/>
                <w:szCs w:val="20"/>
              </w:rPr>
              <w:t xml:space="preserve"> </w:t>
            </w:r>
          </w:p>
        </w:tc>
        <w:tc>
          <w:tcPr>
            <w:tcW w:w="1821" w:type="dxa"/>
          </w:tcPr>
          <w:p w14:paraId="31BA902F" w14:textId="0C0B5C15" w:rsidR="00253B35" w:rsidRPr="00F42A7F" w:rsidRDefault="00A45491" w:rsidP="002F6FF3">
            <w:pPr>
              <w:rPr>
                <w:rFonts w:ascii="Aptos" w:hAnsi="Aptos"/>
                <w:i/>
                <w:iCs/>
                <w:szCs w:val="20"/>
              </w:rPr>
            </w:pPr>
            <w:r>
              <w:rPr>
                <w:rFonts w:ascii="Aptos" w:hAnsi="Aptos"/>
                <w:i/>
                <w:iCs/>
                <w:szCs w:val="20"/>
              </w:rPr>
              <w:t xml:space="preserve">Update to reflect Australian Public Service Commissioner’s Directions 2022 and </w:t>
            </w:r>
            <w:r w:rsidR="009102C8">
              <w:rPr>
                <w:rFonts w:ascii="Aptos" w:hAnsi="Aptos"/>
                <w:i/>
                <w:iCs/>
                <w:szCs w:val="20"/>
              </w:rPr>
              <w:t>minor f</w:t>
            </w:r>
            <w:r w:rsidR="00D7250C">
              <w:rPr>
                <w:rFonts w:ascii="Aptos" w:hAnsi="Aptos"/>
                <w:i/>
                <w:iCs/>
                <w:szCs w:val="20"/>
              </w:rPr>
              <w:t>ormatting changes</w:t>
            </w:r>
          </w:p>
          <w:p w14:paraId="13549883" w14:textId="5CA18998" w:rsidR="000D300B" w:rsidRPr="00F42A7F" w:rsidRDefault="00EF55F0" w:rsidP="00600693">
            <w:pPr>
              <w:pStyle w:val="ListParagraph"/>
              <w:spacing w:after="0" w:line="240" w:lineRule="auto"/>
              <w:ind w:left="176"/>
              <w:rPr>
                <w:rFonts w:ascii="Aptos" w:hAnsi="Aptos"/>
                <w:szCs w:val="20"/>
              </w:rPr>
            </w:pPr>
            <w:r w:rsidRPr="00F42A7F">
              <w:rPr>
                <w:rFonts w:ascii="Aptos" w:hAnsi="Aptos"/>
                <w:szCs w:val="20"/>
              </w:rPr>
              <w:t xml:space="preserve"> </w:t>
            </w:r>
          </w:p>
        </w:tc>
        <w:tc>
          <w:tcPr>
            <w:tcW w:w="1822" w:type="dxa"/>
          </w:tcPr>
          <w:p w14:paraId="37003EA2" w14:textId="5A6EA591" w:rsidR="000D300B" w:rsidRPr="00F42A7F" w:rsidRDefault="00F63528" w:rsidP="002F6FF3">
            <w:pPr>
              <w:rPr>
                <w:rFonts w:ascii="Aptos" w:hAnsi="Aptos"/>
                <w:i/>
                <w:iCs/>
                <w:szCs w:val="20"/>
              </w:rPr>
            </w:pPr>
            <w:r w:rsidRPr="00326DFF">
              <w:rPr>
                <w:rFonts w:ascii="Aptos" w:hAnsi="Aptos"/>
                <w:i/>
                <w:iCs/>
                <w:szCs w:val="20"/>
              </w:rPr>
              <w:t>28</w:t>
            </w:r>
            <w:r w:rsidR="001C2657" w:rsidRPr="00326DFF">
              <w:rPr>
                <w:rFonts w:ascii="Aptos" w:hAnsi="Aptos"/>
                <w:i/>
                <w:iCs/>
                <w:szCs w:val="20"/>
              </w:rPr>
              <w:t>/</w:t>
            </w:r>
            <w:r w:rsidR="003046BC" w:rsidRPr="00326DFF">
              <w:rPr>
                <w:rFonts w:ascii="Aptos" w:hAnsi="Aptos"/>
                <w:i/>
                <w:iCs/>
                <w:szCs w:val="20"/>
              </w:rPr>
              <w:t>03</w:t>
            </w:r>
            <w:r w:rsidR="001C2657" w:rsidRPr="00326DFF">
              <w:rPr>
                <w:rFonts w:ascii="Aptos" w:hAnsi="Aptos"/>
                <w:i/>
                <w:iCs/>
                <w:szCs w:val="20"/>
              </w:rPr>
              <w:t>/</w:t>
            </w:r>
            <w:r w:rsidR="003046BC" w:rsidRPr="00326DFF">
              <w:rPr>
                <w:rFonts w:ascii="Aptos" w:hAnsi="Aptos"/>
                <w:i/>
                <w:iCs/>
                <w:szCs w:val="20"/>
              </w:rPr>
              <w:t>2027</w:t>
            </w:r>
          </w:p>
          <w:p w14:paraId="2F6B8FFD" w14:textId="5C78454D" w:rsidR="00A07772" w:rsidRPr="00F42A7F" w:rsidRDefault="00A07772" w:rsidP="002F6FF3">
            <w:pPr>
              <w:rPr>
                <w:rFonts w:ascii="Aptos" w:hAnsi="Aptos"/>
                <w:szCs w:val="20"/>
              </w:rPr>
            </w:pPr>
          </w:p>
        </w:tc>
      </w:tr>
    </w:tbl>
    <w:p w14:paraId="172BD18C" w14:textId="4DED4A0B" w:rsidR="00A56FC7" w:rsidRPr="00F42A7F" w:rsidRDefault="00A56FC7" w:rsidP="00067075">
      <w:pPr>
        <w:pStyle w:val="Footer"/>
        <w:rPr>
          <w:rFonts w:ascii="Aptos" w:hAnsi="Aptos"/>
        </w:rPr>
      </w:pPr>
    </w:p>
    <w:sectPr w:rsidR="00A56FC7" w:rsidRPr="00F42A7F" w:rsidSect="006F09E6">
      <w:pgSz w:w="11906" w:h="16838"/>
      <w:pgMar w:top="1418" w:right="1418" w:bottom="1135"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502E" w14:textId="77777777" w:rsidR="00812F81" w:rsidRDefault="00812F81" w:rsidP="0051352E">
      <w:pPr>
        <w:spacing w:after="0" w:line="240" w:lineRule="auto"/>
      </w:pPr>
      <w:r>
        <w:separator/>
      </w:r>
    </w:p>
  </w:endnote>
  <w:endnote w:type="continuationSeparator" w:id="0">
    <w:p w14:paraId="29DCFBB4" w14:textId="77777777" w:rsidR="00812F81" w:rsidRDefault="00812F81" w:rsidP="0051352E">
      <w:pPr>
        <w:spacing w:after="0" w:line="240" w:lineRule="auto"/>
      </w:pPr>
      <w:r>
        <w:continuationSeparator/>
      </w:r>
    </w:p>
  </w:endnote>
  <w:endnote w:type="continuationNotice" w:id="1">
    <w:p w14:paraId="2ADD610A" w14:textId="77777777" w:rsidR="00812F81" w:rsidRDefault="00812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00939704"/>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104F6BA" w14:textId="6B91547E" w:rsidR="00E61A81" w:rsidRPr="00705443" w:rsidRDefault="00E61A81" w:rsidP="00705443">
            <w:pPr>
              <w:pStyle w:val="Footer"/>
              <w:jc w:val="right"/>
              <w:rPr>
                <w:sz w:val="18"/>
                <w:szCs w:val="18"/>
              </w:rPr>
            </w:pPr>
            <w:r w:rsidRPr="00705443">
              <w:rPr>
                <w:sz w:val="18"/>
                <w:szCs w:val="18"/>
              </w:rPr>
              <w:t xml:space="preserve">Page </w:t>
            </w:r>
            <w:r w:rsidRPr="00705443">
              <w:rPr>
                <w:sz w:val="18"/>
                <w:szCs w:val="18"/>
              </w:rPr>
              <w:fldChar w:fldCharType="begin"/>
            </w:r>
            <w:r w:rsidRPr="00705443">
              <w:rPr>
                <w:sz w:val="18"/>
                <w:szCs w:val="18"/>
              </w:rPr>
              <w:instrText xml:space="preserve"> PAGE </w:instrText>
            </w:r>
            <w:r w:rsidRPr="00705443">
              <w:rPr>
                <w:sz w:val="18"/>
                <w:szCs w:val="18"/>
              </w:rPr>
              <w:fldChar w:fldCharType="separate"/>
            </w:r>
            <w:r w:rsidRPr="00705443">
              <w:rPr>
                <w:noProof/>
                <w:sz w:val="18"/>
                <w:szCs w:val="18"/>
              </w:rPr>
              <w:t>2</w:t>
            </w:r>
            <w:r w:rsidRPr="00705443">
              <w:rPr>
                <w:sz w:val="18"/>
                <w:szCs w:val="18"/>
              </w:rPr>
              <w:fldChar w:fldCharType="end"/>
            </w:r>
            <w:r w:rsidRPr="00705443">
              <w:rPr>
                <w:sz w:val="18"/>
                <w:szCs w:val="18"/>
              </w:rPr>
              <w:t xml:space="preserve"> of </w:t>
            </w:r>
            <w:r w:rsidRPr="00705443">
              <w:rPr>
                <w:sz w:val="18"/>
                <w:szCs w:val="18"/>
              </w:rPr>
              <w:fldChar w:fldCharType="begin"/>
            </w:r>
            <w:r w:rsidRPr="00705443">
              <w:rPr>
                <w:sz w:val="18"/>
                <w:szCs w:val="18"/>
              </w:rPr>
              <w:instrText xml:space="preserve"> NUMPAGES  </w:instrText>
            </w:r>
            <w:r w:rsidRPr="00705443">
              <w:rPr>
                <w:sz w:val="18"/>
                <w:szCs w:val="18"/>
              </w:rPr>
              <w:fldChar w:fldCharType="separate"/>
            </w:r>
            <w:r w:rsidRPr="00705443">
              <w:rPr>
                <w:noProof/>
                <w:sz w:val="18"/>
                <w:szCs w:val="18"/>
              </w:rPr>
              <w:t>2</w:t>
            </w:r>
            <w:r w:rsidRPr="00705443">
              <w:rPr>
                <w:sz w:val="18"/>
                <w:szCs w:val="18"/>
              </w:rPr>
              <w:fldChar w:fldCharType="end"/>
            </w:r>
          </w:p>
        </w:sdtContent>
      </w:sdt>
    </w:sdtContent>
  </w:sdt>
  <w:p w14:paraId="02FDA0EA" w14:textId="6E0F12CF" w:rsidR="00662A42" w:rsidRDefault="006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D81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1E0ABC06" wp14:editId="1CDC01D5">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21F70"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B2A3" w14:textId="77777777" w:rsidR="00812F81" w:rsidRDefault="00812F81" w:rsidP="0051352E">
      <w:pPr>
        <w:spacing w:after="0" w:line="240" w:lineRule="auto"/>
      </w:pPr>
      <w:r>
        <w:separator/>
      </w:r>
    </w:p>
  </w:footnote>
  <w:footnote w:type="continuationSeparator" w:id="0">
    <w:p w14:paraId="3DE58F8E" w14:textId="77777777" w:rsidR="00812F81" w:rsidRDefault="00812F81" w:rsidP="0051352E">
      <w:pPr>
        <w:spacing w:after="0" w:line="240" w:lineRule="auto"/>
      </w:pPr>
      <w:r>
        <w:continuationSeparator/>
      </w:r>
    </w:p>
  </w:footnote>
  <w:footnote w:type="continuationNotice" w:id="1">
    <w:p w14:paraId="4ACF3B90" w14:textId="77777777" w:rsidR="00812F81" w:rsidRDefault="00812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4F97" w14:textId="12176703" w:rsidR="00ED6486" w:rsidRDefault="00ED6486" w:rsidP="00ED6486">
    <w:pPr>
      <w:pStyle w:val="Header"/>
      <w:jc w:val="center"/>
      <w:rPr>
        <w:b/>
        <w:bCs/>
        <w:color w:val="FF0000"/>
        <w:sz w:val="24"/>
        <w:szCs w:val="24"/>
      </w:rPr>
    </w:pPr>
  </w:p>
  <w:p w14:paraId="177A5718" w14:textId="51FCED57" w:rsidR="00ED6486" w:rsidRDefault="00ED6486" w:rsidP="00ED6486">
    <w:pPr>
      <w:pStyle w:val="Header"/>
      <w:jc w:val="center"/>
    </w:pPr>
    <w:r w:rsidRPr="00B418FE">
      <w:rPr>
        <w:b/>
        <w:bCs/>
        <w:color w:val="FF0000"/>
        <w:sz w:val="24"/>
        <w:szCs w:val="24"/>
      </w:rPr>
      <w:t>OFFICIA</w:t>
    </w:r>
    <w:r>
      <w:rPr>
        <w:b/>
        <w:bCs/>
        <w:color w:val="FF0000"/>
        <w:sz w:val="24"/>
        <w:szCs w:val="24"/>
      </w:rPr>
      <w:t>L</w:t>
    </w:r>
  </w:p>
  <w:p w14:paraId="612C8065" w14:textId="414107F2"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865D" w14:textId="7BCEEA8D" w:rsidR="00E36EF8" w:rsidRDefault="00ED6486" w:rsidP="00ED6486">
    <w:pPr>
      <w:pStyle w:val="Header"/>
      <w:jc w:val="center"/>
    </w:pPr>
    <w:r w:rsidRPr="00B418FE">
      <w:rPr>
        <w:b/>
        <w:bCs/>
        <w:color w:val="FF0000"/>
        <w:sz w:val="24"/>
        <w:szCs w:val="24"/>
      </w:rPr>
      <w:t>OFFICIA</w:t>
    </w:r>
    <w:r>
      <w:rPr>
        <w:b/>
        <w:bCs/>
        <w:color w:val="FF0000"/>
        <w:sz w:val="24"/>
        <w:szCs w:val="24"/>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9EC"/>
    <w:multiLevelType w:val="hybridMultilevel"/>
    <w:tmpl w:val="F95E47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EF7A7B"/>
    <w:multiLevelType w:val="hybridMultilevel"/>
    <w:tmpl w:val="1D7459D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22E67EAA"/>
    <w:multiLevelType w:val="hybridMultilevel"/>
    <w:tmpl w:val="42840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B23509"/>
    <w:multiLevelType w:val="hybridMultilevel"/>
    <w:tmpl w:val="A718D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323983"/>
    <w:multiLevelType w:val="hybridMultilevel"/>
    <w:tmpl w:val="C2F274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DE4DC2"/>
    <w:multiLevelType w:val="hybridMultilevel"/>
    <w:tmpl w:val="8C981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A069A4"/>
    <w:multiLevelType w:val="hybridMultilevel"/>
    <w:tmpl w:val="021653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6680ED2"/>
    <w:multiLevelType w:val="hybridMultilevel"/>
    <w:tmpl w:val="9BD019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F03265"/>
    <w:multiLevelType w:val="hybridMultilevel"/>
    <w:tmpl w:val="FC16935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7B4C7618"/>
    <w:multiLevelType w:val="multilevel"/>
    <w:tmpl w:val="F4921B38"/>
    <w:lvl w:ilvl="0">
      <w:start w:val="1"/>
      <w:numFmt w:val="decimal"/>
      <w:lvlText w:val="%1."/>
      <w:lvlJc w:val="left"/>
      <w:pPr>
        <w:ind w:left="357" w:hanging="357"/>
      </w:pPr>
      <w:rPr>
        <w:rFonts w:hint="default"/>
      </w:rPr>
    </w:lvl>
    <w:lvl w:ilvl="1">
      <w:start w:val="1"/>
      <w:numFmt w:val="decimal"/>
      <w:isLgl/>
      <w:lvlText w:val="%1.%2"/>
      <w:lvlJc w:val="left"/>
      <w:pPr>
        <w:ind w:left="714" w:hanging="357"/>
      </w:pPr>
      <w:rPr>
        <w:rFonts w:hint="default"/>
        <w:i w:val="0"/>
        <w:iCs w:val="0"/>
      </w:rPr>
    </w:lvl>
    <w:lvl w:ilvl="2">
      <w:start w:val="1"/>
      <w:numFmt w:val="decimal"/>
      <w:isLgl/>
      <w:lvlText w:val="%1.%2.%3"/>
      <w:lvlJc w:val="left"/>
      <w:pPr>
        <w:ind w:left="1071" w:hanging="357"/>
      </w:pPr>
      <w:rPr>
        <w:rFonts w:hint="default"/>
      </w:rPr>
    </w:lvl>
    <w:lvl w:ilvl="3">
      <w:start w:val="1"/>
      <w:numFmt w:val="decimal"/>
      <w:isLgl/>
      <w:lvlText w:val="%1.%2.%3.%4"/>
      <w:lvlJc w:val="left"/>
      <w:pPr>
        <w:ind w:left="1428" w:hanging="357"/>
      </w:pPr>
      <w:rPr>
        <w:rFonts w:hint="default"/>
      </w:rPr>
    </w:lvl>
    <w:lvl w:ilvl="4">
      <w:start w:val="1"/>
      <w:numFmt w:val="decimal"/>
      <w:isLgl/>
      <w:lvlText w:val="%1.%2.%3.%4.%5"/>
      <w:lvlJc w:val="left"/>
      <w:pPr>
        <w:ind w:left="1785" w:hanging="357"/>
      </w:pPr>
      <w:rPr>
        <w:rFonts w:hint="default"/>
      </w:rPr>
    </w:lvl>
    <w:lvl w:ilvl="5">
      <w:start w:val="1"/>
      <w:numFmt w:val="decimal"/>
      <w:isLgl/>
      <w:lvlText w:val="%1.%2.%3.%4.%5.%6"/>
      <w:lvlJc w:val="left"/>
      <w:pPr>
        <w:ind w:left="2142" w:hanging="357"/>
      </w:pPr>
      <w:rPr>
        <w:rFonts w:hint="default"/>
      </w:rPr>
    </w:lvl>
    <w:lvl w:ilvl="6">
      <w:start w:val="1"/>
      <w:numFmt w:val="decimal"/>
      <w:isLgl/>
      <w:lvlText w:val="%1.%2.%3.%4.%5.%6.%7"/>
      <w:lvlJc w:val="left"/>
      <w:pPr>
        <w:ind w:left="2499" w:hanging="357"/>
      </w:pPr>
      <w:rPr>
        <w:rFonts w:hint="default"/>
      </w:rPr>
    </w:lvl>
    <w:lvl w:ilvl="7">
      <w:start w:val="1"/>
      <w:numFmt w:val="decimal"/>
      <w:isLgl/>
      <w:lvlText w:val="%1.%2.%3.%4.%5.%6.%7.%8"/>
      <w:lvlJc w:val="left"/>
      <w:pPr>
        <w:ind w:left="2856" w:hanging="357"/>
      </w:pPr>
      <w:rPr>
        <w:rFonts w:hint="default"/>
      </w:rPr>
    </w:lvl>
    <w:lvl w:ilvl="8">
      <w:start w:val="1"/>
      <w:numFmt w:val="decimal"/>
      <w:isLgl/>
      <w:lvlText w:val="%1.%2.%3.%4.%5.%6.%7.%8.%9"/>
      <w:lvlJc w:val="left"/>
      <w:pPr>
        <w:ind w:left="3213" w:hanging="357"/>
      </w:pPr>
      <w:rPr>
        <w:rFonts w:hint="default"/>
      </w:rPr>
    </w:lvl>
  </w:abstractNum>
  <w:num w:numId="1" w16cid:durableId="1567761434">
    <w:abstractNumId w:val="1"/>
  </w:num>
  <w:num w:numId="2" w16cid:durableId="2142769677">
    <w:abstractNumId w:val="4"/>
  </w:num>
  <w:num w:numId="3" w16cid:durableId="1194029269">
    <w:abstractNumId w:val="7"/>
  </w:num>
  <w:num w:numId="4" w16cid:durableId="1209881511">
    <w:abstractNumId w:val="12"/>
  </w:num>
  <w:num w:numId="5" w16cid:durableId="2051953490">
    <w:abstractNumId w:val="5"/>
  </w:num>
  <w:num w:numId="6" w16cid:durableId="1972594056">
    <w:abstractNumId w:val="10"/>
  </w:num>
  <w:num w:numId="7" w16cid:durableId="1374697333">
    <w:abstractNumId w:val="6"/>
  </w:num>
  <w:num w:numId="8" w16cid:durableId="1508867312">
    <w:abstractNumId w:val="11"/>
  </w:num>
  <w:num w:numId="9" w16cid:durableId="1520701511">
    <w:abstractNumId w:val="2"/>
  </w:num>
  <w:num w:numId="10" w16cid:durableId="586962394">
    <w:abstractNumId w:val="0"/>
  </w:num>
  <w:num w:numId="11" w16cid:durableId="1512336726">
    <w:abstractNumId w:val="9"/>
  </w:num>
  <w:num w:numId="12" w16cid:durableId="1704937914">
    <w:abstractNumId w:val="3"/>
  </w:num>
  <w:num w:numId="13" w16cid:durableId="3532706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691"/>
    <w:rsid w:val="00003035"/>
    <w:rsid w:val="0000320B"/>
    <w:rsid w:val="000038A1"/>
    <w:rsid w:val="000044B9"/>
    <w:rsid w:val="00012B23"/>
    <w:rsid w:val="00015603"/>
    <w:rsid w:val="000200C1"/>
    <w:rsid w:val="00020577"/>
    <w:rsid w:val="000223E5"/>
    <w:rsid w:val="00025473"/>
    <w:rsid w:val="00026071"/>
    <w:rsid w:val="000261A8"/>
    <w:rsid w:val="0003056F"/>
    <w:rsid w:val="00030968"/>
    <w:rsid w:val="00032346"/>
    <w:rsid w:val="000368BB"/>
    <w:rsid w:val="000372F2"/>
    <w:rsid w:val="000423E8"/>
    <w:rsid w:val="00042D04"/>
    <w:rsid w:val="0004479E"/>
    <w:rsid w:val="00045B3A"/>
    <w:rsid w:val="000462A0"/>
    <w:rsid w:val="0005053D"/>
    <w:rsid w:val="00052BBC"/>
    <w:rsid w:val="00053A7D"/>
    <w:rsid w:val="000540B1"/>
    <w:rsid w:val="0005575B"/>
    <w:rsid w:val="00055887"/>
    <w:rsid w:val="00056747"/>
    <w:rsid w:val="0006037E"/>
    <w:rsid w:val="00062A4D"/>
    <w:rsid w:val="00062D96"/>
    <w:rsid w:val="00063A30"/>
    <w:rsid w:val="00063A79"/>
    <w:rsid w:val="00066628"/>
    <w:rsid w:val="00067075"/>
    <w:rsid w:val="00070C82"/>
    <w:rsid w:val="000712EA"/>
    <w:rsid w:val="00073331"/>
    <w:rsid w:val="0007573D"/>
    <w:rsid w:val="00077686"/>
    <w:rsid w:val="000777F4"/>
    <w:rsid w:val="00081C5D"/>
    <w:rsid w:val="00082CC3"/>
    <w:rsid w:val="0008632B"/>
    <w:rsid w:val="0008772C"/>
    <w:rsid w:val="00087A44"/>
    <w:rsid w:val="00092702"/>
    <w:rsid w:val="00093E80"/>
    <w:rsid w:val="000A0031"/>
    <w:rsid w:val="000A255C"/>
    <w:rsid w:val="000A3668"/>
    <w:rsid w:val="000A453D"/>
    <w:rsid w:val="000A4D05"/>
    <w:rsid w:val="000A52EE"/>
    <w:rsid w:val="000A7234"/>
    <w:rsid w:val="000A7362"/>
    <w:rsid w:val="000A74F5"/>
    <w:rsid w:val="000B06F7"/>
    <w:rsid w:val="000B0CEA"/>
    <w:rsid w:val="000B1026"/>
    <w:rsid w:val="000B31F1"/>
    <w:rsid w:val="000B32BE"/>
    <w:rsid w:val="000B48EF"/>
    <w:rsid w:val="000B4C24"/>
    <w:rsid w:val="000B57B5"/>
    <w:rsid w:val="000C1636"/>
    <w:rsid w:val="000C3636"/>
    <w:rsid w:val="000C649C"/>
    <w:rsid w:val="000D1A5A"/>
    <w:rsid w:val="000D2559"/>
    <w:rsid w:val="000D2BEA"/>
    <w:rsid w:val="000D300B"/>
    <w:rsid w:val="000E0A19"/>
    <w:rsid w:val="000E5F9C"/>
    <w:rsid w:val="000E6B2A"/>
    <w:rsid w:val="000F0762"/>
    <w:rsid w:val="000F0B72"/>
    <w:rsid w:val="000F182C"/>
    <w:rsid w:val="000F7D23"/>
    <w:rsid w:val="00100F53"/>
    <w:rsid w:val="0010432D"/>
    <w:rsid w:val="001052C6"/>
    <w:rsid w:val="00106853"/>
    <w:rsid w:val="00111085"/>
    <w:rsid w:val="00114503"/>
    <w:rsid w:val="00114CFC"/>
    <w:rsid w:val="00115F00"/>
    <w:rsid w:val="00116884"/>
    <w:rsid w:val="001201CA"/>
    <w:rsid w:val="00126CEC"/>
    <w:rsid w:val="001279F1"/>
    <w:rsid w:val="00131FEC"/>
    <w:rsid w:val="00132DAE"/>
    <w:rsid w:val="00133AA9"/>
    <w:rsid w:val="00134D5E"/>
    <w:rsid w:val="0013576C"/>
    <w:rsid w:val="00135881"/>
    <w:rsid w:val="00140C68"/>
    <w:rsid w:val="00141170"/>
    <w:rsid w:val="00145BF6"/>
    <w:rsid w:val="0015060A"/>
    <w:rsid w:val="0015094B"/>
    <w:rsid w:val="00150CB1"/>
    <w:rsid w:val="00153723"/>
    <w:rsid w:val="00153CA0"/>
    <w:rsid w:val="001549BD"/>
    <w:rsid w:val="0015787A"/>
    <w:rsid w:val="00157F35"/>
    <w:rsid w:val="001623FD"/>
    <w:rsid w:val="001626E8"/>
    <w:rsid w:val="00162AD8"/>
    <w:rsid w:val="00163751"/>
    <w:rsid w:val="00164FE0"/>
    <w:rsid w:val="00170599"/>
    <w:rsid w:val="00171C1A"/>
    <w:rsid w:val="00171E60"/>
    <w:rsid w:val="001723AE"/>
    <w:rsid w:val="00174AA8"/>
    <w:rsid w:val="001752CD"/>
    <w:rsid w:val="00175538"/>
    <w:rsid w:val="00175779"/>
    <w:rsid w:val="00177284"/>
    <w:rsid w:val="0018219D"/>
    <w:rsid w:val="00183B17"/>
    <w:rsid w:val="00183F18"/>
    <w:rsid w:val="001843F9"/>
    <w:rsid w:val="001855CB"/>
    <w:rsid w:val="001862C0"/>
    <w:rsid w:val="00186C6C"/>
    <w:rsid w:val="00187013"/>
    <w:rsid w:val="00187C88"/>
    <w:rsid w:val="00191211"/>
    <w:rsid w:val="00191D41"/>
    <w:rsid w:val="0019213A"/>
    <w:rsid w:val="00192BC3"/>
    <w:rsid w:val="001A2EA9"/>
    <w:rsid w:val="001A62D5"/>
    <w:rsid w:val="001A62EF"/>
    <w:rsid w:val="001B2E76"/>
    <w:rsid w:val="001B4C30"/>
    <w:rsid w:val="001C0FDE"/>
    <w:rsid w:val="001C2657"/>
    <w:rsid w:val="001C4083"/>
    <w:rsid w:val="001C43E8"/>
    <w:rsid w:val="001C45C7"/>
    <w:rsid w:val="001C46FA"/>
    <w:rsid w:val="001C506C"/>
    <w:rsid w:val="001C5502"/>
    <w:rsid w:val="001C5A3F"/>
    <w:rsid w:val="001C5E93"/>
    <w:rsid w:val="001C6F92"/>
    <w:rsid w:val="001D2B18"/>
    <w:rsid w:val="001D2B98"/>
    <w:rsid w:val="001D3AC5"/>
    <w:rsid w:val="001D4DB7"/>
    <w:rsid w:val="001D540F"/>
    <w:rsid w:val="001D65C3"/>
    <w:rsid w:val="001D6B1E"/>
    <w:rsid w:val="001D7448"/>
    <w:rsid w:val="001E3467"/>
    <w:rsid w:val="001E6F0C"/>
    <w:rsid w:val="001F5FD6"/>
    <w:rsid w:val="00203EFC"/>
    <w:rsid w:val="002040DA"/>
    <w:rsid w:val="002070BB"/>
    <w:rsid w:val="00210BEB"/>
    <w:rsid w:val="002112C9"/>
    <w:rsid w:val="00217EAB"/>
    <w:rsid w:val="00220985"/>
    <w:rsid w:val="0022498C"/>
    <w:rsid w:val="0022626C"/>
    <w:rsid w:val="002323FE"/>
    <w:rsid w:val="0023340F"/>
    <w:rsid w:val="00236DFD"/>
    <w:rsid w:val="0024332D"/>
    <w:rsid w:val="00244695"/>
    <w:rsid w:val="00246F94"/>
    <w:rsid w:val="0024722B"/>
    <w:rsid w:val="00251FFF"/>
    <w:rsid w:val="00252977"/>
    <w:rsid w:val="00253B35"/>
    <w:rsid w:val="00254D6E"/>
    <w:rsid w:val="0025502A"/>
    <w:rsid w:val="002601BC"/>
    <w:rsid w:val="002602DB"/>
    <w:rsid w:val="00263E02"/>
    <w:rsid w:val="0026442D"/>
    <w:rsid w:val="00264743"/>
    <w:rsid w:val="00264D45"/>
    <w:rsid w:val="00270C74"/>
    <w:rsid w:val="0027156C"/>
    <w:rsid w:val="002722D0"/>
    <w:rsid w:val="002724D0"/>
    <w:rsid w:val="002739A8"/>
    <w:rsid w:val="0027427A"/>
    <w:rsid w:val="00275791"/>
    <w:rsid w:val="00276F69"/>
    <w:rsid w:val="00281CEA"/>
    <w:rsid w:val="0028235E"/>
    <w:rsid w:val="0028287E"/>
    <w:rsid w:val="00283D48"/>
    <w:rsid w:val="002843C7"/>
    <w:rsid w:val="00284C78"/>
    <w:rsid w:val="002875A9"/>
    <w:rsid w:val="00290253"/>
    <w:rsid w:val="002909A8"/>
    <w:rsid w:val="002929CB"/>
    <w:rsid w:val="00292D5C"/>
    <w:rsid w:val="002959D4"/>
    <w:rsid w:val="002A1A94"/>
    <w:rsid w:val="002A4C19"/>
    <w:rsid w:val="002A6B61"/>
    <w:rsid w:val="002A7840"/>
    <w:rsid w:val="002B0B55"/>
    <w:rsid w:val="002B1CE5"/>
    <w:rsid w:val="002B3D9A"/>
    <w:rsid w:val="002B488E"/>
    <w:rsid w:val="002B7846"/>
    <w:rsid w:val="002C08CC"/>
    <w:rsid w:val="002C29FD"/>
    <w:rsid w:val="002C2D89"/>
    <w:rsid w:val="002C2DE3"/>
    <w:rsid w:val="002C4F83"/>
    <w:rsid w:val="002C6278"/>
    <w:rsid w:val="002D1937"/>
    <w:rsid w:val="002D29F4"/>
    <w:rsid w:val="002D50CF"/>
    <w:rsid w:val="002D5119"/>
    <w:rsid w:val="002D5BC5"/>
    <w:rsid w:val="002D6A66"/>
    <w:rsid w:val="002D732D"/>
    <w:rsid w:val="002E0ECC"/>
    <w:rsid w:val="002E2BB7"/>
    <w:rsid w:val="002E4E34"/>
    <w:rsid w:val="002E6501"/>
    <w:rsid w:val="002E7C68"/>
    <w:rsid w:val="002F04D4"/>
    <w:rsid w:val="002F1947"/>
    <w:rsid w:val="002F4C29"/>
    <w:rsid w:val="002F4DB3"/>
    <w:rsid w:val="002F6FF3"/>
    <w:rsid w:val="002F71FD"/>
    <w:rsid w:val="00303146"/>
    <w:rsid w:val="003046BC"/>
    <w:rsid w:val="00305002"/>
    <w:rsid w:val="0030760E"/>
    <w:rsid w:val="003102A1"/>
    <w:rsid w:val="003104A6"/>
    <w:rsid w:val="003113C7"/>
    <w:rsid w:val="00313677"/>
    <w:rsid w:val="003141BA"/>
    <w:rsid w:val="00317FCC"/>
    <w:rsid w:val="003215D3"/>
    <w:rsid w:val="00326100"/>
    <w:rsid w:val="00326DFF"/>
    <w:rsid w:val="00327140"/>
    <w:rsid w:val="003309E6"/>
    <w:rsid w:val="0033407D"/>
    <w:rsid w:val="003370E4"/>
    <w:rsid w:val="00342796"/>
    <w:rsid w:val="00342944"/>
    <w:rsid w:val="00346619"/>
    <w:rsid w:val="003505A3"/>
    <w:rsid w:val="00350E37"/>
    <w:rsid w:val="00350FFA"/>
    <w:rsid w:val="00351B32"/>
    <w:rsid w:val="0035369A"/>
    <w:rsid w:val="003567F4"/>
    <w:rsid w:val="0035773B"/>
    <w:rsid w:val="00361C69"/>
    <w:rsid w:val="00361DF4"/>
    <w:rsid w:val="003624BA"/>
    <w:rsid w:val="00363E8A"/>
    <w:rsid w:val="00367E13"/>
    <w:rsid w:val="00371FD6"/>
    <w:rsid w:val="00374492"/>
    <w:rsid w:val="00374950"/>
    <w:rsid w:val="00374FAC"/>
    <w:rsid w:val="00375035"/>
    <w:rsid w:val="00382F07"/>
    <w:rsid w:val="0039233B"/>
    <w:rsid w:val="00393734"/>
    <w:rsid w:val="00393CBE"/>
    <w:rsid w:val="00395725"/>
    <w:rsid w:val="00396C8C"/>
    <w:rsid w:val="003A2EFF"/>
    <w:rsid w:val="003B05DE"/>
    <w:rsid w:val="003B3542"/>
    <w:rsid w:val="003B38E3"/>
    <w:rsid w:val="003B45DD"/>
    <w:rsid w:val="003B4BFF"/>
    <w:rsid w:val="003B6C31"/>
    <w:rsid w:val="003B748C"/>
    <w:rsid w:val="003B7696"/>
    <w:rsid w:val="003C1C42"/>
    <w:rsid w:val="003C29C2"/>
    <w:rsid w:val="003C3C0F"/>
    <w:rsid w:val="003C78EB"/>
    <w:rsid w:val="003D19A1"/>
    <w:rsid w:val="003D5BD9"/>
    <w:rsid w:val="003E0449"/>
    <w:rsid w:val="003E343F"/>
    <w:rsid w:val="003E38F5"/>
    <w:rsid w:val="003E54D4"/>
    <w:rsid w:val="003F336D"/>
    <w:rsid w:val="003F57D3"/>
    <w:rsid w:val="003F7576"/>
    <w:rsid w:val="003F7993"/>
    <w:rsid w:val="00407651"/>
    <w:rsid w:val="004100F7"/>
    <w:rsid w:val="004106A9"/>
    <w:rsid w:val="00414677"/>
    <w:rsid w:val="00415077"/>
    <w:rsid w:val="004213F6"/>
    <w:rsid w:val="00425BF1"/>
    <w:rsid w:val="00431D01"/>
    <w:rsid w:val="00433B22"/>
    <w:rsid w:val="00435D2C"/>
    <w:rsid w:val="0043617B"/>
    <w:rsid w:val="004373E0"/>
    <w:rsid w:val="00440C3F"/>
    <w:rsid w:val="00446814"/>
    <w:rsid w:val="0044756C"/>
    <w:rsid w:val="00450567"/>
    <w:rsid w:val="00451BFB"/>
    <w:rsid w:val="00452D58"/>
    <w:rsid w:val="00453018"/>
    <w:rsid w:val="00453C04"/>
    <w:rsid w:val="0045454D"/>
    <w:rsid w:val="0045629D"/>
    <w:rsid w:val="00460851"/>
    <w:rsid w:val="004610EE"/>
    <w:rsid w:val="00463B25"/>
    <w:rsid w:val="00465A1D"/>
    <w:rsid w:val="00465CBC"/>
    <w:rsid w:val="00466086"/>
    <w:rsid w:val="004668DF"/>
    <w:rsid w:val="00467B7B"/>
    <w:rsid w:val="00471964"/>
    <w:rsid w:val="0047296F"/>
    <w:rsid w:val="00472D4F"/>
    <w:rsid w:val="00474439"/>
    <w:rsid w:val="00474DC3"/>
    <w:rsid w:val="004755A6"/>
    <w:rsid w:val="0047611F"/>
    <w:rsid w:val="0048090D"/>
    <w:rsid w:val="00480CD4"/>
    <w:rsid w:val="00481CC1"/>
    <w:rsid w:val="00490068"/>
    <w:rsid w:val="00492BD8"/>
    <w:rsid w:val="00493EAF"/>
    <w:rsid w:val="004953C5"/>
    <w:rsid w:val="00497764"/>
    <w:rsid w:val="0049797B"/>
    <w:rsid w:val="004A5392"/>
    <w:rsid w:val="004A67D7"/>
    <w:rsid w:val="004A76C2"/>
    <w:rsid w:val="004B1EB2"/>
    <w:rsid w:val="004B2942"/>
    <w:rsid w:val="004B433D"/>
    <w:rsid w:val="004B4635"/>
    <w:rsid w:val="004B468D"/>
    <w:rsid w:val="004B7665"/>
    <w:rsid w:val="004C0028"/>
    <w:rsid w:val="004C285B"/>
    <w:rsid w:val="004C642C"/>
    <w:rsid w:val="004D087A"/>
    <w:rsid w:val="004D119C"/>
    <w:rsid w:val="004D3719"/>
    <w:rsid w:val="004D48BD"/>
    <w:rsid w:val="004D51A2"/>
    <w:rsid w:val="004D7FD5"/>
    <w:rsid w:val="004E07DD"/>
    <w:rsid w:val="004E780E"/>
    <w:rsid w:val="004E7A23"/>
    <w:rsid w:val="004E7AA8"/>
    <w:rsid w:val="004F2040"/>
    <w:rsid w:val="004F438A"/>
    <w:rsid w:val="004F51FC"/>
    <w:rsid w:val="004F56C8"/>
    <w:rsid w:val="00500158"/>
    <w:rsid w:val="005056A3"/>
    <w:rsid w:val="00505CF1"/>
    <w:rsid w:val="00505FEE"/>
    <w:rsid w:val="00507A9D"/>
    <w:rsid w:val="00507B26"/>
    <w:rsid w:val="0051352E"/>
    <w:rsid w:val="005159D0"/>
    <w:rsid w:val="00517326"/>
    <w:rsid w:val="00517DA7"/>
    <w:rsid w:val="005201DC"/>
    <w:rsid w:val="00520A33"/>
    <w:rsid w:val="00522A7E"/>
    <w:rsid w:val="00522BD6"/>
    <w:rsid w:val="00523357"/>
    <w:rsid w:val="00527AE4"/>
    <w:rsid w:val="00530F44"/>
    <w:rsid w:val="00534F22"/>
    <w:rsid w:val="00535F42"/>
    <w:rsid w:val="005379E0"/>
    <w:rsid w:val="00540008"/>
    <w:rsid w:val="00540248"/>
    <w:rsid w:val="005411AA"/>
    <w:rsid w:val="00542139"/>
    <w:rsid w:val="00542C51"/>
    <w:rsid w:val="00545E73"/>
    <w:rsid w:val="00546490"/>
    <w:rsid w:val="005471A4"/>
    <w:rsid w:val="00550700"/>
    <w:rsid w:val="00551BA9"/>
    <w:rsid w:val="00553597"/>
    <w:rsid w:val="00553C64"/>
    <w:rsid w:val="00554DD8"/>
    <w:rsid w:val="0055569D"/>
    <w:rsid w:val="00555AC1"/>
    <w:rsid w:val="00556C17"/>
    <w:rsid w:val="00574FF4"/>
    <w:rsid w:val="00575396"/>
    <w:rsid w:val="00575D4E"/>
    <w:rsid w:val="00577BF3"/>
    <w:rsid w:val="005821F6"/>
    <w:rsid w:val="00582D07"/>
    <w:rsid w:val="005842AD"/>
    <w:rsid w:val="005842E3"/>
    <w:rsid w:val="00584F72"/>
    <w:rsid w:val="00586214"/>
    <w:rsid w:val="00586970"/>
    <w:rsid w:val="00590627"/>
    <w:rsid w:val="00591172"/>
    <w:rsid w:val="00592039"/>
    <w:rsid w:val="00592200"/>
    <w:rsid w:val="00596A88"/>
    <w:rsid w:val="00597210"/>
    <w:rsid w:val="005975ED"/>
    <w:rsid w:val="005A08BF"/>
    <w:rsid w:val="005A5DAB"/>
    <w:rsid w:val="005B0383"/>
    <w:rsid w:val="005B0707"/>
    <w:rsid w:val="005B2EE2"/>
    <w:rsid w:val="005B3357"/>
    <w:rsid w:val="005B72DC"/>
    <w:rsid w:val="005B7625"/>
    <w:rsid w:val="005B7E2B"/>
    <w:rsid w:val="005C3329"/>
    <w:rsid w:val="005C33C4"/>
    <w:rsid w:val="005C379F"/>
    <w:rsid w:val="005C50DF"/>
    <w:rsid w:val="005C594B"/>
    <w:rsid w:val="005C59E8"/>
    <w:rsid w:val="005D27F2"/>
    <w:rsid w:val="005D3D27"/>
    <w:rsid w:val="005D486E"/>
    <w:rsid w:val="005D6CC8"/>
    <w:rsid w:val="005D73E4"/>
    <w:rsid w:val="005D7CE7"/>
    <w:rsid w:val="005D7FCC"/>
    <w:rsid w:val="005E62F2"/>
    <w:rsid w:val="005F0D59"/>
    <w:rsid w:val="005F321B"/>
    <w:rsid w:val="005F32BD"/>
    <w:rsid w:val="005F7B52"/>
    <w:rsid w:val="006003C2"/>
    <w:rsid w:val="00600693"/>
    <w:rsid w:val="00604D01"/>
    <w:rsid w:val="00605674"/>
    <w:rsid w:val="00607CEF"/>
    <w:rsid w:val="00610A38"/>
    <w:rsid w:val="0061266C"/>
    <w:rsid w:val="006135B2"/>
    <w:rsid w:val="00613730"/>
    <w:rsid w:val="00620347"/>
    <w:rsid w:val="006209C1"/>
    <w:rsid w:val="00623984"/>
    <w:rsid w:val="006242E0"/>
    <w:rsid w:val="0062641D"/>
    <w:rsid w:val="00630DDF"/>
    <w:rsid w:val="00631666"/>
    <w:rsid w:val="00632DBD"/>
    <w:rsid w:val="00632F9F"/>
    <w:rsid w:val="0063344E"/>
    <w:rsid w:val="006353D4"/>
    <w:rsid w:val="00635734"/>
    <w:rsid w:val="00637797"/>
    <w:rsid w:val="00640224"/>
    <w:rsid w:val="006421CB"/>
    <w:rsid w:val="006423FE"/>
    <w:rsid w:val="0064314C"/>
    <w:rsid w:val="00643D5E"/>
    <w:rsid w:val="00647242"/>
    <w:rsid w:val="0065196D"/>
    <w:rsid w:val="0065210E"/>
    <w:rsid w:val="00653431"/>
    <w:rsid w:val="00662A42"/>
    <w:rsid w:val="00665729"/>
    <w:rsid w:val="00676548"/>
    <w:rsid w:val="006776FB"/>
    <w:rsid w:val="006800B8"/>
    <w:rsid w:val="00680B48"/>
    <w:rsid w:val="0068164B"/>
    <w:rsid w:val="00686530"/>
    <w:rsid w:val="00687935"/>
    <w:rsid w:val="00690214"/>
    <w:rsid w:val="00690710"/>
    <w:rsid w:val="00691C79"/>
    <w:rsid w:val="00693805"/>
    <w:rsid w:val="006A0218"/>
    <w:rsid w:val="006A0ACC"/>
    <w:rsid w:val="006A281C"/>
    <w:rsid w:val="006B0B39"/>
    <w:rsid w:val="006B1F36"/>
    <w:rsid w:val="006B303C"/>
    <w:rsid w:val="006B4A42"/>
    <w:rsid w:val="006C03EF"/>
    <w:rsid w:val="006C0EFE"/>
    <w:rsid w:val="006C1643"/>
    <w:rsid w:val="006C2C02"/>
    <w:rsid w:val="006C4A8C"/>
    <w:rsid w:val="006D154E"/>
    <w:rsid w:val="006D1952"/>
    <w:rsid w:val="006D24EA"/>
    <w:rsid w:val="006D3702"/>
    <w:rsid w:val="006D5648"/>
    <w:rsid w:val="006D6917"/>
    <w:rsid w:val="006E10F2"/>
    <w:rsid w:val="006E1C1A"/>
    <w:rsid w:val="006E33B9"/>
    <w:rsid w:val="006E5D6E"/>
    <w:rsid w:val="006E7969"/>
    <w:rsid w:val="006E7C7F"/>
    <w:rsid w:val="006F09E6"/>
    <w:rsid w:val="006F395A"/>
    <w:rsid w:val="006F665E"/>
    <w:rsid w:val="006F6D2E"/>
    <w:rsid w:val="006F6E16"/>
    <w:rsid w:val="006F7817"/>
    <w:rsid w:val="0070162E"/>
    <w:rsid w:val="00701CA6"/>
    <w:rsid w:val="0070342B"/>
    <w:rsid w:val="00705443"/>
    <w:rsid w:val="00705937"/>
    <w:rsid w:val="00705CB3"/>
    <w:rsid w:val="00710746"/>
    <w:rsid w:val="00711478"/>
    <w:rsid w:val="00711F66"/>
    <w:rsid w:val="00712ADA"/>
    <w:rsid w:val="007150F7"/>
    <w:rsid w:val="00717AF0"/>
    <w:rsid w:val="00721B03"/>
    <w:rsid w:val="0072222D"/>
    <w:rsid w:val="00723086"/>
    <w:rsid w:val="00724655"/>
    <w:rsid w:val="0072582B"/>
    <w:rsid w:val="00725C37"/>
    <w:rsid w:val="00731609"/>
    <w:rsid w:val="00735F91"/>
    <w:rsid w:val="00736566"/>
    <w:rsid w:val="00741E43"/>
    <w:rsid w:val="00746B8B"/>
    <w:rsid w:val="00746D9B"/>
    <w:rsid w:val="00751391"/>
    <w:rsid w:val="00753F77"/>
    <w:rsid w:val="007570DC"/>
    <w:rsid w:val="00757510"/>
    <w:rsid w:val="00761778"/>
    <w:rsid w:val="00761AF4"/>
    <w:rsid w:val="00762968"/>
    <w:rsid w:val="007635A4"/>
    <w:rsid w:val="00763683"/>
    <w:rsid w:val="0076471C"/>
    <w:rsid w:val="00764BEE"/>
    <w:rsid w:val="00766114"/>
    <w:rsid w:val="007678E3"/>
    <w:rsid w:val="00770F3E"/>
    <w:rsid w:val="007719ED"/>
    <w:rsid w:val="00777F96"/>
    <w:rsid w:val="0078203A"/>
    <w:rsid w:val="00784A1C"/>
    <w:rsid w:val="00790646"/>
    <w:rsid w:val="00792DB1"/>
    <w:rsid w:val="0079394A"/>
    <w:rsid w:val="00796BC0"/>
    <w:rsid w:val="007B097C"/>
    <w:rsid w:val="007B1ABA"/>
    <w:rsid w:val="007B2C7A"/>
    <w:rsid w:val="007B4A16"/>
    <w:rsid w:val="007B57AD"/>
    <w:rsid w:val="007B65A2"/>
    <w:rsid w:val="007B6FBA"/>
    <w:rsid w:val="007B70EC"/>
    <w:rsid w:val="007B74C5"/>
    <w:rsid w:val="007C168C"/>
    <w:rsid w:val="007C2C46"/>
    <w:rsid w:val="007C34D9"/>
    <w:rsid w:val="007C7C2B"/>
    <w:rsid w:val="007D31AD"/>
    <w:rsid w:val="007D333B"/>
    <w:rsid w:val="007D4483"/>
    <w:rsid w:val="007D563F"/>
    <w:rsid w:val="007D66C7"/>
    <w:rsid w:val="007D6A24"/>
    <w:rsid w:val="007E1FA7"/>
    <w:rsid w:val="007F012D"/>
    <w:rsid w:val="007F0EC9"/>
    <w:rsid w:val="007F29F8"/>
    <w:rsid w:val="007F2EB6"/>
    <w:rsid w:val="007F3BD0"/>
    <w:rsid w:val="00800A7B"/>
    <w:rsid w:val="00800ED8"/>
    <w:rsid w:val="00801517"/>
    <w:rsid w:val="00802E57"/>
    <w:rsid w:val="00803952"/>
    <w:rsid w:val="00804428"/>
    <w:rsid w:val="00805874"/>
    <w:rsid w:val="00806140"/>
    <w:rsid w:val="008117BD"/>
    <w:rsid w:val="00812329"/>
    <w:rsid w:val="00812F81"/>
    <w:rsid w:val="0081695E"/>
    <w:rsid w:val="0081714D"/>
    <w:rsid w:val="008201C7"/>
    <w:rsid w:val="0082111F"/>
    <w:rsid w:val="008219C7"/>
    <w:rsid w:val="0082366E"/>
    <w:rsid w:val="0082483B"/>
    <w:rsid w:val="00836573"/>
    <w:rsid w:val="00836840"/>
    <w:rsid w:val="0084037D"/>
    <w:rsid w:val="0084132C"/>
    <w:rsid w:val="00841E41"/>
    <w:rsid w:val="00842C50"/>
    <w:rsid w:val="00843BA1"/>
    <w:rsid w:val="008452F4"/>
    <w:rsid w:val="00846CE4"/>
    <w:rsid w:val="008507C1"/>
    <w:rsid w:val="00856787"/>
    <w:rsid w:val="0085755A"/>
    <w:rsid w:val="00861934"/>
    <w:rsid w:val="0086490D"/>
    <w:rsid w:val="00865CDC"/>
    <w:rsid w:val="00866146"/>
    <w:rsid w:val="008669A5"/>
    <w:rsid w:val="0087092C"/>
    <w:rsid w:val="00871F9C"/>
    <w:rsid w:val="0087436F"/>
    <w:rsid w:val="00880E3F"/>
    <w:rsid w:val="008849FD"/>
    <w:rsid w:val="00885FC0"/>
    <w:rsid w:val="00886415"/>
    <w:rsid w:val="00890C51"/>
    <w:rsid w:val="00892157"/>
    <w:rsid w:val="00892465"/>
    <w:rsid w:val="00893110"/>
    <w:rsid w:val="00894CD4"/>
    <w:rsid w:val="00896031"/>
    <w:rsid w:val="008961BA"/>
    <w:rsid w:val="008A389C"/>
    <w:rsid w:val="008A5A36"/>
    <w:rsid w:val="008B0F6F"/>
    <w:rsid w:val="008B1FC0"/>
    <w:rsid w:val="008B6A35"/>
    <w:rsid w:val="008B72EA"/>
    <w:rsid w:val="008C0C26"/>
    <w:rsid w:val="008C3F75"/>
    <w:rsid w:val="008C538E"/>
    <w:rsid w:val="008C6DAA"/>
    <w:rsid w:val="008C7278"/>
    <w:rsid w:val="008C727B"/>
    <w:rsid w:val="008D1743"/>
    <w:rsid w:val="008D4782"/>
    <w:rsid w:val="008E22BA"/>
    <w:rsid w:val="008E3246"/>
    <w:rsid w:val="008E6CFE"/>
    <w:rsid w:val="008E6DB7"/>
    <w:rsid w:val="008E6FCE"/>
    <w:rsid w:val="008E7DE1"/>
    <w:rsid w:val="008F0AC9"/>
    <w:rsid w:val="008F3685"/>
    <w:rsid w:val="008F52AC"/>
    <w:rsid w:val="008F5384"/>
    <w:rsid w:val="008F55CF"/>
    <w:rsid w:val="008F7448"/>
    <w:rsid w:val="00900F59"/>
    <w:rsid w:val="00900F7F"/>
    <w:rsid w:val="00901B32"/>
    <w:rsid w:val="009077B0"/>
    <w:rsid w:val="009102C8"/>
    <w:rsid w:val="00910B4E"/>
    <w:rsid w:val="009118F7"/>
    <w:rsid w:val="009157AA"/>
    <w:rsid w:val="00917399"/>
    <w:rsid w:val="009178EB"/>
    <w:rsid w:val="009231D5"/>
    <w:rsid w:val="0092455B"/>
    <w:rsid w:val="009252EB"/>
    <w:rsid w:val="0092744D"/>
    <w:rsid w:val="00930637"/>
    <w:rsid w:val="00933B47"/>
    <w:rsid w:val="0093473D"/>
    <w:rsid w:val="00935796"/>
    <w:rsid w:val="009405A9"/>
    <w:rsid w:val="00943807"/>
    <w:rsid w:val="0094420D"/>
    <w:rsid w:val="00944ECC"/>
    <w:rsid w:val="00945058"/>
    <w:rsid w:val="009453CB"/>
    <w:rsid w:val="009502F7"/>
    <w:rsid w:val="00951B8A"/>
    <w:rsid w:val="009533C4"/>
    <w:rsid w:val="009564EB"/>
    <w:rsid w:val="00957646"/>
    <w:rsid w:val="0096043B"/>
    <w:rsid w:val="00963581"/>
    <w:rsid w:val="0096373A"/>
    <w:rsid w:val="00971E98"/>
    <w:rsid w:val="0097255E"/>
    <w:rsid w:val="009727CE"/>
    <w:rsid w:val="00972F57"/>
    <w:rsid w:val="00977D24"/>
    <w:rsid w:val="00980130"/>
    <w:rsid w:val="00982CCE"/>
    <w:rsid w:val="009841D6"/>
    <w:rsid w:val="0099327B"/>
    <w:rsid w:val="0099481D"/>
    <w:rsid w:val="00995280"/>
    <w:rsid w:val="0099678B"/>
    <w:rsid w:val="009A03F9"/>
    <w:rsid w:val="009A7DCC"/>
    <w:rsid w:val="009B2501"/>
    <w:rsid w:val="009B3B75"/>
    <w:rsid w:val="009B4BD2"/>
    <w:rsid w:val="009C37B7"/>
    <w:rsid w:val="009D3FC4"/>
    <w:rsid w:val="009D4014"/>
    <w:rsid w:val="009D6B2A"/>
    <w:rsid w:val="009E4D17"/>
    <w:rsid w:val="009E5D2F"/>
    <w:rsid w:val="009F1BF9"/>
    <w:rsid w:val="009F3599"/>
    <w:rsid w:val="009F3E22"/>
    <w:rsid w:val="009F728B"/>
    <w:rsid w:val="00A001F6"/>
    <w:rsid w:val="00A00E02"/>
    <w:rsid w:val="00A01660"/>
    <w:rsid w:val="00A0352A"/>
    <w:rsid w:val="00A059AB"/>
    <w:rsid w:val="00A07772"/>
    <w:rsid w:val="00A12289"/>
    <w:rsid w:val="00A13A3F"/>
    <w:rsid w:val="00A13BEE"/>
    <w:rsid w:val="00A15568"/>
    <w:rsid w:val="00A24E6E"/>
    <w:rsid w:val="00A25C24"/>
    <w:rsid w:val="00A26C4A"/>
    <w:rsid w:val="00A3121B"/>
    <w:rsid w:val="00A32BA7"/>
    <w:rsid w:val="00A32E7C"/>
    <w:rsid w:val="00A33893"/>
    <w:rsid w:val="00A3474E"/>
    <w:rsid w:val="00A34B6E"/>
    <w:rsid w:val="00A35AEB"/>
    <w:rsid w:val="00A42002"/>
    <w:rsid w:val="00A43694"/>
    <w:rsid w:val="00A45021"/>
    <w:rsid w:val="00A45491"/>
    <w:rsid w:val="00A52BAD"/>
    <w:rsid w:val="00A52D0E"/>
    <w:rsid w:val="00A56FC7"/>
    <w:rsid w:val="00A60B8A"/>
    <w:rsid w:val="00A61957"/>
    <w:rsid w:val="00A64AC2"/>
    <w:rsid w:val="00A6559E"/>
    <w:rsid w:val="00A65CA5"/>
    <w:rsid w:val="00A668BF"/>
    <w:rsid w:val="00A72575"/>
    <w:rsid w:val="00A74071"/>
    <w:rsid w:val="00A754E4"/>
    <w:rsid w:val="00A774FB"/>
    <w:rsid w:val="00A81C59"/>
    <w:rsid w:val="00A8507C"/>
    <w:rsid w:val="00A90C1E"/>
    <w:rsid w:val="00A92A8E"/>
    <w:rsid w:val="00AA0D05"/>
    <w:rsid w:val="00AA124A"/>
    <w:rsid w:val="00AA2671"/>
    <w:rsid w:val="00AA2A96"/>
    <w:rsid w:val="00AA32A4"/>
    <w:rsid w:val="00AA37B7"/>
    <w:rsid w:val="00AA4509"/>
    <w:rsid w:val="00AA654C"/>
    <w:rsid w:val="00AB08DD"/>
    <w:rsid w:val="00AB4E7C"/>
    <w:rsid w:val="00AB64A7"/>
    <w:rsid w:val="00AB7E03"/>
    <w:rsid w:val="00AC0BD2"/>
    <w:rsid w:val="00AC5EB7"/>
    <w:rsid w:val="00AD0044"/>
    <w:rsid w:val="00AD0214"/>
    <w:rsid w:val="00AD02C9"/>
    <w:rsid w:val="00AD1D01"/>
    <w:rsid w:val="00AD2288"/>
    <w:rsid w:val="00AD75F0"/>
    <w:rsid w:val="00AE12AE"/>
    <w:rsid w:val="00AE4E51"/>
    <w:rsid w:val="00AE6EE5"/>
    <w:rsid w:val="00AE7AE6"/>
    <w:rsid w:val="00AF015D"/>
    <w:rsid w:val="00AF68B5"/>
    <w:rsid w:val="00B03D35"/>
    <w:rsid w:val="00B03F12"/>
    <w:rsid w:val="00B07DB4"/>
    <w:rsid w:val="00B100CC"/>
    <w:rsid w:val="00B133DD"/>
    <w:rsid w:val="00B14D7B"/>
    <w:rsid w:val="00B178A1"/>
    <w:rsid w:val="00B17E4B"/>
    <w:rsid w:val="00B22BC4"/>
    <w:rsid w:val="00B23BEE"/>
    <w:rsid w:val="00B2445B"/>
    <w:rsid w:val="00B250F3"/>
    <w:rsid w:val="00B25B97"/>
    <w:rsid w:val="00B30573"/>
    <w:rsid w:val="00B309E1"/>
    <w:rsid w:val="00B30FD0"/>
    <w:rsid w:val="00B34067"/>
    <w:rsid w:val="00B34830"/>
    <w:rsid w:val="00B35420"/>
    <w:rsid w:val="00B367E9"/>
    <w:rsid w:val="00B43F8F"/>
    <w:rsid w:val="00B44044"/>
    <w:rsid w:val="00B456C5"/>
    <w:rsid w:val="00B46509"/>
    <w:rsid w:val="00B51D9E"/>
    <w:rsid w:val="00B54494"/>
    <w:rsid w:val="00B547A1"/>
    <w:rsid w:val="00B607F9"/>
    <w:rsid w:val="00B60E34"/>
    <w:rsid w:val="00B6131D"/>
    <w:rsid w:val="00B61415"/>
    <w:rsid w:val="00B62760"/>
    <w:rsid w:val="00B62EAF"/>
    <w:rsid w:val="00B6689D"/>
    <w:rsid w:val="00B66C0D"/>
    <w:rsid w:val="00B67949"/>
    <w:rsid w:val="00B70938"/>
    <w:rsid w:val="00B71793"/>
    <w:rsid w:val="00B72368"/>
    <w:rsid w:val="00B725A8"/>
    <w:rsid w:val="00B75271"/>
    <w:rsid w:val="00B7566C"/>
    <w:rsid w:val="00B77297"/>
    <w:rsid w:val="00B8572A"/>
    <w:rsid w:val="00B86E68"/>
    <w:rsid w:val="00B8795C"/>
    <w:rsid w:val="00B87FB1"/>
    <w:rsid w:val="00B95F00"/>
    <w:rsid w:val="00BA2F66"/>
    <w:rsid w:val="00BA369A"/>
    <w:rsid w:val="00BA41C3"/>
    <w:rsid w:val="00BB0DD3"/>
    <w:rsid w:val="00BB2835"/>
    <w:rsid w:val="00BB3BB9"/>
    <w:rsid w:val="00BB400B"/>
    <w:rsid w:val="00BC0920"/>
    <w:rsid w:val="00BC1B45"/>
    <w:rsid w:val="00BC506A"/>
    <w:rsid w:val="00BC6125"/>
    <w:rsid w:val="00BC7C4B"/>
    <w:rsid w:val="00BD4935"/>
    <w:rsid w:val="00BD7CB4"/>
    <w:rsid w:val="00BE2457"/>
    <w:rsid w:val="00BE33BE"/>
    <w:rsid w:val="00BE52DA"/>
    <w:rsid w:val="00BF0571"/>
    <w:rsid w:val="00BF262C"/>
    <w:rsid w:val="00BF4375"/>
    <w:rsid w:val="00C002AA"/>
    <w:rsid w:val="00C00D87"/>
    <w:rsid w:val="00C063D6"/>
    <w:rsid w:val="00C0684D"/>
    <w:rsid w:val="00C07236"/>
    <w:rsid w:val="00C10378"/>
    <w:rsid w:val="00C10DFF"/>
    <w:rsid w:val="00C10E50"/>
    <w:rsid w:val="00C11A9A"/>
    <w:rsid w:val="00C13790"/>
    <w:rsid w:val="00C13BFB"/>
    <w:rsid w:val="00C15737"/>
    <w:rsid w:val="00C157E9"/>
    <w:rsid w:val="00C21871"/>
    <w:rsid w:val="00C2277D"/>
    <w:rsid w:val="00C23778"/>
    <w:rsid w:val="00C303D3"/>
    <w:rsid w:val="00C3223D"/>
    <w:rsid w:val="00C3274A"/>
    <w:rsid w:val="00C33DDF"/>
    <w:rsid w:val="00C4057C"/>
    <w:rsid w:val="00C454EF"/>
    <w:rsid w:val="00C52CE2"/>
    <w:rsid w:val="00C52EA3"/>
    <w:rsid w:val="00C536D7"/>
    <w:rsid w:val="00C53C68"/>
    <w:rsid w:val="00C54D58"/>
    <w:rsid w:val="00C5681A"/>
    <w:rsid w:val="00C573E1"/>
    <w:rsid w:val="00C60222"/>
    <w:rsid w:val="00C60261"/>
    <w:rsid w:val="00C630AE"/>
    <w:rsid w:val="00C63FBB"/>
    <w:rsid w:val="00C679FD"/>
    <w:rsid w:val="00C72D9C"/>
    <w:rsid w:val="00C73229"/>
    <w:rsid w:val="00C736D3"/>
    <w:rsid w:val="00C73E4B"/>
    <w:rsid w:val="00C7646A"/>
    <w:rsid w:val="00C775B8"/>
    <w:rsid w:val="00C776DD"/>
    <w:rsid w:val="00C77EE0"/>
    <w:rsid w:val="00C803C1"/>
    <w:rsid w:val="00C81744"/>
    <w:rsid w:val="00C82B55"/>
    <w:rsid w:val="00C837FB"/>
    <w:rsid w:val="00C87063"/>
    <w:rsid w:val="00C878DD"/>
    <w:rsid w:val="00C90FB1"/>
    <w:rsid w:val="00C9115C"/>
    <w:rsid w:val="00C93388"/>
    <w:rsid w:val="00C93551"/>
    <w:rsid w:val="00C93CC8"/>
    <w:rsid w:val="00C95D4A"/>
    <w:rsid w:val="00C95DF6"/>
    <w:rsid w:val="00C96BED"/>
    <w:rsid w:val="00CA1932"/>
    <w:rsid w:val="00CA26B2"/>
    <w:rsid w:val="00CA26E4"/>
    <w:rsid w:val="00CA4819"/>
    <w:rsid w:val="00CB0557"/>
    <w:rsid w:val="00CB125F"/>
    <w:rsid w:val="00CB40C8"/>
    <w:rsid w:val="00CB5CA8"/>
    <w:rsid w:val="00CB6624"/>
    <w:rsid w:val="00CB67A6"/>
    <w:rsid w:val="00CB7391"/>
    <w:rsid w:val="00CC233B"/>
    <w:rsid w:val="00CC3B9D"/>
    <w:rsid w:val="00CC3BA4"/>
    <w:rsid w:val="00CC41C5"/>
    <w:rsid w:val="00CC4E01"/>
    <w:rsid w:val="00CC5D5E"/>
    <w:rsid w:val="00CC75BF"/>
    <w:rsid w:val="00CD2B90"/>
    <w:rsid w:val="00CD6159"/>
    <w:rsid w:val="00CD77D4"/>
    <w:rsid w:val="00CE571C"/>
    <w:rsid w:val="00CE58E1"/>
    <w:rsid w:val="00CF0B9A"/>
    <w:rsid w:val="00CF1EF8"/>
    <w:rsid w:val="00CF2162"/>
    <w:rsid w:val="00CF443C"/>
    <w:rsid w:val="00D02858"/>
    <w:rsid w:val="00D049AB"/>
    <w:rsid w:val="00D05029"/>
    <w:rsid w:val="00D05ABD"/>
    <w:rsid w:val="00D07AC2"/>
    <w:rsid w:val="00D12F44"/>
    <w:rsid w:val="00D148CE"/>
    <w:rsid w:val="00D2088D"/>
    <w:rsid w:val="00D22278"/>
    <w:rsid w:val="00D229D9"/>
    <w:rsid w:val="00D270F0"/>
    <w:rsid w:val="00D276D0"/>
    <w:rsid w:val="00D27BEE"/>
    <w:rsid w:val="00D27F42"/>
    <w:rsid w:val="00D30D00"/>
    <w:rsid w:val="00D329AA"/>
    <w:rsid w:val="00D33A3B"/>
    <w:rsid w:val="00D34F39"/>
    <w:rsid w:val="00D4091F"/>
    <w:rsid w:val="00D40DDD"/>
    <w:rsid w:val="00D41AC3"/>
    <w:rsid w:val="00D4200E"/>
    <w:rsid w:val="00D4279F"/>
    <w:rsid w:val="00D5068B"/>
    <w:rsid w:val="00D5266E"/>
    <w:rsid w:val="00D53038"/>
    <w:rsid w:val="00D57BFB"/>
    <w:rsid w:val="00D60257"/>
    <w:rsid w:val="00D60338"/>
    <w:rsid w:val="00D618B8"/>
    <w:rsid w:val="00D62D84"/>
    <w:rsid w:val="00D6362F"/>
    <w:rsid w:val="00D64709"/>
    <w:rsid w:val="00D7250C"/>
    <w:rsid w:val="00D7283E"/>
    <w:rsid w:val="00D72BE2"/>
    <w:rsid w:val="00D72CA9"/>
    <w:rsid w:val="00D73B34"/>
    <w:rsid w:val="00D73D57"/>
    <w:rsid w:val="00D776CA"/>
    <w:rsid w:val="00D80BDE"/>
    <w:rsid w:val="00D80F48"/>
    <w:rsid w:val="00D8164D"/>
    <w:rsid w:val="00D81F72"/>
    <w:rsid w:val="00D82F04"/>
    <w:rsid w:val="00D8340D"/>
    <w:rsid w:val="00D84165"/>
    <w:rsid w:val="00D8466E"/>
    <w:rsid w:val="00D872E7"/>
    <w:rsid w:val="00D874B8"/>
    <w:rsid w:val="00D87DEF"/>
    <w:rsid w:val="00D87ED6"/>
    <w:rsid w:val="00D908B8"/>
    <w:rsid w:val="00D9244C"/>
    <w:rsid w:val="00D97A8B"/>
    <w:rsid w:val="00DA1B7B"/>
    <w:rsid w:val="00DA2213"/>
    <w:rsid w:val="00DA3A6E"/>
    <w:rsid w:val="00DB79DF"/>
    <w:rsid w:val="00DC26A7"/>
    <w:rsid w:val="00DC270B"/>
    <w:rsid w:val="00DC4701"/>
    <w:rsid w:val="00DC5623"/>
    <w:rsid w:val="00DC75DF"/>
    <w:rsid w:val="00DD2D65"/>
    <w:rsid w:val="00DD3D7A"/>
    <w:rsid w:val="00DD4B7A"/>
    <w:rsid w:val="00DD58B6"/>
    <w:rsid w:val="00DD6FD7"/>
    <w:rsid w:val="00DD70A7"/>
    <w:rsid w:val="00DE0402"/>
    <w:rsid w:val="00DE045E"/>
    <w:rsid w:val="00DE076A"/>
    <w:rsid w:val="00DE1021"/>
    <w:rsid w:val="00DE21CD"/>
    <w:rsid w:val="00DE2DC8"/>
    <w:rsid w:val="00DE309D"/>
    <w:rsid w:val="00DE5A2A"/>
    <w:rsid w:val="00DE5D79"/>
    <w:rsid w:val="00DE6872"/>
    <w:rsid w:val="00DF480A"/>
    <w:rsid w:val="00DF690A"/>
    <w:rsid w:val="00DF7EC4"/>
    <w:rsid w:val="00E02099"/>
    <w:rsid w:val="00E070D3"/>
    <w:rsid w:val="00E11866"/>
    <w:rsid w:val="00E11C7C"/>
    <w:rsid w:val="00E12FEC"/>
    <w:rsid w:val="00E17C70"/>
    <w:rsid w:val="00E20C06"/>
    <w:rsid w:val="00E214B6"/>
    <w:rsid w:val="00E21638"/>
    <w:rsid w:val="00E225B8"/>
    <w:rsid w:val="00E23246"/>
    <w:rsid w:val="00E240A0"/>
    <w:rsid w:val="00E2751E"/>
    <w:rsid w:val="00E30503"/>
    <w:rsid w:val="00E30614"/>
    <w:rsid w:val="00E34881"/>
    <w:rsid w:val="00E36379"/>
    <w:rsid w:val="00E36EF8"/>
    <w:rsid w:val="00E4358B"/>
    <w:rsid w:val="00E444B0"/>
    <w:rsid w:val="00E4452A"/>
    <w:rsid w:val="00E461FB"/>
    <w:rsid w:val="00E46E9B"/>
    <w:rsid w:val="00E51AC9"/>
    <w:rsid w:val="00E54C68"/>
    <w:rsid w:val="00E563D3"/>
    <w:rsid w:val="00E57AA7"/>
    <w:rsid w:val="00E6187D"/>
    <w:rsid w:val="00E61A81"/>
    <w:rsid w:val="00E67289"/>
    <w:rsid w:val="00E71FBD"/>
    <w:rsid w:val="00E73F8C"/>
    <w:rsid w:val="00E74066"/>
    <w:rsid w:val="00E7580D"/>
    <w:rsid w:val="00E8547C"/>
    <w:rsid w:val="00E86547"/>
    <w:rsid w:val="00E90A7F"/>
    <w:rsid w:val="00E92735"/>
    <w:rsid w:val="00E956C1"/>
    <w:rsid w:val="00E9769C"/>
    <w:rsid w:val="00E97F38"/>
    <w:rsid w:val="00EA0045"/>
    <w:rsid w:val="00EA2B85"/>
    <w:rsid w:val="00EA32F7"/>
    <w:rsid w:val="00EA5597"/>
    <w:rsid w:val="00EA56CA"/>
    <w:rsid w:val="00EB1DF7"/>
    <w:rsid w:val="00EB3E0A"/>
    <w:rsid w:val="00EB45D9"/>
    <w:rsid w:val="00EB7DAF"/>
    <w:rsid w:val="00EC445A"/>
    <w:rsid w:val="00EC6A53"/>
    <w:rsid w:val="00ED00EC"/>
    <w:rsid w:val="00ED018C"/>
    <w:rsid w:val="00ED1648"/>
    <w:rsid w:val="00ED2C3A"/>
    <w:rsid w:val="00ED6486"/>
    <w:rsid w:val="00EE05C5"/>
    <w:rsid w:val="00EE2B89"/>
    <w:rsid w:val="00EE318F"/>
    <w:rsid w:val="00EE5EEB"/>
    <w:rsid w:val="00EF2A18"/>
    <w:rsid w:val="00EF3EEE"/>
    <w:rsid w:val="00EF43C0"/>
    <w:rsid w:val="00EF47B9"/>
    <w:rsid w:val="00EF55F0"/>
    <w:rsid w:val="00EF59E3"/>
    <w:rsid w:val="00F040A9"/>
    <w:rsid w:val="00F04D1B"/>
    <w:rsid w:val="00F07915"/>
    <w:rsid w:val="00F104E0"/>
    <w:rsid w:val="00F1209C"/>
    <w:rsid w:val="00F1265F"/>
    <w:rsid w:val="00F1268E"/>
    <w:rsid w:val="00F154F4"/>
    <w:rsid w:val="00F16870"/>
    <w:rsid w:val="00F230CD"/>
    <w:rsid w:val="00F23619"/>
    <w:rsid w:val="00F244A9"/>
    <w:rsid w:val="00F27961"/>
    <w:rsid w:val="00F37DF3"/>
    <w:rsid w:val="00F4132C"/>
    <w:rsid w:val="00F42A7F"/>
    <w:rsid w:val="00F44381"/>
    <w:rsid w:val="00F44EC3"/>
    <w:rsid w:val="00F476FA"/>
    <w:rsid w:val="00F5011B"/>
    <w:rsid w:val="00F51C18"/>
    <w:rsid w:val="00F52758"/>
    <w:rsid w:val="00F52D03"/>
    <w:rsid w:val="00F52F85"/>
    <w:rsid w:val="00F5304E"/>
    <w:rsid w:val="00F55CCE"/>
    <w:rsid w:val="00F5678C"/>
    <w:rsid w:val="00F63528"/>
    <w:rsid w:val="00F679BD"/>
    <w:rsid w:val="00F77B76"/>
    <w:rsid w:val="00F81EA7"/>
    <w:rsid w:val="00F8472E"/>
    <w:rsid w:val="00F86C20"/>
    <w:rsid w:val="00F87002"/>
    <w:rsid w:val="00F90BE7"/>
    <w:rsid w:val="00F91FE0"/>
    <w:rsid w:val="00F933CA"/>
    <w:rsid w:val="00F94234"/>
    <w:rsid w:val="00FA0574"/>
    <w:rsid w:val="00FA0C7F"/>
    <w:rsid w:val="00FA31E2"/>
    <w:rsid w:val="00FA7E46"/>
    <w:rsid w:val="00FB0322"/>
    <w:rsid w:val="00FB0D1B"/>
    <w:rsid w:val="00FB101F"/>
    <w:rsid w:val="00FB26E5"/>
    <w:rsid w:val="00FB4425"/>
    <w:rsid w:val="00FB476F"/>
    <w:rsid w:val="00FB4E5F"/>
    <w:rsid w:val="00FB5A38"/>
    <w:rsid w:val="00FB6477"/>
    <w:rsid w:val="00FB7405"/>
    <w:rsid w:val="00FC3CCC"/>
    <w:rsid w:val="00FC63D3"/>
    <w:rsid w:val="00FD2CA9"/>
    <w:rsid w:val="00FD3FC5"/>
    <w:rsid w:val="00FD6601"/>
    <w:rsid w:val="00FE08F6"/>
    <w:rsid w:val="00FE2236"/>
    <w:rsid w:val="00FE4B84"/>
    <w:rsid w:val="00FE4D24"/>
    <w:rsid w:val="00FF069C"/>
    <w:rsid w:val="00FF1728"/>
    <w:rsid w:val="00FF476D"/>
    <w:rsid w:val="00FF5760"/>
    <w:rsid w:val="00FF5B70"/>
    <w:rsid w:val="00FF5BB9"/>
    <w:rsid w:val="00FF7059"/>
    <w:rsid w:val="1FE74FA6"/>
    <w:rsid w:val="20D956FD"/>
    <w:rsid w:val="2682F1E8"/>
    <w:rsid w:val="2D2539C9"/>
    <w:rsid w:val="31239FFC"/>
    <w:rsid w:val="53607455"/>
    <w:rsid w:val="689EAC9D"/>
    <w:rsid w:val="6B12189F"/>
    <w:rsid w:val="70200375"/>
    <w:rsid w:val="73113959"/>
    <w:rsid w:val="7884B7EE"/>
    <w:rsid w:val="7D8740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CC6CA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A6"/>
    <w:pPr>
      <w:spacing w:after="200" w:line="276" w:lineRule="auto"/>
    </w:pPr>
  </w:style>
  <w:style w:type="paragraph" w:styleId="Heading1">
    <w:name w:val="heading 1"/>
    <w:basedOn w:val="Normal"/>
    <w:next w:val="Normal"/>
    <w:link w:val="Heading1Char"/>
    <w:uiPriority w:val="9"/>
    <w:qFormat/>
    <w:rsid w:val="00F07915"/>
    <w:pPr>
      <w:keepNext/>
      <w:keepLines/>
      <w:spacing w:after="0"/>
      <w:ind w:left="357" w:hanging="357"/>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F07915"/>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1052C6"/>
    <w:pPr>
      <w:tabs>
        <w:tab w:val="left" w:pos="440"/>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DEEWRTable">
    <w:name w:val="DEEWR Table"/>
    <w:basedOn w:val="TableNormal"/>
    <w:uiPriority w:val="99"/>
    <w:rsid w:val="0024722B"/>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cPr>
        <w:shd w:val="clear" w:color="auto" w:fill="522761"/>
      </w:tcPr>
    </w:tblStylePr>
    <w:tblStylePr w:type="firstCol">
      <w:pPr>
        <w:jc w:val="left"/>
      </w:pPr>
      <w:rPr>
        <w:b/>
      </w:rPr>
    </w:tblStylePr>
  </w:style>
  <w:style w:type="paragraph" w:styleId="Revision">
    <w:name w:val="Revision"/>
    <w:hidden/>
    <w:uiPriority w:val="99"/>
    <w:semiHidden/>
    <w:rsid w:val="0028235E"/>
    <w:pPr>
      <w:spacing w:after="0" w:line="240" w:lineRule="auto"/>
    </w:pPr>
  </w:style>
  <w:style w:type="character" w:styleId="CommentReference">
    <w:name w:val="annotation reference"/>
    <w:basedOn w:val="DefaultParagraphFont"/>
    <w:uiPriority w:val="99"/>
    <w:semiHidden/>
    <w:unhideWhenUsed/>
    <w:rsid w:val="00C10378"/>
    <w:rPr>
      <w:sz w:val="16"/>
      <w:szCs w:val="16"/>
    </w:rPr>
  </w:style>
  <w:style w:type="paragraph" w:styleId="CommentText">
    <w:name w:val="annotation text"/>
    <w:basedOn w:val="Normal"/>
    <w:link w:val="CommentTextChar"/>
    <w:uiPriority w:val="99"/>
    <w:unhideWhenUsed/>
    <w:rsid w:val="00C10378"/>
    <w:pPr>
      <w:spacing w:line="240" w:lineRule="auto"/>
    </w:pPr>
    <w:rPr>
      <w:sz w:val="20"/>
      <w:szCs w:val="20"/>
    </w:rPr>
  </w:style>
  <w:style w:type="character" w:customStyle="1" w:styleId="CommentTextChar">
    <w:name w:val="Comment Text Char"/>
    <w:basedOn w:val="DefaultParagraphFont"/>
    <w:link w:val="CommentText"/>
    <w:uiPriority w:val="99"/>
    <w:rsid w:val="00C10378"/>
    <w:rPr>
      <w:sz w:val="20"/>
      <w:szCs w:val="20"/>
    </w:rPr>
  </w:style>
  <w:style w:type="paragraph" w:styleId="CommentSubject">
    <w:name w:val="annotation subject"/>
    <w:basedOn w:val="CommentText"/>
    <w:next w:val="CommentText"/>
    <w:link w:val="CommentSubjectChar"/>
    <w:uiPriority w:val="99"/>
    <w:semiHidden/>
    <w:unhideWhenUsed/>
    <w:rsid w:val="00C10378"/>
    <w:rPr>
      <w:b/>
      <w:bCs/>
    </w:rPr>
  </w:style>
  <w:style w:type="character" w:customStyle="1" w:styleId="CommentSubjectChar">
    <w:name w:val="Comment Subject Char"/>
    <w:basedOn w:val="CommentTextChar"/>
    <w:link w:val="CommentSubject"/>
    <w:uiPriority w:val="99"/>
    <w:semiHidden/>
    <w:rsid w:val="00C10378"/>
    <w:rPr>
      <w:b/>
      <w:bCs/>
      <w:sz w:val="20"/>
      <w:szCs w:val="20"/>
    </w:rPr>
  </w:style>
  <w:style w:type="character" w:styleId="UnresolvedMention">
    <w:name w:val="Unresolved Mention"/>
    <w:basedOn w:val="DefaultParagraphFont"/>
    <w:uiPriority w:val="99"/>
    <w:semiHidden/>
    <w:unhideWhenUsed/>
    <w:rsid w:val="00841E41"/>
    <w:rPr>
      <w:color w:val="605E5C"/>
      <w:shd w:val="clear" w:color="auto" w:fill="E1DFDD"/>
    </w:rPr>
  </w:style>
  <w:style w:type="character" w:styleId="PlaceholderText">
    <w:name w:val="Placeholder Text"/>
    <w:basedOn w:val="DefaultParagraphFont"/>
    <w:uiPriority w:val="99"/>
    <w:semiHidden/>
    <w:rsid w:val="00431D01"/>
    <w:rPr>
      <w:color w:val="808080"/>
    </w:rPr>
  </w:style>
  <w:style w:type="paragraph" w:styleId="NoSpacing">
    <w:name w:val="No Spacing"/>
    <w:link w:val="NoSpacingChar"/>
    <w:uiPriority w:val="1"/>
    <w:qFormat/>
    <w:rsid w:val="00EF43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43C0"/>
    <w:rPr>
      <w:rFonts w:eastAsiaTheme="minorEastAsia"/>
      <w:lang w:val="en-US"/>
    </w:rPr>
  </w:style>
  <w:style w:type="character" w:customStyle="1" w:styleId="normaltextrun">
    <w:name w:val="normaltextrun"/>
    <w:basedOn w:val="DefaultParagraphFont"/>
    <w:rsid w:val="00126CEC"/>
  </w:style>
  <w:style w:type="paragraph" w:customStyle="1" w:styleId="Default">
    <w:name w:val="Default"/>
    <w:rsid w:val="00790646"/>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4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performanceandwellbeingteam@dew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gov.au/Details/F2022L00088" TargetMode="External"/><Relationship Id="rId2" Type="http://schemas.openxmlformats.org/officeDocument/2006/relationships/numbering" Target="numbering.xml"/><Relationship Id="rId16" Type="http://schemas.openxmlformats.org/officeDocument/2006/relationships/hyperlink" Target="https://pmc.gov.au/government/its-honou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pyright@dese.gov.a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APS Code of Conduct and Deciding Sanctions</dc:title>
  <dc:subject/>
  <dc:creator/>
  <cp:keywords/>
  <dc:description/>
  <cp:lastModifiedBy/>
  <cp:revision>1</cp:revision>
  <dcterms:created xsi:type="dcterms:W3CDTF">2025-04-04T00:28:00Z</dcterms:created>
  <dcterms:modified xsi:type="dcterms:W3CDTF">2025-04-04T00:29:00Z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2025-04-04T00:29:13Z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f18ca68a-649f-4c8e-9631-4174e6a05cfa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