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61165" w14:textId="2614F7FD" w:rsidR="00E40854" w:rsidRPr="005E4A52" w:rsidRDefault="009F3142" w:rsidP="00F23C2B">
      <w:pPr>
        <w:rPr>
          <w:rStyle w:val="Heading1-Blue"/>
          <w:rFonts w:asciiTheme="minorHAnsi" w:hAnsiTheme="minorHAnsi"/>
          <w:color w:val="FFFFFF" w:themeColor="background1"/>
          <w:spacing w:val="-24"/>
          <w:sz w:val="72"/>
          <w:szCs w:val="72"/>
        </w:rPr>
      </w:pPr>
      <w:r w:rsidRPr="005E4A52">
        <w:rPr>
          <w:noProof/>
        </w:rPr>
        <w:drawing>
          <wp:anchor distT="0" distB="0" distL="114300" distR="114300" simplePos="0" relativeHeight="251658256" behindDoc="1" locked="0" layoutInCell="1" allowOverlap="1" wp14:anchorId="34B5491D" wp14:editId="5360A34F">
            <wp:simplePos x="0" y="0"/>
            <wp:positionH relativeFrom="page">
              <wp:align>right</wp:align>
            </wp:positionH>
            <wp:positionV relativeFrom="paragraph">
              <wp:posOffset>-897890</wp:posOffset>
            </wp:positionV>
            <wp:extent cx="7542000" cy="10666800"/>
            <wp:effectExtent l="0" t="0" r="1905" b="1270"/>
            <wp:wrapNone/>
            <wp:docPr id="158764687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46873"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margin">
              <wp14:pctWidth>0</wp14:pctWidth>
            </wp14:sizeRelH>
            <wp14:sizeRelV relativeFrom="margin">
              <wp14:pctHeight>0</wp14:pctHeight>
            </wp14:sizeRelV>
          </wp:anchor>
        </w:drawing>
      </w:r>
      <w:r w:rsidRPr="005E4A52">
        <w:rPr>
          <w:noProof/>
        </w:rPr>
        <w:drawing>
          <wp:anchor distT="0" distB="0" distL="114300" distR="114300" simplePos="0" relativeHeight="251658258" behindDoc="1" locked="0" layoutInCell="1" allowOverlap="1" wp14:anchorId="2846B8C3" wp14:editId="139ED219">
            <wp:simplePos x="0" y="0"/>
            <wp:positionH relativeFrom="margin">
              <wp:posOffset>0</wp:posOffset>
            </wp:positionH>
            <wp:positionV relativeFrom="margin">
              <wp:posOffset>-635</wp:posOffset>
            </wp:positionV>
            <wp:extent cx="3494314" cy="968894"/>
            <wp:effectExtent l="0" t="0" r="0" b="0"/>
            <wp:wrapNone/>
            <wp:docPr id="15132854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85416" name="Picture 2">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494314" cy="9688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3030A7" w14:textId="69A5C4CE" w:rsidR="009435BC" w:rsidRPr="005E4A52" w:rsidRDefault="009435BC" w:rsidP="00F23C2B">
      <w:pPr>
        <w:rPr>
          <w:rStyle w:val="Heading1-Blue"/>
          <w:rFonts w:asciiTheme="minorHAnsi" w:hAnsiTheme="minorHAnsi"/>
          <w:color w:val="FFFFFF" w:themeColor="background1"/>
          <w:spacing w:val="-24"/>
          <w:sz w:val="72"/>
          <w:szCs w:val="72"/>
        </w:rPr>
      </w:pPr>
    </w:p>
    <w:p w14:paraId="00166DE0" w14:textId="6C97FF76" w:rsidR="00221D8F" w:rsidRPr="005E4A52" w:rsidRDefault="000752C5" w:rsidP="009F3142">
      <w:pPr>
        <w:pStyle w:val="Heading1"/>
        <w:spacing w:before="360" w:line="240" w:lineRule="auto"/>
        <w:rPr>
          <w:rStyle w:val="Heading1-Lastline"/>
          <w:rFonts w:asciiTheme="minorHAnsi" w:hAnsiTheme="minorHAnsi"/>
          <w:spacing w:val="-24"/>
          <w:position w:val="0"/>
          <w:szCs w:val="72"/>
        </w:rPr>
      </w:pPr>
      <w:r w:rsidRPr="005E4A52">
        <w:rPr>
          <w:rStyle w:val="Heading1-Blue"/>
          <w:rFonts w:asciiTheme="minorHAnsi" w:hAnsiTheme="minorHAnsi"/>
          <w:color w:val="FFFFFF" w:themeColor="background1"/>
          <w:spacing w:val="-24"/>
          <w:sz w:val="72"/>
          <w:szCs w:val="72"/>
        </w:rPr>
        <w:t>Getting the</w:t>
      </w:r>
      <w:r w:rsidR="00B5584C" w:rsidRPr="005E4A52">
        <w:rPr>
          <w:rStyle w:val="Heading1-Blue"/>
          <w:rFonts w:asciiTheme="minorHAnsi" w:hAnsiTheme="minorHAnsi"/>
          <w:color w:val="FFFFFF" w:themeColor="background1"/>
          <w:spacing w:val="-24"/>
          <w:sz w:val="72"/>
          <w:szCs w:val="72"/>
        </w:rPr>
        <w:t xml:space="preserve"> </w:t>
      </w:r>
      <w:r w:rsidRPr="005E4A52">
        <w:rPr>
          <w:rStyle w:val="Heading1-Blue"/>
          <w:rFonts w:asciiTheme="minorHAnsi" w:hAnsiTheme="minorHAnsi"/>
          <w:color w:val="FFFFFF" w:themeColor="background1"/>
          <w:spacing w:val="-24"/>
          <w:sz w:val="72"/>
          <w:szCs w:val="72"/>
        </w:rPr>
        <w:t>best outcomes</w:t>
      </w:r>
      <w:r w:rsidR="00417A86" w:rsidRPr="005E4A52">
        <w:rPr>
          <w:rFonts w:asciiTheme="minorHAnsi" w:hAnsiTheme="minorHAnsi"/>
          <w:szCs w:val="72"/>
        </w:rPr>
        <w:t xml:space="preserve"> </w:t>
      </w:r>
      <w:r w:rsidRPr="005E4A52">
        <w:rPr>
          <w:rFonts w:asciiTheme="minorHAnsi" w:hAnsiTheme="minorHAnsi"/>
          <w:szCs w:val="72"/>
        </w:rPr>
        <w:br/>
        <w:t>for injured workers</w:t>
      </w:r>
    </w:p>
    <w:p w14:paraId="1B25F71C" w14:textId="336DBF54" w:rsidR="00597C4C" w:rsidRPr="005E4A52" w:rsidRDefault="00597C4C" w:rsidP="009F3142">
      <w:pPr>
        <w:pStyle w:val="Subtitle"/>
        <w:spacing w:before="1440"/>
        <w:rPr>
          <w:rFonts w:asciiTheme="minorHAnsi" w:hAnsiTheme="minorHAnsi"/>
          <w:noProof/>
          <w:szCs w:val="40"/>
        </w:rPr>
      </w:pPr>
      <w:r w:rsidRPr="005E4A52">
        <w:rPr>
          <w:rFonts w:asciiTheme="minorHAnsi" w:hAnsiTheme="minorHAnsi"/>
          <w:noProof/>
          <w:szCs w:val="40"/>
          <w:highlight w:val="yellow"/>
        </w:rPr>
        <mc:AlternateContent>
          <mc:Choice Requires="wps">
            <w:drawing>
              <wp:anchor distT="0" distB="0" distL="114300" distR="114300" simplePos="0" relativeHeight="251658257" behindDoc="0" locked="0" layoutInCell="1" allowOverlap="1" wp14:anchorId="006797DB" wp14:editId="3D65EAFD">
                <wp:simplePos x="0" y="0"/>
                <wp:positionH relativeFrom="column">
                  <wp:posOffset>22225</wp:posOffset>
                </wp:positionH>
                <wp:positionV relativeFrom="paragraph">
                  <wp:posOffset>120650</wp:posOffset>
                </wp:positionV>
                <wp:extent cx="900000" cy="60008"/>
                <wp:effectExtent l="0" t="0" r="14605" b="16510"/>
                <wp:wrapNone/>
                <wp:docPr id="1532669240"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900000" cy="60008"/>
                        </a:xfrm>
                        <a:prstGeom prst="rect">
                          <a:avLst/>
                        </a:prstGeom>
                        <a:solidFill>
                          <a:srgbClr val="009B9F"/>
                        </a:solidFill>
                        <a:ln>
                          <a:solidFill>
                            <a:srgbClr val="009B9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64FFB" id="Rectangle 4" o:spid="_x0000_s1026" alt="&quot;&quot;" style="position:absolute;margin-left:1.75pt;margin-top:9.5pt;width:70.85pt;height:4.75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" fillcolor="#009b9f" strokecolor="#009b9f" strokeweight="1pt"/>
            </w:pict>
          </mc:Fallback>
        </mc:AlternateContent>
      </w:r>
      <w:r w:rsidR="00DB6A21" w:rsidRPr="005E4A52">
        <w:rPr>
          <w:rFonts w:asciiTheme="minorHAnsi" w:hAnsiTheme="minorHAnsi"/>
          <w:noProof/>
          <w:szCs w:val="40"/>
        </w:rPr>
        <w:t xml:space="preserve">Public consultation issues paper </w:t>
      </w:r>
    </w:p>
    <w:p w14:paraId="2D20ABA5" w14:textId="7BB9FCC2" w:rsidR="009435BC" w:rsidRDefault="00DC0478" w:rsidP="009435BC">
      <w:pPr>
        <w:pStyle w:val="Date-FrontCover"/>
        <w:rPr>
          <w:sz w:val="32"/>
          <w:szCs w:val="28"/>
        </w:rPr>
      </w:pPr>
      <w:r>
        <w:rPr>
          <w:sz w:val="32"/>
          <w:szCs w:val="28"/>
        </w:rPr>
        <w:t>21</w:t>
      </w:r>
      <w:r w:rsidR="00DB6A21" w:rsidRPr="005E4A52">
        <w:rPr>
          <w:sz w:val="32"/>
          <w:szCs w:val="28"/>
        </w:rPr>
        <w:t xml:space="preserve"> October </w:t>
      </w:r>
      <w:r w:rsidR="009435BC" w:rsidRPr="005E4A52">
        <w:rPr>
          <w:sz w:val="32"/>
          <w:szCs w:val="28"/>
        </w:rPr>
        <w:t>2024</w:t>
      </w:r>
    </w:p>
    <w:p w14:paraId="1487A7D8" w14:textId="77777777" w:rsidR="00995CC6" w:rsidRDefault="00995CC6" w:rsidP="009435BC">
      <w:pPr>
        <w:pStyle w:val="Date-FrontCover"/>
        <w:rPr>
          <w:sz w:val="32"/>
          <w:szCs w:val="28"/>
        </w:rPr>
      </w:pPr>
    </w:p>
    <w:p w14:paraId="07C3EE86" w14:textId="17A5328D" w:rsidR="00995CC6" w:rsidRPr="00527246" w:rsidRDefault="005D56D8" w:rsidP="009435BC">
      <w:pPr>
        <w:pStyle w:val="Date-FrontCover"/>
        <w:rPr>
          <w:sz w:val="36"/>
          <w:szCs w:val="32"/>
        </w:rPr>
      </w:pPr>
      <w:r w:rsidRPr="00527246">
        <w:rPr>
          <w:sz w:val="36"/>
          <w:szCs w:val="32"/>
        </w:rPr>
        <w:t xml:space="preserve">Prepared </w:t>
      </w:r>
      <w:r w:rsidR="00986DCD">
        <w:rPr>
          <w:sz w:val="36"/>
          <w:szCs w:val="32"/>
        </w:rPr>
        <w:t xml:space="preserve">by </w:t>
      </w:r>
      <w:r w:rsidRPr="00527246">
        <w:rPr>
          <w:sz w:val="36"/>
          <w:szCs w:val="32"/>
        </w:rPr>
        <w:t>the independent panel leading the review</w:t>
      </w:r>
    </w:p>
    <w:p w14:paraId="0600EC06" w14:textId="2323AF14" w:rsidR="00107D87" w:rsidRPr="005E4A52" w:rsidRDefault="00107D87" w:rsidP="007D0D87">
      <w:pPr>
        <w:pStyle w:val="Date-FrontCover"/>
        <w:sectPr w:rsidR="00107D87" w:rsidRPr="005E4A52" w:rsidSect="00D753A0">
          <w:headerReference w:type="default" r:id="rId10"/>
          <w:footerReference w:type="default" r:id="rId11"/>
          <w:footerReference w:type="first" r:id="rId12"/>
          <w:pgSz w:w="11906" w:h="16838"/>
          <w:pgMar w:top="1440" w:right="1440" w:bottom="1440" w:left="1440" w:header="709" w:footer="709" w:gutter="0"/>
          <w:cols w:space="708"/>
          <w:titlePg/>
          <w:docGrid w:linePitch="360"/>
        </w:sectPr>
      </w:pPr>
    </w:p>
    <w:p w14:paraId="36D68995" w14:textId="7671321D" w:rsidR="0017134D" w:rsidRPr="005E4A52" w:rsidRDefault="00DB6A21" w:rsidP="00107D87">
      <w:pPr>
        <w:spacing w:after="480"/>
      </w:pPr>
      <w:r w:rsidRPr="005E4A52">
        <w:rPr>
          <w:noProof/>
        </w:rPr>
        <w:lastRenderedPageBreak/>
        <mc:AlternateContent>
          <mc:Choice Requires="wps">
            <w:drawing>
              <wp:anchor distT="45720" distB="45720" distL="114300" distR="114300" simplePos="0" relativeHeight="251658259" behindDoc="0" locked="0" layoutInCell="1" allowOverlap="1" wp14:anchorId="3CC1A361" wp14:editId="642428F3">
                <wp:simplePos x="0" y="0"/>
                <wp:positionH relativeFrom="margin">
                  <wp:align>center</wp:align>
                </wp:positionH>
                <wp:positionV relativeFrom="paragraph">
                  <wp:posOffset>-5519420</wp:posOffset>
                </wp:positionV>
                <wp:extent cx="6276975" cy="837560"/>
                <wp:effectExtent l="0" t="0" r="28575" b="2032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37560"/>
                        </a:xfrm>
                        <a:prstGeom prst="rect">
                          <a:avLst/>
                        </a:prstGeom>
                        <a:noFill/>
                        <a:ln w="6350">
                          <a:solidFill>
                            <a:schemeClr val="accent2"/>
                          </a:solidFill>
                          <a:miter lim="800000"/>
                          <a:headEnd/>
                          <a:tailEnd/>
                        </a:ln>
                      </wps:spPr>
                      <wps:txbx>
                        <w:txbxContent>
                          <w:p w14:paraId="783DBDA9" w14:textId="3B3798AE" w:rsidR="00DB6A21" w:rsidRDefault="00004DD4" w:rsidP="00004DD4">
                            <w:pPr>
                              <w:jc w:val="center"/>
                            </w:pPr>
                            <w:r w:rsidRPr="00004DD4">
                              <w:rPr>
                                <w:i/>
                                <w:iCs/>
                                <w:noProof/>
                                <w:lang w:eastAsia="en-AU"/>
                              </w:rPr>
                              <w:t>This paper has been prepared by the independent panel to promote discussions in relation to the  Safety, Rehabilitation and Compensation Act 1988 (SRC Act) Review. The panel has been supported by staff of the Department of Employment and Workplace Relations. It does not represent the concluded views of the independent panel or the department</w:t>
                            </w:r>
                            <w:r w:rsidR="00E07CC5">
                              <w:rPr>
                                <w:i/>
                                <w:iCs/>
                                <w:noProof/>
                                <w:lang w:eastAsia="en-AU"/>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CC1A361" id="_x0000_t202" coordsize="21600,21600" o:spt="202" path="m,l,21600r21600,l21600,xe">
                <v:stroke joinstyle="miter"/>
                <v:path gradientshapeok="t" o:connecttype="rect"/>
              </v:shapetype>
              <v:shape id="Text Box 2" o:spid="_x0000_s1026" type="#_x0000_t202" alt="&quot;&quot;" style="position:absolute;margin-left:0;margin-top:-434.6pt;width:494.25pt;height:65.95pt;z-index:25165825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" filled="f" strokecolor="#656da9 [3205]" strokeweight=".5pt">
                <v:textbox>
                  <w:txbxContent>
                    <w:p w14:paraId="783DBDA9" w14:textId="3B3798AE" w:rsidR="00DB6A21" w:rsidRDefault="00004DD4" w:rsidP="00004DD4">
                      <w:pPr>
                        <w:jc w:val="center"/>
                      </w:pPr>
                      <w:r w:rsidRPr="00004DD4">
                        <w:rPr>
                          <w:i/>
                          <w:iCs/>
                          <w:noProof/>
                          <w:lang w:eastAsia="en-AU"/>
                        </w:rPr>
                        <w:t>This paper has been prepared by the independent panel to promote discussions in relation to the  Safety, Rehabilitation and Compensation Act 1988 (SRC Act) Review. The panel has been supported by staff of the Department of Employment and Workplace Relations. It does not represent the concluded views of the independent panel or the department</w:t>
                      </w:r>
                      <w:r w:rsidR="00E07CC5">
                        <w:rPr>
                          <w:i/>
                          <w:iCs/>
                          <w:noProof/>
                          <w:lang w:eastAsia="en-AU"/>
                        </w:rPr>
                        <w:t>.</w:t>
                      </w:r>
                    </w:p>
                  </w:txbxContent>
                </v:textbox>
                <w10:wrap anchorx="margin"/>
              </v:shape>
            </w:pict>
          </mc:Fallback>
        </mc:AlternateContent>
      </w:r>
    </w:p>
    <w:p w14:paraId="5F68E7CD" w14:textId="6D402658" w:rsidR="0017134D" w:rsidRPr="005E4A52" w:rsidRDefault="00107D87" w:rsidP="0017134D">
      <w:r w:rsidRPr="005E4A52">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6485EDDD" w14:textId="77777777" w:rsidR="00E963D8" w:rsidRPr="005E4A52" w:rsidRDefault="00E963D8" w:rsidP="00E963D8">
      <w:r w:rsidRPr="005C7DE3">
        <w:t xml:space="preserve">All material presented </w:t>
      </w:r>
      <w:r>
        <w:t>in this issue paper</w:t>
      </w:r>
      <w:r w:rsidRPr="005C7DE3">
        <w:t xml:space="preserve"> </w:t>
      </w:r>
      <w:r>
        <w:t xml:space="preserve">is </w:t>
      </w:r>
      <w:r w:rsidRPr="005C7DE3">
        <w:t xml:space="preserve">provided under a </w:t>
      </w:r>
      <w:hyperlink r:id="rId14">
        <w:r w:rsidRPr="06033DEC">
          <w:rPr>
            <w:rStyle w:val="Hyperlink"/>
          </w:rPr>
          <w:t>Creative Commons Attribution 4.0 International</w:t>
        </w:r>
      </w:hyperlink>
      <w:r w:rsidRPr="005E4A52">
        <w:t xml:space="preserve"> (https://creativecommons.org/licenses/by/4.0/) licence</w:t>
      </w:r>
      <w:r w:rsidRPr="005C7DE3">
        <w:t>, with the exception of</w:t>
      </w:r>
      <w:r>
        <w:t xml:space="preserve"> </w:t>
      </w:r>
      <w:r w:rsidRPr="005E4A52">
        <w:t>the Commonwealth Coat of Arms, the Department’s logo, any material protected by a trade mark and where otherwise noted</w:t>
      </w:r>
      <w:r>
        <w:t>.</w:t>
      </w:r>
    </w:p>
    <w:p w14:paraId="2AA8C7E3" w14:textId="1428F178" w:rsidR="0017134D" w:rsidRPr="005E4A52" w:rsidRDefault="0017134D" w:rsidP="0017134D">
      <w:r w:rsidRPr="005E4A52">
        <w:t xml:space="preserve">The details of the relevant licence conditions are available on the Creative Commons website (accessible using the links provided) as is the full legal code for the </w:t>
      </w:r>
      <w:hyperlink r:id="rId15" w:history="1">
        <w:r w:rsidRPr="005E4A52">
          <w:rPr>
            <w:rStyle w:val="Hyperlink"/>
          </w:rPr>
          <w:t>CC BY 4.0 International</w:t>
        </w:r>
      </w:hyperlink>
      <w:r w:rsidRPr="005E4A52">
        <w:t xml:space="preserve"> (</w:t>
      </w:r>
      <w:r w:rsidR="00107D87" w:rsidRPr="005E4A52">
        <w:t>https://creativecommons.org/licenses/by/4.0/legalcode</w:t>
      </w:r>
      <w:r w:rsidRPr="005E4A52">
        <w:t>)</w:t>
      </w:r>
      <w:r w:rsidR="00107D87" w:rsidRPr="005E4A52">
        <w:t xml:space="preserve"> </w:t>
      </w:r>
    </w:p>
    <w:p w14:paraId="28090C3C" w14:textId="36DE51ED" w:rsidR="0017134D" w:rsidRPr="005E4A52" w:rsidRDefault="0017134D" w:rsidP="0017134D">
      <w:r w:rsidRPr="005E4A52">
        <w:t>The document must be attributed as the</w:t>
      </w:r>
      <w:r w:rsidR="00A41495">
        <w:t xml:space="preserve"> </w:t>
      </w:r>
      <w:r w:rsidR="00CE58C9" w:rsidRPr="003F5259">
        <w:rPr>
          <w:i/>
          <w:iCs/>
        </w:rPr>
        <w:t>G</w:t>
      </w:r>
      <w:r w:rsidR="00CB61AA" w:rsidRPr="003F5259">
        <w:rPr>
          <w:i/>
          <w:iCs/>
        </w:rPr>
        <w:t xml:space="preserve">etting the </w:t>
      </w:r>
      <w:r w:rsidR="003F5259" w:rsidRPr="003F5259">
        <w:rPr>
          <w:i/>
          <w:iCs/>
        </w:rPr>
        <w:t>B</w:t>
      </w:r>
      <w:r w:rsidR="00CB61AA" w:rsidRPr="003F5259">
        <w:rPr>
          <w:i/>
          <w:iCs/>
        </w:rPr>
        <w:t xml:space="preserve">est </w:t>
      </w:r>
      <w:r w:rsidR="003F5259" w:rsidRPr="003F5259">
        <w:rPr>
          <w:i/>
          <w:iCs/>
        </w:rPr>
        <w:t>O</w:t>
      </w:r>
      <w:r w:rsidR="00CB61AA" w:rsidRPr="003F5259">
        <w:rPr>
          <w:i/>
          <w:iCs/>
        </w:rPr>
        <w:t xml:space="preserve">utcomes for </w:t>
      </w:r>
      <w:r w:rsidR="003F5259" w:rsidRPr="003F5259">
        <w:rPr>
          <w:i/>
          <w:iCs/>
        </w:rPr>
        <w:t>I</w:t>
      </w:r>
      <w:r w:rsidR="00CB61AA" w:rsidRPr="003F5259">
        <w:rPr>
          <w:i/>
          <w:iCs/>
        </w:rPr>
        <w:t xml:space="preserve">njured </w:t>
      </w:r>
      <w:r w:rsidR="003F5259" w:rsidRPr="003F5259">
        <w:rPr>
          <w:i/>
          <w:iCs/>
        </w:rPr>
        <w:t>W</w:t>
      </w:r>
      <w:r w:rsidR="00CB61AA" w:rsidRPr="003F5259">
        <w:rPr>
          <w:i/>
          <w:iCs/>
        </w:rPr>
        <w:t>orkers</w:t>
      </w:r>
      <w:r w:rsidR="003F5259" w:rsidRPr="003F5259">
        <w:rPr>
          <w:i/>
          <w:iCs/>
        </w:rPr>
        <w:t>:</w:t>
      </w:r>
      <w:r w:rsidR="00DE4D41" w:rsidRPr="003F5259">
        <w:rPr>
          <w:i/>
          <w:iCs/>
        </w:rPr>
        <w:t xml:space="preserve"> </w:t>
      </w:r>
      <w:r w:rsidR="004B7037" w:rsidRPr="003F5259">
        <w:rPr>
          <w:i/>
          <w:iCs/>
        </w:rPr>
        <w:t>P</w:t>
      </w:r>
      <w:r w:rsidR="00DE4D41" w:rsidRPr="003F5259">
        <w:rPr>
          <w:i/>
          <w:iCs/>
        </w:rPr>
        <w:t xml:space="preserve">ublic </w:t>
      </w:r>
      <w:r w:rsidR="004B7037" w:rsidRPr="003F5259">
        <w:rPr>
          <w:i/>
          <w:iCs/>
        </w:rPr>
        <w:t>C</w:t>
      </w:r>
      <w:r w:rsidR="00DE4D41" w:rsidRPr="003F5259">
        <w:rPr>
          <w:i/>
          <w:iCs/>
        </w:rPr>
        <w:t xml:space="preserve">onsultation </w:t>
      </w:r>
      <w:r w:rsidR="004B7037" w:rsidRPr="003F5259">
        <w:rPr>
          <w:i/>
          <w:iCs/>
        </w:rPr>
        <w:t>I</w:t>
      </w:r>
      <w:r w:rsidR="00DE4D41" w:rsidRPr="003F5259">
        <w:rPr>
          <w:i/>
          <w:iCs/>
        </w:rPr>
        <w:t xml:space="preserve">ssues </w:t>
      </w:r>
      <w:r w:rsidR="004B7037" w:rsidRPr="003F5259">
        <w:rPr>
          <w:i/>
          <w:iCs/>
        </w:rPr>
        <w:t>P</w:t>
      </w:r>
      <w:r w:rsidR="00DE4D41" w:rsidRPr="003F5259">
        <w:rPr>
          <w:i/>
          <w:iCs/>
        </w:rPr>
        <w:t>aper</w:t>
      </w:r>
      <w:r w:rsidRPr="005E4A52">
        <w:t>.</w:t>
      </w:r>
    </w:p>
    <w:p w14:paraId="6B9F8CC3" w14:textId="77777777" w:rsidR="00107D87" w:rsidRPr="005E4A52" w:rsidRDefault="00107D87" w:rsidP="007D0D87">
      <w:pPr>
        <w:pStyle w:val="Date-FrontCover"/>
        <w:sectPr w:rsidR="00107D87" w:rsidRPr="005E4A52" w:rsidSect="009F3142">
          <w:headerReference w:type="default" r:id="rId16"/>
          <w:pgSz w:w="11906" w:h="16838"/>
          <w:pgMar w:top="9923" w:right="1440" w:bottom="1440" w:left="1440" w:header="709" w:footer="709" w:gutter="0"/>
          <w:cols w:space="708"/>
          <w:docGrid w:linePitch="360"/>
        </w:sectPr>
      </w:pPr>
    </w:p>
    <w:p w14:paraId="4CCE29C4" w14:textId="5377D77C" w:rsidR="00AF1F18" w:rsidRPr="007733A5" w:rsidRDefault="00AF1F18" w:rsidP="00D97E35">
      <w:pPr>
        <w:pStyle w:val="TOCHeading"/>
        <w:rPr>
          <w:rFonts w:asciiTheme="minorHAnsi" w:hAnsiTheme="minorHAnsi"/>
          <w:b/>
          <w:bCs/>
          <w:color w:val="0D2C6C" w:themeColor="text1"/>
          <w:spacing w:val="0"/>
        </w:rPr>
      </w:pPr>
      <w:r w:rsidRPr="007733A5">
        <w:rPr>
          <w:rFonts w:asciiTheme="minorHAnsi" w:hAnsiTheme="minorHAnsi"/>
          <w:b/>
          <w:bCs/>
          <w:color w:val="0D2C6C" w:themeColor="text1"/>
          <w:spacing w:val="0"/>
        </w:rPr>
        <w:lastRenderedPageBreak/>
        <w:t>Contents</w:t>
      </w:r>
    </w:p>
    <w:p w14:paraId="05B3DDF8" w14:textId="4A430CC3" w:rsidR="00E963D8" w:rsidRDefault="00FA2986">
      <w:pPr>
        <w:pStyle w:val="TOC1"/>
        <w:tabs>
          <w:tab w:val="right" w:leader="dot" w:pos="9060"/>
        </w:tabs>
        <w:rPr>
          <w:rFonts w:eastAsiaTheme="minorEastAsia"/>
          <w:noProof/>
          <w:kern w:val="2"/>
          <w:sz w:val="24"/>
          <w:szCs w:val="24"/>
          <w:lang w:eastAsia="en-AU"/>
          <w14:ligatures w14:val="standardContextual"/>
        </w:rPr>
      </w:pPr>
      <w:r>
        <w:fldChar w:fldCharType="begin"/>
      </w:r>
      <w:r>
        <w:instrText xml:space="preserve"> TOC \h \z \u \t "Heading 2,1,Heading 3,2" </w:instrText>
      </w:r>
      <w:r>
        <w:fldChar w:fldCharType="separate"/>
      </w:r>
      <w:hyperlink w:anchor="_Toc180174603" w:history="1">
        <w:r w:rsidR="00E963D8" w:rsidRPr="00BD4985">
          <w:rPr>
            <w:rStyle w:val="Hyperlink"/>
            <w:noProof/>
            <w:lang w:val="en-US"/>
          </w:rPr>
          <w:t>Glossary</w:t>
        </w:r>
        <w:r w:rsidR="00E963D8">
          <w:rPr>
            <w:noProof/>
            <w:webHidden/>
          </w:rPr>
          <w:tab/>
        </w:r>
        <w:r w:rsidR="00E963D8">
          <w:rPr>
            <w:noProof/>
            <w:webHidden/>
          </w:rPr>
          <w:fldChar w:fldCharType="begin"/>
        </w:r>
        <w:r w:rsidR="00E963D8">
          <w:rPr>
            <w:noProof/>
            <w:webHidden/>
          </w:rPr>
          <w:instrText xml:space="preserve"> PAGEREF _Toc180174603 \h </w:instrText>
        </w:r>
        <w:r w:rsidR="00E963D8">
          <w:rPr>
            <w:noProof/>
            <w:webHidden/>
          </w:rPr>
        </w:r>
        <w:r w:rsidR="00E963D8">
          <w:rPr>
            <w:noProof/>
            <w:webHidden/>
          </w:rPr>
          <w:fldChar w:fldCharType="separate"/>
        </w:r>
        <w:r w:rsidR="00F31865">
          <w:rPr>
            <w:noProof/>
            <w:webHidden/>
          </w:rPr>
          <w:t>4</w:t>
        </w:r>
        <w:r w:rsidR="00E963D8">
          <w:rPr>
            <w:noProof/>
            <w:webHidden/>
          </w:rPr>
          <w:fldChar w:fldCharType="end"/>
        </w:r>
      </w:hyperlink>
    </w:p>
    <w:p w14:paraId="60572BAA" w14:textId="4AD012B3" w:rsidR="00E963D8" w:rsidRDefault="00000000">
      <w:pPr>
        <w:pStyle w:val="TOC1"/>
        <w:tabs>
          <w:tab w:val="right" w:leader="dot" w:pos="9060"/>
        </w:tabs>
        <w:rPr>
          <w:rFonts w:eastAsiaTheme="minorEastAsia"/>
          <w:noProof/>
          <w:kern w:val="2"/>
          <w:sz w:val="24"/>
          <w:szCs w:val="24"/>
          <w:lang w:eastAsia="en-AU"/>
          <w14:ligatures w14:val="standardContextual"/>
        </w:rPr>
      </w:pPr>
      <w:hyperlink w:anchor="_Toc180174604" w:history="1">
        <w:r w:rsidR="00E963D8" w:rsidRPr="00BD4985">
          <w:rPr>
            <w:rStyle w:val="Hyperlink"/>
            <w:noProof/>
          </w:rPr>
          <w:t>Introduction – The SRC Act Review</w:t>
        </w:r>
        <w:r w:rsidR="00E963D8">
          <w:rPr>
            <w:noProof/>
            <w:webHidden/>
          </w:rPr>
          <w:tab/>
        </w:r>
        <w:r w:rsidR="00E963D8">
          <w:rPr>
            <w:noProof/>
            <w:webHidden/>
          </w:rPr>
          <w:fldChar w:fldCharType="begin"/>
        </w:r>
        <w:r w:rsidR="00E963D8">
          <w:rPr>
            <w:noProof/>
            <w:webHidden/>
          </w:rPr>
          <w:instrText xml:space="preserve"> PAGEREF _Toc180174604 \h </w:instrText>
        </w:r>
        <w:r w:rsidR="00E963D8">
          <w:rPr>
            <w:noProof/>
            <w:webHidden/>
          </w:rPr>
        </w:r>
        <w:r w:rsidR="00E963D8">
          <w:rPr>
            <w:noProof/>
            <w:webHidden/>
          </w:rPr>
          <w:fldChar w:fldCharType="separate"/>
        </w:r>
        <w:r w:rsidR="00F31865">
          <w:rPr>
            <w:noProof/>
            <w:webHidden/>
          </w:rPr>
          <w:t>6</w:t>
        </w:r>
        <w:r w:rsidR="00E963D8">
          <w:rPr>
            <w:noProof/>
            <w:webHidden/>
          </w:rPr>
          <w:fldChar w:fldCharType="end"/>
        </w:r>
      </w:hyperlink>
    </w:p>
    <w:p w14:paraId="0B32F7EC" w14:textId="22BC8BDC"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05" w:history="1">
        <w:r w:rsidR="00E963D8" w:rsidRPr="00BD4985">
          <w:rPr>
            <w:rStyle w:val="Hyperlink"/>
            <w:noProof/>
          </w:rPr>
          <w:t>1.1</w:t>
        </w:r>
        <w:r w:rsidR="00E963D8">
          <w:rPr>
            <w:rFonts w:eastAsiaTheme="minorEastAsia"/>
            <w:noProof/>
            <w:kern w:val="2"/>
            <w:sz w:val="24"/>
            <w:szCs w:val="24"/>
            <w:lang w:eastAsia="en-AU"/>
            <w14:ligatures w14:val="standardContextual"/>
          </w:rPr>
          <w:tab/>
        </w:r>
        <w:r w:rsidR="00E963D8" w:rsidRPr="00BD4985">
          <w:rPr>
            <w:rStyle w:val="Hyperlink"/>
            <w:noProof/>
          </w:rPr>
          <w:t>The review process</w:t>
        </w:r>
        <w:r w:rsidR="00E963D8">
          <w:rPr>
            <w:noProof/>
            <w:webHidden/>
          </w:rPr>
          <w:tab/>
        </w:r>
        <w:r w:rsidR="00E963D8">
          <w:rPr>
            <w:noProof/>
            <w:webHidden/>
          </w:rPr>
          <w:fldChar w:fldCharType="begin"/>
        </w:r>
        <w:r w:rsidR="00E963D8">
          <w:rPr>
            <w:noProof/>
            <w:webHidden/>
          </w:rPr>
          <w:instrText xml:space="preserve"> PAGEREF _Toc180174605 \h </w:instrText>
        </w:r>
        <w:r w:rsidR="00E963D8">
          <w:rPr>
            <w:noProof/>
            <w:webHidden/>
          </w:rPr>
        </w:r>
        <w:r w:rsidR="00E963D8">
          <w:rPr>
            <w:noProof/>
            <w:webHidden/>
          </w:rPr>
          <w:fldChar w:fldCharType="separate"/>
        </w:r>
        <w:r w:rsidR="00F31865">
          <w:rPr>
            <w:noProof/>
            <w:webHidden/>
          </w:rPr>
          <w:t>6</w:t>
        </w:r>
        <w:r w:rsidR="00E963D8">
          <w:rPr>
            <w:noProof/>
            <w:webHidden/>
          </w:rPr>
          <w:fldChar w:fldCharType="end"/>
        </w:r>
      </w:hyperlink>
    </w:p>
    <w:p w14:paraId="3D5DC012" w14:textId="72D6B908"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06" w:history="1">
        <w:r w:rsidR="00E963D8" w:rsidRPr="00BD4985">
          <w:rPr>
            <w:rStyle w:val="Hyperlink"/>
            <w:noProof/>
          </w:rPr>
          <w:t>1.2</w:t>
        </w:r>
        <w:r w:rsidR="00E963D8">
          <w:rPr>
            <w:rFonts w:eastAsiaTheme="minorEastAsia"/>
            <w:noProof/>
            <w:kern w:val="2"/>
            <w:sz w:val="24"/>
            <w:szCs w:val="24"/>
            <w:lang w:eastAsia="en-AU"/>
            <w14:ligatures w14:val="standardContextual"/>
          </w:rPr>
          <w:tab/>
        </w:r>
        <w:r w:rsidR="00E963D8" w:rsidRPr="00BD4985">
          <w:rPr>
            <w:rStyle w:val="Hyperlink"/>
            <w:noProof/>
          </w:rPr>
          <w:t>How to respond to the issues paper</w:t>
        </w:r>
        <w:r w:rsidR="00E963D8">
          <w:rPr>
            <w:noProof/>
            <w:webHidden/>
          </w:rPr>
          <w:tab/>
        </w:r>
        <w:r w:rsidR="00E963D8">
          <w:rPr>
            <w:noProof/>
            <w:webHidden/>
          </w:rPr>
          <w:fldChar w:fldCharType="begin"/>
        </w:r>
        <w:r w:rsidR="00E963D8">
          <w:rPr>
            <w:noProof/>
            <w:webHidden/>
          </w:rPr>
          <w:instrText xml:space="preserve"> PAGEREF _Toc180174606 \h </w:instrText>
        </w:r>
        <w:r w:rsidR="00E963D8">
          <w:rPr>
            <w:noProof/>
            <w:webHidden/>
          </w:rPr>
        </w:r>
        <w:r w:rsidR="00E963D8">
          <w:rPr>
            <w:noProof/>
            <w:webHidden/>
          </w:rPr>
          <w:fldChar w:fldCharType="separate"/>
        </w:r>
        <w:r w:rsidR="00F31865">
          <w:rPr>
            <w:noProof/>
            <w:webHidden/>
          </w:rPr>
          <w:t>7</w:t>
        </w:r>
        <w:r w:rsidR="00E963D8">
          <w:rPr>
            <w:noProof/>
            <w:webHidden/>
          </w:rPr>
          <w:fldChar w:fldCharType="end"/>
        </w:r>
      </w:hyperlink>
    </w:p>
    <w:p w14:paraId="509E5A3D" w14:textId="3F2C37A2"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07" w:history="1">
        <w:r w:rsidR="00E963D8" w:rsidRPr="00BD4985">
          <w:rPr>
            <w:rStyle w:val="Hyperlink"/>
            <w:noProof/>
          </w:rPr>
          <w:t>1.3</w:t>
        </w:r>
        <w:r w:rsidR="00E963D8">
          <w:rPr>
            <w:rFonts w:eastAsiaTheme="minorEastAsia"/>
            <w:noProof/>
            <w:kern w:val="2"/>
            <w:sz w:val="24"/>
            <w:szCs w:val="24"/>
            <w:lang w:eastAsia="en-AU"/>
            <w14:ligatures w14:val="standardContextual"/>
          </w:rPr>
          <w:tab/>
        </w:r>
        <w:r w:rsidR="00E963D8" w:rsidRPr="00BD4985">
          <w:rPr>
            <w:rStyle w:val="Hyperlink"/>
            <w:noProof/>
          </w:rPr>
          <w:t>Reference Material</w:t>
        </w:r>
        <w:r w:rsidR="00E963D8">
          <w:rPr>
            <w:noProof/>
            <w:webHidden/>
          </w:rPr>
          <w:tab/>
        </w:r>
        <w:r w:rsidR="00E963D8">
          <w:rPr>
            <w:noProof/>
            <w:webHidden/>
          </w:rPr>
          <w:fldChar w:fldCharType="begin"/>
        </w:r>
        <w:r w:rsidR="00E963D8">
          <w:rPr>
            <w:noProof/>
            <w:webHidden/>
          </w:rPr>
          <w:instrText xml:space="preserve"> PAGEREF _Toc180174607 \h </w:instrText>
        </w:r>
        <w:r w:rsidR="00E963D8">
          <w:rPr>
            <w:noProof/>
            <w:webHidden/>
          </w:rPr>
        </w:r>
        <w:r w:rsidR="00E963D8">
          <w:rPr>
            <w:noProof/>
            <w:webHidden/>
          </w:rPr>
          <w:fldChar w:fldCharType="separate"/>
        </w:r>
        <w:r w:rsidR="00F31865">
          <w:rPr>
            <w:noProof/>
            <w:webHidden/>
          </w:rPr>
          <w:t>8</w:t>
        </w:r>
        <w:r w:rsidR="00E963D8">
          <w:rPr>
            <w:noProof/>
            <w:webHidden/>
          </w:rPr>
          <w:fldChar w:fldCharType="end"/>
        </w:r>
      </w:hyperlink>
    </w:p>
    <w:p w14:paraId="65F8BEFC" w14:textId="3EB6A981" w:rsidR="00E963D8" w:rsidRDefault="00000000">
      <w:pPr>
        <w:pStyle w:val="TOC1"/>
        <w:tabs>
          <w:tab w:val="right" w:leader="dot" w:pos="9060"/>
        </w:tabs>
        <w:rPr>
          <w:rFonts w:eastAsiaTheme="minorEastAsia"/>
          <w:noProof/>
          <w:kern w:val="2"/>
          <w:sz w:val="24"/>
          <w:szCs w:val="24"/>
          <w:lang w:eastAsia="en-AU"/>
          <w14:ligatures w14:val="standardContextual"/>
        </w:rPr>
      </w:pPr>
      <w:hyperlink w:anchor="_Toc180174608" w:history="1">
        <w:r w:rsidR="00E963D8" w:rsidRPr="00BD4985">
          <w:rPr>
            <w:rStyle w:val="Hyperlink"/>
            <w:noProof/>
          </w:rPr>
          <w:t>The Comcare scheme</w:t>
        </w:r>
        <w:r w:rsidR="00E963D8">
          <w:rPr>
            <w:noProof/>
            <w:webHidden/>
          </w:rPr>
          <w:tab/>
        </w:r>
        <w:r w:rsidR="00E963D8">
          <w:rPr>
            <w:noProof/>
            <w:webHidden/>
          </w:rPr>
          <w:fldChar w:fldCharType="begin"/>
        </w:r>
        <w:r w:rsidR="00E963D8">
          <w:rPr>
            <w:noProof/>
            <w:webHidden/>
          </w:rPr>
          <w:instrText xml:space="preserve"> PAGEREF _Toc180174608 \h </w:instrText>
        </w:r>
        <w:r w:rsidR="00E963D8">
          <w:rPr>
            <w:noProof/>
            <w:webHidden/>
          </w:rPr>
        </w:r>
        <w:r w:rsidR="00E963D8">
          <w:rPr>
            <w:noProof/>
            <w:webHidden/>
          </w:rPr>
          <w:fldChar w:fldCharType="separate"/>
        </w:r>
        <w:r w:rsidR="00F31865">
          <w:rPr>
            <w:noProof/>
            <w:webHidden/>
          </w:rPr>
          <w:t>9</w:t>
        </w:r>
        <w:r w:rsidR="00E963D8">
          <w:rPr>
            <w:noProof/>
            <w:webHidden/>
          </w:rPr>
          <w:fldChar w:fldCharType="end"/>
        </w:r>
      </w:hyperlink>
    </w:p>
    <w:p w14:paraId="12C3A7CF" w14:textId="69F667EB"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09" w:history="1">
        <w:r w:rsidR="00E963D8" w:rsidRPr="00BD4985">
          <w:rPr>
            <w:rStyle w:val="Hyperlink"/>
            <w:noProof/>
          </w:rPr>
          <w:t xml:space="preserve">2.1 </w:t>
        </w:r>
        <w:r w:rsidR="00E963D8">
          <w:rPr>
            <w:rFonts w:eastAsiaTheme="minorEastAsia"/>
            <w:noProof/>
            <w:kern w:val="2"/>
            <w:sz w:val="24"/>
            <w:szCs w:val="24"/>
            <w:lang w:eastAsia="en-AU"/>
            <w14:ligatures w14:val="standardContextual"/>
          </w:rPr>
          <w:tab/>
        </w:r>
        <w:r w:rsidR="00E963D8" w:rsidRPr="00BD4985">
          <w:rPr>
            <w:rStyle w:val="Hyperlink"/>
            <w:noProof/>
          </w:rPr>
          <w:t>Key statistics</w:t>
        </w:r>
        <w:r w:rsidR="00E963D8">
          <w:rPr>
            <w:noProof/>
            <w:webHidden/>
          </w:rPr>
          <w:tab/>
        </w:r>
        <w:r w:rsidR="00E963D8">
          <w:rPr>
            <w:noProof/>
            <w:webHidden/>
          </w:rPr>
          <w:fldChar w:fldCharType="begin"/>
        </w:r>
        <w:r w:rsidR="00E963D8">
          <w:rPr>
            <w:noProof/>
            <w:webHidden/>
          </w:rPr>
          <w:instrText xml:space="preserve"> PAGEREF _Toc180174609 \h </w:instrText>
        </w:r>
        <w:r w:rsidR="00E963D8">
          <w:rPr>
            <w:noProof/>
            <w:webHidden/>
          </w:rPr>
        </w:r>
        <w:r w:rsidR="00E963D8">
          <w:rPr>
            <w:noProof/>
            <w:webHidden/>
          </w:rPr>
          <w:fldChar w:fldCharType="separate"/>
        </w:r>
        <w:r w:rsidR="00F31865">
          <w:rPr>
            <w:noProof/>
            <w:webHidden/>
          </w:rPr>
          <w:t>10</w:t>
        </w:r>
        <w:r w:rsidR="00E963D8">
          <w:rPr>
            <w:noProof/>
            <w:webHidden/>
          </w:rPr>
          <w:fldChar w:fldCharType="end"/>
        </w:r>
      </w:hyperlink>
    </w:p>
    <w:p w14:paraId="77097701" w14:textId="1464D751" w:rsidR="00E963D8" w:rsidRDefault="00000000">
      <w:pPr>
        <w:pStyle w:val="TOC1"/>
        <w:tabs>
          <w:tab w:val="right" w:leader="dot" w:pos="9060"/>
        </w:tabs>
        <w:rPr>
          <w:rFonts w:eastAsiaTheme="minorEastAsia"/>
          <w:noProof/>
          <w:kern w:val="2"/>
          <w:sz w:val="24"/>
          <w:szCs w:val="24"/>
          <w:lang w:eastAsia="en-AU"/>
          <w14:ligatures w14:val="standardContextual"/>
        </w:rPr>
      </w:pPr>
      <w:hyperlink w:anchor="_Toc180174610" w:history="1">
        <w:r w:rsidR="00E963D8" w:rsidRPr="00BD4985">
          <w:rPr>
            <w:rStyle w:val="Hyperlink"/>
            <w:noProof/>
          </w:rPr>
          <w:t>Topics for discussion in the SRC Act review</w:t>
        </w:r>
        <w:r w:rsidR="00E963D8">
          <w:rPr>
            <w:noProof/>
            <w:webHidden/>
          </w:rPr>
          <w:tab/>
        </w:r>
        <w:r w:rsidR="00E963D8">
          <w:rPr>
            <w:noProof/>
            <w:webHidden/>
          </w:rPr>
          <w:fldChar w:fldCharType="begin"/>
        </w:r>
        <w:r w:rsidR="00E963D8">
          <w:rPr>
            <w:noProof/>
            <w:webHidden/>
          </w:rPr>
          <w:instrText xml:space="preserve"> PAGEREF _Toc180174610 \h </w:instrText>
        </w:r>
        <w:r w:rsidR="00E963D8">
          <w:rPr>
            <w:noProof/>
            <w:webHidden/>
          </w:rPr>
        </w:r>
        <w:r w:rsidR="00E963D8">
          <w:rPr>
            <w:noProof/>
            <w:webHidden/>
          </w:rPr>
          <w:fldChar w:fldCharType="separate"/>
        </w:r>
        <w:r w:rsidR="00F31865">
          <w:rPr>
            <w:noProof/>
            <w:webHidden/>
          </w:rPr>
          <w:t>14</w:t>
        </w:r>
        <w:r w:rsidR="00E963D8">
          <w:rPr>
            <w:noProof/>
            <w:webHidden/>
          </w:rPr>
          <w:fldChar w:fldCharType="end"/>
        </w:r>
      </w:hyperlink>
    </w:p>
    <w:p w14:paraId="41275427" w14:textId="018500BB"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11" w:history="1">
        <w:r w:rsidR="00E963D8" w:rsidRPr="00BD4985">
          <w:rPr>
            <w:rStyle w:val="Hyperlink"/>
            <w:noProof/>
            <w:spacing w:val="-2"/>
          </w:rPr>
          <w:t>3.1</w:t>
        </w:r>
        <w:r w:rsidR="00E963D8">
          <w:rPr>
            <w:rFonts w:eastAsiaTheme="minorEastAsia"/>
            <w:noProof/>
            <w:kern w:val="2"/>
            <w:sz w:val="24"/>
            <w:szCs w:val="24"/>
            <w:lang w:eastAsia="en-AU"/>
            <w14:ligatures w14:val="standardContextual"/>
          </w:rPr>
          <w:tab/>
        </w:r>
        <w:r w:rsidR="00E963D8" w:rsidRPr="00BD4985">
          <w:rPr>
            <w:rStyle w:val="Hyperlink"/>
            <w:noProof/>
            <w:spacing w:val="-2"/>
          </w:rPr>
          <w:t>Best practice in workers’ compensation (Term of reference 1)</w:t>
        </w:r>
        <w:r w:rsidR="00E963D8">
          <w:rPr>
            <w:noProof/>
            <w:webHidden/>
          </w:rPr>
          <w:tab/>
        </w:r>
        <w:r w:rsidR="00E963D8">
          <w:rPr>
            <w:noProof/>
            <w:webHidden/>
          </w:rPr>
          <w:fldChar w:fldCharType="begin"/>
        </w:r>
        <w:r w:rsidR="00E963D8">
          <w:rPr>
            <w:noProof/>
            <w:webHidden/>
          </w:rPr>
          <w:instrText xml:space="preserve"> PAGEREF _Toc180174611 \h </w:instrText>
        </w:r>
        <w:r w:rsidR="00E963D8">
          <w:rPr>
            <w:noProof/>
            <w:webHidden/>
          </w:rPr>
        </w:r>
        <w:r w:rsidR="00E963D8">
          <w:rPr>
            <w:noProof/>
            <w:webHidden/>
          </w:rPr>
          <w:fldChar w:fldCharType="separate"/>
        </w:r>
        <w:r w:rsidR="00F31865">
          <w:rPr>
            <w:noProof/>
            <w:webHidden/>
          </w:rPr>
          <w:t>14</w:t>
        </w:r>
        <w:r w:rsidR="00E963D8">
          <w:rPr>
            <w:noProof/>
            <w:webHidden/>
          </w:rPr>
          <w:fldChar w:fldCharType="end"/>
        </w:r>
      </w:hyperlink>
    </w:p>
    <w:p w14:paraId="1CD44080" w14:textId="6943265D"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12" w:history="1">
        <w:r w:rsidR="00E963D8" w:rsidRPr="00BD4985">
          <w:rPr>
            <w:rStyle w:val="Hyperlink"/>
            <w:noProof/>
          </w:rPr>
          <w:t>3.2</w:t>
        </w:r>
        <w:r w:rsidR="00E963D8">
          <w:rPr>
            <w:rFonts w:eastAsiaTheme="minorEastAsia"/>
            <w:noProof/>
            <w:kern w:val="2"/>
            <w:sz w:val="24"/>
            <w:szCs w:val="24"/>
            <w:lang w:eastAsia="en-AU"/>
            <w14:ligatures w14:val="standardContextual"/>
          </w:rPr>
          <w:tab/>
        </w:r>
        <w:r w:rsidR="00E963D8" w:rsidRPr="00BD4985">
          <w:rPr>
            <w:rStyle w:val="Hyperlink"/>
            <w:noProof/>
          </w:rPr>
          <w:t>Employee’s experience of the scheme (Term of reference 2)</w:t>
        </w:r>
        <w:r w:rsidR="00E963D8">
          <w:rPr>
            <w:noProof/>
            <w:webHidden/>
          </w:rPr>
          <w:tab/>
        </w:r>
        <w:r w:rsidR="00E963D8">
          <w:rPr>
            <w:noProof/>
            <w:webHidden/>
          </w:rPr>
          <w:fldChar w:fldCharType="begin"/>
        </w:r>
        <w:r w:rsidR="00E963D8">
          <w:rPr>
            <w:noProof/>
            <w:webHidden/>
          </w:rPr>
          <w:instrText xml:space="preserve"> PAGEREF _Toc180174612 \h </w:instrText>
        </w:r>
        <w:r w:rsidR="00E963D8">
          <w:rPr>
            <w:noProof/>
            <w:webHidden/>
          </w:rPr>
        </w:r>
        <w:r w:rsidR="00E963D8">
          <w:rPr>
            <w:noProof/>
            <w:webHidden/>
          </w:rPr>
          <w:fldChar w:fldCharType="separate"/>
        </w:r>
        <w:r w:rsidR="00F31865">
          <w:rPr>
            <w:noProof/>
            <w:webHidden/>
          </w:rPr>
          <w:t>16</w:t>
        </w:r>
        <w:r w:rsidR="00E963D8">
          <w:rPr>
            <w:noProof/>
            <w:webHidden/>
          </w:rPr>
          <w:fldChar w:fldCharType="end"/>
        </w:r>
      </w:hyperlink>
    </w:p>
    <w:p w14:paraId="15BB2A4C" w14:textId="043F9B7A"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13" w:history="1">
        <w:r w:rsidR="00E963D8" w:rsidRPr="00BD4985">
          <w:rPr>
            <w:rStyle w:val="Hyperlink"/>
            <w:noProof/>
          </w:rPr>
          <w:t>3.3</w:t>
        </w:r>
        <w:r w:rsidR="00E963D8">
          <w:rPr>
            <w:rFonts w:eastAsiaTheme="minorEastAsia"/>
            <w:noProof/>
            <w:kern w:val="2"/>
            <w:sz w:val="24"/>
            <w:szCs w:val="24"/>
            <w:lang w:eastAsia="en-AU"/>
            <w14:ligatures w14:val="standardContextual"/>
          </w:rPr>
          <w:tab/>
        </w:r>
        <w:r w:rsidR="00E963D8" w:rsidRPr="00BD4985">
          <w:rPr>
            <w:rStyle w:val="Hyperlink"/>
            <w:noProof/>
          </w:rPr>
          <w:t>Scheme coverage (Term of reference 3)</w:t>
        </w:r>
        <w:r w:rsidR="00E963D8">
          <w:rPr>
            <w:noProof/>
            <w:webHidden/>
          </w:rPr>
          <w:tab/>
        </w:r>
        <w:r w:rsidR="00E963D8">
          <w:rPr>
            <w:noProof/>
            <w:webHidden/>
          </w:rPr>
          <w:fldChar w:fldCharType="begin"/>
        </w:r>
        <w:r w:rsidR="00E963D8">
          <w:rPr>
            <w:noProof/>
            <w:webHidden/>
          </w:rPr>
          <w:instrText xml:space="preserve"> PAGEREF _Toc180174613 \h </w:instrText>
        </w:r>
        <w:r w:rsidR="00E963D8">
          <w:rPr>
            <w:noProof/>
            <w:webHidden/>
          </w:rPr>
        </w:r>
        <w:r w:rsidR="00E963D8">
          <w:rPr>
            <w:noProof/>
            <w:webHidden/>
          </w:rPr>
          <w:fldChar w:fldCharType="separate"/>
        </w:r>
        <w:r w:rsidR="00F31865">
          <w:rPr>
            <w:noProof/>
            <w:webHidden/>
          </w:rPr>
          <w:t>19</w:t>
        </w:r>
        <w:r w:rsidR="00E963D8">
          <w:rPr>
            <w:noProof/>
            <w:webHidden/>
          </w:rPr>
          <w:fldChar w:fldCharType="end"/>
        </w:r>
      </w:hyperlink>
    </w:p>
    <w:p w14:paraId="48525723" w14:textId="7F1125A6"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14" w:history="1">
        <w:r w:rsidR="00E963D8" w:rsidRPr="00BD4985">
          <w:rPr>
            <w:rStyle w:val="Hyperlink"/>
            <w:noProof/>
          </w:rPr>
          <w:t>3.4</w:t>
        </w:r>
        <w:r w:rsidR="00E963D8">
          <w:rPr>
            <w:rFonts w:eastAsiaTheme="minorEastAsia"/>
            <w:noProof/>
            <w:kern w:val="2"/>
            <w:sz w:val="24"/>
            <w:szCs w:val="24"/>
            <w:lang w:eastAsia="en-AU"/>
            <w14:ligatures w14:val="standardContextual"/>
          </w:rPr>
          <w:tab/>
        </w:r>
        <w:r w:rsidR="00E963D8" w:rsidRPr="00BD4985">
          <w:rPr>
            <w:rStyle w:val="Hyperlink"/>
            <w:noProof/>
          </w:rPr>
          <w:t>Governance arrangements (Term of reference 4)</w:t>
        </w:r>
        <w:r w:rsidR="00E963D8">
          <w:rPr>
            <w:noProof/>
            <w:webHidden/>
          </w:rPr>
          <w:tab/>
        </w:r>
        <w:r w:rsidR="00E963D8">
          <w:rPr>
            <w:noProof/>
            <w:webHidden/>
          </w:rPr>
          <w:fldChar w:fldCharType="begin"/>
        </w:r>
        <w:r w:rsidR="00E963D8">
          <w:rPr>
            <w:noProof/>
            <w:webHidden/>
          </w:rPr>
          <w:instrText xml:space="preserve"> PAGEREF _Toc180174614 \h </w:instrText>
        </w:r>
        <w:r w:rsidR="00E963D8">
          <w:rPr>
            <w:noProof/>
            <w:webHidden/>
          </w:rPr>
        </w:r>
        <w:r w:rsidR="00E963D8">
          <w:rPr>
            <w:noProof/>
            <w:webHidden/>
          </w:rPr>
          <w:fldChar w:fldCharType="separate"/>
        </w:r>
        <w:r w:rsidR="00F31865">
          <w:rPr>
            <w:noProof/>
            <w:webHidden/>
          </w:rPr>
          <w:t>22</w:t>
        </w:r>
        <w:r w:rsidR="00E963D8">
          <w:rPr>
            <w:noProof/>
            <w:webHidden/>
          </w:rPr>
          <w:fldChar w:fldCharType="end"/>
        </w:r>
      </w:hyperlink>
    </w:p>
    <w:p w14:paraId="19E5B607" w14:textId="1E3A61F1"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15" w:history="1">
        <w:r w:rsidR="00E963D8" w:rsidRPr="00BD4985">
          <w:rPr>
            <w:rStyle w:val="Hyperlink"/>
            <w:noProof/>
          </w:rPr>
          <w:t xml:space="preserve">3.5 </w:t>
        </w:r>
        <w:r w:rsidR="00E963D8">
          <w:rPr>
            <w:rFonts w:eastAsiaTheme="minorEastAsia"/>
            <w:noProof/>
            <w:kern w:val="2"/>
            <w:sz w:val="24"/>
            <w:szCs w:val="24"/>
            <w:lang w:eastAsia="en-AU"/>
            <w14:ligatures w14:val="standardContextual"/>
          </w:rPr>
          <w:tab/>
        </w:r>
        <w:r w:rsidR="00E963D8" w:rsidRPr="00BD4985">
          <w:rPr>
            <w:rStyle w:val="Hyperlink"/>
            <w:noProof/>
          </w:rPr>
          <w:t>Scheme entitlements (Terms of reference 3 and 5)</w:t>
        </w:r>
        <w:r w:rsidR="00E963D8">
          <w:rPr>
            <w:noProof/>
            <w:webHidden/>
          </w:rPr>
          <w:tab/>
        </w:r>
        <w:r w:rsidR="00E963D8">
          <w:rPr>
            <w:noProof/>
            <w:webHidden/>
          </w:rPr>
          <w:fldChar w:fldCharType="begin"/>
        </w:r>
        <w:r w:rsidR="00E963D8">
          <w:rPr>
            <w:noProof/>
            <w:webHidden/>
          </w:rPr>
          <w:instrText xml:space="preserve"> PAGEREF _Toc180174615 \h </w:instrText>
        </w:r>
        <w:r w:rsidR="00E963D8">
          <w:rPr>
            <w:noProof/>
            <w:webHidden/>
          </w:rPr>
        </w:r>
        <w:r w:rsidR="00E963D8">
          <w:rPr>
            <w:noProof/>
            <w:webHidden/>
          </w:rPr>
          <w:fldChar w:fldCharType="separate"/>
        </w:r>
        <w:r w:rsidR="00F31865">
          <w:rPr>
            <w:noProof/>
            <w:webHidden/>
          </w:rPr>
          <w:t>26</w:t>
        </w:r>
        <w:r w:rsidR="00E963D8">
          <w:rPr>
            <w:noProof/>
            <w:webHidden/>
          </w:rPr>
          <w:fldChar w:fldCharType="end"/>
        </w:r>
      </w:hyperlink>
    </w:p>
    <w:p w14:paraId="1C84FBFE" w14:textId="6EB61A8D"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16" w:history="1">
        <w:r w:rsidR="00E963D8" w:rsidRPr="00BD4985">
          <w:rPr>
            <w:rStyle w:val="Hyperlink"/>
            <w:noProof/>
          </w:rPr>
          <w:t>3.6</w:t>
        </w:r>
        <w:r w:rsidR="00E963D8">
          <w:rPr>
            <w:rFonts w:eastAsiaTheme="minorEastAsia"/>
            <w:noProof/>
            <w:kern w:val="2"/>
            <w:sz w:val="24"/>
            <w:szCs w:val="24"/>
            <w:lang w:eastAsia="en-AU"/>
            <w14:ligatures w14:val="standardContextual"/>
          </w:rPr>
          <w:tab/>
        </w:r>
        <w:r w:rsidR="00E963D8" w:rsidRPr="00BD4985">
          <w:rPr>
            <w:rStyle w:val="Hyperlink"/>
            <w:noProof/>
          </w:rPr>
          <w:t>Resolving disputes in the scheme (Term of reference 6)</w:t>
        </w:r>
        <w:r w:rsidR="00E963D8">
          <w:rPr>
            <w:noProof/>
            <w:webHidden/>
          </w:rPr>
          <w:tab/>
        </w:r>
        <w:r w:rsidR="00E963D8">
          <w:rPr>
            <w:noProof/>
            <w:webHidden/>
          </w:rPr>
          <w:fldChar w:fldCharType="begin"/>
        </w:r>
        <w:r w:rsidR="00E963D8">
          <w:rPr>
            <w:noProof/>
            <w:webHidden/>
          </w:rPr>
          <w:instrText xml:space="preserve"> PAGEREF _Toc180174616 \h </w:instrText>
        </w:r>
        <w:r w:rsidR="00E963D8">
          <w:rPr>
            <w:noProof/>
            <w:webHidden/>
          </w:rPr>
        </w:r>
        <w:r w:rsidR="00E963D8">
          <w:rPr>
            <w:noProof/>
            <w:webHidden/>
          </w:rPr>
          <w:fldChar w:fldCharType="separate"/>
        </w:r>
        <w:r w:rsidR="00F31865">
          <w:rPr>
            <w:noProof/>
            <w:webHidden/>
          </w:rPr>
          <w:t>31</w:t>
        </w:r>
        <w:r w:rsidR="00E963D8">
          <w:rPr>
            <w:noProof/>
            <w:webHidden/>
          </w:rPr>
          <w:fldChar w:fldCharType="end"/>
        </w:r>
      </w:hyperlink>
    </w:p>
    <w:p w14:paraId="34C403C2" w14:textId="47489FCD" w:rsidR="00E963D8" w:rsidRDefault="00000000">
      <w:pPr>
        <w:pStyle w:val="TOC2"/>
        <w:tabs>
          <w:tab w:val="left" w:pos="960"/>
          <w:tab w:val="right" w:leader="dot" w:pos="9060"/>
        </w:tabs>
        <w:rPr>
          <w:rFonts w:eastAsiaTheme="minorEastAsia"/>
          <w:noProof/>
          <w:kern w:val="2"/>
          <w:sz w:val="24"/>
          <w:szCs w:val="24"/>
          <w:lang w:eastAsia="en-AU"/>
          <w14:ligatures w14:val="standardContextual"/>
        </w:rPr>
      </w:pPr>
      <w:hyperlink w:anchor="_Toc180174617" w:history="1">
        <w:r w:rsidR="00E963D8" w:rsidRPr="00BD4985">
          <w:rPr>
            <w:rStyle w:val="Hyperlink"/>
            <w:noProof/>
          </w:rPr>
          <w:t>3.7</w:t>
        </w:r>
        <w:r w:rsidR="00E963D8">
          <w:rPr>
            <w:rFonts w:eastAsiaTheme="minorEastAsia"/>
            <w:noProof/>
            <w:kern w:val="2"/>
            <w:sz w:val="24"/>
            <w:szCs w:val="24"/>
            <w:lang w:eastAsia="en-AU"/>
            <w14:ligatures w14:val="standardContextual"/>
          </w:rPr>
          <w:tab/>
        </w:r>
        <w:r w:rsidR="00E963D8" w:rsidRPr="00BD4985">
          <w:rPr>
            <w:rStyle w:val="Hyperlink"/>
            <w:noProof/>
          </w:rPr>
          <w:t>Scheme administration (Term of reference 7)</w:t>
        </w:r>
        <w:r w:rsidR="00E963D8">
          <w:rPr>
            <w:noProof/>
            <w:webHidden/>
          </w:rPr>
          <w:tab/>
        </w:r>
        <w:r w:rsidR="00E963D8">
          <w:rPr>
            <w:noProof/>
            <w:webHidden/>
          </w:rPr>
          <w:fldChar w:fldCharType="begin"/>
        </w:r>
        <w:r w:rsidR="00E963D8">
          <w:rPr>
            <w:noProof/>
            <w:webHidden/>
          </w:rPr>
          <w:instrText xml:space="preserve"> PAGEREF _Toc180174617 \h </w:instrText>
        </w:r>
        <w:r w:rsidR="00E963D8">
          <w:rPr>
            <w:noProof/>
            <w:webHidden/>
          </w:rPr>
        </w:r>
        <w:r w:rsidR="00E963D8">
          <w:rPr>
            <w:noProof/>
            <w:webHidden/>
          </w:rPr>
          <w:fldChar w:fldCharType="separate"/>
        </w:r>
        <w:r w:rsidR="00F31865">
          <w:rPr>
            <w:noProof/>
            <w:webHidden/>
          </w:rPr>
          <w:t>33</w:t>
        </w:r>
        <w:r w:rsidR="00E963D8">
          <w:rPr>
            <w:noProof/>
            <w:webHidden/>
          </w:rPr>
          <w:fldChar w:fldCharType="end"/>
        </w:r>
      </w:hyperlink>
    </w:p>
    <w:p w14:paraId="5ED10410" w14:textId="28C14712" w:rsidR="00E963D8" w:rsidRDefault="00000000">
      <w:pPr>
        <w:pStyle w:val="TOC1"/>
        <w:tabs>
          <w:tab w:val="right" w:leader="dot" w:pos="9060"/>
        </w:tabs>
        <w:rPr>
          <w:rFonts w:eastAsiaTheme="minorEastAsia"/>
          <w:noProof/>
          <w:kern w:val="2"/>
          <w:sz w:val="24"/>
          <w:szCs w:val="24"/>
          <w:lang w:eastAsia="en-AU"/>
          <w14:ligatures w14:val="standardContextual"/>
        </w:rPr>
      </w:pPr>
      <w:hyperlink w:anchor="_Toc180174618" w:history="1">
        <w:r w:rsidR="00E963D8" w:rsidRPr="00BD4985">
          <w:rPr>
            <w:rStyle w:val="Hyperlink"/>
            <w:noProof/>
          </w:rPr>
          <w:t>Appendix A – Consolidated list of discussion questions</w:t>
        </w:r>
        <w:r w:rsidR="00E963D8">
          <w:rPr>
            <w:noProof/>
            <w:webHidden/>
          </w:rPr>
          <w:tab/>
        </w:r>
        <w:r w:rsidR="00E963D8">
          <w:rPr>
            <w:noProof/>
            <w:webHidden/>
          </w:rPr>
          <w:fldChar w:fldCharType="begin"/>
        </w:r>
        <w:r w:rsidR="00E963D8">
          <w:rPr>
            <w:noProof/>
            <w:webHidden/>
          </w:rPr>
          <w:instrText xml:space="preserve"> PAGEREF _Toc180174618 \h </w:instrText>
        </w:r>
        <w:r w:rsidR="00E963D8">
          <w:rPr>
            <w:noProof/>
            <w:webHidden/>
          </w:rPr>
        </w:r>
        <w:r w:rsidR="00E963D8">
          <w:rPr>
            <w:noProof/>
            <w:webHidden/>
          </w:rPr>
          <w:fldChar w:fldCharType="separate"/>
        </w:r>
        <w:r w:rsidR="00F31865">
          <w:rPr>
            <w:noProof/>
            <w:webHidden/>
          </w:rPr>
          <w:t>36</w:t>
        </w:r>
        <w:r w:rsidR="00E963D8">
          <w:rPr>
            <w:noProof/>
            <w:webHidden/>
          </w:rPr>
          <w:fldChar w:fldCharType="end"/>
        </w:r>
      </w:hyperlink>
    </w:p>
    <w:p w14:paraId="1395CACF" w14:textId="678163BF" w:rsidR="00E963D8" w:rsidRDefault="00000000">
      <w:pPr>
        <w:pStyle w:val="TOC1"/>
        <w:tabs>
          <w:tab w:val="right" w:leader="dot" w:pos="9060"/>
        </w:tabs>
        <w:rPr>
          <w:rFonts w:eastAsiaTheme="minorEastAsia"/>
          <w:noProof/>
          <w:kern w:val="2"/>
          <w:sz w:val="24"/>
          <w:szCs w:val="24"/>
          <w:lang w:eastAsia="en-AU"/>
          <w14:ligatures w14:val="standardContextual"/>
        </w:rPr>
      </w:pPr>
      <w:hyperlink w:anchor="_Toc180174619" w:history="1">
        <w:r w:rsidR="00E963D8" w:rsidRPr="00BD4985">
          <w:rPr>
            <w:rStyle w:val="Hyperlink"/>
            <w:noProof/>
          </w:rPr>
          <w:t>Appendix B – Terms of reference</w:t>
        </w:r>
        <w:r w:rsidR="00E963D8">
          <w:rPr>
            <w:noProof/>
            <w:webHidden/>
          </w:rPr>
          <w:tab/>
        </w:r>
        <w:r w:rsidR="00E963D8">
          <w:rPr>
            <w:noProof/>
            <w:webHidden/>
          </w:rPr>
          <w:fldChar w:fldCharType="begin"/>
        </w:r>
        <w:r w:rsidR="00E963D8">
          <w:rPr>
            <w:noProof/>
            <w:webHidden/>
          </w:rPr>
          <w:instrText xml:space="preserve"> PAGEREF _Toc180174619 \h </w:instrText>
        </w:r>
        <w:r w:rsidR="00E963D8">
          <w:rPr>
            <w:noProof/>
            <w:webHidden/>
          </w:rPr>
        </w:r>
        <w:r w:rsidR="00E963D8">
          <w:rPr>
            <w:noProof/>
            <w:webHidden/>
          </w:rPr>
          <w:fldChar w:fldCharType="separate"/>
        </w:r>
        <w:r w:rsidR="00F31865">
          <w:rPr>
            <w:noProof/>
            <w:webHidden/>
          </w:rPr>
          <w:t>40</w:t>
        </w:r>
        <w:r w:rsidR="00E963D8">
          <w:rPr>
            <w:noProof/>
            <w:webHidden/>
          </w:rPr>
          <w:fldChar w:fldCharType="end"/>
        </w:r>
      </w:hyperlink>
    </w:p>
    <w:p w14:paraId="24DE2967" w14:textId="0E3604AB" w:rsidR="0017134D" w:rsidRPr="005E4A52" w:rsidRDefault="00FA2986">
      <w:r>
        <w:fldChar w:fldCharType="end"/>
      </w:r>
      <w:r w:rsidR="0017134D" w:rsidRPr="005E4A52">
        <w:br w:type="page"/>
      </w:r>
    </w:p>
    <w:p w14:paraId="0C15807D" w14:textId="36558797" w:rsidR="00253497" w:rsidRPr="005E4A52" w:rsidRDefault="00253497" w:rsidP="007733A5">
      <w:pPr>
        <w:pStyle w:val="Heading2"/>
        <w:rPr>
          <w:rStyle w:val="Strong"/>
        </w:rPr>
      </w:pPr>
      <w:bookmarkStart w:id="0" w:name="_Toc180174603"/>
      <w:bookmarkStart w:id="1" w:name="_Toc126923147"/>
      <w:bookmarkStart w:id="2" w:name="_Toc126923158"/>
      <w:r w:rsidRPr="005E4A52">
        <w:rPr>
          <w:lang w:val="en-US"/>
        </w:rPr>
        <w:lastRenderedPageBreak/>
        <w:t>Glossary</w:t>
      </w:r>
      <w:bookmarkEnd w:id="0"/>
    </w:p>
    <w:tbl>
      <w:tblPr>
        <w:tblStyle w:val="TableGrid"/>
        <w:tblW w:w="9204"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2F2F2" w:themeFill="background1" w:themeFillShade="F2"/>
        <w:tblLook w:val="04A0" w:firstRow="1" w:lastRow="0" w:firstColumn="1" w:lastColumn="0" w:noHBand="0" w:noVBand="1"/>
      </w:tblPr>
      <w:tblGrid>
        <w:gridCol w:w="2040"/>
        <w:gridCol w:w="7164"/>
      </w:tblGrid>
      <w:tr w:rsidR="00857EE1" w:rsidRPr="005E4A52" w14:paraId="3C3C81D2" w14:textId="77777777" w:rsidTr="007C4054">
        <w:trPr>
          <w:cnfStyle w:val="100000000000" w:firstRow="1" w:lastRow="0" w:firstColumn="0" w:lastColumn="0" w:oddVBand="0" w:evenVBand="0" w:oddHBand="0" w:evenHBand="0" w:firstRowFirstColumn="0" w:firstRowLastColumn="0" w:lastRowFirstColumn="0" w:lastRowLastColumn="0"/>
          <w:trHeight w:val="439"/>
          <w:tblHeader/>
        </w:trPr>
        <w:tc>
          <w:tcPr>
            <w:tcW w:w="2040" w:type="dxa"/>
            <w:shd w:val="clear" w:color="auto" w:fill="394390" w:themeFill="accent1"/>
          </w:tcPr>
          <w:p w14:paraId="18AFE288" w14:textId="77777777" w:rsidR="00857EE1" w:rsidRPr="005E4A52" w:rsidRDefault="00857EE1" w:rsidP="007C4054">
            <w:pPr>
              <w:spacing w:before="12" w:after="0"/>
              <w:rPr>
                <w:b/>
                <w:color w:val="FFFFFF" w:themeColor="background1"/>
                <w:szCs w:val="18"/>
              </w:rPr>
            </w:pPr>
            <w:r w:rsidRPr="005E4A52">
              <w:rPr>
                <w:b/>
                <w:color w:val="FFFFFF" w:themeColor="background1"/>
                <w:szCs w:val="18"/>
              </w:rPr>
              <w:t>Term</w:t>
            </w:r>
          </w:p>
        </w:tc>
        <w:tc>
          <w:tcPr>
            <w:tcW w:w="7164" w:type="dxa"/>
            <w:shd w:val="clear" w:color="auto" w:fill="394390" w:themeFill="accent1"/>
          </w:tcPr>
          <w:p w14:paraId="2E9243B7" w14:textId="6C224CA2" w:rsidR="00857EE1" w:rsidRPr="005E4A52" w:rsidRDefault="00857EE1" w:rsidP="007C4054">
            <w:pPr>
              <w:spacing w:before="12" w:after="0"/>
              <w:rPr>
                <w:b/>
                <w:color w:val="FFFFFF" w:themeColor="background1"/>
                <w:szCs w:val="18"/>
              </w:rPr>
            </w:pPr>
            <w:r w:rsidRPr="005E4A52">
              <w:rPr>
                <w:b/>
                <w:color w:val="FFFFFF" w:themeColor="background1"/>
                <w:szCs w:val="18"/>
              </w:rPr>
              <w:t>Definition</w:t>
            </w:r>
          </w:p>
        </w:tc>
      </w:tr>
      <w:tr w:rsidR="00857EE1" w:rsidRPr="005E4A52" w14:paraId="76B0BB09" w14:textId="77777777" w:rsidTr="002C1A54">
        <w:trPr>
          <w:trHeight w:val="506"/>
        </w:trPr>
        <w:tc>
          <w:tcPr>
            <w:tcW w:w="2040" w:type="dxa"/>
            <w:shd w:val="clear" w:color="auto" w:fill="F2F2F2" w:themeFill="background1" w:themeFillShade="F2"/>
          </w:tcPr>
          <w:p w14:paraId="784D33EC" w14:textId="77777777" w:rsidR="00857EE1" w:rsidRPr="005E4A52" w:rsidRDefault="00857EE1" w:rsidP="007C4054">
            <w:pPr>
              <w:spacing w:after="160"/>
              <w:rPr>
                <w:bCs/>
                <w:iCs/>
                <w:szCs w:val="18"/>
              </w:rPr>
            </w:pPr>
            <w:r w:rsidRPr="005E4A52">
              <w:rPr>
                <w:bCs/>
                <w:iCs/>
                <w:szCs w:val="18"/>
              </w:rPr>
              <w:t>AAT/ or Tribunal</w:t>
            </w:r>
          </w:p>
          <w:p w14:paraId="44CDCE62" w14:textId="77777777" w:rsidR="00857EE1" w:rsidRPr="005E4A52" w:rsidRDefault="00857EE1" w:rsidP="007C4054">
            <w:pPr>
              <w:spacing w:after="160"/>
              <w:rPr>
                <w:bCs/>
                <w:iCs/>
                <w:szCs w:val="18"/>
              </w:rPr>
            </w:pPr>
          </w:p>
        </w:tc>
        <w:tc>
          <w:tcPr>
            <w:tcW w:w="7164" w:type="dxa"/>
            <w:shd w:val="clear" w:color="auto" w:fill="F2F2F2" w:themeFill="background1" w:themeFillShade="F2"/>
          </w:tcPr>
          <w:p w14:paraId="51975DB6" w14:textId="13AB1243" w:rsidR="00D04887" w:rsidRPr="005E4A52" w:rsidRDefault="00857EE1" w:rsidP="007C4054">
            <w:pPr>
              <w:spacing w:after="160"/>
            </w:pPr>
            <w:r w:rsidRPr="005E4A52">
              <w:t>Administrative Appeals Tribunal*</w:t>
            </w:r>
            <w:r w:rsidR="00D04887" w:rsidRPr="005E4A52">
              <w:t xml:space="preserve"> </w:t>
            </w:r>
          </w:p>
          <w:p w14:paraId="33CDBBF7" w14:textId="138788CA" w:rsidR="00857EE1" w:rsidRPr="005E4A52" w:rsidRDefault="00857EE1" w:rsidP="007C4054">
            <w:pPr>
              <w:spacing w:after="160"/>
              <w:rPr>
                <w:b/>
                <w:iCs/>
                <w:szCs w:val="18"/>
              </w:rPr>
            </w:pPr>
            <w:r w:rsidRPr="005E4A52">
              <w:rPr>
                <w:sz w:val="20"/>
                <w:szCs w:val="20"/>
              </w:rPr>
              <w:t>*Administrative Review Tribunal (ART) (from 14 October 2024)</w:t>
            </w:r>
          </w:p>
        </w:tc>
      </w:tr>
      <w:tr w:rsidR="00857EE1" w:rsidRPr="005E4A52" w14:paraId="3807FB15" w14:textId="77777777" w:rsidTr="002C1A54">
        <w:tc>
          <w:tcPr>
            <w:tcW w:w="2040" w:type="dxa"/>
            <w:shd w:val="clear" w:color="auto" w:fill="F2F2F2" w:themeFill="background1" w:themeFillShade="F2"/>
          </w:tcPr>
          <w:p w14:paraId="75042CF8" w14:textId="77777777" w:rsidR="00857EE1" w:rsidRPr="005E4A52" w:rsidRDefault="00857EE1" w:rsidP="007C4054">
            <w:pPr>
              <w:spacing w:after="160"/>
              <w:rPr>
                <w:bCs/>
                <w:iCs/>
                <w:szCs w:val="18"/>
              </w:rPr>
            </w:pPr>
            <w:r w:rsidRPr="005E4A52">
              <w:rPr>
                <w:bCs/>
                <w:iCs/>
                <w:szCs w:val="18"/>
              </w:rPr>
              <w:t>CEO</w:t>
            </w:r>
          </w:p>
        </w:tc>
        <w:tc>
          <w:tcPr>
            <w:tcW w:w="7164" w:type="dxa"/>
            <w:shd w:val="clear" w:color="auto" w:fill="F2F2F2" w:themeFill="background1" w:themeFillShade="F2"/>
          </w:tcPr>
          <w:p w14:paraId="3C3E2B18" w14:textId="47970589" w:rsidR="00857EE1" w:rsidRPr="005E4A52" w:rsidRDefault="00857EE1" w:rsidP="007C4054">
            <w:pPr>
              <w:spacing w:after="160"/>
            </w:pPr>
            <w:r w:rsidRPr="005E4A52">
              <w:t>Chief Executive Officer</w:t>
            </w:r>
          </w:p>
        </w:tc>
      </w:tr>
      <w:tr w:rsidR="00857EE1" w:rsidRPr="005E4A52" w14:paraId="0B7C4E91" w14:textId="77777777" w:rsidTr="002C1A54">
        <w:tc>
          <w:tcPr>
            <w:tcW w:w="2040" w:type="dxa"/>
            <w:shd w:val="clear" w:color="auto" w:fill="F2F2F2" w:themeFill="background1" w:themeFillShade="F2"/>
          </w:tcPr>
          <w:p w14:paraId="2538136C" w14:textId="77777777" w:rsidR="00857EE1" w:rsidRPr="005E4A52" w:rsidRDefault="00857EE1" w:rsidP="007C4054">
            <w:pPr>
              <w:spacing w:after="160"/>
              <w:rPr>
                <w:bCs/>
                <w:iCs/>
                <w:szCs w:val="18"/>
              </w:rPr>
            </w:pPr>
            <w:r w:rsidRPr="005E4A52">
              <w:rPr>
                <w:bCs/>
                <w:iCs/>
                <w:szCs w:val="18"/>
              </w:rPr>
              <w:t>Comcare</w:t>
            </w:r>
          </w:p>
        </w:tc>
        <w:tc>
          <w:tcPr>
            <w:tcW w:w="7164" w:type="dxa"/>
            <w:shd w:val="clear" w:color="auto" w:fill="F2F2F2" w:themeFill="background1" w:themeFillShade="F2"/>
          </w:tcPr>
          <w:p w14:paraId="734DD1F3" w14:textId="1CF23B01" w:rsidR="00857EE1" w:rsidRPr="005E4A52" w:rsidRDefault="00857EE1" w:rsidP="007C4054">
            <w:pPr>
              <w:spacing w:after="160"/>
            </w:pPr>
            <w:r w:rsidRPr="005E4A52">
              <w:t xml:space="preserve">The organisation established under section 68 of the </w:t>
            </w:r>
            <w:r w:rsidRPr="005E4A52">
              <w:rPr>
                <w:i/>
                <w:iCs/>
              </w:rPr>
              <w:t>Safety, Rehabilitation and Compensation Act 1988</w:t>
            </w:r>
            <w:r w:rsidRPr="005E4A52">
              <w:t xml:space="preserve"> (SRC Act) to manage the Comcare scheme</w:t>
            </w:r>
          </w:p>
        </w:tc>
      </w:tr>
      <w:tr w:rsidR="00857EE1" w:rsidRPr="005E4A52" w14:paraId="09DAC0E0" w14:textId="77777777" w:rsidTr="002C1A54">
        <w:tc>
          <w:tcPr>
            <w:tcW w:w="2040" w:type="dxa"/>
            <w:shd w:val="clear" w:color="auto" w:fill="F2F2F2" w:themeFill="background1" w:themeFillShade="F2"/>
          </w:tcPr>
          <w:p w14:paraId="3ADECABF" w14:textId="77777777" w:rsidR="00857EE1" w:rsidRPr="005E4A52" w:rsidRDefault="00857EE1" w:rsidP="007C4054">
            <w:pPr>
              <w:spacing w:after="160"/>
              <w:rPr>
                <w:bCs/>
                <w:iCs/>
                <w:szCs w:val="18"/>
              </w:rPr>
            </w:pPr>
            <w:r w:rsidRPr="005E4A52">
              <w:rPr>
                <w:bCs/>
                <w:iCs/>
                <w:szCs w:val="18"/>
              </w:rPr>
              <w:t>Comcare scheme</w:t>
            </w:r>
          </w:p>
        </w:tc>
        <w:tc>
          <w:tcPr>
            <w:tcW w:w="7164" w:type="dxa"/>
            <w:shd w:val="clear" w:color="auto" w:fill="F2F2F2" w:themeFill="background1" w:themeFillShade="F2"/>
          </w:tcPr>
          <w:p w14:paraId="1014D276" w14:textId="77777777" w:rsidR="00857EE1" w:rsidRPr="005E4A52" w:rsidRDefault="00857EE1" w:rsidP="007C4054">
            <w:pPr>
              <w:spacing w:after="160"/>
            </w:pPr>
            <w:r w:rsidRPr="005E4A52">
              <w:t xml:space="preserve">The workers’ compensation scheme set up by the SRC Act  </w:t>
            </w:r>
          </w:p>
        </w:tc>
      </w:tr>
      <w:tr w:rsidR="00857EE1" w:rsidRPr="005E4A52" w14:paraId="124D30E1" w14:textId="77777777" w:rsidTr="002C1A54">
        <w:tc>
          <w:tcPr>
            <w:tcW w:w="2040" w:type="dxa"/>
            <w:shd w:val="clear" w:color="auto" w:fill="F2F2F2" w:themeFill="background1" w:themeFillShade="F2"/>
          </w:tcPr>
          <w:p w14:paraId="28261A35" w14:textId="77777777" w:rsidR="00857EE1" w:rsidRPr="005E4A52" w:rsidRDefault="00857EE1" w:rsidP="007C4054">
            <w:pPr>
              <w:spacing w:after="160"/>
              <w:rPr>
                <w:iCs/>
              </w:rPr>
            </w:pPr>
            <w:r w:rsidRPr="005E4A52">
              <w:rPr>
                <w:iCs/>
              </w:rPr>
              <w:t xml:space="preserve">Disease </w:t>
            </w:r>
          </w:p>
        </w:tc>
        <w:tc>
          <w:tcPr>
            <w:tcW w:w="7164" w:type="dxa"/>
            <w:shd w:val="clear" w:color="auto" w:fill="F2F2F2" w:themeFill="background1" w:themeFillShade="F2"/>
          </w:tcPr>
          <w:p w14:paraId="58C82C02" w14:textId="77777777" w:rsidR="00857EE1" w:rsidRPr="005E4A52" w:rsidRDefault="00857EE1" w:rsidP="007C4054">
            <w:pPr>
              <w:spacing w:after="160"/>
              <w:rPr>
                <w:iCs/>
              </w:rPr>
            </w:pPr>
            <w:r w:rsidRPr="005E4A52">
              <w:t>An ailment suffered by an employee, or an aggravation of such an ailment, that was contributed to, to a significant degree, by the employee’s employment by the Commonwealth or a licensee (SRC Act section 5B)</w:t>
            </w:r>
          </w:p>
        </w:tc>
      </w:tr>
      <w:tr w:rsidR="00857EE1" w:rsidRPr="005E4A52" w14:paraId="34230729" w14:textId="77777777" w:rsidTr="002C1A54">
        <w:trPr>
          <w:trHeight w:val="492"/>
        </w:trPr>
        <w:tc>
          <w:tcPr>
            <w:tcW w:w="2040" w:type="dxa"/>
            <w:shd w:val="clear" w:color="auto" w:fill="F2F2F2" w:themeFill="background1" w:themeFillShade="F2"/>
          </w:tcPr>
          <w:p w14:paraId="3658EDA6" w14:textId="77777777" w:rsidR="00857EE1" w:rsidRPr="005E4A52" w:rsidRDefault="00857EE1" w:rsidP="007C4054">
            <w:pPr>
              <w:spacing w:after="160"/>
              <w:rPr>
                <w:iCs/>
              </w:rPr>
            </w:pPr>
            <w:r w:rsidRPr="005E4A52">
              <w:rPr>
                <w:iCs/>
              </w:rPr>
              <w:t>Employee</w:t>
            </w:r>
          </w:p>
        </w:tc>
        <w:tc>
          <w:tcPr>
            <w:tcW w:w="7164" w:type="dxa"/>
            <w:shd w:val="clear" w:color="auto" w:fill="F2F2F2" w:themeFill="background1" w:themeFillShade="F2"/>
          </w:tcPr>
          <w:p w14:paraId="0CA1BED7" w14:textId="4350687D" w:rsidR="00857EE1" w:rsidRPr="005E4A52" w:rsidRDefault="00857EE1" w:rsidP="007C4054">
            <w:pPr>
              <w:spacing w:after="160"/>
            </w:pPr>
            <w:r w:rsidRPr="005E4A52">
              <w:t>A person employed by the Australian Government or a self-insurance licensee</w:t>
            </w:r>
            <w:r w:rsidR="00530A80">
              <w:t xml:space="preserve"> in the context of the SRC Act</w:t>
            </w:r>
            <w:r w:rsidRPr="005E4A52">
              <w:t xml:space="preserve"> (see section 5) </w:t>
            </w:r>
          </w:p>
        </w:tc>
      </w:tr>
      <w:tr w:rsidR="00857EE1" w:rsidRPr="005E4A52" w14:paraId="774195E7" w14:textId="77777777" w:rsidTr="002C1A54">
        <w:tc>
          <w:tcPr>
            <w:tcW w:w="2040" w:type="dxa"/>
            <w:shd w:val="clear" w:color="auto" w:fill="F2F2F2" w:themeFill="background1" w:themeFillShade="F2"/>
          </w:tcPr>
          <w:p w14:paraId="3ED68D8E" w14:textId="77777777" w:rsidR="00857EE1" w:rsidRPr="005E4A52" w:rsidRDefault="00857EE1" w:rsidP="007C4054">
            <w:pPr>
              <w:spacing w:after="160"/>
              <w:rPr>
                <w:bCs/>
                <w:iCs/>
                <w:szCs w:val="18"/>
              </w:rPr>
            </w:pPr>
            <w:r w:rsidRPr="005E4A52">
              <w:rPr>
                <w:bCs/>
                <w:iCs/>
                <w:szCs w:val="18"/>
              </w:rPr>
              <w:t>FTE</w:t>
            </w:r>
          </w:p>
        </w:tc>
        <w:tc>
          <w:tcPr>
            <w:tcW w:w="7164" w:type="dxa"/>
            <w:shd w:val="clear" w:color="auto" w:fill="F2F2F2" w:themeFill="background1" w:themeFillShade="F2"/>
          </w:tcPr>
          <w:p w14:paraId="48015C5F" w14:textId="77777777" w:rsidR="00857EE1" w:rsidRPr="005E4A52" w:rsidRDefault="00857EE1" w:rsidP="007C4054">
            <w:pPr>
              <w:spacing w:after="160"/>
            </w:pPr>
            <w:r w:rsidRPr="005E4A52">
              <w:t>Full time equivalent, measure of employee resources</w:t>
            </w:r>
          </w:p>
        </w:tc>
      </w:tr>
      <w:tr w:rsidR="00857EE1" w:rsidRPr="005E4A52" w14:paraId="5D49BC26" w14:textId="77777777" w:rsidTr="002C1A54">
        <w:tc>
          <w:tcPr>
            <w:tcW w:w="2040" w:type="dxa"/>
            <w:shd w:val="clear" w:color="auto" w:fill="F2F2F2" w:themeFill="background1" w:themeFillShade="F2"/>
          </w:tcPr>
          <w:p w14:paraId="2A20C69D" w14:textId="77777777" w:rsidR="00857EE1" w:rsidRPr="005E4A52" w:rsidRDefault="00857EE1" w:rsidP="007C4054">
            <w:pPr>
              <w:spacing w:after="160"/>
              <w:rPr>
                <w:bCs/>
                <w:iCs/>
                <w:szCs w:val="18"/>
              </w:rPr>
            </w:pPr>
            <w:r w:rsidRPr="005E4A52">
              <w:rPr>
                <w:bCs/>
                <w:iCs/>
                <w:szCs w:val="18"/>
              </w:rPr>
              <w:t>Hanks Review</w:t>
            </w:r>
          </w:p>
        </w:tc>
        <w:tc>
          <w:tcPr>
            <w:tcW w:w="7164" w:type="dxa"/>
            <w:shd w:val="clear" w:color="auto" w:fill="F2F2F2" w:themeFill="background1" w:themeFillShade="F2"/>
          </w:tcPr>
          <w:p w14:paraId="46704D13" w14:textId="77777777" w:rsidR="00857EE1" w:rsidRPr="005E4A52" w:rsidRDefault="00857EE1" w:rsidP="007C4054">
            <w:pPr>
              <w:spacing w:after="160"/>
              <w:rPr>
                <w:bCs/>
                <w:iCs/>
                <w:szCs w:val="18"/>
              </w:rPr>
            </w:pPr>
            <w:r w:rsidRPr="005E4A52">
              <w:t xml:space="preserve">Peter Hanks KC, </w:t>
            </w:r>
            <w:hyperlink r:id="rId17" w:anchor=":~:text=Mr%20Peter%20Hanks%20QC%20%2D%20the,injured%20workers%20and%20their%20employers." w:history="1">
              <w:r w:rsidRPr="005E4A52">
                <w:rPr>
                  <w:rStyle w:val="Hyperlink"/>
                </w:rPr>
                <w:t>‘</w:t>
              </w:r>
              <w:r w:rsidRPr="005E4A52">
                <w:rPr>
                  <w:rStyle w:val="Hyperlink"/>
                  <w:i/>
                  <w:iCs/>
                </w:rPr>
                <w:t>Safety, Rehabilitation and Compensation Act review, Report – February 2013</w:t>
              </w:r>
            </w:hyperlink>
            <w:r w:rsidRPr="005E4A52">
              <w:t>,’ Report to the Australian Government Department of Education, Employment and Workplace Relations, 2013</w:t>
            </w:r>
          </w:p>
        </w:tc>
      </w:tr>
      <w:tr w:rsidR="00857EE1" w:rsidRPr="005E4A52" w14:paraId="7EACA2B7" w14:textId="77777777" w:rsidTr="002C1A54">
        <w:tc>
          <w:tcPr>
            <w:tcW w:w="2040" w:type="dxa"/>
            <w:shd w:val="clear" w:color="auto" w:fill="F2F2F2" w:themeFill="background1" w:themeFillShade="F2"/>
          </w:tcPr>
          <w:p w14:paraId="70C3ED5F" w14:textId="77777777" w:rsidR="00857EE1" w:rsidRPr="005E4A52" w:rsidRDefault="00857EE1" w:rsidP="007C4054">
            <w:pPr>
              <w:spacing w:after="160"/>
              <w:rPr>
                <w:bCs/>
                <w:iCs/>
                <w:szCs w:val="18"/>
              </w:rPr>
            </w:pPr>
            <w:r w:rsidRPr="005E4A52">
              <w:rPr>
                <w:bCs/>
                <w:iCs/>
                <w:szCs w:val="18"/>
              </w:rPr>
              <w:t>Hawke Review</w:t>
            </w:r>
          </w:p>
        </w:tc>
        <w:tc>
          <w:tcPr>
            <w:tcW w:w="7164" w:type="dxa"/>
            <w:shd w:val="clear" w:color="auto" w:fill="F2F2F2" w:themeFill="background1" w:themeFillShade="F2"/>
          </w:tcPr>
          <w:p w14:paraId="2776411C" w14:textId="77777777" w:rsidR="00857EE1" w:rsidRPr="005E4A52" w:rsidRDefault="00857EE1" w:rsidP="007C4054">
            <w:pPr>
              <w:spacing w:after="160"/>
              <w:rPr>
                <w:bCs/>
                <w:iCs/>
                <w:szCs w:val="18"/>
              </w:rPr>
            </w:pPr>
            <w:r w:rsidRPr="005E4A52">
              <w:t xml:space="preserve">Allan Hawke AC, </w:t>
            </w:r>
            <w:hyperlink r:id="rId18" w:history="1">
              <w:r w:rsidRPr="005E4A52">
                <w:rPr>
                  <w:rStyle w:val="Hyperlink"/>
                </w:rPr>
                <w:t>‘</w:t>
              </w:r>
              <w:r w:rsidRPr="005E4A52">
                <w:rPr>
                  <w:rStyle w:val="Hyperlink"/>
                  <w:i/>
                  <w:iCs/>
                </w:rPr>
                <w:t>Safety, Rehabilitation and Compensation Act review, Report of the Comcare scheme’s performance, governance and financial framework,’</w:t>
              </w:r>
            </w:hyperlink>
            <w:r w:rsidRPr="005E4A52">
              <w:t xml:space="preserve"> Report to the Australian Government Department of Education, Employment and Workplace Relations, 2013</w:t>
            </w:r>
          </w:p>
        </w:tc>
      </w:tr>
      <w:tr w:rsidR="00857EE1" w:rsidRPr="005E4A52" w14:paraId="100B4F5F" w14:textId="77777777" w:rsidTr="002C1A54">
        <w:tc>
          <w:tcPr>
            <w:tcW w:w="2040" w:type="dxa"/>
            <w:shd w:val="clear" w:color="auto" w:fill="F2F2F2" w:themeFill="background1" w:themeFillShade="F2"/>
          </w:tcPr>
          <w:p w14:paraId="3FEB34A0" w14:textId="77777777" w:rsidR="00857EE1" w:rsidRPr="005E4A52" w:rsidRDefault="00857EE1" w:rsidP="007C4054">
            <w:pPr>
              <w:spacing w:after="160"/>
              <w:rPr>
                <w:iCs/>
              </w:rPr>
            </w:pPr>
            <w:r w:rsidRPr="005E4A52">
              <w:rPr>
                <w:iCs/>
              </w:rPr>
              <w:t>IME</w:t>
            </w:r>
          </w:p>
        </w:tc>
        <w:tc>
          <w:tcPr>
            <w:tcW w:w="7164" w:type="dxa"/>
            <w:shd w:val="clear" w:color="auto" w:fill="F2F2F2" w:themeFill="background1" w:themeFillShade="F2"/>
          </w:tcPr>
          <w:p w14:paraId="3D4EB890" w14:textId="77777777" w:rsidR="00857EE1" w:rsidRPr="005E4A52" w:rsidRDefault="00857EE1" w:rsidP="007C4054">
            <w:pPr>
              <w:spacing w:after="160"/>
            </w:pPr>
            <w:r w:rsidRPr="005E4A52">
              <w:t>Independent medical examination</w:t>
            </w:r>
          </w:p>
        </w:tc>
      </w:tr>
      <w:tr w:rsidR="00857EE1" w:rsidRPr="005E4A52" w14:paraId="31039B4E" w14:textId="77777777" w:rsidTr="002C1A54">
        <w:tc>
          <w:tcPr>
            <w:tcW w:w="2040" w:type="dxa"/>
            <w:shd w:val="clear" w:color="auto" w:fill="F2F2F2" w:themeFill="background1" w:themeFillShade="F2"/>
          </w:tcPr>
          <w:p w14:paraId="1CF0A7EF" w14:textId="77777777" w:rsidR="00857EE1" w:rsidRPr="005E4A52" w:rsidRDefault="00857EE1" w:rsidP="007C4054">
            <w:pPr>
              <w:spacing w:after="160"/>
              <w:rPr>
                <w:iCs/>
              </w:rPr>
            </w:pPr>
            <w:r w:rsidRPr="005E4A52">
              <w:rPr>
                <w:bCs/>
                <w:iCs/>
                <w:szCs w:val="18"/>
              </w:rPr>
              <w:t>IME Guide</w:t>
            </w:r>
          </w:p>
        </w:tc>
        <w:tc>
          <w:tcPr>
            <w:tcW w:w="7164" w:type="dxa"/>
            <w:shd w:val="clear" w:color="auto" w:fill="F2F2F2" w:themeFill="background1" w:themeFillShade="F2"/>
          </w:tcPr>
          <w:p w14:paraId="57674D0C" w14:textId="755A933F" w:rsidR="00857EE1" w:rsidRPr="005E4A52" w:rsidRDefault="00857EE1" w:rsidP="007C4054">
            <w:pPr>
              <w:spacing w:after="160"/>
            </w:pPr>
            <w:r w:rsidRPr="005E4A52">
              <w:rPr>
                <w:rFonts w:eastAsiaTheme="minorEastAsia"/>
                <w:i/>
                <w:iCs/>
              </w:rPr>
              <w:t xml:space="preserve">Guide for Arranging Rehabilitation Assessments and Requiring Examinations </w:t>
            </w:r>
            <w:r w:rsidRPr="005E4A52">
              <w:rPr>
                <w:rFonts w:eastAsiaTheme="minorEastAsia"/>
              </w:rPr>
              <w:t xml:space="preserve">prepared by Comcare in conjunction with the </w:t>
            </w:r>
            <w:r w:rsidR="00E963D8" w:rsidRPr="005E4A52">
              <w:t>Safety, Rehabilitation and Compensation Commission</w:t>
            </w:r>
          </w:p>
        </w:tc>
      </w:tr>
      <w:tr w:rsidR="00857EE1" w:rsidRPr="005E4A52" w14:paraId="0F27E521" w14:textId="77777777" w:rsidTr="002C1A54">
        <w:tc>
          <w:tcPr>
            <w:tcW w:w="2040" w:type="dxa"/>
            <w:shd w:val="clear" w:color="auto" w:fill="F2F2F2" w:themeFill="background1" w:themeFillShade="F2"/>
          </w:tcPr>
          <w:p w14:paraId="7269BFEC" w14:textId="77777777" w:rsidR="00857EE1" w:rsidRPr="005E4A52" w:rsidRDefault="00857EE1" w:rsidP="007C4054">
            <w:pPr>
              <w:spacing w:after="160"/>
              <w:rPr>
                <w:iCs/>
              </w:rPr>
            </w:pPr>
            <w:r w:rsidRPr="005E4A52">
              <w:rPr>
                <w:iCs/>
              </w:rPr>
              <w:t xml:space="preserve">Injury </w:t>
            </w:r>
          </w:p>
        </w:tc>
        <w:tc>
          <w:tcPr>
            <w:tcW w:w="7164" w:type="dxa"/>
            <w:shd w:val="clear" w:color="auto" w:fill="F2F2F2" w:themeFill="background1" w:themeFillShade="F2"/>
          </w:tcPr>
          <w:p w14:paraId="5DF4B09A" w14:textId="77777777" w:rsidR="00857EE1" w:rsidRPr="005E4A52" w:rsidRDefault="00857EE1" w:rsidP="007C4054">
            <w:pPr>
              <w:spacing w:after="160"/>
              <w:rPr>
                <w:iCs/>
              </w:rPr>
            </w:pPr>
            <w:r w:rsidRPr="005E4A52">
              <w:t xml:space="preserve">An injury (other than a disease) suffered by an employee, that is a physical or mental injury arising out of, or </w:t>
            </w:r>
            <w:proofErr w:type="gramStart"/>
            <w:r w:rsidRPr="005E4A52">
              <w:t>in the course of</w:t>
            </w:r>
            <w:proofErr w:type="gramEnd"/>
            <w:r w:rsidRPr="005E4A52">
              <w:t>, the employee’s employment; or an aggravation of a physical or mental injury (other than a disease) suffered by an employee, that is an aggravation that arose out of, or in the course of, that employment (SRC Act section 5A)</w:t>
            </w:r>
          </w:p>
        </w:tc>
      </w:tr>
      <w:tr w:rsidR="00857EE1" w:rsidRPr="005E4A52" w14:paraId="431B4C66" w14:textId="77777777" w:rsidTr="002C1A54">
        <w:tc>
          <w:tcPr>
            <w:tcW w:w="2040" w:type="dxa"/>
            <w:shd w:val="clear" w:color="auto" w:fill="F2F2F2" w:themeFill="background1" w:themeFillShade="F2"/>
          </w:tcPr>
          <w:p w14:paraId="088DED05" w14:textId="77777777" w:rsidR="00857EE1" w:rsidRPr="005E4A52" w:rsidRDefault="00857EE1" w:rsidP="007C4054">
            <w:pPr>
              <w:spacing w:after="160"/>
              <w:rPr>
                <w:iCs/>
              </w:rPr>
            </w:pPr>
            <w:r w:rsidRPr="005E4A52">
              <w:rPr>
                <w:iCs/>
              </w:rPr>
              <w:t>Premium</w:t>
            </w:r>
          </w:p>
        </w:tc>
        <w:tc>
          <w:tcPr>
            <w:tcW w:w="7164" w:type="dxa"/>
            <w:shd w:val="clear" w:color="auto" w:fill="F2F2F2" w:themeFill="background1" w:themeFillShade="F2"/>
          </w:tcPr>
          <w:p w14:paraId="47CA9DFA" w14:textId="77777777" w:rsidR="00857EE1" w:rsidRPr="005E4A52" w:rsidRDefault="00857EE1" w:rsidP="007C4054">
            <w:pPr>
              <w:spacing w:after="160"/>
              <w:rPr>
                <w:rFonts w:cstheme="minorHAnsi"/>
              </w:rPr>
            </w:pPr>
            <w:r w:rsidRPr="005E4A52">
              <w:rPr>
                <w:rFonts w:cstheme="minorHAnsi"/>
              </w:rPr>
              <w:t xml:space="preserve">An amount to be paid for a contract of insurance </w:t>
            </w:r>
          </w:p>
        </w:tc>
      </w:tr>
      <w:tr w:rsidR="00857EE1" w:rsidRPr="005E4A52" w14:paraId="0E499004" w14:textId="77777777" w:rsidTr="002C1A54">
        <w:tc>
          <w:tcPr>
            <w:tcW w:w="2040" w:type="dxa"/>
            <w:shd w:val="clear" w:color="auto" w:fill="F2F2F2" w:themeFill="background1" w:themeFillShade="F2"/>
          </w:tcPr>
          <w:p w14:paraId="094EB0F6" w14:textId="77777777" w:rsidR="00857EE1" w:rsidRPr="005E4A52" w:rsidRDefault="00857EE1" w:rsidP="007C4054">
            <w:pPr>
              <w:spacing w:after="160"/>
              <w:rPr>
                <w:iCs/>
              </w:rPr>
            </w:pPr>
            <w:r w:rsidRPr="005E4A52">
              <w:rPr>
                <w:iCs/>
              </w:rPr>
              <w:t>Premium payers</w:t>
            </w:r>
          </w:p>
        </w:tc>
        <w:tc>
          <w:tcPr>
            <w:tcW w:w="7164" w:type="dxa"/>
            <w:shd w:val="clear" w:color="auto" w:fill="F2F2F2" w:themeFill="background1" w:themeFillShade="F2"/>
          </w:tcPr>
          <w:p w14:paraId="2AE780EB" w14:textId="77777777" w:rsidR="00857EE1" w:rsidRPr="005E4A52" w:rsidRDefault="00857EE1" w:rsidP="007C4054">
            <w:pPr>
              <w:spacing w:after="160"/>
              <w:rPr>
                <w:rFonts w:cstheme="minorHAnsi"/>
              </w:rPr>
            </w:pPr>
            <w:r w:rsidRPr="005E4A52">
              <w:rPr>
                <w:rFonts w:cstheme="minorHAnsi"/>
              </w:rPr>
              <w:t>Australian Government agencies which pay premiums to Comcare</w:t>
            </w:r>
          </w:p>
        </w:tc>
      </w:tr>
      <w:tr w:rsidR="00857EE1" w:rsidRPr="005E4A52" w14:paraId="19CC3E6A" w14:textId="77777777" w:rsidTr="002C1A54">
        <w:tc>
          <w:tcPr>
            <w:tcW w:w="2040" w:type="dxa"/>
            <w:shd w:val="clear" w:color="auto" w:fill="F2F2F2" w:themeFill="background1" w:themeFillShade="F2"/>
          </w:tcPr>
          <w:p w14:paraId="3726985C" w14:textId="77777777" w:rsidR="00857EE1" w:rsidRPr="005E4A52" w:rsidRDefault="00857EE1" w:rsidP="007C4054">
            <w:pPr>
              <w:spacing w:after="160"/>
              <w:rPr>
                <w:bCs/>
                <w:iCs/>
                <w:szCs w:val="18"/>
              </w:rPr>
            </w:pPr>
            <w:r w:rsidRPr="005E4A52">
              <w:rPr>
                <w:bCs/>
                <w:iCs/>
                <w:szCs w:val="18"/>
              </w:rPr>
              <w:t>Regulations</w:t>
            </w:r>
          </w:p>
        </w:tc>
        <w:tc>
          <w:tcPr>
            <w:tcW w:w="7164" w:type="dxa"/>
            <w:shd w:val="clear" w:color="auto" w:fill="F2F2F2" w:themeFill="background1" w:themeFillShade="F2"/>
          </w:tcPr>
          <w:p w14:paraId="5EAFD005" w14:textId="3DABB633" w:rsidR="00857EE1" w:rsidRPr="00315D1E" w:rsidRDefault="00857EE1" w:rsidP="007C4054">
            <w:pPr>
              <w:spacing w:after="160"/>
              <w:rPr>
                <w:iCs/>
              </w:rPr>
            </w:pPr>
            <w:r w:rsidRPr="00315D1E">
              <w:rPr>
                <w:iCs/>
              </w:rPr>
              <w:t>Safety, Rehabilitation and Compensation Regulations 2019</w:t>
            </w:r>
          </w:p>
        </w:tc>
      </w:tr>
      <w:tr w:rsidR="00857EE1" w:rsidRPr="005E4A52" w14:paraId="1EC0140D" w14:textId="77777777" w:rsidTr="002C1A54">
        <w:tc>
          <w:tcPr>
            <w:tcW w:w="2040" w:type="dxa"/>
            <w:shd w:val="clear" w:color="auto" w:fill="F2F2F2" w:themeFill="background1" w:themeFillShade="F2"/>
          </w:tcPr>
          <w:p w14:paraId="4B831FE1" w14:textId="77777777" w:rsidR="00857EE1" w:rsidRPr="005E4A52" w:rsidRDefault="00857EE1" w:rsidP="007C4054">
            <w:pPr>
              <w:spacing w:after="160"/>
              <w:rPr>
                <w:bCs/>
                <w:iCs/>
                <w:szCs w:val="18"/>
              </w:rPr>
            </w:pPr>
            <w:r w:rsidRPr="005E4A52">
              <w:rPr>
                <w:bCs/>
                <w:iCs/>
                <w:szCs w:val="18"/>
              </w:rPr>
              <w:lastRenderedPageBreak/>
              <w:t>Rehabilitation authority</w:t>
            </w:r>
          </w:p>
        </w:tc>
        <w:tc>
          <w:tcPr>
            <w:tcW w:w="7164" w:type="dxa"/>
            <w:shd w:val="clear" w:color="auto" w:fill="F2F2F2" w:themeFill="background1" w:themeFillShade="F2"/>
          </w:tcPr>
          <w:p w14:paraId="006ADD7F" w14:textId="224E1795" w:rsidR="00857EE1" w:rsidRPr="005E4A52" w:rsidRDefault="00857EE1" w:rsidP="007C4054">
            <w:pPr>
              <w:spacing w:after="160"/>
            </w:pPr>
            <w:r w:rsidRPr="005E4A52">
              <w:t>The principal officer of the organisation providing workplace rehabilitation to the employee (SRC Act section 4)</w:t>
            </w:r>
          </w:p>
        </w:tc>
      </w:tr>
      <w:tr w:rsidR="00857EE1" w:rsidRPr="005E4A52" w14:paraId="4610C09F" w14:textId="77777777" w:rsidTr="002C1A54">
        <w:tc>
          <w:tcPr>
            <w:tcW w:w="2040" w:type="dxa"/>
            <w:shd w:val="clear" w:color="auto" w:fill="F2F2F2" w:themeFill="background1" w:themeFillShade="F2"/>
          </w:tcPr>
          <w:p w14:paraId="49CDF211" w14:textId="77777777" w:rsidR="00857EE1" w:rsidRPr="005E4A52" w:rsidRDefault="00857EE1" w:rsidP="007C4054">
            <w:pPr>
              <w:spacing w:after="160"/>
              <w:rPr>
                <w:iCs/>
              </w:rPr>
            </w:pPr>
            <w:r w:rsidRPr="005E4A52">
              <w:rPr>
                <w:iCs/>
              </w:rPr>
              <w:t>Self-insured licensee</w:t>
            </w:r>
          </w:p>
        </w:tc>
        <w:tc>
          <w:tcPr>
            <w:tcW w:w="7164" w:type="dxa"/>
            <w:shd w:val="clear" w:color="auto" w:fill="F2F2F2" w:themeFill="background1" w:themeFillShade="F2"/>
          </w:tcPr>
          <w:p w14:paraId="7CCC561E" w14:textId="1CFCC22B" w:rsidR="00857EE1" w:rsidRPr="005E4A52" w:rsidRDefault="00857EE1" w:rsidP="007C4054">
            <w:pPr>
              <w:spacing w:after="160"/>
              <w:rPr>
                <w:iCs/>
              </w:rPr>
            </w:pPr>
            <w:r w:rsidRPr="005E4A52">
              <w:t>Corporations granted power by the Safety, Rehabilitation and Compensation Commission (SRCC) to accept liability for and/or manage workers’ compensation claims for their employees</w:t>
            </w:r>
          </w:p>
        </w:tc>
      </w:tr>
      <w:tr w:rsidR="00857EE1" w:rsidRPr="005E4A52" w14:paraId="543ACA6B" w14:textId="77777777" w:rsidTr="002C1A54">
        <w:tc>
          <w:tcPr>
            <w:tcW w:w="2040" w:type="dxa"/>
            <w:shd w:val="clear" w:color="auto" w:fill="F2F2F2" w:themeFill="background1" w:themeFillShade="F2"/>
          </w:tcPr>
          <w:p w14:paraId="0BBA7A31" w14:textId="77777777" w:rsidR="00857EE1" w:rsidRPr="005E4A52" w:rsidRDefault="00857EE1" w:rsidP="007C4054">
            <w:pPr>
              <w:spacing w:after="160"/>
              <w:rPr>
                <w:iCs/>
              </w:rPr>
            </w:pPr>
            <w:r w:rsidRPr="005E4A52">
              <w:rPr>
                <w:iCs/>
              </w:rPr>
              <w:t>Service provider</w:t>
            </w:r>
          </w:p>
        </w:tc>
        <w:tc>
          <w:tcPr>
            <w:tcW w:w="7164" w:type="dxa"/>
            <w:shd w:val="clear" w:color="auto" w:fill="F2F2F2" w:themeFill="background1" w:themeFillShade="F2"/>
          </w:tcPr>
          <w:p w14:paraId="0BEE68E5" w14:textId="77777777" w:rsidR="00857EE1" w:rsidRPr="005E4A52" w:rsidRDefault="00857EE1" w:rsidP="007C4054">
            <w:pPr>
              <w:spacing w:after="160"/>
              <w:rPr>
                <w:rFonts w:cstheme="minorHAnsi"/>
              </w:rPr>
            </w:pPr>
            <w:r w:rsidRPr="005E4A52">
              <w:rPr>
                <w:rFonts w:cstheme="minorHAnsi"/>
              </w:rPr>
              <w:t>An external party providing rehabilitation and other services to employees. Service providers include workplace rehabilitation providers, medical practitioners, allied health professionals, pharmacists, independent medical examiners, attendant care service providers, household service providers, and training providers</w:t>
            </w:r>
          </w:p>
        </w:tc>
      </w:tr>
      <w:tr w:rsidR="00857EE1" w:rsidRPr="005E4A52" w14:paraId="3D386CEF" w14:textId="77777777" w:rsidTr="002C1A54">
        <w:tc>
          <w:tcPr>
            <w:tcW w:w="2040" w:type="dxa"/>
            <w:shd w:val="clear" w:color="auto" w:fill="F2F2F2" w:themeFill="background1" w:themeFillShade="F2"/>
          </w:tcPr>
          <w:p w14:paraId="6E7451AC" w14:textId="77777777" w:rsidR="00857EE1" w:rsidRPr="005E4A52" w:rsidRDefault="00857EE1" w:rsidP="007C4054">
            <w:pPr>
              <w:spacing w:after="160"/>
              <w:rPr>
                <w:bCs/>
                <w:iCs/>
                <w:szCs w:val="18"/>
              </w:rPr>
            </w:pPr>
            <w:r w:rsidRPr="005E4A52">
              <w:rPr>
                <w:bCs/>
                <w:iCs/>
                <w:szCs w:val="18"/>
              </w:rPr>
              <w:t>SRC Act</w:t>
            </w:r>
          </w:p>
        </w:tc>
        <w:tc>
          <w:tcPr>
            <w:tcW w:w="7164" w:type="dxa"/>
            <w:shd w:val="clear" w:color="auto" w:fill="F2F2F2" w:themeFill="background1" w:themeFillShade="F2"/>
          </w:tcPr>
          <w:p w14:paraId="7F6E156A" w14:textId="77777777" w:rsidR="00857EE1" w:rsidRPr="005E4A52" w:rsidRDefault="00857EE1" w:rsidP="007C4054">
            <w:pPr>
              <w:spacing w:after="160"/>
              <w:rPr>
                <w:b/>
                <w:iCs/>
                <w:szCs w:val="18"/>
              </w:rPr>
            </w:pPr>
            <w:r w:rsidRPr="005E4A52">
              <w:rPr>
                <w:i/>
                <w:iCs/>
              </w:rPr>
              <w:t>Safety, Rehabilitation and Compensation Act 1988</w:t>
            </w:r>
          </w:p>
        </w:tc>
      </w:tr>
      <w:tr w:rsidR="00857EE1" w:rsidRPr="005E4A52" w14:paraId="49D72A67" w14:textId="77777777" w:rsidTr="002C1A54">
        <w:tc>
          <w:tcPr>
            <w:tcW w:w="2040" w:type="dxa"/>
            <w:shd w:val="clear" w:color="auto" w:fill="F2F2F2" w:themeFill="background1" w:themeFillShade="F2"/>
          </w:tcPr>
          <w:p w14:paraId="38B7D62E" w14:textId="77777777" w:rsidR="00857EE1" w:rsidRPr="005E4A52" w:rsidRDefault="00857EE1" w:rsidP="007C4054">
            <w:pPr>
              <w:spacing w:after="160"/>
              <w:rPr>
                <w:bCs/>
                <w:iCs/>
                <w:szCs w:val="18"/>
              </w:rPr>
            </w:pPr>
            <w:r w:rsidRPr="005E4A52">
              <w:rPr>
                <w:bCs/>
                <w:iCs/>
                <w:szCs w:val="18"/>
              </w:rPr>
              <w:t>SRCC</w:t>
            </w:r>
          </w:p>
        </w:tc>
        <w:tc>
          <w:tcPr>
            <w:tcW w:w="7164" w:type="dxa"/>
            <w:shd w:val="clear" w:color="auto" w:fill="F2F2F2" w:themeFill="background1" w:themeFillShade="F2"/>
          </w:tcPr>
          <w:p w14:paraId="7FA075E1" w14:textId="77777777" w:rsidR="00857EE1" w:rsidRPr="005E4A52" w:rsidRDefault="00857EE1" w:rsidP="007C4054">
            <w:pPr>
              <w:spacing w:after="160"/>
              <w:rPr>
                <w:b/>
                <w:iCs/>
                <w:szCs w:val="18"/>
              </w:rPr>
            </w:pPr>
            <w:r w:rsidRPr="005E4A52">
              <w:t>Safety, Rehabilitation and Compensation Commission</w:t>
            </w:r>
          </w:p>
        </w:tc>
      </w:tr>
      <w:tr w:rsidR="00857EE1" w:rsidRPr="005E4A52" w14:paraId="14F242DD" w14:textId="77777777" w:rsidTr="002C1A54">
        <w:trPr>
          <w:trHeight w:val="626"/>
        </w:trPr>
        <w:tc>
          <w:tcPr>
            <w:tcW w:w="2040" w:type="dxa"/>
            <w:shd w:val="clear" w:color="auto" w:fill="F2F2F2" w:themeFill="background1" w:themeFillShade="F2"/>
          </w:tcPr>
          <w:p w14:paraId="5E82A063" w14:textId="77777777" w:rsidR="00857EE1" w:rsidRPr="005E4A52" w:rsidRDefault="00857EE1" w:rsidP="007C4054">
            <w:pPr>
              <w:spacing w:after="160"/>
              <w:rPr>
                <w:bCs/>
                <w:iCs/>
                <w:szCs w:val="18"/>
              </w:rPr>
            </w:pPr>
            <w:r w:rsidRPr="005E4A52">
              <w:rPr>
                <w:bCs/>
                <w:iCs/>
                <w:szCs w:val="18"/>
              </w:rPr>
              <w:t>SWA</w:t>
            </w:r>
          </w:p>
        </w:tc>
        <w:tc>
          <w:tcPr>
            <w:tcW w:w="7164" w:type="dxa"/>
            <w:shd w:val="clear" w:color="auto" w:fill="F2F2F2" w:themeFill="background1" w:themeFillShade="F2"/>
          </w:tcPr>
          <w:p w14:paraId="544FD02D" w14:textId="77777777" w:rsidR="00857EE1" w:rsidRPr="005E4A52" w:rsidRDefault="00857EE1" w:rsidP="007C4054">
            <w:pPr>
              <w:spacing w:after="160"/>
              <w:rPr>
                <w:b/>
                <w:bCs/>
                <w:iCs/>
                <w:szCs w:val="18"/>
                <w:lang w:val="en-US"/>
              </w:rPr>
            </w:pPr>
            <w:r w:rsidRPr="005E4A52">
              <w:rPr>
                <w:bCs/>
                <w:iCs/>
                <w:szCs w:val="18"/>
              </w:rPr>
              <w:t xml:space="preserve">Safe Work Australia – the body which </w:t>
            </w:r>
            <w:r w:rsidRPr="005E4A52">
              <w:rPr>
                <w:iCs/>
                <w:szCs w:val="18"/>
                <w:lang w:val="en-US"/>
              </w:rPr>
              <w:t>develops national policy relating to WHS and workers' compensation</w:t>
            </w:r>
          </w:p>
        </w:tc>
      </w:tr>
      <w:tr w:rsidR="008253D2" w:rsidRPr="005E4A52" w14:paraId="25D15A3A" w14:textId="77777777" w:rsidTr="002C1A54">
        <w:trPr>
          <w:trHeight w:val="337"/>
        </w:trPr>
        <w:tc>
          <w:tcPr>
            <w:tcW w:w="2040" w:type="dxa"/>
            <w:shd w:val="clear" w:color="auto" w:fill="F2F2F2" w:themeFill="background1" w:themeFillShade="F2"/>
          </w:tcPr>
          <w:p w14:paraId="6B2AF211" w14:textId="558C090C" w:rsidR="008253D2" w:rsidRPr="005E4A52" w:rsidRDefault="008253D2" w:rsidP="007C4054">
            <w:pPr>
              <w:spacing w:after="160"/>
              <w:rPr>
                <w:bCs/>
                <w:iCs/>
                <w:szCs w:val="18"/>
              </w:rPr>
            </w:pPr>
            <w:proofErr w:type="spellStart"/>
            <w:r w:rsidRPr="005E4A52">
              <w:rPr>
                <w:bCs/>
                <w:iCs/>
                <w:szCs w:val="18"/>
              </w:rPr>
              <w:t>ToR</w:t>
            </w:r>
            <w:proofErr w:type="spellEnd"/>
          </w:p>
        </w:tc>
        <w:tc>
          <w:tcPr>
            <w:tcW w:w="7164" w:type="dxa"/>
            <w:shd w:val="clear" w:color="auto" w:fill="F2F2F2" w:themeFill="background1" w:themeFillShade="F2"/>
          </w:tcPr>
          <w:p w14:paraId="699575B4" w14:textId="06F8DB76" w:rsidR="008253D2" w:rsidRPr="005E4A52" w:rsidRDefault="008253D2" w:rsidP="007C4054">
            <w:pPr>
              <w:spacing w:after="160"/>
              <w:rPr>
                <w:bCs/>
                <w:iCs/>
                <w:szCs w:val="18"/>
              </w:rPr>
            </w:pPr>
            <w:r w:rsidRPr="005E4A52">
              <w:rPr>
                <w:bCs/>
                <w:iCs/>
                <w:szCs w:val="18"/>
              </w:rPr>
              <w:t>Terms of reference</w:t>
            </w:r>
          </w:p>
        </w:tc>
      </w:tr>
      <w:tr w:rsidR="00017826" w:rsidRPr="005E4A52" w14:paraId="6645C280" w14:textId="77777777" w:rsidTr="002C1A54">
        <w:trPr>
          <w:trHeight w:val="337"/>
        </w:trPr>
        <w:tc>
          <w:tcPr>
            <w:tcW w:w="2040" w:type="dxa"/>
            <w:shd w:val="clear" w:color="auto" w:fill="F2F2F2" w:themeFill="background1" w:themeFillShade="F2"/>
          </w:tcPr>
          <w:p w14:paraId="12938710" w14:textId="7EC37FCF" w:rsidR="00017826" w:rsidRPr="005E4A52" w:rsidRDefault="00017826" w:rsidP="007C4054">
            <w:pPr>
              <w:spacing w:after="160"/>
              <w:rPr>
                <w:bCs/>
                <w:iCs/>
                <w:szCs w:val="18"/>
              </w:rPr>
            </w:pPr>
            <w:r>
              <w:rPr>
                <w:bCs/>
                <w:iCs/>
                <w:szCs w:val="18"/>
              </w:rPr>
              <w:t>Worker</w:t>
            </w:r>
          </w:p>
        </w:tc>
        <w:tc>
          <w:tcPr>
            <w:tcW w:w="7164" w:type="dxa"/>
            <w:shd w:val="clear" w:color="auto" w:fill="F2F2F2" w:themeFill="background1" w:themeFillShade="F2"/>
          </w:tcPr>
          <w:p w14:paraId="40B120D8" w14:textId="35FAC590" w:rsidR="00017826" w:rsidRPr="005E4A52" w:rsidRDefault="6C9CF46D" w:rsidP="007C4054">
            <w:pPr>
              <w:spacing w:after="160"/>
            </w:pPr>
            <w:r>
              <w:t>A person who carries out work in any capacity for a person conducting a business or undertaking.</w:t>
            </w:r>
            <w:r w:rsidR="00EF055C">
              <w:t xml:space="preserve"> </w:t>
            </w:r>
            <w:r w:rsidR="0071309B">
              <w:t xml:space="preserve">This includes </w:t>
            </w:r>
            <w:r w:rsidR="00C3420A">
              <w:t xml:space="preserve">workers not currently </w:t>
            </w:r>
            <w:r w:rsidR="00906027">
              <w:t>covered under the SRC Act</w:t>
            </w:r>
            <w:r w:rsidR="003429DD">
              <w:t xml:space="preserve">. The term is </w:t>
            </w:r>
            <w:r w:rsidR="00854415">
              <w:t xml:space="preserve">used when discussing the future </w:t>
            </w:r>
            <w:proofErr w:type="gramStart"/>
            <w:r w:rsidR="00854415">
              <w:t>state of affairs</w:t>
            </w:r>
            <w:proofErr w:type="gramEnd"/>
            <w:r w:rsidR="00906027">
              <w:t>.</w:t>
            </w:r>
          </w:p>
        </w:tc>
      </w:tr>
      <w:tr w:rsidR="00857EE1" w:rsidRPr="005E4A52" w14:paraId="63FD0CB8" w14:textId="77777777" w:rsidTr="002C1A54">
        <w:trPr>
          <w:trHeight w:val="60"/>
        </w:trPr>
        <w:tc>
          <w:tcPr>
            <w:tcW w:w="2040" w:type="dxa"/>
            <w:shd w:val="clear" w:color="auto" w:fill="F2F2F2" w:themeFill="background1" w:themeFillShade="F2"/>
          </w:tcPr>
          <w:p w14:paraId="2CFBDD12" w14:textId="77777777" w:rsidR="00857EE1" w:rsidRPr="005E4A52" w:rsidRDefault="00857EE1" w:rsidP="007C4054">
            <w:pPr>
              <w:spacing w:after="160"/>
              <w:rPr>
                <w:bCs/>
                <w:iCs/>
                <w:szCs w:val="18"/>
              </w:rPr>
            </w:pPr>
            <w:r w:rsidRPr="005E4A52">
              <w:rPr>
                <w:bCs/>
                <w:iCs/>
                <w:szCs w:val="18"/>
              </w:rPr>
              <w:t>WHS Act</w:t>
            </w:r>
          </w:p>
        </w:tc>
        <w:tc>
          <w:tcPr>
            <w:tcW w:w="7164" w:type="dxa"/>
            <w:shd w:val="clear" w:color="auto" w:fill="F2F2F2" w:themeFill="background1" w:themeFillShade="F2"/>
          </w:tcPr>
          <w:p w14:paraId="555CCBA3" w14:textId="77777777" w:rsidR="00857EE1" w:rsidRPr="005E4A52" w:rsidRDefault="00857EE1" w:rsidP="007C4054">
            <w:pPr>
              <w:spacing w:after="160"/>
            </w:pPr>
            <w:r w:rsidRPr="005E4A52">
              <w:rPr>
                <w:i/>
              </w:rPr>
              <w:t>Work Health and Safety Act 2011</w:t>
            </w:r>
            <w:r w:rsidRPr="005E4A52">
              <w:rPr>
                <w:iCs/>
              </w:rPr>
              <w:t xml:space="preserve"> (</w:t>
            </w:r>
            <w:proofErr w:type="spellStart"/>
            <w:r w:rsidRPr="005E4A52">
              <w:rPr>
                <w:iCs/>
              </w:rPr>
              <w:t>Cth</w:t>
            </w:r>
            <w:proofErr w:type="spellEnd"/>
            <w:r w:rsidRPr="005E4A52">
              <w:rPr>
                <w:iCs/>
              </w:rPr>
              <w:t>)</w:t>
            </w:r>
          </w:p>
        </w:tc>
      </w:tr>
      <w:tr w:rsidR="00857EE1" w:rsidRPr="005E4A52" w14:paraId="41EB2C12" w14:textId="77777777" w:rsidTr="002C1A54">
        <w:tc>
          <w:tcPr>
            <w:tcW w:w="2040" w:type="dxa"/>
            <w:shd w:val="clear" w:color="auto" w:fill="F2F2F2" w:themeFill="background1" w:themeFillShade="F2"/>
          </w:tcPr>
          <w:p w14:paraId="7DDDED3F" w14:textId="77777777" w:rsidR="00857EE1" w:rsidRPr="005E4A52" w:rsidRDefault="00857EE1" w:rsidP="007C4054">
            <w:pPr>
              <w:spacing w:after="160"/>
              <w:rPr>
                <w:bCs/>
                <w:iCs/>
                <w:szCs w:val="18"/>
              </w:rPr>
            </w:pPr>
            <w:r w:rsidRPr="005E4A52">
              <w:rPr>
                <w:iCs/>
              </w:rPr>
              <w:t>WRP</w:t>
            </w:r>
          </w:p>
        </w:tc>
        <w:tc>
          <w:tcPr>
            <w:tcW w:w="7164" w:type="dxa"/>
            <w:shd w:val="clear" w:color="auto" w:fill="F2F2F2" w:themeFill="background1" w:themeFillShade="F2"/>
          </w:tcPr>
          <w:p w14:paraId="45E37423" w14:textId="77777777" w:rsidR="00857EE1" w:rsidRPr="005E4A52" w:rsidRDefault="00857EE1" w:rsidP="007C4054">
            <w:pPr>
              <w:spacing w:after="160"/>
              <w:rPr>
                <w:iCs/>
              </w:rPr>
            </w:pPr>
            <w:r w:rsidRPr="005E4A52">
              <w:rPr>
                <w:iCs/>
              </w:rPr>
              <w:t>Workplace rehabilitation provider</w:t>
            </w:r>
          </w:p>
        </w:tc>
      </w:tr>
    </w:tbl>
    <w:p w14:paraId="04071C5B" w14:textId="2A589125" w:rsidR="00004DD4" w:rsidRPr="005E4A52" w:rsidRDefault="00004DD4">
      <w:pPr>
        <w:spacing w:after="160"/>
        <w:rPr>
          <w:rFonts w:eastAsiaTheme="majorEastAsia" w:cstheme="majorBidi"/>
          <w:b/>
          <w:sz w:val="44"/>
          <w:szCs w:val="26"/>
        </w:rPr>
      </w:pPr>
      <w:r w:rsidRPr="005E4A52">
        <w:br w:type="page"/>
      </w:r>
    </w:p>
    <w:p w14:paraId="493CA39F" w14:textId="77777777" w:rsidR="00857EE1" w:rsidRPr="002A1A42" w:rsidRDefault="00857EE1" w:rsidP="00903151">
      <w:pPr>
        <w:pStyle w:val="Heading2"/>
        <w:spacing w:line="240" w:lineRule="auto"/>
      </w:pPr>
      <w:bookmarkStart w:id="3" w:name="_Toc177409610"/>
      <w:bookmarkStart w:id="4" w:name="_Toc180174604"/>
      <w:bookmarkEnd w:id="1"/>
      <w:bookmarkEnd w:id="2"/>
      <w:r w:rsidRPr="002A1A42">
        <w:lastRenderedPageBreak/>
        <w:t>Introduction – The SRC Act Review</w:t>
      </w:r>
      <w:bookmarkEnd w:id="3"/>
      <w:bookmarkEnd w:id="4"/>
      <w:r w:rsidRPr="002A1A42">
        <w:t xml:space="preserve"> </w:t>
      </w:r>
    </w:p>
    <w:p w14:paraId="365DE341" w14:textId="4E7283BF" w:rsidR="00857EE1" w:rsidRPr="005E4A52" w:rsidRDefault="00857EE1" w:rsidP="00857EE1">
      <w:r w:rsidRPr="005E4A52">
        <w:t xml:space="preserve">On 24 June 2024, the Australian Government announced the commencement of a comprehensive review of the SRC Act (review) to be undertaken by an independent panel comprising Ms Justine Ross (Chair), Professor Robin Creyke AO and Mr Gregory Isolani (members of the panel). </w:t>
      </w:r>
      <w:r w:rsidR="00EB66FA">
        <w:t>Biographies of the members of the panel are available on the departments’ website.</w:t>
      </w:r>
      <w:r w:rsidR="00EB66FA">
        <w:rPr>
          <w:rStyle w:val="FootnoteReference"/>
        </w:rPr>
        <w:footnoteReference w:id="2"/>
      </w:r>
      <w:r w:rsidR="00EB66FA" w:rsidRPr="005E4A52">
        <w:t xml:space="preserve"> </w:t>
      </w:r>
      <w:r w:rsidRPr="005E4A52">
        <w:t xml:space="preserve">The review will make recommendations to the Government to inform future legislative reform of the Comcare scheme. </w:t>
      </w:r>
    </w:p>
    <w:p w14:paraId="4AE3FBF2" w14:textId="7EE30D68" w:rsidR="00857EE1" w:rsidRPr="005E4A52" w:rsidRDefault="009042DA" w:rsidP="009042DA">
      <w:pPr>
        <w:pStyle w:val="Heading3"/>
        <w:rPr>
          <w:rFonts w:asciiTheme="minorHAnsi" w:hAnsiTheme="minorHAnsi"/>
        </w:rPr>
      </w:pPr>
      <w:bookmarkStart w:id="5" w:name="_Toc177409611"/>
      <w:bookmarkStart w:id="6" w:name="_Toc180174605"/>
      <w:r w:rsidRPr="005E4A52">
        <w:rPr>
          <w:rFonts w:asciiTheme="minorHAnsi" w:hAnsiTheme="minorHAnsi"/>
        </w:rPr>
        <w:t>1.1</w:t>
      </w:r>
      <w:r w:rsidR="00FA2986">
        <w:rPr>
          <w:rFonts w:asciiTheme="minorHAnsi" w:hAnsiTheme="minorHAnsi"/>
        </w:rPr>
        <w:tab/>
      </w:r>
      <w:r w:rsidR="00857EE1" w:rsidRPr="005E4A52">
        <w:rPr>
          <w:rFonts w:asciiTheme="minorHAnsi" w:hAnsiTheme="minorHAnsi"/>
        </w:rPr>
        <w:t>The review process</w:t>
      </w:r>
      <w:bookmarkEnd w:id="5"/>
      <w:bookmarkEnd w:id="6"/>
      <w:r w:rsidR="00857EE1" w:rsidRPr="005E4A52">
        <w:rPr>
          <w:rFonts w:asciiTheme="minorHAnsi" w:hAnsiTheme="minorHAnsi"/>
        </w:rPr>
        <w:t xml:space="preserve"> </w:t>
      </w:r>
    </w:p>
    <w:p w14:paraId="274549C2" w14:textId="77777777" w:rsidR="00857EE1" w:rsidRPr="005E4A52" w:rsidRDefault="00857EE1" w:rsidP="00857EE1">
      <w:pPr>
        <w:rPr>
          <w:noProof/>
        </w:rPr>
      </w:pPr>
      <w:r w:rsidRPr="005E4A52">
        <w:rPr>
          <w:noProof/>
        </w:rPr>
        <w:t xml:space="preserve">The review process consists of 4 key stages:  </w:t>
      </w:r>
    </w:p>
    <w:p w14:paraId="282B5EF6" w14:textId="734553A7" w:rsidR="00857EE1" w:rsidRPr="005E4A52" w:rsidRDefault="00E963D8" w:rsidP="00857EE1">
      <w:r w:rsidRPr="005E4A52">
        <w:rPr>
          <w:noProof/>
        </w:rPr>
        <mc:AlternateContent>
          <mc:Choice Requires="wps">
            <w:drawing>
              <wp:anchor distT="0" distB="0" distL="114300" distR="114300" simplePos="0" relativeHeight="251658251" behindDoc="0" locked="0" layoutInCell="1" allowOverlap="1" wp14:anchorId="682D9A38" wp14:editId="5E0A409D">
                <wp:simplePos x="0" y="0"/>
                <wp:positionH relativeFrom="column">
                  <wp:posOffset>1494323</wp:posOffset>
                </wp:positionH>
                <wp:positionV relativeFrom="paragraph">
                  <wp:posOffset>151709</wp:posOffset>
                </wp:positionV>
                <wp:extent cx="1207135" cy="45085"/>
                <wp:effectExtent l="0" t="0" r="0" b="0"/>
                <wp:wrapNone/>
                <wp:docPr id="18" name="Rectangle 17">
                  <a:extLst xmlns:a="http://schemas.openxmlformats.org/drawingml/2006/main">
                    <a:ext uri="{FF2B5EF4-FFF2-40B4-BE49-F238E27FC236}">
                      <a16:creationId xmlns:a16="http://schemas.microsoft.com/office/drawing/2014/main" id="{664300A3-D431-4FA2-459C-F11DC66818C4}"/>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45085"/>
                        </a:xfrm>
                        <a:prstGeom prst="rect">
                          <a:avLst/>
                        </a:prstGeom>
                        <a:solidFill>
                          <a:schemeClr val="accent1"/>
                        </a:solidFill>
                        <a:ln w="9525">
                          <a:noFill/>
                          <a:round/>
                          <a:headEnd/>
                          <a:tailEnd/>
                        </a:ln>
                      </wps:spPr>
                      <wps:bodyPr vert="horz" wrap="square" lIns="0" tIns="0" rIns="0" bIns="0" numCol="1" rtlCol="0" anchor="ctr" anchorCtr="0" compatLnSpc="1">
                        <a:prstTxWarp prst="textNoShape">
                          <a:avLst/>
                        </a:prstTxWarp>
                      </wps:bodyPr>
                    </wps:wsp>
                  </a:graphicData>
                </a:graphic>
              </wp:anchor>
            </w:drawing>
          </mc:Choice>
          <mc:Fallback>
            <w:pict>
              <v:rect w14:anchorId="4BFA28B2" id="Rectangle 17" o:spid="_x0000_s1026" alt="&quot;&quot;" style="position:absolute;margin-left:117.65pt;margin-top:11.95pt;width:95.05pt;height:3.5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" fillcolor="#394390 [3204]" stroked="f">
                <v:stroke joinstyle="round"/>
                <v:textbox inset="0,0,0,0"/>
              </v:rect>
            </w:pict>
          </mc:Fallback>
        </mc:AlternateContent>
      </w:r>
      <w:r w:rsidR="00857EE1" w:rsidRPr="005E4A52">
        <w:rPr>
          <w:noProof/>
          <w:color w:val="009B9F"/>
        </w:rPr>
        <mc:AlternateContent>
          <mc:Choice Requires="wps">
            <w:drawing>
              <wp:anchor distT="0" distB="0" distL="114300" distR="114300" simplePos="0" relativeHeight="251658250" behindDoc="0" locked="0" layoutInCell="1" allowOverlap="1" wp14:anchorId="292DA337" wp14:editId="7F6C8E7C">
                <wp:simplePos x="0" y="0"/>
                <wp:positionH relativeFrom="column">
                  <wp:posOffset>-128905</wp:posOffset>
                </wp:positionH>
                <wp:positionV relativeFrom="paragraph">
                  <wp:posOffset>158750</wp:posOffset>
                </wp:positionV>
                <wp:extent cx="1207135" cy="45085"/>
                <wp:effectExtent l="0" t="0" r="0" b="0"/>
                <wp:wrapNone/>
                <wp:docPr id="17" name="Rectangle 16">
                  <a:extLst xmlns:a="http://schemas.openxmlformats.org/drawingml/2006/main">
                    <a:ext uri="{FF2B5EF4-FFF2-40B4-BE49-F238E27FC236}">
                      <a16:creationId xmlns:a16="http://schemas.microsoft.com/office/drawing/2014/main" id="{86EF3FF4-6CD8-4591-D6C0-D94351CE4C92}"/>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45085"/>
                        </a:xfrm>
                        <a:prstGeom prst="rect">
                          <a:avLst/>
                        </a:prstGeom>
                        <a:solidFill>
                          <a:srgbClr val="009B9F"/>
                        </a:solidFill>
                        <a:ln w="9525">
                          <a:noFill/>
                          <a:round/>
                          <a:headEnd/>
                          <a:tailEnd/>
                        </a:ln>
                      </wps:spPr>
                      <wps:bodyPr vert="horz" wrap="square" lIns="0" tIns="0" rIns="0" bIns="0" numCol="1" rtlCol="0" anchor="ctr" anchorCtr="0" compatLnSpc="1">
                        <a:prstTxWarp prst="textNoShape">
                          <a:avLst/>
                        </a:prstTxWarp>
                      </wps:bodyPr>
                    </wps:wsp>
                  </a:graphicData>
                </a:graphic>
              </wp:anchor>
            </w:drawing>
          </mc:Choice>
          <mc:Fallback>
            <w:pict>
              <v:rect w14:anchorId="4C7160EC" id="Rectangle 16" o:spid="_x0000_s1026" alt="&quot;&quot;" style="position:absolute;margin-left:-10.15pt;margin-top:12.5pt;width:95.05pt;height:3.5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" fillcolor="#009b9f" stroked="f">
                <v:stroke joinstyle="round"/>
                <v:textbox inset="0,0,0,0"/>
              </v:rect>
            </w:pict>
          </mc:Fallback>
        </mc:AlternateContent>
      </w:r>
      <w:r w:rsidR="00857EE1" w:rsidRPr="005E4A52">
        <w:rPr>
          <w:noProof/>
        </w:rPr>
        <mc:AlternateContent>
          <mc:Choice Requires="wps">
            <w:drawing>
              <wp:anchor distT="0" distB="0" distL="114300" distR="114300" simplePos="0" relativeHeight="251658310" behindDoc="0" locked="0" layoutInCell="1" allowOverlap="1" wp14:anchorId="79F1B399" wp14:editId="25B02F89">
                <wp:simplePos x="0" y="0"/>
                <wp:positionH relativeFrom="column">
                  <wp:posOffset>4704715</wp:posOffset>
                </wp:positionH>
                <wp:positionV relativeFrom="paragraph">
                  <wp:posOffset>145415</wp:posOffset>
                </wp:positionV>
                <wp:extent cx="1207135" cy="45085"/>
                <wp:effectExtent l="0" t="0" r="0" b="0"/>
                <wp:wrapNone/>
                <wp:docPr id="34" name="Rectangle 33">
                  <a:extLst xmlns:a="http://schemas.openxmlformats.org/drawingml/2006/main">
                    <a:ext uri="{FF2B5EF4-FFF2-40B4-BE49-F238E27FC236}">
                      <a16:creationId xmlns:a16="http://schemas.microsoft.com/office/drawing/2014/main" id="{96E02315-C3A7-C1BC-CBEB-61CC7FB70A2F}"/>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45085"/>
                        </a:xfrm>
                        <a:prstGeom prst="rect">
                          <a:avLst/>
                        </a:prstGeom>
                        <a:solidFill>
                          <a:schemeClr val="accent1"/>
                        </a:solidFill>
                        <a:ln w="9525">
                          <a:noFill/>
                          <a:round/>
                          <a:headEnd/>
                          <a:tailEnd/>
                        </a:ln>
                      </wps:spPr>
                      <wps:bodyPr vert="horz" wrap="square" lIns="0" tIns="0" rIns="0" bIns="0" numCol="1" rtlCol="0" anchor="ctr" anchorCtr="0" compatLnSpc="1">
                        <a:prstTxWarp prst="textNoShape">
                          <a:avLst/>
                        </a:prstTxWarp>
                      </wps:bodyPr>
                    </wps:wsp>
                  </a:graphicData>
                </a:graphic>
              </wp:anchor>
            </w:drawing>
          </mc:Choice>
          <mc:Fallback>
            <w:pict>
              <v:rect w14:anchorId="3BC2147C" id="Rectangle 33" o:spid="_x0000_s1026" alt="&quot;&quot;" style="position:absolute;margin-left:370.45pt;margin-top:11.45pt;width:95.05pt;height:3.5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" fillcolor="#394390 [3204]" stroked="f">
                <v:stroke joinstyle="round"/>
                <v:textbox inset="0,0,0,0"/>
              </v:rect>
            </w:pict>
          </mc:Fallback>
        </mc:AlternateContent>
      </w:r>
      <w:r w:rsidR="00857EE1" w:rsidRPr="005E4A52">
        <w:rPr>
          <w:noProof/>
        </w:rPr>
        <mc:AlternateContent>
          <mc:Choice Requires="wps">
            <w:drawing>
              <wp:anchor distT="0" distB="0" distL="114300" distR="114300" simplePos="0" relativeHeight="251658308" behindDoc="0" locked="0" layoutInCell="1" allowOverlap="1" wp14:anchorId="06CEB1BD" wp14:editId="41C2EA1F">
                <wp:simplePos x="0" y="0"/>
                <wp:positionH relativeFrom="column">
                  <wp:posOffset>4710430</wp:posOffset>
                </wp:positionH>
                <wp:positionV relativeFrom="paragraph">
                  <wp:posOffset>177165</wp:posOffset>
                </wp:positionV>
                <wp:extent cx="1207135" cy="792000"/>
                <wp:effectExtent l="0" t="0" r="0" b="8255"/>
                <wp:wrapNone/>
                <wp:docPr id="32" name="Rectangle 31">
                  <a:extLst xmlns:a="http://schemas.openxmlformats.org/drawingml/2006/main">
                    <a:ext uri="{FF2B5EF4-FFF2-40B4-BE49-F238E27FC236}">
                      <a16:creationId xmlns:a16="http://schemas.microsoft.com/office/drawing/2014/main" id="{88965BDD-C8A4-A31B-E255-96D9E81ACF4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792000"/>
                        </a:xfrm>
                        <a:prstGeom prst="rect">
                          <a:avLst/>
                        </a:prstGeom>
                        <a:solidFill>
                          <a:schemeClr val="bg1">
                            <a:lumMod val="95000"/>
                          </a:schemeClr>
                        </a:solidFill>
                        <a:ln w="9525">
                          <a:noFill/>
                          <a:round/>
                          <a:headEnd/>
                          <a:tailEnd/>
                        </a:ln>
                      </wps:spPr>
                      <wps:bodyPr vert="horz" wrap="square" lIns="0" tIns="0" rIns="0" bIns="0" numCol="1" rtlCol="0" anchor="ctr" anchorCtr="0" compatLnSpc="1">
                        <a:prstTxWarp prst="textNoShape">
                          <a:avLst/>
                        </a:prstTxWarp>
                      </wps:bodyPr>
                    </wps:wsp>
                  </a:graphicData>
                </a:graphic>
                <wp14:sizeRelV relativeFrom="margin">
                  <wp14:pctHeight>0</wp14:pctHeight>
                </wp14:sizeRelV>
              </wp:anchor>
            </w:drawing>
          </mc:Choice>
          <mc:Fallback>
            <w:pict>
              <v:rect w14:anchorId="6800692F" id="Rectangle 31" o:spid="_x0000_s1026" alt="&quot;&quot;" style="position:absolute;margin-left:370.9pt;margin-top:13.95pt;width:95.05pt;height:62.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" fillcolor="#f2f2f2 [3052]" stroked="f">
                <v:stroke joinstyle="round"/>
                <v:textbox inset="0,0,0,0"/>
              </v:rect>
            </w:pict>
          </mc:Fallback>
        </mc:AlternateContent>
      </w:r>
      <w:r w:rsidR="00857EE1" w:rsidRPr="005E4A52">
        <w:rPr>
          <w:noProof/>
        </w:rPr>
        <mc:AlternateContent>
          <mc:Choice Requires="wps">
            <w:drawing>
              <wp:anchor distT="0" distB="0" distL="114300" distR="114300" simplePos="0" relativeHeight="251658245" behindDoc="0" locked="0" layoutInCell="1" allowOverlap="1" wp14:anchorId="7E0D7B69" wp14:editId="02F42558">
                <wp:simplePos x="0" y="0"/>
                <wp:positionH relativeFrom="column">
                  <wp:posOffset>1505585</wp:posOffset>
                </wp:positionH>
                <wp:positionV relativeFrom="paragraph">
                  <wp:posOffset>186690</wp:posOffset>
                </wp:positionV>
                <wp:extent cx="1207135" cy="828000"/>
                <wp:effectExtent l="0" t="0" r="0" b="0"/>
                <wp:wrapNone/>
                <wp:docPr id="11" name="Rectangle 10">
                  <a:extLst xmlns:a="http://schemas.openxmlformats.org/drawingml/2006/main">
                    <a:ext uri="{FF2B5EF4-FFF2-40B4-BE49-F238E27FC236}">
                      <a16:creationId xmlns:a16="http://schemas.microsoft.com/office/drawing/2014/main" id="{1F6E375F-B05E-85A3-4992-D09FE4D31FDF}"/>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828000"/>
                        </a:xfrm>
                        <a:prstGeom prst="rect">
                          <a:avLst/>
                        </a:prstGeom>
                        <a:solidFill>
                          <a:schemeClr val="bg1">
                            <a:lumMod val="95000"/>
                          </a:schemeClr>
                        </a:solidFill>
                        <a:ln w="9525">
                          <a:noFill/>
                          <a:round/>
                          <a:headEnd/>
                          <a:tailEnd/>
                        </a:ln>
                      </wps:spPr>
                      <wps:bodyPr vert="horz" wrap="square" lIns="0" tIns="0" rIns="0" bIns="0" numCol="1" rtlCol="0" anchor="ctr" anchorCtr="0" compatLnSpc="1">
                        <a:prstTxWarp prst="textNoShape">
                          <a:avLst/>
                        </a:prstTxWarp>
                      </wps:bodyPr>
                    </wps:wsp>
                  </a:graphicData>
                </a:graphic>
                <wp14:sizeRelV relativeFrom="margin">
                  <wp14:pctHeight>0</wp14:pctHeight>
                </wp14:sizeRelV>
              </wp:anchor>
            </w:drawing>
          </mc:Choice>
          <mc:Fallback>
            <w:pict>
              <v:rect w14:anchorId="7613A0F4" id="Rectangle 10" o:spid="_x0000_s1026" alt="&quot;&quot;" style="position:absolute;margin-left:118.55pt;margin-top:14.7pt;width:95.05pt;height:65.2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" fillcolor="#f2f2f2 [3052]" stroked="f">
                <v:stroke joinstyle="round"/>
                <v:textbox inset="0,0,0,0"/>
              </v:rect>
            </w:pict>
          </mc:Fallback>
        </mc:AlternateContent>
      </w:r>
      <w:r w:rsidR="00857EE1" w:rsidRPr="005E4A52">
        <w:rPr>
          <w:noProof/>
        </w:rPr>
        <mc:AlternateContent>
          <mc:Choice Requires="wps">
            <w:drawing>
              <wp:anchor distT="0" distB="0" distL="114300" distR="114300" simplePos="0" relativeHeight="251658242" behindDoc="0" locked="0" layoutInCell="1" allowOverlap="1" wp14:anchorId="0488DB9E" wp14:editId="69CAF3BD">
                <wp:simplePos x="0" y="0"/>
                <wp:positionH relativeFrom="column">
                  <wp:posOffset>-120015</wp:posOffset>
                </wp:positionH>
                <wp:positionV relativeFrom="paragraph">
                  <wp:posOffset>167640</wp:posOffset>
                </wp:positionV>
                <wp:extent cx="1207135" cy="828000"/>
                <wp:effectExtent l="0" t="0" r="0" b="0"/>
                <wp:wrapNone/>
                <wp:docPr id="7" name="Rectangle 6">
                  <a:extLst xmlns:a="http://schemas.openxmlformats.org/drawingml/2006/main">
                    <a:ext uri="{FF2B5EF4-FFF2-40B4-BE49-F238E27FC236}">
                      <a16:creationId xmlns:a16="http://schemas.microsoft.com/office/drawing/2014/main" id="{90465BF6-1F86-9485-BF31-121759257C3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828000"/>
                        </a:xfrm>
                        <a:prstGeom prst="rect">
                          <a:avLst/>
                        </a:prstGeom>
                        <a:solidFill>
                          <a:schemeClr val="bg1">
                            <a:lumMod val="95000"/>
                          </a:schemeClr>
                        </a:solidFill>
                        <a:ln w="9525">
                          <a:noFill/>
                          <a:round/>
                          <a:headEnd/>
                          <a:tailEnd/>
                        </a:ln>
                      </wps:spPr>
                      <wps:bodyPr vert="horz" wrap="square" lIns="0" tIns="0" rIns="0" bIns="0" numCol="1" rtlCol="0" anchor="ctr" anchorCtr="0" compatLnSpc="1">
                        <a:prstTxWarp prst="textNoShape">
                          <a:avLst/>
                        </a:prstTxWarp>
                      </wps:bodyPr>
                    </wps:wsp>
                  </a:graphicData>
                </a:graphic>
                <wp14:sizeRelV relativeFrom="margin">
                  <wp14:pctHeight>0</wp14:pctHeight>
                </wp14:sizeRelV>
              </wp:anchor>
            </w:drawing>
          </mc:Choice>
          <mc:Fallback>
            <w:pict>
              <v:rect w14:anchorId="1DAF6937" id="Rectangle 6" o:spid="_x0000_s1026" alt="&quot;&quot;" style="position:absolute;margin-left:-9.45pt;margin-top:13.2pt;width:95.05pt;height:65.2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" fillcolor="#f2f2f2 [3052]" stroked="f">
                <v:stroke joinstyle="round"/>
                <v:textbox inset="0,0,0,0"/>
              </v:rect>
            </w:pict>
          </mc:Fallback>
        </mc:AlternateContent>
      </w:r>
      <w:r w:rsidR="00857EE1" w:rsidRPr="005E4A52">
        <w:rPr>
          <w:noProof/>
        </w:rPr>
        <mc:AlternateContent>
          <mc:Choice Requires="wps">
            <w:drawing>
              <wp:anchor distT="0" distB="0" distL="114300" distR="114300" simplePos="0" relativeHeight="251658252" behindDoc="0" locked="0" layoutInCell="1" allowOverlap="1" wp14:anchorId="0B214693" wp14:editId="0674B132">
                <wp:simplePos x="0" y="0"/>
                <wp:positionH relativeFrom="column">
                  <wp:posOffset>3079750</wp:posOffset>
                </wp:positionH>
                <wp:positionV relativeFrom="paragraph">
                  <wp:posOffset>142698</wp:posOffset>
                </wp:positionV>
                <wp:extent cx="1207135" cy="45085"/>
                <wp:effectExtent l="0" t="0" r="12065" b="12065"/>
                <wp:wrapNone/>
                <wp:docPr id="19" name="Rectangle 18">
                  <a:extLst xmlns:a="http://schemas.openxmlformats.org/drawingml/2006/main">
                    <a:ext uri="{FF2B5EF4-FFF2-40B4-BE49-F238E27FC236}">
                      <a16:creationId xmlns:a16="http://schemas.microsoft.com/office/drawing/2014/main" id="{DA24384D-62E5-E791-510F-E23A18CDB05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45085"/>
                        </a:xfrm>
                        <a:prstGeom prst="rect">
                          <a:avLst/>
                        </a:prstGeom>
                        <a:solidFill>
                          <a:srgbClr val="009B9F"/>
                        </a:solidFill>
                        <a:ln w="9525">
                          <a:solidFill>
                            <a:srgbClr val="009B9F"/>
                          </a:solidFill>
                          <a:round/>
                          <a:headEnd/>
                          <a:tailEnd/>
                        </a:ln>
                      </wps:spPr>
                      <wps:bodyPr vert="horz" wrap="square" lIns="0" tIns="0" rIns="0" bIns="0" numCol="1" rtlCol="0" anchor="ctr" anchorCtr="0" compatLnSpc="1">
                        <a:prstTxWarp prst="textNoShape">
                          <a:avLst/>
                        </a:prstTxWarp>
                      </wps:bodyPr>
                    </wps:wsp>
                  </a:graphicData>
                </a:graphic>
              </wp:anchor>
            </w:drawing>
          </mc:Choice>
          <mc:Fallback>
            <w:pict>
              <v:rect w14:anchorId="14FD1D51" id="Rectangle 18" o:spid="_x0000_s1026" alt="&quot;&quot;" style="position:absolute;margin-left:242.5pt;margin-top:11.25pt;width:95.05pt;height:3.5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" fillcolor="#009b9f" strokecolor="#009b9f">
                <v:stroke joinstyle="round"/>
                <v:textbox inset="0,0,0,0"/>
              </v:rect>
            </w:pict>
          </mc:Fallback>
        </mc:AlternateContent>
      </w:r>
      <w:r w:rsidR="00857EE1" w:rsidRPr="005E4A52">
        <w:rPr>
          <w:noProof/>
        </w:rPr>
        <mc:AlternateContent>
          <mc:Choice Requires="wps">
            <w:drawing>
              <wp:anchor distT="0" distB="0" distL="114300" distR="114300" simplePos="0" relativeHeight="251658248" behindDoc="0" locked="0" layoutInCell="1" allowOverlap="1" wp14:anchorId="200A8D58" wp14:editId="3D43C1C7">
                <wp:simplePos x="0" y="0"/>
                <wp:positionH relativeFrom="column">
                  <wp:posOffset>3075940</wp:posOffset>
                </wp:positionH>
                <wp:positionV relativeFrom="paragraph">
                  <wp:posOffset>189230</wp:posOffset>
                </wp:positionV>
                <wp:extent cx="1207135" cy="828000"/>
                <wp:effectExtent l="0" t="0" r="0" b="0"/>
                <wp:wrapNone/>
                <wp:docPr id="15" name="Rectangle 14">
                  <a:extLst xmlns:a="http://schemas.openxmlformats.org/drawingml/2006/main">
                    <a:ext uri="{FF2B5EF4-FFF2-40B4-BE49-F238E27FC236}">
                      <a16:creationId xmlns:a16="http://schemas.microsoft.com/office/drawing/2014/main" id="{F35FEA18-FE17-0FBE-5499-34C3B257E542}"/>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828000"/>
                        </a:xfrm>
                        <a:prstGeom prst="rect">
                          <a:avLst/>
                        </a:prstGeom>
                        <a:solidFill>
                          <a:schemeClr val="bg1">
                            <a:lumMod val="95000"/>
                          </a:schemeClr>
                        </a:solidFill>
                        <a:ln w="9525">
                          <a:noFill/>
                          <a:round/>
                          <a:headEnd/>
                          <a:tailEnd/>
                        </a:ln>
                      </wps:spPr>
                      <wps:bodyPr vert="horz" wrap="square" lIns="0" tIns="0" rIns="0" bIns="0" numCol="1" rtlCol="0" anchor="ctr" anchorCtr="0" compatLnSpc="1">
                        <a:prstTxWarp prst="textNoShape">
                          <a:avLst/>
                        </a:prstTxWarp>
                      </wps:bodyPr>
                    </wps:wsp>
                  </a:graphicData>
                </a:graphic>
                <wp14:sizeRelV relativeFrom="margin">
                  <wp14:pctHeight>0</wp14:pctHeight>
                </wp14:sizeRelV>
              </wp:anchor>
            </w:drawing>
          </mc:Choice>
          <mc:Fallback>
            <w:pict>
              <v:rect w14:anchorId="70E3A55A" id="Rectangle 14" o:spid="_x0000_s1026" alt="&quot;&quot;" style="position:absolute;margin-left:242.2pt;margin-top:14.9pt;width:95.05pt;height:65.2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" fillcolor="#f2f2f2 [3052]" stroked="f">
                <v:stroke joinstyle="round"/>
                <v:textbox inset="0,0,0,0"/>
              </v:rect>
            </w:pict>
          </mc:Fallback>
        </mc:AlternateContent>
      </w:r>
    </w:p>
    <w:p w14:paraId="22E6C1C9" w14:textId="42572EA5" w:rsidR="00857EE1" w:rsidRPr="005E4A52" w:rsidRDefault="00B51CA5" w:rsidP="00857EE1">
      <w:r w:rsidRPr="005E4A52">
        <w:rPr>
          <w:noProof/>
        </w:rPr>
        <w:drawing>
          <wp:anchor distT="0" distB="0" distL="114300" distR="114300" simplePos="0" relativeHeight="251658313" behindDoc="0" locked="0" layoutInCell="1" allowOverlap="1" wp14:anchorId="32C28A1F" wp14:editId="19E68FE0">
            <wp:simplePos x="0" y="0"/>
            <wp:positionH relativeFrom="column">
              <wp:posOffset>5160645</wp:posOffset>
            </wp:positionH>
            <wp:positionV relativeFrom="paragraph">
              <wp:posOffset>19114</wp:posOffset>
            </wp:positionV>
            <wp:extent cx="330846" cy="391000"/>
            <wp:effectExtent l="0" t="0" r="0" b="9525"/>
            <wp:wrapNone/>
            <wp:docPr id="125009105" name="Graphic 7">
              <a:extLst xmlns:a="http://schemas.openxmlformats.org/drawingml/2006/main">
                <a:ext uri="{FF2B5EF4-FFF2-40B4-BE49-F238E27FC236}">
                  <a16:creationId xmlns:a16="http://schemas.microsoft.com/office/drawing/2014/main" id="{9C71E903-6E16-4843-AAE6-8468F87040C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9105" name="Graphic 7">
                      <a:extLst>
                        <a:ext uri="{FF2B5EF4-FFF2-40B4-BE49-F238E27FC236}">
                          <a16:creationId xmlns:a16="http://schemas.microsoft.com/office/drawing/2014/main" id="{9C71E903-6E16-4843-AAE6-8468F87040C9}"/>
                        </a:ext>
                        <a:ext uri="{C183D7F6-B498-43B3-948B-1728B52AA6E4}">
                          <adec:decorative xmlns:adec="http://schemas.microsoft.com/office/drawing/2017/decorative" val="1"/>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30846" cy="391000"/>
                    </a:xfrm>
                    <a:prstGeom prst="rect">
                      <a:avLst/>
                    </a:prstGeom>
                  </pic:spPr>
                </pic:pic>
              </a:graphicData>
            </a:graphic>
            <wp14:sizeRelH relativeFrom="margin">
              <wp14:pctWidth>0</wp14:pctWidth>
            </wp14:sizeRelH>
            <wp14:sizeRelV relativeFrom="margin">
              <wp14:pctHeight>0</wp14:pctHeight>
            </wp14:sizeRelV>
          </wp:anchor>
        </w:drawing>
      </w:r>
      <w:r w:rsidRPr="005E4A52">
        <w:rPr>
          <w:noProof/>
        </w:rPr>
        <w:drawing>
          <wp:anchor distT="0" distB="0" distL="114300" distR="114300" simplePos="0" relativeHeight="251658306" behindDoc="0" locked="0" layoutInCell="1" allowOverlap="1" wp14:anchorId="5E323A3E" wp14:editId="731A278C">
            <wp:simplePos x="0" y="0"/>
            <wp:positionH relativeFrom="column">
              <wp:posOffset>3448242</wp:posOffset>
            </wp:positionH>
            <wp:positionV relativeFrom="paragraph">
              <wp:posOffset>3815</wp:posOffset>
            </wp:positionV>
            <wp:extent cx="416642" cy="432000"/>
            <wp:effectExtent l="0" t="0" r="2540" b="6350"/>
            <wp:wrapNone/>
            <wp:docPr id="28" name="Picture 27">
              <a:extLst xmlns:a="http://schemas.openxmlformats.org/drawingml/2006/main">
                <a:ext uri="{FF2B5EF4-FFF2-40B4-BE49-F238E27FC236}">
                  <a16:creationId xmlns:a16="http://schemas.microsoft.com/office/drawing/2014/main" id="{7AC21C80-4FDD-EAC5-8CB3-4F7F485BB0A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7AC21C80-4FDD-EAC5-8CB3-4F7F485BB0AC}"/>
                        </a:ext>
                        <a:ext uri="{C183D7F6-B498-43B3-948B-1728B52AA6E4}">
                          <adec:decorative xmlns:adec="http://schemas.microsoft.com/office/drawing/2017/decorative" val="1"/>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16642" cy="432000"/>
                    </a:xfrm>
                    <a:prstGeom prst="rect">
                      <a:avLst/>
                    </a:prstGeom>
                  </pic:spPr>
                </pic:pic>
              </a:graphicData>
            </a:graphic>
            <wp14:sizeRelH relativeFrom="margin">
              <wp14:pctWidth>0</wp14:pctWidth>
            </wp14:sizeRelH>
            <wp14:sizeRelV relativeFrom="margin">
              <wp14:pctHeight>0</wp14:pctHeight>
            </wp14:sizeRelV>
          </wp:anchor>
        </w:drawing>
      </w:r>
      <w:r w:rsidRPr="005E4A52">
        <w:rPr>
          <w:noProof/>
        </w:rPr>
        <w:drawing>
          <wp:anchor distT="0" distB="0" distL="114300" distR="114300" simplePos="0" relativeHeight="251658305" behindDoc="0" locked="0" layoutInCell="1" allowOverlap="1" wp14:anchorId="11294800" wp14:editId="445BDFA0">
            <wp:simplePos x="0" y="0"/>
            <wp:positionH relativeFrom="column">
              <wp:posOffset>1873191</wp:posOffset>
            </wp:positionH>
            <wp:positionV relativeFrom="paragraph">
              <wp:posOffset>4130</wp:posOffset>
            </wp:positionV>
            <wp:extent cx="440874" cy="432000"/>
            <wp:effectExtent l="0" t="0" r="0" b="6350"/>
            <wp:wrapNone/>
            <wp:docPr id="27" name="Picture 26">
              <a:extLst xmlns:a="http://schemas.openxmlformats.org/drawingml/2006/main">
                <a:ext uri="{FF2B5EF4-FFF2-40B4-BE49-F238E27FC236}">
                  <a16:creationId xmlns:a16="http://schemas.microsoft.com/office/drawing/2014/main" id="{99DDCFBC-CED0-4B11-893C-C9CB7BBFC21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99DDCFBC-CED0-4B11-893C-C9CB7BBFC21C}"/>
                        </a:ext>
                        <a:ext uri="{C183D7F6-B498-43B3-948B-1728B52AA6E4}">
                          <adec:decorative xmlns:adec="http://schemas.microsoft.com/office/drawing/2017/decorative" val="1"/>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0874" cy="432000"/>
                    </a:xfrm>
                    <a:prstGeom prst="rect">
                      <a:avLst/>
                    </a:prstGeom>
                  </pic:spPr>
                </pic:pic>
              </a:graphicData>
            </a:graphic>
            <wp14:sizeRelH relativeFrom="margin">
              <wp14:pctWidth>0</wp14:pctWidth>
            </wp14:sizeRelH>
            <wp14:sizeRelV relativeFrom="margin">
              <wp14:pctHeight>0</wp14:pctHeight>
            </wp14:sizeRelV>
          </wp:anchor>
        </w:drawing>
      </w:r>
      <w:r w:rsidRPr="005E4A52">
        <w:rPr>
          <w:noProof/>
        </w:rPr>
        <w:drawing>
          <wp:anchor distT="0" distB="0" distL="114300" distR="114300" simplePos="0" relativeHeight="251658304" behindDoc="0" locked="0" layoutInCell="1" allowOverlap="1" wp14:anchorId="75E3E837" wp14:editId="4DFBC575">
            <wp:simplePos x="0" y="0"/>
            <wp:positionH relativeFrom="column">
              <wp:posOffset>258445</wp:posOffset>
            </wp:positionH>
            <wp:positionV relativeFrom="paragraph">
              <wp:posOffset>49594</wp:posOffset>
            </wp:positionV>
            <wp:extent cx="445592" cy="432000"/>
            <wp:effectExtent l="0" t="0" r="0" b="6350"/>
            <wp:wrapNone/>
            <wp:docPr id="26" name="Picture 25">
              <a:extLst xmlns:a="http://schemas.openxmlformats.org/drawingml/2006/main">
                <a:ext uri="{FF2B5EF4-FFF2-40B4-BE49-F238E27FC236}">
                  <a16:creationId xmlns:a16="http://schemas.microsoft.com/office/drawing/2014/main" id="{8FC6326A-D245-41ED-A49A-57FEC8D09E6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8FC6326A-D245-41ED-A49A-57FEC8D09E67}"/>
                        </a:ext>
                        <a:ext uri="{C183D7F6-B498-43B3-948B-1728B52AA6E4}">
                          <adec:decorative xmlns:adec="http://schemas.microsoft.com/office/drawing/2017/decorative" val="1"/>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5592" cy="432000"/>
                    </a:xfrm>
                    <a:prstGeom prst="rect">
                      <a:avLst/>
                    </a:prstGeom>
                  </pic:spPr>
                </pic:pic>
              </a:graphicData>
            </a:graphic>
            <wp14:sizeRelH relativeFrom="margin">
              <wp14:pctWidth>0</wp14:pctWidth>
            </wp14:sizeRelH>
            <wp14:sizeRelV relativeFrom="margin">
              <wp14:pctHeight>0</wp14:pctHeight>
            </wp14:sizeRelV>
          </wp:anchor>
        </w:drawing>
      </w:r>
    </w:p>
    <w:p w14:paraId="09A4FB43" w14:textId="3D9EBA92" w:rsidR="00857EE1" w:rsidRPr="005E4A52" w:rsidRDefault="008A4940" w:rsidP="00857EE1">
      <w:r w:rsidRPr="005E4A52">
        <w:rPr>
          <w:noProof/>
        </w:rPr>
        <mc:AlternateContent>
          <mc:Choice Requires="wps">
            <w:drawing>
              <wp:anchor distT="0" distB="0" distL="114300" distR="114300" simplePos="0" relativeHeight="251658311" behindDoc="0" locked="0" layoutInCell="1" allowOverlap="1" wp14:anchorId="7602E780" wp14:editId="17790CA3">
                <wp:simplePos x="0" y="0"/>
                <wp:positionH relativeFrom="column">
                  <wp:posOffset>4723130</wp:posOffset>
                </wp:positionH>
                <wp:positionV relativeFrom="paragraph">
                  <wp:posOffset>307340</wp:posOffset>
                </wp:positionV>
                <wp:extent cx="1207135" cy="414000"/>
                <wp:effectExtent l="0" t="0" r="0" b="5715"/>
                <wp:wrapNone/>
                <wp:docPr id="35" name="Rectangle 34">
                  <a:extLst xmlns:a="http://schemas.openxmlformats.org/drawingml/2006/main">
                    <a:ext uri="{FF2B5EF4-FFF2-40B4-BE49-F238E27FC236}">
                      <a16:creationId xmlns:a16="http://schemas.microsoft.com/office/drawing/2014/main" id="{58D5058F-F5D7-951C-9F57-F67A1C12B3D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414000"/>
                        </a:xfrm>
                        <a:prstGeom prst="rect">
                          <a:avLst/>
                        </a:prstGeom>
                        <a:solidFill>
                          <a:schemeClr val="tx1"/>
                        </a:solidFill>
                        <a:ln w="9525">
                          <a:noFill/>
                          <a:round/>
                          <a:headEnd/>
                          <a:tailEnd/>
                        </a:ln>
                      </wps:spPr>
                      <wps:txbx>
                        <w:txbxContent>
                          <w:p w14:paraId="51B1CAE2" w14:textId="77777777" w:rsidR="00857EE1" w:rsidRPr="002C1A54" w:rsidRDefault="00857EE1" w:rsidP="008A4940">
                            <w:pPr>
                              <w:shd w:val="clear" w:color="auto" w:fill="0D2C6C" w:themeFill="text1"/>
                              <w:spacing w:after="0" w:line="216" w:lineRule="auto"/>
                              <w:jc w:val="center"/>
                              <w:textAlignment w:val="baseline"/>
                              <w:rPr>
                                <w:b/>
                                <w:color w:val="FFFFFF"/>
                                <w:kern w:val="24"/>
                                <w:sz w:val="24"/>
                                <w:szCs w:val="24"/>
                                <w:lang w:val="en-US"/>
                              </w:rPr>
                            </w:pPr>
                            <w:r w:rsidRPr="002C1A54">
                              <w:rPr>
                                <w:b/>
                                <w:color w:val="FFFFFF"/>
                                <w:kern w:val="24"/>
                                <w:sz w:val="24"/>
                                <w:szCs w:val="24"/>
                                <w:lang w:val="en-US"/>
                              </w:rPr>
                              <w:t>June 2025</w:t>
                            </w:r>
                          </w:p>
                        </w:txbxContent>
                      </wps:txbx>
                      <wps:bodyPr vert="horz" wrap="square" lIns="0" tIns="0" rIns="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7602E780" id="Rectangle 34" o:spid="_x0000_s1027" alt="&quot;&quot;" style="position:absolute;margin-left:371.9pt;margin-top:24.2pt;width:95.05pt;height:32.6pt;z-index:251658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" fillcolor="#0d2c6c [3213]" stroked="f">
                <v:stroke joinstyle="round"/>
                <v:textbox inset="0,0,0,0">
                  <w:txbxContent>
                    <w:p w14:paraId="51B1CAE2" w14:textId="77777777" w:rsidR="00857EE1" w:rsidRPr="002C1A54" w:rsidRDefault="00857EE1" w:rsidP="008A4940">
                      <w:pPr>
                        <w:shd w:val="clear" w:color="auto" w:fill="0D2C6C" w:themeFill="text1"/>
                        <w:spacing w:after="0" w:line="216" w:lineRule="auto"/>
                        <w:jc w:val="center"/>
                        <w:textAlignment w:val="baseline"/>
                        <w:rPr>
                          <w:b/>
                          <w:color w:val="FFFFFF"/>
                          <w:kern w:val="24"/>
                          <w:sz w:val="24"/>
                          <w:szCs w:val="24"/>
                          <w:lang w:val="en-US"/>
                        </w:rPr>
                      </w:pPr>
                      <w:r w:rsidRPr="002C1A54">
                        <w:rPr>
                          <w:b/>
                          <w:color w:val="FFFFFF"/>
                          <w:kern w:val="24"/>
                          <w:sz w:val="24"/>
                          <w:szCs w:val="24"/>
                          <w:lang w:val="en-US"/>
                        </w:rPr>
                        <w:t>June 2025</w:t>
                      </w:r>
                    </w:p>
                  </w:txbxContent>
                </v:textbox>
              </v:rect>
            </w:pict>
          </mc:Fallback>
        </mc:AlternateContent>
      </w:r>
      <w:r w:rsidRPr="005E4A52">
        <w:rPr>
          <w:noProof/>
        </w:rPr>
        <mc:AlternateContent>
          <mc:Choice Requires="wps">
            <w:drawing>
              <wp:anchor distT="0" distB="0" distL="114300" distR="114300" simplePos="0" relativeHeight="251658299" behindDoc="0" locked="0" layoutInCell="1" allowOverlap="1" wp14:anchorId="23A22F44" wp14:editId="195404DC">
                <wp:simplePos x="0" y="0"/>
                <wp:positionH relativeFrom="column">
                  <wp:posOffset>3065145</wp:posOffset>
                </wp:positionH>
                <wp:positionV relativeFrom="paragraph">
                  <wp:posOffset>300990</wp:posOffset>
                </wp:positionV>
                <wp:extent cx="1207135" cy="413385"/>
                <wp:effectExtent l="0" t="0" r="0" b="5715"/>
                <wp:wrapNone/>
                <wp:docPr id="22" name="Rectangle 21">
                  <a:extLst xmlns:a="http://schemas.openxmlformats.org/drawingml/2006/main">
                    <a:ext uri="{FF2B5EF4-FFF2-40B4-BE49-F238E27FC236}">
                      <a16:creationId xmlns:a16="http://schemas.microsoft.com/office/drawing/2014/main" id="{0C5F90CD-4557-C3AF-A57A-CAE7C857C7B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413385"/>
                        </a:xfrm>
                        <a:prstGeom prst="rect">
                          <a:avLst/>
                        </a:prstGeom>
                        <a:solidFill>
                          <a:schemeClr val="bg2"/>
                        </a:solidFill>
                        <a:ln w="9525">
                          <a:noFill/>
                          <a:round/>
                          <a:headEnd/>
                          <a:tailEnd/>
                        </a:ln>
                      </wps:spPr>
                      <wps:txbx>
                        <w:txbxContent>
                          <w:p w14:paraId="6302AC7F" w14:textId="77777777" w:rsidR="00857EE1" w:rsidRPr="002C1A54" w:rsidRDefault="00857EE1" w:rsidP="008A4940">
                            <w:pPr>
                              <w:shd w:val="clear" w:color="auto" w:fill="009B9F"/>
                              <w:spacing w:after="0" w:line="216" w:lineRule="auto"/>
                              <w:jc w:val="center"/>
                              <w:textAlignment w:val="baseline"/>
                              <w:rPr>
                                <w:b/>
                                <w:color w:val="FFFFFF"/>
                                <w:kern w:val="24"/>
                                <w:sz w:val="24"/>
                                <w:szCs w:val="24"/>
                                <w:lang w:val="en-US"/>
                              </w:rPr>
                            </w:pPr>
                            <w:bookmarkStart w:id="7" w:name="_Hlk174436630"/>
                            <w:bookmarkEnd w:id="7"/>
                            <w:r w:rsidRPr="002C1A54" w:rsidDel="00837489">
                              <w:rPr>
                                <w:b/>
                                <w:color w:val="FFFFFF"/>
                                <w:kern w:val="24"/>
                                <w:sz w:val="24"/>
                                <w:szCs w:val="24"/>
                                <w:lang w:val="en-US"/>
                              </w:rPr>
                              <w:t>February-March</w:t>
                            </w:r>
                            <w:r w:rsidRPr="002C1A54">
                              <w:rPr>
                                <w:b/>
                                <w:color w:val="FFFFFF"/>
                                <w:kern w:val="24"/>
                                <w:sz w:val="24"/>
                                <w:szCs w:val="24"/>
                                <w:lang w:val="en-US"/>
                              </w:rPr>
                              <w:t xml:space="preserve"> 2025</w:t>
                            </w:r>
                          </w:p>
                        </w:txbxContent>
                      </wps:txbx>
                      <wps:bodyPr vert="horz" wrap="square" lIns="0" tIns="0" rIns="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23A22F44" id="Rectangle 21" o:spid="_x0000_s1028" alt="&quot;&quot;" style="position:absolute;margin-left:241.35pt;margin-top:23.7pt;width:95.05pt;height:32.55pt;z-index:2516582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" fillcolor="#009b9f [3214]" stroked="f">
                <v:stroke joinstyle="round"/>
                <v:textbox inset="0,0,0,0">
                  <w:txbxContent>
                    <w:p w14:paraId="6302AC7F" w14:textId="77777777" w:rsidR="00857EE1" w:rsidRPr="002C1A54" w:rsidRDefault="00857EE1" w:rsidP="008A4940">
                      <w:pPr>
                        <w:shd w:val="clear" w:color="auto" w:fill="009B9F"/>
                        <w:spacing w:after="0" w:line="216" w:lineRule="auto"/>
                        <w:jc w:val="center"/>
                        <w:textAlignment w:val="baseline"/>
                        <w:rPr>
                          <w:b/>
                          <w:color w:val="FFFFFF"/>
                          <w:kern w:val="24"/>
                          <w:sz w:val="24"/>
                          <w:szCs w:val="24"/>
                          <w:lang w:val="en-US"/>
                        </w:rPr>
                      </w:pPr>
                      <w:bookmarkStart w:id="8" w:name="_Hlk174436630"/>
                      <w:bookmarkEnd w:id="8"/>
                      <w:r w:rsidRPr="002C1A54" w:rsidDel="00837489">
                        <w:rPr>
                          <w:b/>
                          <w:color w:val="FFFFFF"/>
                          <w:kern w:val="24"/>
                          <w:sz w:val="24"/>
                          <w:szCs w:val="24"/>
                          <w:lang w:val="en-US"/>
                        </w:rPr>
                        <w:t>February-March</w:t>
                      </w:r>
                      <w:r w:rsidRPr="002C1A54">
                        <w:rPr>
                          <w:b/>
                          <w:color w:val="FFFFFF"/>
                          <w:kern w:val="24"/>
                          <w:sz w:val="24"/>
                          <w:szCs w:val="24"/>
                          <w:lang w:val="en-US"/>
                        </w:rPr>
                        <w:t xml:space="preserve"> 2025</w:t>
                      </w:r>
                    </w:p>
                  </w:txbxContent>
                </v:textbox>
              </v:rect>
            </w:pict>
          </mc:Fallback>
        </mc:AlternateContent>
      </w:r>
      <w:r w:rsidRPr="005E4A52">
        <w:rPr>
          <w:noProof/>
        </w:rPr>
        <mc:AlternateContent>
          <mc:Choice Requires="wps">
            <w:drawing>
              <wp:anchor distT="0" distB="0" distL="114300" distR="114300" simplePos="0" relativeHeight="251658254" behindDoc="0" locked="0" layoutInCell="1" allowOverlap="1" wp14:anchorId="6292FF4E" wp14:editId="474B26F7">
                <wp:simplePos x="0" y="0"/>
                <wp:positionH relativeFrom="column">
                  <wp:posOffset>1492250</wp:posOffset>
                </wp:positionH>
                <wp:positionV relativeFrom="paragraph">
                  <wp:posOffset>307340</wp:posOffset>
                </wp:positionV>
                <wp:extent cx="1207135" cy="414000"/>
                <wp:effectExtent l="0" t="0" r="0" b="5715"/>
                <wp:wrapNone/>
                <wp:docPr id="21" name="Rectangle 20">
                  <a:extLst xmlns:a="http://schemas.openxmlformats.org/drawingml/2006/main">
                    <a:ext uri="{FF2B5EF4-FFF2-40B4-BE49-F238E27FC236}">
                      <a16:creationId xmlns:a16="http://schemas.microsoft.com/office/drawing/2014/main" id="{C77B9430-2150-8250-C890-2DD1E211FD0B}"/>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414000"/>
                        </a:xfrm>
                        <a:prstGeom prst="rect">
                          <a:avLst/>
                        </a:prstGeom>
                        <a:solidFill>
                          <a:schemeClr val="tx1"/>
                        </a:solidFill>
                        <a:ln w="9525">
                          <a:noFill/>
                          <a:round/>
                          <a:headEnd/>
                          <a:tailEnd/>
                        </a:ln>
                      </wps:spPr>
                      <wps:txbx>
                        <w:txbxContent>
                          <w:p w14:paraId="095D2996" w14:textId="77777777" w:rsidR="00857EE1" w:rsidRPr="002C1A54" w:rsidRDefault="00857EE1" w:rsidP="008A4940">
                            <w:pPr>
                              <w:shd w:val="clear" w:color="auto" w:fill="0D2C6C" w:themeFill="text1"/>
                              <w:spacing w:after="0" w:line="216" w:lineRule="auto"/>
                              <w:jc w:val="center"/>
                              <w:textAlignment w:val="baseline"/>
                              <w:rPr>
                                <w:b/>
                                <w:color w:val="FFFFFF"/>
                                <w:kern w:val="24"/>
                                <w:sz w:val="24"/>
                                <w:szCs w:val="24"/>
                                <w:lang w:val="en-US"/>
                              </w:rPr>
                            </w:pPr>
                            <w:r w:rsidRPr="002C1A54">
                              <w:rPr>
                                <w:b/>
                                <w:color w:val="FFFFFF"/>
                                <w:kern w:val="24"/>
                                <w:sz w:val="24"/>
                                <w:szCs w:val="24"/>
                                <w:lang w:val="en-US"/>
                              </w:rPr>
                              <w:t>October</w:t>
                            </w:r>
                            <w:r w:rsidRPr="002C1A54" w:rsidDel="00837489">
                              <w:rPr>
                                <w:b/>
                                <w:color w:val="FFFFFF"/>
                                <w:kern w:val="24"/>
                                <w:sz w:val="24"/>
                                <w:szCs w:val="24"/>
                                <w:lang w:val="en-US"/>
                              </w:rPr>
                              <w:t xml:space="preserve"> </w:t>
                            </w:r>
                            <w:r w:rsidRPr="002C1A54">
                              <w:rPr>
                                <w:b/>
                                <w:color w:val="FFFFFF"/>
                                <w:kern w:val="24"/>
                                <w:sz w:val="24"/>
                                <w:szCs w:val="24"/>
                                <w:lang w:val="en-US"/>
                              </w:rPr>
                              <w:t>2024 –</w:t>
                            </w:r>
                            <w:r w:rsidRPr="002C1A54" w:rsidDel="00837489">
                              <w:rPr>
                                <w:b/>
                                <w:color w:val="FFFFFF"/>
                                <w:kern w:val="24"/>
                                <w:sz w:val="24"/>
                                <w:szCs w:val="24"/>
                                <w:lang w:val="en-US"/>
                              </w:rPr>
                              <w:t xml:space="preserve"> </w:t>
                            </w:r>
                            <w:r w:rsidRPr="002C1A54">
                              <w:rPr>
                                <w:b/>
                                <w:color w:val="FFFFFF"/>
                                <w:kern w:val="24"/>
                                <w:sz w:val="24"/>
                                <w:szCs w:val="24"/>
                                <w:lang w:val="en-US"/>
                              </w:rPr>
                              <w:t>January 2025</w:t>
                            </w:r>
                          </w:p>
                        </w:txbxContent>
                      </wps:txbx>
                      <wps:bodyPr vert="horz" wrap="square" lIns="0" tIns="0" rIns="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6292FF4E" id="Rectangle 20" o:spid="_x0000_s1029" alt="&quot;&quot;" style="position:absolute;margin-left:117.5pt;margin-top:24.2pt;width:95.05pt;height:32.6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" fillcolor="#0d2c6c [3213]" stroked="f">
                <v:stroke joinstyle="round"/>
                <v:textbox inset="0,0,0,0">
                  <w:txbxContent>
                    <w:p w14:paraId="095D2996" w14:textId="77777777" w:rsidR="00857EE1" w:rsidRPr="002C1A54" w:rsidRDefault="00857EE1" w:rsidP="008A4940">
                      <w:pPr>
                        <w:shd w:val="clear" w:color="auto" w:fill="0D2C6C" w:themeFill="text1"/>
                        <w:spacing w:after="0" w:line="216" w:lineRule="auto"/>
                        <w:jc w:val="center"/>
                        <w:textAlignment w:val="baseline"/>
                        <w:rPr>
                          <w:b/>
                          <w:color w:val="FFFFFF"/>
                          <w:kern w:val="24"/>
                          <w:sz w:val="24"/>
                          <w:szCs w:val="24"/>
                          <w:lang w:val="en-US"/>
                        </w:rPr>
                      </w:pPr>
                      <w:r w:rsidRPr="002C1A54">
                        <w:rPr>
                          <w:b/>
                          <w:color w:val="FFFFFF"/>
                          <w:kern w:val="24"/>
                          <w:sz w:val="24"/>
                          <w:szCs w:val="24"/>
                          <w:lang w:val="en-US"/>
                        </w:rPr>
                        <w:t>October</w:t>
                      </w:r>
                      <w:r w:rsidRPr="002C1A54" w:rsidDel="00837489">
                        <w:rPr>
                          <w:b/>
                          <w:color w:val="FFFFFF"/>
                          <w:kern w:val="24"/>
                          <w:sz w:val="24"/>
                          <w:szCs w:val="24"/>
                          <w:lang w:val="en-US"/>
                        </w:rPr>
                        <w:t xml:space="preserve"> </w:t>
                      </w:r>
                      <w:r w:rsidRPr="002C1A54">
                        <w:rPr>
                          <w:b/>
                          <w:color w:val="FFFFFF"/>
                          <w:kern w:val="24"/>
                          <w:sz w:val="24"/>
                          <w:szCs w:val="24"/>
                          <w:lang w:val="en-US"/>
                        </w:rPr>
                        <w:t>2024 –</w:t>
                      </w:r>
                      <w:r w:rsidRPr="002C1A54" w:rsidDel="00837489">
                        <w:rPr>
                          <w:b/>
                          <w:color w:val="FFFFFF"/>
                          <w:kern w:val="24"/>
                          <w:sz w:val="24"/>
                          <w:szCs w:val="24"/>
                          <w:lang w:val="en-US"/>
                        </w:rPr>
                        <w:t xml:space="preserve"> </w:t>
                      </w:r>
                      <w:r w:rsidRPr="002C1A54">
                        <w:rPr>
                          <w:b/>
                          <w:color w:val="FFFFFF"/>
                          <w:kern w:val="24"/>
                          <w:sz w:val="24"/>
                          <w:szCs w:val="24"/>
                          <w:lang w:val="en-US"/>
                        </w:rPr>
                        <w:t>January 2025</w:t>
                      </w:r>
                    </w:p>
                  </w:txbxContent>
                </v:textbox>
              </v:rect>
            </w:pict>
          </mc:Fallback>
        </mc:AlternateContent>
      </w:r>
      <w:r w:rsidR="00857EE1" w:rsidRPr="005E4A52">
        <w:rPr>
          <w:noProof/>
        </w:rPr>
        <mc:AlternateContent>
          <mc:Choice Requires="wps">
            <w:drawing>
              <wp:anchor distT="0" distB="0" distL="114300" distR="114300" simplePos="0" relativeHeight="251658253" behindDoc="0" locked="0" layoutInCell="1" allowOverlap="1" wp14:anchorId="3BCEC6EB" wp14:editId="2922B0AB">
                <wp:simplePos x="0" y="0"/>
                <wp:positionH relativeFrom="column">
                  <wp:posOffset>-114935</wp:posOffset>
                </wp:positionH>
                <wp:positionV relativeFrom="paragraph">
                  <wp:posOffset>306070</wp:posOffset>
                </wp:positionV>
                <wp:extent cx="1207135" cy="412726"/>
                <wp:effectExtent l="0" t="0" r="0" b="6985"/>
                <wp:wrapNone/>
                <wp:docPr id="20" name="Rectangle 19">
                  <a:extLst xmlns:a="http://schemas.openxmlformats.org/drawingml/2006/main">
                    <a:ext uri="{FF2B5EF4-FFF2-40B4-BE49-F238E27FC236}">
                      <a16:creationId xmlns:a16="http://schemas.microsoft.com/office/drawing/2014/main" id="{88B43CAB-4084-B17D-ADB5-8F04E2CB69A4}"/>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1207135" cy="412726"/>
                        </a:xfrm>
                        <a:prstGeom prst="rect">
                          <a:avLst/>
                        </a:prstGeom>
                        <a:solidFill>
                          <a:schemeClr val="bg2"/>
                        </a:solidFill>
                        <a:ln w="9525">
                          <a:noFill/>
                          <a:round/>
                          <a:headEnd/>
                          <a:tailEnd/>
                        </a:ln>
                      </wps:spPr>
                      <wps:txbx>
                        <w:txbxContent>
                          <w:p w14:paraId="3F52A2AD" w14:textId="77777777" w:rsidR="00857EE1" w:rsidRPr="002C1A54" w:rsidRDefault="00857EE1" w:rsidP="00414506">
                            <w:pPr>
                              <w:shd w:val="clear" w:color="auto" w:fill="009B9F"/>
                              <w:spacing w:after="0" w:line="240" w:lineRule="auto"/>
                              <w:jc w:val="center"/>
                              <w:textAlignment w:val="baseline"/>
                              <w:rPr>
                                <w:b/>
                                <w:color w:val="FFFFFF"/>
                                <w:kern w:val="24"/>
                                <w:sz w:val="24"/>
                                <w:szCs w:val="24"/>
                                <w:lang w:val="en-US"/>
                              </w:rPr>
                            </w:pPr>
                            <w:r w:rsidRPr="002C1A54">
                              <w:rPr>
                                <w:b/>
                                <w:color w:val="FFFFFF"/>
                                <w:kern w:val="24"/>
                                <w:sz w:val="24"/>
                                <w:szCs w:val="24"/>
                                <w:lang w:val="en-US"/>
                              </w:rPr>
                              <w:t>October 2024</w:t>
                            </w:r>
                          </w:p>
                        </w:txbxContent>
                      </wps:txbx>
                      <wps:bodyPr vert="horz" wrap="square" lIns="0" tIns="0" rIns="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3BCEC6EB" id="Rectangle 19" o:spid="_x0000_s1030" alt="&quot;&quot;" style="position:absolute;margin-left:-9.05pt;margin-top:24.1pt;width:95.05pt;height:32.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" fillcolor="#009b9f [3214]" stroked="f">
                <v:stroke joinstyle="round"/>
                <v:textbox inset="0,0,0,0">
                  <w:txbxContent>
                    <w:p w14:paraId="3F52A2AD" w14:textId="77777777" w:rsidR="00857EE1" w:rsidRPr="002C1A54" w:rsidRDefault="00857EE1" w:rsidP="00414506">
                      <w:pPr>
                        <w:shd w:val="clear" w:color="auto" w:fill="009B9F"/>
                        <w:spacing w:after="0" w:line="240" w:lineRule="auto"/>
                        <w:jc w:val="center"/>
                        <w:textAlignment w:val="baseline"/>
                        <w:rPr>
                          <w:b/>
                          <w:color w:val="FFFFFF"/>
                          <w:kern w:val="24"/>
                          <w:sz w:val="24"/>
                          <w:szCs w:val="24"/>
                          <w:lang w:val="en-US"/>
                        </w:rPr>
                      </w:pPr>
                      <w:r w:rsidRPr="002C1A54">
                        <w:rPr>
                          <w:b/>
                          <w:color w:val="FFFFFF"/>
                          <w:kern w:val="24"/>
                          <w:sz w:val="24"/>
                          <w:szCs w:val="24"/>
                          <w:lang w:val="en-US"/>
                        </w:rPr>
                        <w:t>October 2024</w:t>
                      </w:r>
                    </w:p>
                  </w:txbxContent>
                </v:textbox>
              </v:rect>
            </w:pict>
          </mc:Fallback>
        </mc:AlternateContent>
      </w:r>
    </w:p>
    <w:p w14:paraId="1947F882" w14:textId="0AF4C6AD" w:rsidR="00857EE1" w:rsidRPr="005E4A52" w:rsidRDefault="00857EE1" w:rsidP="00857EE1"/>
    <w:p w14:paraId="79154B6B" w14:textId="56A6AC57" w:rsidR="00857EE1" w:rsidRPr="005E4A52" w:rsidRDefault="00F23C2B" w:rsidP="00857EE1">
      <w:r w:rsidRPr="005E4A52">
        <w:rPr>
          <w:noProof/>
        </w:rPr>
        <mc:AlternateContent>
          <mc:Choice Requires="wps">
            <w:drawing>
              <wp:anchor distT="0" distB="0" distL="114300" distR="114300" simplePos="0" relativeHeight="251658309" behindDoc="0" locked="0" layoutInCell="1" allowOverlap="1" wp14:anchorId="7BD173BA" wp14:editId="6D9C7137">
                <wp:simplePos x="0" y="0"/>
                <wp:positionH relativeFrom="column">
                  <wp:posOffset>4752340</wp:posOffset>
                </wp:positionH>
                <wp:positionV relativeFrom="paragraph">
                  <wp:posOffset>80010</wp:posOffset>
                </wp:positionV>
                <wp:extent cx="1207135" cy="200025"/>
                <wp:effectExtent l="0" t="0" r="0" b="9525"/>
                <wp:wrapNone/>
                <wp:docPr id="33" name="Isosceles Triangle 32">
                  <a:extLst xmlns:a="http://schemas.openxmlformats.org/drawingml/2006/main">
                    <a:ext uri="{FF2B5EF4-FFF2-40B4-BE49-F238E27FC236}">
                      <a16:creationId xmlns:a16="http://schemas.microsoft.com/office/drawing/2014/main" id="{A537C859-F9FE-0BDF-0332-FDCF2757391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flipV="1">
                          <a:off x="0" y="0"/>
                          <a:ext cx="1207135" cy="200025"/>
                        </a:xfrm>
                        <a:prstGeom prst="triangle">
                          <a:avLst/>
                        </a:prstGeom>
                        <a:solidFill>
                          <a:schemeClr val="accent2"/>
                        </a:solidFill>
                        <a:ln w="9525">
                          <a:noFill/>
                          <a:round/>
                          <a:headEnd/>
                          <a:tailEnd/>
                        </a:ln>
                        <a:effectLst/>
                      </wps:spPr>
                      <wps:bodyPr vert="horz" wrap="square" lIns="91440" tIns="45720" rIns="91440" bIns="45720" numCol="1" rtlCol="0" anchor="t" anchorCtr="0" compatLnSpc="1">
                        <a:prstTxWarp prst="textNoShape">
                          <a:avLst/>
                        </a:prstTxWarp>
                      </wps:bodyPr>
                    </wps:wsp>
                  </a:graphicData>
                </a:graphic>
              </wp:anchor>
            </w:drawing>
          </mc:Choice>
          <mc:Fallback>
            <w:pict>
              <v:shapetype w14:anchorId="18D67BC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2" o:spid="_x0000_s1026" type="#_x0000_t5" alt="&quot;&quot;" style="position:absolute;margin-left:374.2pt;margin-top:6.3pt;width:95.05pt;height:15.75pt;flip:y;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" fillcolor="#656da9 [3205]" stroked="f">
                <v:stroke joinstyle="round"/>
              </v:shape>
            </w:pict>
          </mc:Fallback>
        </mc:AlternateContent>
      </w:r>
      <w:r w:rsidRPr="005E4A52">
        <w:rPr>
          <w:noProof/>
        </w:rPr>
        <mc:AlternateContent>
          <mc:Choice Requires="wps">
            <w:drawing>
              <wp:anchor distT="0" distB="0" distL="114300" distR="114300" simplePos="0" relativeHeight="251658246" behindDoc="0" locked="0" layoutInCell="1" allowOverlap="1" wp14:anchorId="47996151" wp14:editId="27AEA4DD">
                <wp:simplePos x="0" y="0"/>
                <wp:positionH relativeFrom="column">
                  <wp:posOffset>1499235</wp:posOffset>
                </wp:positionH>
                <wp:positionV relativeFrom="paragraph">
                  <wp:posOffset>77470</wp:posOffset>
                </wp:positionV>
                <wp:extent cx="1207135" cy="200025"/>
                <wp:effectExtent l="0" t="0" r="0" b="9525"/>
                <wp:wrapNone/>
                <wp:docPr id="12" name="Isosceles Triangle 11">
                  <a:extLst xmlns:a="http://schemas.openxmlformats.org/drawingml/2006/main">
                    <a:ext uri="{FF2B5EF4-FFF2-40B4-BE49-F238E27FC236}">
                      <a16:creationId xmlns:a16="http://schemas.microsoft.com/office/drawing/2014/main" id="{68EEBF88-AE9F-ABE5-9BA9-54FB80F3D9A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flipV="1">
                          <a:off x="0" y="0"/>
                          <a:ext cx="1207135" cy="200025"/>
                        </a:xfrm>
                        <a:prstGeom prst="triangle">
                          <a:avLst/>
                        </a:prstGeom>
                        <a:solidFill>
                          <a:schemeClr val="accent2"/>
                        </a:solidFill>
                        <a:ln w="9525">
                          <a:noFill/>
                          <a:round/>
                          <a:headEnd/>
                          <a:tailEnd/>
                        </a:ln>
                        <a:effectLst/>
                      </wps:spPr>
                      <wps:bodyPr vert="horz" wrap="square" lIns="91440" tIns="45720" rIns="91440" bIns="45720" numCol="1" rtlCol="0" anchor="t" anchorCtr="0" compatLnSpc="1">
                        <a:prstTxWarp prst="textNoShape">
                          <a:avLst/>
                        </a:prstTxWarp>
                      </wps:bodyPr>
                    </wps:wsp>
                  </a:graphicData>
                </a:graphic>
              </wp:anchor>
            </w:drawing>
          </mc:Choice>
          <mc:Fallback>
            <w:pict>
              <v:shape w14:anchorId="062EB17D" id="Isosceles Triangle 11" o:spid="_x0000_s1026" type="#_x0000_t5" alt="&quot;&quot;" style="position:absolute;margin-left:118.05pt;margin-top:6.1pt;width:95.05pt;height:15.75pt;flip:y;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" fillcolor="#656da9 [3205]" stroked="f">
                <v:stroke joinstyle="round"/>
              </v:shape>
            </w:pict>
          </mc:Fallback>
        </mc:AlternateContent>
      </w:r>
      <w:r w:rsidRPr="005E4A52">
        <w:rPr>
          <w:noProof/>
        </w:rPr>
        <mc:AlternateContent>
          <mc:Choice Requires="wps">
            <w:drawing>
              <wp:anchor distT="0" distB="0" distL="114300" distR="114300" simplePos="0" relativeHeight="251658249" behindDoc="0" locked="0" layoutInCell="1" allowOverlap="1" wp14:anchorId="23B329F1" wp14:editId="6B6DBA4B">
                <wp:simplePos x="0" y="0"/>
                <wp:positionH relativeFrom="column">
                  <wp:posOffset>3070225</wp:posOffset>
                </wp:positionH>
                <wp:positionV relativeFrom="paragraph">
                  <wp:posOffset>81915</wp:posOffset>
                </wp:positionV>
                <wp:extent cx="1207135" cy="200025"/>
                <wp:effectExtent l="0" t="0" r="0" b="9525"/>
                <wp:wrapNone/>
                <wp:docPr id="16" name="Isosceles Triangle 15">
                  <a:extLst xmlns:a="http://schemas.openxmlformats.org/drawingml/2006/main">
                    <a:ext uri="{FF2B5EF4-FFF2-40B4-BE49-F238E27FC236}">
                      <a16:creationId xmlns:a16="http://schemas.microsoft.com/office/drawing/2014/main" id="{A985670E-F581-8F08-FDDD-2D3A551AF18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flipV="1">
                          <a:off x="0" y="0"/>
                          <a:ext cx="1207135" cy="200025"/>
                        </a:xfrm>
                        <a:prstGeom prst="triangle">
                          <a:avLst/>
                        </a:prstGeom>
                        <a:solidFill>
                          <a:schemeClr val="accent5"/>
                        </a:solidFill>
                        <a:ln w="9525">
                          <a:noFill/>
                          <a:round/>
                          <a:headEnd/>
                          <a:tailEnd/>
                        </a:ln>
                        <a:effectLst/>
                      </wps:spPr>
                      <wps:bodyPr vert="horz" wrap="square" lIns="91440" tIns="45720" rIns="91440" bIns="45720" numCol="1" rtlCol="0" anchor="t" anchorCtr="0" compatLnSpc="1">
                        <a:prstTxWarp prst="textNoShape">
                          <a:avLst/>
                        </a:prstTxWarp>
                      </wps:bodyPr>
                    </wps:wsp>
                  </a:graphicData>
                </a:graphic>
              </wp:anchor>
            </w:drawing>
          </mc:Choice>
          <mc:Fallback>
            <w:pict>
              <v:shape w14:anchorId="3A32B31A" id="Isosceles Triangle 15" o:spid="_x0000_s1026" type="#_x0000_t5" alt="&quot;&quot;" style="position:absolute;margin-left:241.75pt;margin-top:6.45pt;width:95.05pt;height:15.75pt;flip:y;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" fillcolor="#777778 [3208]" stroked="f">
                <v:stroke joinstyle="round"/>
              </v:shape>
            </w:pict>
          </mc:Fallback>
        </mc:AlternateContent>
      </w:r>
      <w:r w:rsidR="00857EE1" w:rsidRPr="005E4A52">
        <w:rPr>
          <w:noProof/>
        </w:rPr>
        <mc:AlternateContent>
          <mc:Choice Requires="wps">
            <w:drawing>
              <wp:anchor distT="0" distB="0" distL="114300" distR="114300" simplePos="0" relativeHeight="251658243" behindDoc="0" locked="0" layoutInCell="1" allowOverlap="1" wp14:anchorId="2D501018" wp14:editId="29F5881B">
                <wp:simplePos x="0" y="0"/>
                <wp:positionH relativeFrom="column">
                  <wp:posOffset>-114300</wp:posOffset>
                </wp:positionH>
                <wp:positionV relativeFrom="paragraph">
                  <wp:posOffset>82550</wp:posOffset>
                </wp:positionV>
                <wp:extent cx="1207135" cy="200025"/>
                <wp:effectExtent l="0" t="0" r="0" b="9525"/>
                <wp:wrapNone/>
                <wp:docPr id="8" name="Isosceles Triangle 7">
                  <a:extLst xmlns:a="http://schemas.openxmlformats.org/drawingml/2006/main">
                    <a:ext uri="{FF2B5EF4-FFF2-40B4-BE49-F238E27FC236}">
                      <a16:creationId xmlns:a16="http://schemas.microsoft.com/office/drawing/2014/main" id="{C579E63D-42A3-8739-7974-71E23DE1BF8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flipV="1">
                          <a:off x="0" y="0"/>
                          <a:ext cx="1207135" cy="200025"/>
                        </a:xfrm>
                        <a:prstGeom prst="triangle">
                          <a:avLst/>
                        </a:prstGeom>
                        <a:solidFill>
                          <a:schemeClr val="accent5"/>
                        </a:solidFill>
                        <a:ln w="9525">
                          <a:noFill/>
                          <a:round/>
                          <a:headEnd/>
                          <a:tailEnd/>
                        </a:ln>
                        <a:effectLst/>
                      </wps:spPr>
                      <wps:bodyPr vert="horz" wrap="square" lIns="91440" tIns="45720" rIns="91440" bIns="45720" numCol="1" rtlCol="0" anchor="t" anchorCtr="0" compatLnSpc="1">
                        <a:prstTxWarp prst="textNoShape">
                          <a:avLst/>
                        </a:prstTxWarp>
                      </wps:bodyPr>
                    </wps:wsp>
                  </a:graphicData>
                </a:graphic>
              </wp:anchor>
            </w:drawing>
          </mc:Choice>
          <mc:Fallback>
            <w:pict>
              <v:shape w14:anchorId="2219C3D5" id="Isosceles Triangle 7" o:spid="_x0000_s1026" type="#_x0000_t5" alt="&quot;&quot;" style="position:absolute;margin-left:-9pt;margin-top:6.5pt;width:95.05pt;height:15.75pt;flip:y;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" fillcolor="#777778 [3208]" stroked="f">
                <v:stroke joinstyle="round"/>
              </v:shape>
            </w:pict>
          </mc:Fallback>
        </mc:AlternateContent>
      </w:r>
    </w:p>
    <w:p w14:paraId="40FB50EA" w14:textId="5FB03E50" w:rsidR="00857EE1" w:rsidRPr="005E4A52" w:rsidRDefault="00E963D8" w:rsidP="00857EE1">
      <w:r>
        <w:rPr>
          <w:noProof/>
        </w:rPr>
        <mc:AlternateContent>
          <mc:Choice Requires="wpg">
            <w:drawing>
              <wp:anchor distT="0" distB="0" distL="114300" distR="114300" simplePos="0" relativeHeight="251658303" behindDoc="0" locked="0" layoutInCell="1" allowOverlap="1" wp14:anchorId="2DC4D359" wp14:editId="23CD5AB8">
                <wp:simplePos x="0" y="0"/>
                <wp:positionH relativeFrom="column">
                  <wp:posOffset>3552580</wp:posOffset>
                </wp:positionH>
                <wp:positionV relativeFrom="paragraph">
                  <wp:posOffset>134685</wp:posOffset>
                </wp:positionV>
                <wp:extent cx="288000" cy="288000"/>
                <wp:effectExtent l="0" t="0" r="17145" b="17145"/>
                <wp:wrapNone/>
                <wp:docPr id="1212993365"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8000" cy="288000"/>
                          <a:chOff x="0" y="0"/>
                          <a:chExt cx="288000" cy="288000"/>
                        </a:xfrm>
                      </wpg:grpSpPr>
                      <wps:wsp>
                        <wps:cNvPr id="13" name="Oval 12">
                          <a:extLst>
                            <a:ext uri="{FF2B5EF4-FFF2-40B4-BE49-F238E27FC236}">
                              <a16:creationId xmlns:a16="http://schemas.microsoft.com/office/drawing/2014/main" id="{3BC6091C-F6FC-430F-BA4A-97B694566A7E}"/>
                            </a:ext>
                            <a:ext uri="{C183D7F6-B498-43B3-948B-1728B52AA6E4}">
                              <adec:decorative xmlns:adec="http://schemas.microsoft.com/office/drawing/2017/decorative" val="1"/>
                            </a:ext>
                          </a:extLst>
                        </wps:cNvPr>
                        <wps:cNvSpPr/>
                        <wps:spPr bwMode="auto">
                          <a:xfrm rot="10800000" flipV="1">
                            <a:off x="0" y="0"/>
                            <a:ext cx="288000" cy="288000"/>
                          </a:xfrm>
                          <a:prstGeom prst="ellipse">
                            <a:avLst/>
                          </a:prstGeom>
                          <a:solidFill>
                            <a:srgbClr val="009B9F"/>
                          </a:solidFill>
                          <a:ln w="9525">
                            <a:solidFill>
                              <a:srgbClr val="009B9F"/>
                            </a:solidFill>
                            <a:round/>
                            <a:headEnd/>
                            <a:tailEnd/>
                          </a:ln>
                          <a:effectLst/>
                        </wps:spPr>
                        <wps:bodyPr vert="horz" wrap="square" lIns="91440" tIns="45720" rIns="91440" bIns="45720" numCol="1" rtlCol="0" anchor="t" anchorCtr="0" compatLnSpc="1">
                          <a:prstTxWarp prst="textNoShape">
                            <a:avLst/>
                          </a:prstTxWarp>
                        </wps:bodyPr>
                      </wps:wsp>
                      <wps:wsp>
                        <wps:cNvPr id="25" name="Oval 24">
                          <a:extLst>
                            <a:ext uri="{FF2B5EF4-FFF2-40B4-BE49-F238E27FC236}">
                              <a16:creationId xmlns:a16="http://schemas.microsoft.com/office/drawing/2014/main" id="{23A39226-3E41-02CE-D33E-12104D99B4D5}"/>
                            </a:ext>
                            <a:ext uri="{C183D7F6-B498-43B3-948B-1728B52AA6E4}">
                              <adec:decorative xmlns:adec="http://schemas.microsoft.com/office/drawing/2017/decorative" val="1"/>
                            </a:ext>
                          </a:extLst>
                        </wps:cNvPr>
                        <wps:cNvSpPr/>
                        <wps:spPr bwMode="auto">
                          <a:xfrm rot="10800000" flipV="1">
                            <a:off x="76200" y="76200"/>
                            <a:ext cx="144000" cy="144000"/>
                          </a:xfrm>
                          <a:prstGeom prst="ellipse">
                            <a:avLst/>
                          </a:prstGeom>
                          <a:solidFill>
                            <a:schemeClr val="bg1"/>
                          </a:solidFill>
                          <a:ln w="9525">
                            <a:noFill/>
                            <a:round/>
                            <a:headEnd/>
                            <a:tailEnd/>
                          </a:ln>
                          <a:effectLst/>
                        </wps:spPr>
                        <wps:bodyPr vert="horz" wrap="square" lIns="91440" tIns="45720" rIns="91440" bIns="45720" numCol="1" rtlCol="0" anchor="t" anchorCtr="0" compatLnSpc="1">
                          <a:prstTxWarp prst="textNoShape">
                            <a:avLst/>
                          </a:prstTxWarp>
                        </wps:bodyPr>
                      </wps:wsp>
                    </wpg:wgp>
                  </a:graphicData>
                </a:graphic>
              </wp:anchor>
            </w:drawing>
          </mc:Choice>
          <mc:Fallback>
            <w:pict>
              <v:group w14:anchorId="576E60B2" id="Group 2" o:spid="_x0000_s1026" alt="&quot;&quot;" style="position:absolute;margin-left:279.75pt;margin-top:10.6pt;width:22.7pt;height:22.7pt;z-index:251667456" coordsize="288000,28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">
                <v:oval id="Oval 12" o:spid="_x0000_s1027" alt="&quot;&quot;" style="position:absolute;width:288000;height:28800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" fillcolor="#009b9f" strokecolor="#009b9f"/>
                <v:oval id="Oval 24" o:spid="_x0000_s1028" alt="&quot;&quot;" style="position:absolute;left:76200;top:76200;width:144000;height:14400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" fillcolor="white [3212]" stroked="f"/>
              </v:group>
            </w:pict>
          </mc:Fallback>
        </mc:AlternateContent>
      </w:r>
      <w:r>
        <w:rPr>
          <w:noProof/>
        </w:rPr>
        <mc:AlternateContent>
          <mc:Choice Requires="wpg">
            <w:drawing>
              <wp:anchor distT="0" distB="0" distL="114300" distR="114300" simplePos="0" relativeHeight="251658302" behindDoc="0" locked="0" layoutInCell="1" allowOverlap="1" wp14:anchorId="5405C97C" wp14:editId="16262984">
                <wp:simplePos x="0" y="0"/>
                <wp:positionH relativeFrom="column">
                  <wp:posOffset>1971138</wp:posOffset>
                </wp:positionH>
                <wp:positionV relativeFrom="paragraph">
                  <wp:posOffset>146573</wp:posOffset>
                </wp:positionV>
                <wp:extent cx="288000" cy="288000"/>
                <wp:effectExtent l="0" t="0" r="0" b="0"/>
                <wp:wrapNone/>
                <wp:docPr id="1492290452"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8000" cy="288000"/>
                          <a:chOff x="0" y="0"/>
                          <a:chExt cx="288000" cy="288000"/>
                        </a:xfrm>
                      </wpg:grpSpPr>
                      <wps:wsp>
                        <wps:cNvPr id="9" name="Oval 8">
                          <a:extLst>
                            <a:ext uri="{FF2B5EF4-FFF2-40B4-BE49-F238E27FC236}">
                              <a16:creationId xmlns:a16="http://schemas.microsoft.com/office/drawing/2014/main" id="{AEF94625-08DE-8687-3253-8BF68A66022A}"/>
                            </a:ext>
                            <a:ext uri="{C183D7F6-B498-43B3-948B-1728B52AA6E4}">
                              <adec:decorative xmlns:adec="http://schemas.microsoft.com/office/drawing/2017/decorative" val="1"/>
                            </a:ext>
                          </a:extLst>
                        </wps:cNvPr>
                        <wps:cNvSpPr/>
                        <wps:spPr bwMode="auto">
                          <a:xfrm rot="10800000" flipV="1">
                            <a:off x="0" y="0"/>
                            <a:ext cx="288000" cy="288000"/>
                          </a:xfrm>
                          <a:prstGeom prst="ellipse">
                            <a:avLst/>
                          </a:prstGeom>
                          <a:solidFill>
                            <a:schemeClr val="accent1"/>
                          </a:solidFill>
                          <a:ln w="9525">
                            <a:noFill/>
                            <a:round/>
                            <a:headEnd/>
                            <a:tailEnd/>
                          </a:ln>
                          <a:effectLst/>
                        </wps:spPr>
                        <wps:bodyPr vert="horz" wrap="square" lIns="91440" tIns="45720" rIns="91440" bIns="45720" numCol="1" rtlCol="0" anchor="t" anchorCtr="0" compatLnSpc="1">
                          <a:prstTxWarp prst="textNoShape">
                            <a:avLst/>
                          </a:prstTxWarp>
                        </wps:bodyPr>
                      </wps:wsp>
                      <wps:wsp>
                        <wps:cNvPr id="24" name="Oval 23">
                          <a:extLst>
                            <a:ext uri="{FF2B5EF4-FFF2-40B4-BE49-F238E27FC236}">
                              <a16:creationId xmlns:a16="http://schemas.microsoft.com/office/drawing/2014/main" id="{DEF6B149-CE95-021B-5A87-EAE883A55AA1}"/>
                            </a:ext>
                            <a:ext uri="{C183D7F6-B498-43B3-948B-1728B52AA6E4}">
                              <adec:decorative xmlns:adec="http://schemas.microsoft.com/office/drawing/2017/decorative" val="1"/>
                            </a:ext>
                          </a:extLst>
                        </wps:cNvPr>
                        <wps:cNvSpPr/>
                        <wps:spPr bwMode="auto">
                          <a:xfrm rot="10800000" flipV="1">
                            <a:off x="68580" y="68580"/>
                            <a:ext cx="144000" cy="144000"/>
                          </a:xfrm>
                          <a:prstGeom prst="ellipse">
                            <a:avLst/>
                          </a:prstGeom>
                          <a:solidFill>
                            <a:schemeClr val="bg1"/>
                          </a:solidFill>
                          <a:ln w="9525">
                            <a:noFill/>
                            <a:round/>
                            <a:headEnd/>
                            <a:tailEnd/>
                          </a:ln>
                          <a:effectLst/>
                        </wps:spPr>
                        <wps:bodyPr vert="horz" wrap="square" lIns="91440" tIns="45720" rIns="91440" bIns="45720" numCol="1" rtlCol="0" anchor="t" anchorCtr="0" compatLnSpc="1">
                          <a:prstTxWarp prst="textNoShape">
                            <a:avLst/>
                          </a:prstTxWarp>
                        </wps:bodyPr>
                      </wps:wsp>
                    </wpg:wgp>
                  </a:graphicData>
                </a:graphic>
              </wp:anchor>
            </w:drawing>
          </mc:Choice>
          <mc:Fallback>
            <w:pict>
              <v:group w14:anchorId="1BCA2531" id="Group 3" o:spid="_x0000_s1026" alt="&quot;&quot;" style="position:absolute;margin-left:155.2pt;margin-top:11.55pt;width:22.7pt;height:22.7pt;z-index:251665408" coordsize="288000,28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">
                <v:oval id="Oval 8" o:spid="_x0000_s1027" alt="&quot;&quot;" style="position:absolute;width:288000;height:28800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" fillcolor="#394390 [3204]" stroked="f"/>
                <v:oval id="Oval 23" o:spid="_x0000_s1028" alt="&quot;&quot;" style="position:absolute;left:68580;top:68580;width:144000;height:14400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" fillcolor="white [3212]" stroked="f"/>
              </v:group>
            </w:pict>
          </mc:Fallback>
        </mc:AlternateContent>
      </w:r>
      <w:r>
        <w:rPr>
          <w:noProof/>
        </w:rPr>
        <mc:AlternateContent>
          <mc:Choice Requires="wpg">
            <w:drawing>
              <wp:anchor distT="0" distB="0" distL="114300" distR="114300" simplePos="0" relativeHeight="251658312" behindDoc="0" locked="0" layoutInCell="1" allowOverlap="1" wp14:anchorId="134A6BF7" wp14:editId="26449BE9">
                <wp:simplePos x="0" y="0"/>
                <wp:positionH relativeFrom="column">
                  <wp:posOffset>5203107</wp:posOffset>
                </wp:positionH>
                <wp:positionV relativeFrom="paragraph">
                  <wp:posOffset>136525</wp:posOffset>
                </wp:positionV>
                <wp:extent cx="288000" cy="288000"/>
                <wp:effectExtent l="0" t="0" r="0" b="0"/>
                <wp:wrapNone/>
                <wp:docPr id="470025424"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8000" cy="288000"/>
                          <a:chOff x="0" y="0"/>
                          <a:chExt cx="288000" cy="288000"/>
                        </a:xfrm>
                      </wpg:grpSpPr>
                      <wps:wsp>
                        <wps:cNvPr id="30" name="Oval 29">
                          <a:extLst>
                            <a:ext uri="{FF2B5EF4-FFF2-40B4-BE49-F238E27FC236}">
                              <a16:creationId xmlns:a16="http://schemas.microsoft.com/office/drawing/2014/main" id="{6A7A2B29-DEBB-D071-559C-E48699BEDBBE}"/>
                            </a:ext>
                            <a:ext uri="{C183D7F6-B498-43B3-948B-1728B52AA6E4}">
                              <adec:decorative xmlns:adec="http://schemas.microsoft.com/office/drawing/2017/decorative" val="1"/>
                            </a:ext>
                          </a:extLst>
                        </wps:cNvPr>
                        <wps:cNvSpPr/>
                        <wps:spPr bwMode="auto">
                          <a:xfrm rot="10800000" flipV="1">
                            <a:off x="0" y="0"/>
                            <a:ext cx="288000" cy="288000"/>
                          </a:xfrm>
                          <a:prstGeom prst="ellipse">
                            <a:avLst/>
                          </a:prstGeom>
                          <a:solidFill>
                            <a:schemeClr val="accent1"/>
                          </a:solidFill>
                          <a:ln w="9525">
                            <a:noFill/>
                            <a:round/>
                            <a:headEnd/>
                            <a:tailEnd/>
                          </a:ln>
                          <a:effectLst/>
                        </wps:spPr>
                        <wps:bodyPr vert="horz" wrap="square" lIns="91440" tIns="45720" rIns="91440" bIns="45720" numCol="1" rtlCol="0" anchor="t" anchorCtr="0" compatLnSpc="1">
                          <a:prstTxWarp prst="textNoShape">
                            <a:avLst/>
                          </a:prstTxWarp>
                        </wps:bodyPr>
                      </wps:wsp>
                      <wps:wsp>
                        <wps:cNvPr id="36" name="Oval 35">
                          <a:extLst>
                            <a:ext uri="{FF2B5EF4-FFF2-40B4-BE49-F238E27FC236}">
                              <a16:creationId xmlns:a16="http://schemas.microsoft.com/office/drawing/2014/main" id="{B1A6A33A-4EFD-2A37-D3BF-B22250A1BDB4}"/>
                            </a:ext>
                            <a:ext uri="{C183D7F6-B498-43B3-948B-1728B52AA6E4}">
                              <adec:decorative xmlns:adec="http://schemas.microsoft.com/office/drawing/2017/decorative" val="1"/>
                            </a:ext>
                          </a:extLst>
                        </wps:cNvPr>
                        <wps:cNvSpPr/>
                        <wps:spPr bwMode="auto">
                          <a:xfrm rot="10800000" flipV="1">
                            <a:off x="68580" y="68580"/>
                            <a:ext cx="144000" cy="144000"/>
                          </a:xfrm>
                          <a:prstGeom prst="ellipse">
                            <a:avLst/>
                          </a:prstGeom>
                          <a:solidFill>
                            <a:schemeClr val="bg1"/>
                          </a:solidFill>
                          <a:ln w="9525">
                            <a:noFill/>
                            <a:round/>
                            <a:headEnd/>
                            <a:tailEnd/>
                          </a:ln>
                          <a:effectLst/>
                        </wps:spPr>
                        <wps:bodyPr vert="horz" wrap="square" lIns="91440" tIns="45720" rIns="91440" bIns="45720" numCol="1" rtlCol="0" anchor="t" anchorCtr="0" compatLnSpc="1">
                          <a:prstTxWarp prst="textNoShape">
                            <a:avLst/>
                          </a:prstTxWarp>
                        </wps:bodyPr>
                      </wps:wsp>
                    </wpg:wgp>
                  </a:graphicData>
                </a:graphic>
              </wp:anchor>
            </w:drawing>
          </mc:Choice>
          <mc:Fallback>
            <w:pict>
              <v:group w14:anchorId="31E6F38F" id="Group 5" o:spid="_x0000_s1026" alt="&quot;&quot;" style="position:absolute;margin-left:409.7pt;margin-top:10.75pt;width:22.7pt;height:22.7pt;z-index:251685888" coordsize="288000,28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">
                <v:oval id="Oval 29" o:spid="_x0000_s1027" alt="&quot;&quot;" style="position:absolute;width:288000;height:28800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" fillcolor="#394390 [3204]" stroked="f"/>
                <v:oval id="Oval 35" o:spid="_x0000_s1028" alt="&quot;&quot;" style="position:absolute;left:68580;top:68580;width:144000;height:14400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" fillcolor="white [3212]" stroked="f"/>
              </v:group>
            </w:pict>
          </mc:Fallback>
        </mc:AlternateContent>
      </w:r>
      <w:r w:rsidR="00D6400A">
        <w:rPr>
          <w:noProof/>
        </w:rPr>
        <mc:AlternateContent>
          <mc:Choice Requires="wps">
            <w:drawing>
              <wp:anchor distT="0" distB="0" distL="114300" distR="114300" simplePos="0" relativeHeight="251658300" behindDoc="0" locked="0" layoutInCell="1" allowOverlap="1" wp14:anchorId="77D6116D" wp14:editId="068443CB">
                <wp:simplePos x="0" y="0"/>
                <wp:positionH relativeFrom="column">
                  <wp:posOffset>350400</wp:posOffset>
                </wp:positionH>
                <wp:positionV relativeFrom="paragraph">
                  <wp:posOffset>133206</wp:posOffset>
                </wp:positionV>
                <wp:extent cx="288000" cy="288000"/>
                <wp:effectExtent l="0" t="0" r="0" b="0"/>
                <wp:wrapNone/>
                <wp:docPr id="186914101"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rot="10800000" flipV="1">
                          <a:off x="0" y="0"/>
                          <a:ext cx="288000" cy="288000"/>
                        </a:xfrm>
                        <a:prstGeom prst="ellipse">
                          <a:avLst/>
                        </a:prstGeom>
                        <a:solidFill>
                          <a:srgbClr val="009B9F"/>
                        </a:solidFill>
                        <a:ln w="9525">
                          <a:noFill/>
                          <a:round/>
                          <a:headEnd/>
                          <a:tailEnd/>
                        </a:ln>
                        <a:effectLst/>
                      </wps:spPr>
                      <wps:bodyPr vert="horz" wrap="square" lIns="91440" tIns="45720" rIns="91440" bIns="45720" numCol="1" rtlCol="0" anchor="t" anchorCtr="0" compatLnSpc="1">
                        <a:prstTxWarp prst="textNoShape">
                          <a:avLst/>
                        </a:prstTxWarp>
                      </wps:bodyPr>
                    </wps:wsp>
                  </a:graphicData>
                </a:graphic>
              </wp:anchor>
            </w:drawing>
          </mc:Choice>
          <mc:Fallback>
            <w:pict>
              <v:oval w14:anchorId="1CF7C110" id="Oval 4" o:spid="_x0000_s1026" alt="&quot;&quot;" style="position:absolute;margin-left:27.6pt;margin-top:10.5pt;width:22.7pt;height:22.7pt;rotation:180;flip:y;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" fillcolor="#009b9f" stroked="f"/>
            </w:pict>
          </mc:Fallback>
        </mc:AlternateContent>
      </w:r>
      <w:r w:rsidR="00D6400A">
        <w:rPr>
          <w:noProof/>
        </w:rPr>
        <mc:AlternateContent>
          <mc:Choice Requires="wps">
            <w:drawing>
              <wp:anchor distT="0" distB="0" distL="114300" distR="114300" simplePos="0" relativeHeight="251658301" behindDoc="0" locked="0" layoutInCell="1" allowOverlap="1" wp14:anchorId="6EE1F920" wp14:editId="1B2979BF">
                <wp:simplePos x="0" y="0"/>
                <wp:positionH relativeFrom="column">
                  <wp:posOffset>418980</wp:posOffset>
                </wp:positionH>
                <wp:positionV relativeFrom="paragraph">
                  <wp:posOffset>209406</wp:posOffset>
                </wp:positionV>
                <wp:extent cx="143510" cy="143510"/>
                <wp:effectExtent l="0" t="0" r="27940" b="27940"/>
                <wp:wrapNone/>
                <wp:docPr id="23" name="Oval 22">
                  <a:extLst xmlns:a="http://schemas.openxmlformats.org/drawingml/2006/main">
                    <a:ext uri="{FF2B5EF4-FFF2-40B4-BE49-F238E27FC236}">
                      <a16:creationId xmlns:a16="http://schemas.microsoft.com/office/drawing/2014/main" id="{98646D51-19A8-CAAB-4E67-870DFB9CA01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rot="10800000" flipV="1">
                          <a:off x="0" y="0"/>
                          <a:ext cx="143510" cy="143510"/>
                        </a:xfrm>
                        <a:prstGeom prst="ellipse">
                          <a:avLst/>
                        </a:prstGeom>
                        <a:solidFill>
                          <a:schemeClr val="bg1"/>
                        </a:solidFill>
                        <a:ln w="9525">
                          <a:solidFill>
                            <a:srgbClr val="009B9F"/>
                          </a:solidFill>
                          <a:round/>
                          <a:headEnd/>
                          <a:tailEnd/>
                        </a:ln>
                        <a:effectLst/>
                      </wps:spPr>
                      <wps:bodyPr vert="horz" wrap="square" lIns="91440" tIns="45720" rIns="91440" bIns="45720" numCol="1" rtlCol="0" anchor="t" anchorCtr="0" compatLnSpc="1">
                        <a:prstTxWarp prst="textNoShape">
                          <a:avLst/>
                        </a:prstTxWarp>
                      </wps:bodyPr>
                    </wps:wsp>
                  </a:graphicData>
                </a:graphic>
              </wp:anchor>
            </w:drawing>
          </mc:Choice>
          <mc:Fallback>
            <w:pict>
              <v:oval w14:anchorId="58B10080" id="Oval 22" o:spid="_x0000_s1026" alt="&quot;&quot;" style="position:absolute;margin-left:33pt;margin-top:16.5pt;width:11.3pt;height:11.3pt;rotation:180;flip:y;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" fillcolor="white [3212]" strokecolor="#009b9f"/>
            </w:pict>
          </mc:Fallback>
        </mc:AlternateContent>
      </w:r>
      <w:r w:rsidR="004523C4" w:rsidRPr="005E4A52">
        <w:rPr>
          <w:noProof/>
        </w:rPr>
        <mc:AlternateContent>
          <mc:Choice Requires="wps">
            <w:drawing>
              <wp:anchor distT="0" distB="0" distL="114300" distR="114300" simplePos="0" relativeHeight="251658240" behindDoc="0" locked="0" layoutInCell="1" allowOverlap="1" wp14:anchorId="4931491A" wp14:editId="6D7001B4">
                <wp:simplePos x="0" y="0"/>
                <wp:positionH relativeFrom="column">
                  <wp:posOffset>364490</wp:posOffset>
                </wp:positionH>
                <wp:positionV relativeFrom="paragraph">
                  <wp:posOffset>283210</wp:posOffset>
                </wp:positionV>
                <wp:extent cx="5029200" cy="20955"/>
                <wp:effectExtent l="0" t="0" r="19050" b="36195"/>
                <wp:wrapNone/>
                <wp:docPr id="1387310002"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029200" cy="20955"/>
                        </a:xfrm>
                        <a:prstGeom prst="line">
                          <a:avLst/>
                        </a:prstGeom>
                        <a:ln w="12700">
                          <a:solidFill>
                            <a:schemeClr val="bg1">
                              <a:lumMod val="6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812E9" id="Straight Connector 3" o:spid="_x0000_s1026" alt="&quot;&quot;" style="position:absolute;flip:x 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pt,22.3pt" to="424.7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" strokecolor="#a5a5a5 [2092]" strokeweight="1pt">
                <v:stroke joinstyle="miter"/>
                <o:lock v:ext="edit" shapetype="f"/>
              </v:line>
            </w:pict>
          </mc:Fallback>
        </mc:AlternateContent>
      </w:r>
    </w:p>
    <w:p w14:paraId="045C0365" w14:textId="16029332" w:rsidR="00857EE1" w:rsidRPr="005E4A52" w:rsidRDefault="00AB1D51" w:rsidP="00857EE1">
      <w:r w:rsidRPr="005E4A52">
        <w:rPr>
          <w:noProof/>
        </w:rPr>
        <mc:AlternateContent>
          <mc:Choice Requires="wps">
            <w:drawing>
              <wp:anchor distT="0" distB="0" distL="114300" distR="114300" simplePos="0" relativeHeight="251658244" behindDoc="0" locked="0" layoutInCell="1" allowOverlap="1" wp14:anchorId="133EB4E8" wp14:editId="32E048EB">
                <wp:simplePos x="0" y="0"/>
                <wp:positionH relativeFrom="column">
                  <wp:posOffset>1400175</wp:posOffset>
                </wp:positionH>
                <wp:positionV relativeFrom="paragraph">
                  <wp:posOffset>219075</wp:posOffset>
                </wp:positionV>
                <wp:extent cx="1224000" cy="1074420"/>
                <wp:effectExtent l="0" t="0" r="0" b="0"/>
                <wp:wrapNone/>
                <wp:docPr id="10" name="Rectangle 9">
                  <a:extLst xmlns:a="http://schemas.openxmlformats.org/drawingml/2006/main">
                    <a:ext uri="{FF2B5EF4-FFF2-40B4-BE49-F238E27FC236}">
                      <a16:creationId xmlns:a16="http://schemas.microsoft.com/office/drawing/2014/main" id="{A3E01C21-863C-942F-682E-679CC5B03ABB}"/>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224000" cy="1074420"/>
                        </a:xfrm>
                        <a:prstGeom prst="rect">
                          <a:avLst/>
                        </a:prstGeom>
                      </wps:spPr>
                      <wps:txbx>
                        <w:txbxContent>
                          <w:p w14:paraId="6693544A" w14:textId="523E5A85" w:rsidR="00857EE1" w:rsidRPr="00B51CA5" w:rsidRDefault="00B51CA5" w:rsidP="00AB1D51">
                            <w:pPr>
                              <w:spacing w:after="120" w:line="192" w:lineRule="auto"/>
                              <w:jc w:val="center"/>
                              <w:textAlignment w:val="baseline"/>
                              <w:rPr>
                                <w:b/>
                                <w:color w:val="0D2C6C" w:themeColor="text1"/>
                                <w:kern w:val="24"/>
                                <w:sz w:val="28"/>
                                <w:szCs w:val="28"/>
                                <w:lang w:val="en-US"/>
                              </w:rPr>
                            </w:pPr>
                            <w:r w:rsidRPr="00B51CA5">
                              <w:rPr>
                                <w:b/>
                                <w:color w:val="0D2C6C" w:themeColor="text1"/>
                                <w:kern w:val="24"/>
                                <w:sz w:val="28"/>
                                <w:szCs w:val="28"/>
                                <w:lang w:val="en-US"/>
                              </w:rPr>
                              <w:t xml:space="preserve">STAKEHOLDER ENGAGEMENT </w:t>
                            </w:r>
                          </w:p>
                          <w:p w14:paraId="0010F67F" w14:textId="522C0AF4" w:rsidR="00857EE1" w:rsidRPr="00E963D8" w:rsidRDefault="00857EE1" w:rsidP="00AB1D51">
                            <w:pPr>
                              <w:spacing w:line="216" w:lineRule="auto"/>
                              <w:jc w:val="center"/>
                              <w:textAlignment w:val="baseline"/>
                              <w:rPr>
                                <w:kern w:val="24"/>
                                <w:sz w:val="20"/>
                                <w:szCs w:val="20"/>
                                <w:lang w:val="en-US"/>
                              </w:rPr>
                            </w:pPr>
                            <w:r w:rsidRPr="00E963D8">
                              <w:rPr>
                                <w:kern w:val="24"/>
                                <w:sz w:val="20"/>
                                <w:szCs w:val="20"/>
                                <w:lang w:val="en-US"/>
                              </w:rPr>
                              <w:t>The panel will meet with key stakeholders during this period.</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133EB4E8" id="Rectangle 9" o:spid="_x0000_s1031" alt="&quot;&quot;" style="position:absolute;margin-left:110.25pt;margin-top:17.25pt;width:96.4pt;height:84.6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" filled="f" stroked="f">
                <v:textbox inset="0,0,0,0">
                  <w:txbxContent>
                    <w:p w14:paraId="6693544A" w14:textId="523E5A85" w:rsidR="00857EE1" w:rsidRPr="00B51CA5" w:rsidRDefault="00B51CA5" w:rsidP="00AB1D51">
                      <w:pPr>
                        <w:spacing w:after="120" w:line="192" w:lineRule="auto"/>
                        <w:jc w:val="center"/>
                        <w:textAlignment w:val="baseline"/>
                        <w:rPr>
                          <w:b/>
                          <w:color w:val="0D2C6C" w:themeColor="text1"/>
                          <w:kern w:val="24"/>
                          <w:sz w:val="28"/>
                          <w:szCs w:val="28"/>
                          <w:lang w:val="en-US"/>
                        </w:rPr>
                      </w:pPr>
                      <w:r w:rsidRPr="00B51CA5">
                        <w:rPr>
                          <w:b/>
                          <w:color w:val="0D2C6C" w:themeColor="text1"/>
                          <w:kern w:val="24"/>
                          <w:sz w:val="28"/>
                          <w:szCs w:val="28"/>
                          <w:lang w:val="en-US"/>
                        </w:rPr>
                        <w:t xml:space="preserve">STAKEHOLDER ENGAGEMENT </w:t>
                      </w:r>
                    </w:p>
                    <w:p w14:paraId="0010F67F" w14:textId="522C0AF4" w:rsidR="00857EE1" w:rsidRPr="00E963D8" w:rsidRDefault="00857EE1" w:rsidP="00AB1D51">
                      <w:pPr>
                        <w:spacing w:line="216" w:lineRule="auto"/>
                        <w:jc w:val="center"/>
                        <w:textAlignment w:val="baseline"/>
                        <w:rPr>
                          <w:kern w:val="24"/>
                          <w:sz w:val="20"/>
                          <w:szCs w:val="20"/>
                          <w:lang w:val="en-US"/>
                        </w:rPr>
                      </w:pPr>
                      <w:r w:rsidRPr="00E963D8">
                        <w:rPr>
                          <w:kern w:val="24"/>
                          <w:sz w:val="20"/>
                          <w:szCs w:val="20"/>
                          <w:lang w:val="en-US"/>
                        </w:rPr>
                        <w:t>The panel will meet with key stakeholders during this period.</w:t>
                      </w:r>
                    </w:p>
                  </w:txbxContent>
                </v:textbox>
              </v:rect>
            </w:pict>
          </mc:Fallback>
        </mc:AlternateContent>
      </w:r>
      <w:r w:rsidRPr="005E4A52">
        <w:rPr>
          <w:noProof/>
        </w:rPr>
        <mc:AlternateContent>
          <mc:Choice Requires="wps">
            <w:drawing>
              <wp:anchor distT="0" distB="0" distL="114300" distR="114300" simplePos="0" relativeHeight="251658241" behindDoc="0" locked="0" layoutInCell="1" allowOverlap="1" wp14:anchorId="60A160A8" wp14:editId="615A2D12">
                <wp:simplePos x="0" y="0"/>
                <wp:positionH relativeFrom="margin">
                  <wp:posOffset>-85090</wp:posOffset>
                </wp:positionH>
                <wp:positionV relativeFrom="paragraph">
                  <wp:posOffset>219075</wp:posOffset>
                </wp:positionV>
                <wp:extent cx="1152000" cy="1244600"/>
                <wp:effectExtent l="0" t="0" r="0" b="0"/>
                <wp:wrapNone/>
                <wp:docPr id="6" name="Rectangle 5">
                  <a:extLst xmlns:a="http://schemas.openxmlformats.org/drawingml/2006/main">
                    <a:ext uri="{FF2B5EF4-FFF2-40B4-BE49-F238E27FC236}">
                      <a16:creationId xmlns:a16="http://schemas.microsoft.com/office/drawing/2014/main" id="{B568F27B-7BF5-96B4-0D74-64C94DACC596}"/>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152000" cy="1244600"/>
                        </a:xfrm>
                        <a:prstGeom prst="rect">
                          <a:avLst/>
                        </a:prstGeom>
                      </wps:spPr>
                      <wps:txbx>
                        <w:txbxContent>
                          <w:p w14:paraId="67428F13" w14:textId="51A7CF65" w:rsidR="00857EE1" w:rsidRPr="00B51CA5" w:rsidRDefault="00B51CA5" w:rsidP="0007016C">
                            <w:pPr>
                              <w:spacing w:after="120" w:line="192" w:lineRule="auto"/>
                              <w:jc w:val="center"/>
                              <w:textAlignment w:val="baseline"/>
                              <w:rPr>
                                <w:b/>
                                <w:color w:val="009B9F"/>
                                <w:kern w:val="24"/>
                                <w:sz w:val="28"/>
                                <w:szCs w:val="28"/>
                                <w:lang w:val="en-US"/>
                              </w:rPr>
                            </w:pPr>
                            <w:r w:rsidRPr="00B51CA5">
                              <w:rPr>
                                <w:b/>
                                <w:color w:val="009B9F"/>
                                <w:kern w:val="24"/>
                                <w:sz w:val="28"/>
                                <w:szCs w:val="28"/>
                                <w:lang w:val="en-US"/>
                              </w:rPr>
                              <w:t xml:space="preserve">ISSUES </w:t>
                            </w:r>
                            <w:r w:rsidR="0007016C">
                              <w:rPr>
                                <w:b/>
                                <w:color w:val="009B9F"/>
                                <w:kern w:val="24"/>
                                <w:sz w:val="28"/>
                                <w:szCs w:val="28"/>
                                <w:lang w:val="en-US"/>
                              </w:rPr>
                              <w:br/>
                            </w:r>
                            <w:r w:rsidRPr="00B51CA5">
                              <w:rPr>
                                <w:b/>
                                <w:color w:val="009B9F"/>
                                <w:kern w:val="24"/>
                                <w:sz w:val="28"/>
                                <w:szCs w:val="28"/>
                                <w:lang w:val="en-US"/>
                              </w:rPr>
                              <w:t>PAPER</w:t>
                            </w:r>
                          </w:p>
                          <w:p w14:paraId="7F77C176" w14:textId="3148D1DD" w:rsidR="00857EE1" w:rsidRPr="00E963D8" w:rsidRDefault="00857EE1" w:rsidP="00AB1D51">
                            <w:pPr>
                              <w:spacing w:line="216" w:lineRule="auto"/>
                              <w:jc w:val="center"/>
                              <w:textAlignment w:val="baseline"/>
                              <w:rPr>
                                <w:kern w:val="24"/>
                                <w:sz w:val="20"/>
                                <w:szCs w:val="20"/>
                                <w:lang w:val="en-US"/>
                              </w:rPr>
                            </w:pPr>
                            <w:r w:rsidRPr="00E963D8">
                              <w:rPr>
                                <w:kern w:val="24"/>
                                <w:sz w:val="20"/>
                                <w:szCs w:val="20"/>
                                <w:lang w:val="en-US"/>
                              </w:rPr>
                              <w:t xml:space="preserve">The panel publishes the issues paper and public submissions are opened for a period </w:t>
                            </w:r>
                            <w:r w:rsidR="0007016C" w:rsidRPr="00E963D8">
                              <w:rPr>
                                <w:kern w:val="24"/>
                                <w:sz w:val="20"/>
                                <w:szCs w:val="20"/>
                                <w:lang w:val="en-US"/>
                              </w:rPr>
                              <w:br/>
                            </w:r>
                            <w:r w:rsidRPr="00E963D8">
                              <w:rPr>
                                <w:kern w:val="24"/>
                                <w:sz w:val="20"/>
                                <w:szCs w:val="20"/>
                                <w:lang w:val="en-US"/>
                              </w:rPr>
                              <w:t xml:space="preserve">of 6 weeks. </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0A160A8" id="Rectangle 5" o:spid="_x0000_s1032" alt="&quot;&quot;" style="position:absolute;margin-left:-6.7pt;margin-top:17.25pt;width:90.7pt;height:98pt;flip:x;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" filled="f" stroked="f">
                <v:textbox inset="0,0,0,0">
                  <w:txbxContent>
                    <w:p w14:paraId="67428F13" w14:textId="51A7CF65" w:rsidR="00857EE1" w:rsidRPr="00B51CA5" w:rsidRDefault="00B51CA5" w:rsidP="0007016C">
                      <w:pPr>
                        <w:spacing w:after="120" w:line="192" w:lineRule="auto"/>
                        <w:jc w:val="center"/>
                        <w:textAlignment w:val="baseline"/>
                        <w:rPr>
                          <w:b/>
                          <w:color w:val="009B9F"/>
                          <w:kern w:val="24"/>
                          <w:sz w:val="28"/>
                          <w:szCs w:val="28"/>
                          <w:lang w:val="en-US"/>
                        </w:rPr>
                      </w:pPr>
                      <w:r w:rsidRPr="00B51CA5">
                        <w:rPr>
                          <w:b/>
                          <w:color w:val="009B9F"/>
                          <w:kern w:val="24"/>
                          <w:sz w:val="28"/>
                          <w:szCs w:val="28"/>
                          <w:lang w:val="en-US"/>
                        </w:rPr>
                        <w:t xml:space="preserve">ISSUES </w:t>
                      </w:r>
                      <w:r w:rsidR="0007016C">
                        <w:rPr>
                          <w:b/>
                          <w:color w:val="009B9F"/>
                          <w:kern w:val="24"/>
                          <w:sz w:val="28"/>
                          <w:szCs w:val="28"/>
                          <w:lang w:val="en-US"/>
                        </w:rPr>
                        <w:br/>
                      </w:r>
                      <w:r w:rsidRPr="00B51CA5">
                        <w:rPr>
                          <w:b/>
                          <w:color w:val="009B9F"/>
                          <w:kern w:val="24"/>
                          <w:sz w:val="28"/>
                          <w:szCs w:val="28"/>
                          <w:lang w:val="en-US"/>
                        </w:rPr>
                        <w:t>PAPER</w:t>
                      </w:r>
                    </w:p>
                    <w:p w14:paraId="7F77C176" w14:textId="3148D1DD" w:rsidR="00857EE1" w:rsidRPr="00E963D8" w:rsidRDefault="00857EE1" w:rsidP="00AB1D51">
                      <w:pPr>
                        <w:spacing w:line="216" w:lineRule="auto"/>
                        <w:jc w:val="center"/>
                        <w:textAlignment w:val="baseline"/>
                        <w:rPr>
                          <w:kern w:val="24"/>
                          <w:sz w:val="20"/>
                          <w:szCs w:val="20"/>
                          <w:lang w:val="en-US"/>
                        </w:rPr>
                      </w:pPr>
                      <w:r w:rsidRPr="00E963D8">
                        <w:rPr>
                          <w:kern w:val="24"/>
                          <w:sz w:val="20"/>
                          <w:szCs w:val="20"/>
                          <w:lang w:val="en-US"/>
                        </w:rPr>
                        <w:t xml:space="preserve">The panel publishes the issues paper and public submissions are opened for a period </w:t>
                      </w:r>
                      <w:r w:rsidR="0007016C" w:rsidRPr="00E963D8">
                        <w:rPr>
                          <w:kern w:val="24"/>
                          <w:sz w:val="20"/>
                          <w:szCs w:val="20"/>
                          <w:lang w:val="en-US"/>
                        </w:rPr>
                        <w:br/>
                      </w:r>
                      <w:r w:rsidRPr="00E963D8">
                        <w:rPr>
                          <w:kern w:val="24"/>
                          <w:sz w:val="20"/>
                          <w:szCs w:val="20"/>
                          <w:lang w:val="en-US"/>
                        </w:rPr>
                        <w:t xml:space="preserve">of 6 weeks. </w:t>
                      </w:r>
                    </w:p>
                  </w:txbxContent>
                </v:textbox>
                <w10:wrap anchorx="margin"/>
              </v:rect>
            </w:pict>
          </mc:Fallback>
        </mc:AlternateContent>
      </w:r>
      <w:r w:rsidRPr="005E4A52">
        <w:rPr>
          <w:noProof/>
        </w:rPr>
        <mc:AlternateContent>
          <mc:Choice Requires="wps">
            <w:drawing>
              <wp:anchor distT="0" distB="0" distL="114300" distR="114300" simplePos="0" relativeHeight="251658307" behindDoc="0" locked="0" layoutInCell="1" allowOverlap="1" wp14:anchorId="3CEA8805" wp14:editId="5B7FF33D">
                <wp:simplePos x="0" y="0"/>
                <wp:positionH relativeFrom="column">
                  <wp:posOffset>4545330</wp:posOffset>
                </wp:positionH>
                <wp:positionV relativeFrom="paragraph">
                  <wp:posOffset>205740</wp:posOffset>
                </wp:positionV>
                <wp:extent cx="1457325" cy="1427480"/>
                <wp:effectExtent l="0" t="0" r="0" b="0"/>
                <wp:wrapNone/>
                <wp:docPr id="31" name="Rectangle 30">
                  <a:extLst xmlns:a="http://schemas.openxmlformats.org/drawingml/2006/main">
                    <a:ext uri="{FF2B5EF4-FFF2-40B4-BE49-F238E27FC236}">
                      <a16:creationId xmlns:a16="http://schemas.microsoft.com/office/drawing/2014/main" id="{E99308DD-6BFD-AC89-B31A-F192FA82CDD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457325" cy="1427480"/>
                        </a:xfrm>
                        <a:prstGeom prst="rect">
                          <a:avLst/>
                        </a:prstGeom>
                      </wps:spPr>
                      <wps:txbx>
                        <w:txbxContent>
                          <w:p w14:paraId="00AA009A" w14:textId="036BEAC2" w:rsidR="00857EE1" w:rsidRPr="00B51CA5" w:rsidRDefault="00B51CA5" w:rsidP="00AB1D51">
                            <w:pPr>
                              <w:spacing w:after="120" w:line="192" w:lineRule="auto"/>
                              <w:jc w:val="center"/>
                              <w:textAlignment w:val="baseline"/>
                              <w:rPr>
                                <w:b/>
                                <w:color w:val="0D2C6C" w:themeColor="text1"/>
                                <w:kern w:val="24"/>
                                <w:sz w:val="28"/>
                                <w:szCs w:val="28"/>
                                <w:lang w:val="en-US"/>
                              </w:rPr>
                            </w:pPr>
                            <w:r w:rsidRPr="00B51CA5">
                              <w:rPr>
                                <w:b/>
                                <w:color w:val="0D2C6C" w:themeColor="text1"/>
                                <w:kern w:val="24"/>
                                <w:sz w:val="28"/>
                                <w:szCs w:val="28"/>
                                <w:lang w:val="en-US"/>
                              </w:rPr>
                              <w:t xml:space="preserve">FINAL </w:t>
                            </w:r>
                            <w:r w:rsidR="00AB1D51">
                              <w:rPr>
                                <w:b/>
                                <w:color w:val="0D2C6C" w:themeColor="text1"/>
                                <w:kern w:val="24"/>
                                <w:sz w:val="28"/>
                                <w:szCs w:val="28"/>
                                <w:lang w:val="en-US"/>
                              </w:rPr>
                              <w:br/>
                            </w:r>
                            <w:r w:rsidRPr="00B51CA5">
                              <w:rPr>
                                <w:b/>
                                <w:color w:val="0D2C6C" w:themeColor="text1"/>
                                <w:kern w:val="24"/>
                                <w:sz w:val="28"/>
                                <w:szCs w:val="28"/>
                                <w:lang w:val="en-US"/>
                              </w:rPr>
                              <w:t>REPORT</w:t>
                            </w:r>
                          </w:p>
                          <w:p w14:paraId="14E5D356" w14:textId="77777777" w:rsidR="00857EE1" w:rsidRPr="00E963D8" w:rsidRDefault="00857EE1" w:rsidP="00AB1D51">
                            <w:pPr>
                              <w:spacing w:line="216" w:lineRule="auto"/>
                              <w:jc w:val="center"/>
                              <w:rPr>
                                <w:kern w:val="24"/>
                                <w:sz w:val="20"/>
                                <w:szCs w:val="20"/>
                                <w:lang w:val="en-US"/>
                              </w:rPr>
                            </w:pPr>
                            <w:r w:rsidRPr="00E963D8">
                              <w:rPr>
                                <w:kern w:val="24"/>
                                <w:sz w:val="20"/>
                                <w:szCs w:val="20"/>
                                <w:lang w:val="en-US"/>
                              </w:rPr>
                              <w:t>The panel will provide their final report to Government with recommendations.</w:t>
                            </w:r>
                          </w:p>
                        </w:txbxContent>
                      </wps:txbx>
                      <wps:bodyPr wrap="square" lIns="0" tIns="0" rIns="0" bIns="0" anchor="t">
                        <a:spAutoFit/>
                      </wps:bodyPr>
                    </wps:wsp>
                  </a:graphicData>
                </a:graphic>
                <wp14:sizeRelH relativeFrom="margin">
                  <wp14:pctWidth>0</wp14:pctWidth>
                </wp14:sizeRelH>
              </wp:anchor>
            </w:drawing>
          </mc:Choice>
          <mc:Fallback>
            <w:pict>
              <v:rect w14:anchorId="3CEA8805" id="Rectangle 30" o:spid="_x0000_s1033" alt="&quot;&quot;" style="position:absolute;margin-left:357.9pt;margin-top:16.2pt;width:114.75pt;height:112.4pt;flip:x;z-index:2516583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" filled="f" stroked="f">
                <v:textbox style="mso-fit-shape-to-text:t" inset="0,0,0,0">
                  <w:txbxContent>
                    <w:p w14:paraId="00AA009A" w14:textId="036BEAC2" w:rsidR="00857EE1" w:rsidRPr="00B51CA5" w:rsidRDefault="00B51CA5" w:rsidP="00AB1D51">
                      <w:pPr>
                        <w:spacing w:after="120" w:line="192" w:lineRule="auto"/>
                        <w:jc w:val="center"/>
                        <w:textAlignment w:val="baseline"/>
                        <w:rPr>
                          <w:b/>
                          <w:color w:val="0D2C6C" w:themeColor="text1"/>
                          <w:kern w:val="24"/>
                          <w:sz w:val="28"/>
                          <w:szCs w:val="28"/>
                          <w:lang w:val="en-US"/>
                        </w:rPr>
                      </w:pPr>
                      <w:r w:rsidRPr="00B51CA5">
                        <w:rPr>
                          <w:b/>
                          <w:color w:val="0D2C6C" w:themeColor="text1"/>
                          <w:kern w:val="24"/>
                          <w:sz w:val="28"/>
                          <w:szCs w:val="28"/>
                          <w:lang w:val="en-US"/>
                        </w:rPr>
                        <w:t xml:space="preserve">FINAL </w:t>
                      </w:r>
                      <w:r w:rsidR="00AB1D51">
                        <w:rPr>
                          <w:b/>
                          <w:color w:val="0D2C6C" w:themeColor="text1"/>
                          <w:kern w:val="24"/>
                          <w:sz w:val="28"/>
                          <w:szCs w:val="28"/>
                          <w:lang w:val="en-US"/>
                        </w:rPr>
                        <w:br/>
                      </w:r>
                      <w:r w:rsidRPr="00B51CA5">
                        <w:rPr>
                          <w:b/>
                          <w:color w:val="0D2C6C" w:themeColor="text1"/>
                          <w:kern w:val="24"/>
                          <w:sz w:val="28"/>
                          <w:szCs w:val="28"/>
                          <w:lang w:val="en-US"/>
                        </w:rPr>
                        <w:t>REPORT</w:t>
                      </w:r>
                    </w:p>
                    <w:p w14:paraId="14E5D356" w14:textId="77777777" w:rsidR="00857EE1" w:rsidRPr="00E963D8" w:rsidRDefault="00857EE1" w:rsidP="00AB1D51">
                      <w:pPr>
                        <w:spacing w:line="216" w:lineRule="auto"/>
                        <w:jc w:val="center"/>
                        <w:rPr>
                          <w:kern w:val="24"/>
                          <w:sz w:val="20"/>
                          <w:szCs w:val="20"/>
                          <w:lang w:val="en-US"/>
                        </w:rPr>
                      </w:pPr>
                      <w:r w:rsidRPr="00E963D8">
                        <w:rPr>
                          <w:kern w:val="24"/>
                          <w:sz w:val="20"/>
                          <w:szCs w:val="20"/>
                          <w:lang w:val="en-US"/>
                        </w:rPr>
                        <w:t>The panel will provide their final report to Government with recommendations.</w:t>
                      </w:r>
                    </w:p>
                  </w:txbxContent>
                </v:textbox>
              </v:rect>
            </w:pict>
          </mc:Fallback>
        </mc:AlternateContent>
      </w:r>
      <w:r w:rsidR="009042DA" w:rsidRPr="005E4A52">
        <w:rPr>
          <w:noProof/>
        </w:rPr>
        <mc:AlternateContent>
          <mc:Choice Requires="wps">
            <w:drawing>
              <wp:anchor distT="0" distB="0" distL="114300" distR="114300" simplePos="0" relativeHeight="251658247" behindDoc="0" locked="0" layoutInCell="1" allowOverlap="1" wp14:anchorId="630F3899" wp14:editId="56A353FC">
                <wp:simplePos x="0" y="0"/>
                <wp:positionH relativeFrom="column">
                  <wp:posOffset>3047722</wp:posOffset>
                </wp:positionH>
                <wp:positionV relativeFrom="paragraph">
                  <wp:posOffset>164438</wp:posOffset>
                </wp:positionV>
                <wp:extent cx="1405255" cy="1669415"/>
                <wp:effectExtent l="0" t="0" r="0" b="0"/>
                <wp:wrapNone/>
                <wp:docPr id="14" name="Rectangle 13">
                  <a:extLst xmlns:a="http://schemas.openxmlformats.org/drawingml/2006/main">
                    <a:ext uri="{FF2B5EF4-FFF2-40B4-BE49-F238E27FC236}">
                      <a16:creationId xmlns:a16="http://schemas.microsoft.com/office/drawing/2014/main" id="{5A740493-8258-E5C9-136F-5CACC14044B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405255" cy="1669415"/>
                        </a:xfrm>
                        <a:prstGeom prst="rect">
                          <a:avLst/>
                        </a:prstGeom>
                      </wps:spPr>
                      <wps:txbx>
                        <w:txbxContent>
                          <w:p w14:paraId="45C8ACCA" w14:textId="6CE77C6C" w:rsidR="00857EE1" w:rsidRPr="00B51CA5" w:rsidRDefault="00B51CA5" w:rsidP="00AB1D51">
                            <w:pPr>
                              <w:spacing w:after="120" w:line="192" w:lineRule="auto"/>
                              <w:jc w:val="center"/>
                              <w:rPr>
                                <w:b/>
                                <w:color w:val="009B9F"/>
                                <w:kern w:val="24"/>
                                <w:sz w:val="28"/>
                                <w:szCs w:val="28"/>
                                <w:lang w:val="en-US"/>
                              </w:rPr>
                            </w:pPr>
                            <w:r w:rsidRPr="00B51CA5">
                              <w:rPr>
                                <w:b/>
                                <w:color w:val="009B9F"/>
                                <w:kern w:val="24"/>
                                <w:sz w:val="28"/>
                                <w:szCs w:val="28"/>
                                <w:lang w:val="en-US"/>
                              </w:rPr>
                              <w:t xml:space="preserve">DRAFT </w:t>
                            </w:r>
                            <w:r w:rsidR="00AB1D51">
                              <w:rPr>
                                <w:b/>
                                <w:color w:val="009B9F"/>
                                <w:kern w:val="24"/>
                                <w:sz w:val="28"/>
                                <w:szCs w:val="28"/>
                                <w:lang w:val="en-US"/>
                              </w:rPr>
                              <w:br/>
                            </w:r>
                            <w:r w:rsidRPr="00B51CA5">
                              <w:rPr>
                                <w:b/>
                                <w:color w:val="009B9F"/>
                                <w:kern w:val="24"/>
                                <w:sz w:val="28"/>
                                <w:szCs w:val="28"/>
                                <w:lang w:val="en-US"/>
                              </w:rPr>
                              <w:t>REPORT</w:t>
                            </w:r>
                          </w:p>
                          <w:p w14:paraId="3E998D10" w14:textId="77777777" w:rsidR="00857EE1" w:rsidRPr="00E963D8" w:rsidRDefault="00857EE1" w:rsidP="00AB1D51">
                            <w:pPr>
                              <w:spacing w:line="216" w:lineRule="auto"/>
                              <w:jc w:val="center"/>
                              <w:textAlignment w:val="baseline"/>
                              <w:rPr>
                                <w:kern w:val="24"/>
                                <w:sz w:val="20"/>
                                <w:szCs w:val="20"/>
                                <w:lang w:val="en-US"/>
                              </w:rPr>
                            </w:pPr>
                            <w:r w:rsidRPr="00E963D8">
                              <w:rPr>
                                <w:kern w:val="24"/>
                                <w:sz w:val="20"/>
                                <w:szCs w:val="20"/>
                                <w:lang w:val="en-US"/>
                              </w:rPr>
                              <w:t>The panel will undertake targeted consultations on the draft report.</w:t>
                            </w:r>
                          </w:p>
                        </w:txbxContent>
                      </wps:txbx>
                      <wps:bodyPr wrap="square" lIns="0" tIns="0" rIns="0" bIns="0" anchor="t">
                        <a:spAutoFit/>
                      </wps:bodyPr>
                    </wps:wsp>
                  </a:graphicData>
                </a:graphic>
                <wp14:sizeRelH relativeFrom="margin">
                  <wp14:pctWidth>0</wp14:pctWidth>
                </wp14:sizeRelH>
              </wp:anchor>
            </w:drawing>
          </mc:Choice>
          <mc:Fallback>
            <w:pict>
              <v:rect w14:anchorId="630F3899" id="Rectangle 13" o:spid="_x0000_s1034" alt="&quot;&quot;" style="position:absolute;margin-left:240pt;margin-top:12.95pt;width:110.65pt;height:131.45pt;flip:x;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" filled="f" stroked="f">
                <v:textbox style="mso-fit-shape-to-text:t" inset="0,0,0,0">
                  <w:txbxContent>
                    <w:p w14:paraId="45C8ACCA" w14:textId="6CE77C6C" w:rsidR="00857EE1" w:rsidRPr="00B51CA5" w:rsidRDefault="00B51CA5" w:rsidP="00AB1D51">
                      <w:pPr>
                        <w:spacing w:after="120" w:line="192" w:lineRule="auto"/>
                        <w:jc w:val="center"/>
                        <w:rPr>
                          <w:b/>
                          <w:color w:val="009B9F"/>
                          <w:kern w:val="24"/>
                          <w:sz w:val="28"/>
                          <w:szCs w:val="28"/>
                          <w:lang w:val="en-US"/>
                        </w:rPr>
                      </w:pPr>
                      <w:r w:rsidRPr="00B51CA5">
                        <w:rPr>
                          <w:b/>
                          <w:color w:val="009B9F"/>
                          <w:kern w:val="24"/>
                          <w:sz w:val="28"/>
                          <w:szCs w:val="28"/>
                          <w:lang w:val="en-US"/>
                        </w:rPr>
                        <w:t xml:space="preserve">DRAFT </w:t>
                      </w:r>
                      <w:r w:rsidR="00AB1D51">
                        <w:rPr>
                          <w:b/>
                          <w:color w:val="009B9F"/>
                          <w:kern w:val="24"/>
                          <w:sz w:val="28"/>
                          <w:szCs w:val="28"/>
                          <w:lang w:val="en-US"/>
                        </w:rPr>
                        <w:br/>
                      </w:r>
                      <w:r w:rsidRPr="00B51CA5">
                        <w:rPr>
                          <w:b/>
                          <w:color w:val="009B9F"/>
                          <w:kern w:val="24"/>
                          <w:sz w:val="28"/>
                          <w:szCs w:val="28"/>
                          <w:lang w:val="en-US"/>
                        </w:rPr>
                        <w:t>REPORT</w:t>
                      </w:r>
                    </w:p>
                    <w:p w14:paraId="3E998D10" w14:textId="77777777" w:rsidR="00857EE1" w:rsidRPr="00E963D8" w:rsidRDefault="00857EE1" w:rsidP="00AB1D51">
                      <w:pPr>
                        <w:spacing w:line="216" w:lineRule="auto"/>
                        <w:jc w:val="center"/>
                        <w:textAlignment w:val="baseline"/>
                        <w:rPr>
                          <w:kern w:val="24"/>
                          <w:sz w:val="20"/>
                          <w:szCs w:val="20"/>
                          <w:lang w:val="en-US"/>
                        </w:rPr>
                      </w:pPr>
                      <w:r w:rsidRPr="00E963D8">
                        <w:rPr>
                          <w:kern w:val="24"/>
                          <w:sz w:val="20"/>
                          <w:szCs w:val="20"/>
                          <w:lang w:val="en-US"/>
                        </w:rPr>
                        <w:t>The panel will undertake targeted consultations on the draft report.</w:t>
                      </w:r>
                    </w:p>
                  </w:txbxContent>
                </v:textbox>
              </v:rect>
            </w:pict>
          </mc:Fallback>
        </mc:AlternateContent>
      </w:r>
    </w:p>
    <w:p w14:paraId="58FAD9C2" w14:textId="77777777" w:rsidR="00857EE1" w:rsidRPr="005E4A52" w:rsidRDefault="00857EE1" w:rsidP="00857EE1"/>
    <w:p w14:paraId="2A80DDCA" w14:textId="77777777" w:rsidR="00857EE1" w:rsidRPr="005E4A52" w:rsidRDefault="00857EE1" w:rsidP="00857EE1"/>
    <w:p w14:paraId="449950EC" w14:textId="77777777" w:rsidR="00857EE1" w:rsidRPr="005E4A52" w:rsidRDefault="00857EE1" w:rsidP="00857EE1"/>
    <w:p w14:paraId="2DE15047" w14:textId="77777777" w:rsidR="009042DA" w:rsidRPr="005E4A52" w:rsidRDefault="009042DA" w:rsidP="00857EE1">
      <w:pPr>
        <w:rPr>
          <w:sz w:val="18"/>
          <w:szCs w:val="18"/>
        </w:rPr>
      </w:pPr>
    </w:p>
    <w:p w14:paraId="48C2573C" w14:textId="7566B694" w:rsidR="00857EE1" w:rsidRPr="005E4A52" w:rsidRDefault="00857EE1" w:rsidP="00857EE1">
      <w:r w:rsidRPr="005E4A52">
        <w:t xml:space="preserve">The terms of reference for the review (at </w:t>
      </w:r>
      <w:r w:rsidRPr="005E4A52">
        <w:rPr>
          <w:b/>
          <w:bCs/>
        </w:rPr>
        <w:t xml:space="preserve">Appendix </w:t>
      </w:r>
      <w:r w:rsidR="00652C40">
        <w:rPr>
          <w:b/>
          <w:bCs/>
        </w:rPr>
        <w:t>B</w:t>
      </w:r>
      <w:r w:rsidRPr="005E4A52">
        <w:t xml:space="preserve">) require the panel to conduct public consultations and engage with key stakeholders including injured employees and their unions, employers (including self-insured licensees) and their associations, Comcare and the Safety, Rehabilitation and Compensation Commission (SRCC), advocacy groups, service providers (such as general practitioners, psychologists and medical professionals), claims managers, rehabilitation case managers and supervisors. </w:t>
      </w:r>
    </w:p>
    <w:p w14:paraId="6299690B" w14:textId="3F0AF8C7" w:rsidR="00857EE1" w:rsidRPr="005E4A52" w:rsidRDefault="00857EE1" w:rsidP="00857EE1">
      <w:pPr>
        <w:rPr>
          <w:noProof/>
        </w:rPr>
      </w:pPr>
      <w:r w:rsidRPr="005E4A52">
        <w:t xml:space="preserve">The release of the issues paper commences the engagement with stakeholders. Throughout </w:t>
      </w:r>
      <w:r w:rsidR="00DE64BB">
        <w:br/>
      </w:r>
      <w:r w:rsidRPr="005E4A52">
        <w:t xml:space="preserve">the review the panel will consult widely to ensure that diverse perspectives inform its recommendations to government. These contributions will help the panel ensure that its recommendations to government are </w:t>
      </w:r>
      <w:r w:rsidRPr="005E4A52">
        <w:rPr>
          <w:lang w:val="en"/>
        </w:rPr>
        <w:t xml:space="preserve">feasible, practicable and capable of implementation. </w:t>
      </w:r>
    </w:p>
    <w:p w14:paraId="325FB971" w14:textId="11C22A97" w:rsidR="00857EE1" w:rsidRPr="005E4A52" w:rsidRDefault="00857EE1" w:rsidP="005D3F7B">
      <w:pPr>
        <w:pStyle w:val="Heading2"/>
        <w:rPr>
          <w:rFonts w:asciiTheme="minorHAnsi" w:hAnsiTheme="minorHAnsi"/>
        </w:rPr>
        <w:sectPr w:rsidR="00857EE1" w:rsidRPr="005E4A52" w:rsidSect="00857EE1">
          <w:headerReference w:type="default" r:id="rId24"/>
          <w:pgSz w:w="11906" w:h="16838"/>
          <w:pgMar w:top="1418" w:right="1418" w:bottom="1418" w:left="1418" w:header="0" w:footer="454" w:gutter="0"/>
          <w:cols w:space="708"/>
          <w:docGrid w:linePitch="360"/>
        </w:sectPr>
      </w:pPr>
    </w:p>
    <w:p w14:paraId="1D59F3DA" w14:textId="27AD7E91" w:rsidR="00857EE1" w:rsidRPr="005E4A52" w:rsidRDefault="009042DA" w:rsidP="008C65B4">
      <w:pPr>
        <w:pStyle w:val="Heading3"/>
        <w:spacing w:before="240"/>
        <w:rPr>
          <w:rFonts w:asciiTheme="minorHAnsi" w:hAnsiTheme="minorHAnsi"/>
        </w:rPr>
      </w:pPr>
      <w:bookmarkStart w:id="9" w:name="_Toc177409612"/>
      <w:bookmarkStart w:id="10" w:name="_Toc180174606"/>
      <w:r w:rsidRPr="005E4A52">
        <w:rPr>
          <w:rFonts w:asciiTheme="minorHAnsi" w:hAnsiTheme="minorHAnsi"/>
        </w:rPr>
        <w:lastRenderedPageBreak/>
        <w:t>1.2</w:t>
      </w:r>
      <w:r w:rsidR="00FA2986">
        <w:rPr>
          <w:rFonts w:asciiTheme="minorHAnsi" w:hAnsiTheme="minorHAnsi"/>
        </w:rPr>
        <w:tab/>
      </w:r>
      <w:r w:rsidR="00857EE1" w:rsidRPr="005E4A52">
        <w:rPr>
          <w:rFonts w:asciiTheme="minorHAnsi" w:hAnsiTheme="minorHAnsi"/>
        </w:rPr>
        <w:t>How to respond to the issues paper</w:t>
      </w:r>
      <w:bookmarkEnd w:id="9"/>
      <w:bookmarkEnd w:id="10"/>
    </w:p>
    <w:p w14:paraId="6C190BA4" w14:textId="6C6CB9D1" w:rsidR="00FF78B2" w:rsidRDefault="005D56D8" w:rsidP="00411033">
      <w:pPr>
        <w:spacing w:after="200" w:line="240" w:lineRule="auto"/>
      </w:pPr>
      <w:r>
        <w:t xml:space="preserve">The issues paper has been prepared by the independent panel. </w:t>
      </w:r>
      <w:r w:rsidR="00A655AF" w:rsidRPr="00A34837">
        <w:t xml:space="preserve">The purpose of this paper is to invite the public to share information with </w:t>
      </w:r>
      <w:r w:rsidR="00716C76">
        <w:t>the panel</w:t>
      </w:r>
      <w:r w:rsidR="00A655AF" w:rsidRPr="00A34837">
        <w:t xml:space="preserve"> to help </w:t>
      </w:r>
      <w:r w:rsidR="00716C76">
        <w:t>them</w:t>
      </w:r>
      <w:r w:rsidR="00A655AF" w:rsidRPr="00A34837">
        <w:t xml:space="preserve"> better understand the</w:t>
      </w:r>
      <w:r w:rsidR="00B04F54" w:rsidRPr="00A34837">
        <w:t xml:space="preserve"> Comcare scheme and the</w:t>
      </w:r>
      <w:r w:rsidR="00A655AF" w:rsidRPr="00A34837">
        <w:t xml:space="preserve"> experience of</w:t>
      </w:r>
      <w:r w:rsidR="00322A48" w:rsidRPr="00A34837">
        <w:t xml:space="preserve"> injured workers</w:t>
      </w:r>
      <w:r w:rsidR="00B04F54" w:rsidRPr="00A34837">
        <w:t>.</w:t>
      </w:r>
      <w:r w:rsidR="00FF78B2">
        <w:t xml:space="preserve"> </w:t>
      </w:r>
    </w:p>
    <w:p w14:paraId="5CAC6A6D" w14:textId="50DABE8F" w:rsidR="00A36993" w:rsidRPr="00A34837" w:rsidRDefault="00716C76" w:rsidP="00DE64BB">
      <w:pPr>
        <w:spacing w:after="160" w:line="240" w:lineRule="auto"/>
      </w:pPr>
      <w:r>
        <w:t>The panel</w:t>
      </w:r>
      <w:r w:rsidR="00622DD1" w:rsidRPr="00A34837">
        <w:t xml:space="preserve"> want to hear from</w:t>
      </w:r>
      <w:r w:rsidR="00A36993" w:rsidRPr="00A34837">
        <w:t>:</w:t>
      </w:r>
    </w:p>
    <w:p w14:paraId="21586C93" w14:textId="510DBB8C" w:rsidR="00A36993" w:rsidRPr="00A34837" w:rsidRDefault="00A36993" w:rsidP="00A34837">
      <w:pPr>
        <w:pStyle w:val="ListParagraph"/>
        <w:numPr>
          <w:ilvl w:val="0"/>
          <w:numId w:val="53"/>
        </w:numPr>
        <w:spacing w:line="240" w:lineRule="auto"/>
      </w:pPr>
      <w:r w:rsidRPr="00A34837">
        <w:t>In</w:t>
      </w:r>
      <w:r w:rsidR="008B512F" w:rsidRPr="00A34837">
        <w:t xml:space="preserve">jured </w:t>
      </w:r>
      <w:r w:rsidRPr="00A34837">
        <w:t xml:space="preserve">workers or </w:t>
      </w:r>
      <w:r w:rsidR="008B512F" w:rsidRPr="00A34837">
        <w:t>family member</w:t>
      </w:r>
      <w:r w:rsidRPr="00A34837">
        <w:t>s</w:t>
      </w:r>
      <w:r w:rsidR="008B512F" w:rsidRPr="00A34837">
        <w:t xml:space="preserve"> of injured worker</w:t>
      </w:r>
      <w:r w:rsidR="001F6FD1" w:rsidRPr="00A34837">
        <w:t>s</w:t>
      </w:r>
      <w:r w:rsidR="008B512F" w:rsidRPr="00A34837">
        <w:t xml:space="preserve"> </w:t>
      </w:r>
      <w:r w:rsidRPr="00A34837">
        <w:t>who have</w:t>
      </w:r>
      <w:r w:rsidR="008B512F" w:rsidRPr="00A34837">
        <w:t xml:space="preserve"> lived experience of the Comcare scheme. </w:t>
      </w:r>
    </w:p>
    <w:p w14:paraId="161901C4" w14:textId="19B9BAAC" w:rsidR="005920EA" w:rsidRPr="00A34837" w:rsidRDefault="00A36993" w:rsidP="00A34837">
      <w:pPr>
        <w:pStyle w:val="ListParagraph"/>
        <w:numPr>
          <w:ilvl w:val="0"/>
          <w:numId w:val="53"/>
        </w:numPr>
        <w:spacing w:line="240" w:lineRule="auto"/>
      </w:pPr>
      <w:r w:rsidRPr="00A34837">
        <w:t xml:space="preserve">Other </w:t>
      </w:r>
      <w:r w:rsidR="008B512F" w:rsidRPr="00A34837">
        <w:t>participants directly involved in the workers’ compensation scheme, such as employers of an injured worker</w:t>
      </w:r>
      <w:r w:rsidR="00765052">
        <w:t xml:space="preserve">, claims managers, rehabilitation providers </w:t>
      </w:r>
      <w:r w:rsidR="008B512F" w:rsidRPr="00A34837">
        <w:t>and health care providers.</w:t>
      </w:r>
      <w:r w:rsidRPr="00A34837">
        <w:t xml:space="preserve"> </w:t>
      </w:r>
    </w:p>
    <w:p w14:paraId="4AD48BD8" w14:textId="4FDC9A13" w:rsidR="008B512F" w:rsidRDefault="00A36993" w:rsidP="00A34837">
      <w:pPr>
        <w:pStyle w:val="ListParagraph"/>
        <w:numPr>
          <w:ilvl w:val="0"/>
          <w:numId w:val="53"/>
        </w:numPr>
        <w:spacing w:line="240" w:lineRule="auto"/>
      </w:pPr>
      <w:r w:rsidRPr="00A34837">
        <w:t xml:space="preserve">Peak representative bodies and organisations. </w:t>
      </w:r>
    </w:p>
    <w:p w14:paraId="4E574970" w14:textId="60D96D5E" w:rsidR="00D61D06" w:rsidRPr="00A34837" w:rsidRDefault="00C61888" w:rsidP="00A34837">
      <w:pPr>
        <w:pStyle w:val="ListParagraph"/>
        <w:numPr>
          <w:ilvl w:val="0"/>
          <w:numId w:val="53"/>
        </w:numPr>
        <w:spacing w:line="240" w:lineRule="auto"/>
      </w:pPr>
      <w:r>
        <w:t>Legal representatives</w:t>
      </w:r>
      <w:r w:rsidR="000A5C5E">
        <w:t>, insurers, actuaries</w:t>
      </w:r>
      <w:r>
        <w:t xml:space="preserve"> and aca</w:t>
      </w:r>
      <w:r w:rsidR="00CE0089">
        <w:t>demics wit</w:t>
      </w:r>
      <w:r w:rsidR="004179C2">
        <w:t>h experience in workers’ compensation.</w:t>
      </w:r>
    </w:p>
    <w:p w14:paraId="7A2ECB8A" w14:textId="445610B4" w:rsidR="00857EE1" w:rsidRPr="00A34837" w:rsidRDefault="00857EE1" w:rsidP="00CA2E69">
      <w:pPr>
        <w:spacing w:after="200" w:line="240" w:lineRule="auto"/>
      </w:pPr>
      <w:r w:rsidRPr="00A34837">
        <w:t xml:space="preserve">You can provide a submission </w:t>
      </w:r>
      <w:r w:rsidR="00DC6A91">
        <w:t xml:space="preserve">or complete a short survey </w:t>
      </w:r>
      <w:r w:rsidRPr="00A34837">
        <w:t>in response to this issues paper by visiting</w:t>
      </w:r>
      <w:r w:rsidR="009B4A91">
        <w:t xml:space="preserve"> the Department of Employment and Workplace Relations’</w:t>
      </w:r>
      <w:r w:rsidRPr="00A34837">
        <w:t xml:space="preserve"> </w:t>
      </w:r>
      <w:hyperlink r:id="rId25" w:history="1">
        <w:r w:rsidR="009B4A91">
          <w:rPr>
            <w:rStyle w:val="Hyperlink"/>
          </w:rPr>
          <w:t>Consultation Hub</w:t>
        </w:r>
      </w:hyperlink>
      <w:r w:rsidR="003F5259">
        <w:t>.</w:t>
      </w:r>
      <w:r w:rsidRPr="00A34837">
        <w:t xml:space="preserve"> </w:t>
      </w:r>
    </w:p>
    <w:p w14:paraId="704355E1" w14:textId="282C16C8" w:rsidR="00857EE1" w:rsidRPr="00A34837" w:rsidRDefault="00857EE1" w:rsidP="00A34837">
      <w:pPr>
        <w:spacing w:line="240" w:lineRule="auto"/>
      </w:pPr>
      <w:r w:rsidRPr="00A34837">
        <w:t>Submissions on the issues paper and responses to the survey close on</w:t>
      </w:r>
      <w:r w:rsidR="008356D7">
        <w:t xml:space="preserve"> </w:t>
      </w:r>
      <w:r w:rsidR="00D70E01" w:rsidRPr="00E963D8">
        <w:rPr>
          <w:b/>
          <w:bCs/>
        </w:rPr>
        <w:t>2 December 2024</w:t>
      </w:r>
      <w:r w:rsidR="00D70E01">
        <w:t xml:space="preserve">. </w:t>
      </w:r>
      <w:r w:rsidRPr="00A34837">
        <w:t xml:space="preserve"> </w:t>
      </w:r>
    </w:p>
    <w:p w14:paraId="6112ACBB" w14:textId="7FCFCF9C" w:rsidR="000D1805" w:rsidRPr="003B0EF2" w:rsidRDefault="000D1805" w:rsidP="00DE64BB">
      <w:pPr>
        <w:spacing w:after="160" w:line="240" w:lineRule="auto"/>
        <w:rPr>
          <w:b/>
          <w:bCs/>
        </w:rPr>
      </w:pPr>
      <w:r w:rsidRPr="003B0EF2">
        <w:rPr>
          <w:b/>
          <w:bCs/>
        </w:rPr>
        <w:t>What to submit</w:t>
      </w:r>
    </w:p>
    <w:p w14:paraId="516A75B5" w14:textId="75F9A767" w:rsidR="00F662DF" w:rsidRPr="00A34837" w:rsidRDefault="00EE0D95" w:rsidP="00CA2E69">
      <w:pPr>
        <w:spacing w:after="200" w:line="240" w:lineRule="auto"/>
      </w:pPr>
      <w:r w:rsidRPr="00A34837">
        <w:t>Submissions are your ideas or opinions about the Comcare scheme</w:t>
      </w:r>
      <w:r w:rsidR="00FE0812" w:rsidRPr="00A34837">
        <w:t>.</w:t>
      </w:r>
      <w:r w:rsidRPr="00A34837">
        <w:t xml:space="preserve"> </w:t>
      </w:r>
      <w:r w:rsidR="00326677" w:rsidRPr="00A34837">
        <w:t xml:space="preserve">Responses can be in writing, an audio recording or a video recording. </w:t>
      </w:r>
      <w:r w:rsidR="00E262DA">
        <w:t xml:space="preserve">You can also complete a short survey instead of making a submission. </w:t>
      </w:r>
      <w:r w:rsidR="00F662DF" w:rsidRPr="00A34837">
        <w:t xml:space="preserve">The issues paper </w:t>
      </w:r>
      <w:r w:rsidR="00CC5B10">
        <w:t>sets out key issues and questions that you are invited to consider</w:t>
      </w:r>
      <w:r w:rsidR="00D92223">
        <w:t xml:space="preserve"> and respond to</w:t>
      </w:r>
      <w:r w:rsidR="00F662DF" w:rsidRPr="00A34837">
        <w:t xml:space="preserve">. A complete list of the questions asked throughout the issues paper is at </w:t>
      </w:r>
      <w:r w:rsidR="00FC0FFE">
        <w:t xml:space="preserve"> </w:t>
      </w:r>
      <w:r w:rsidR="00F662DF" w:rsidRPr="00A34837">
        <w:fldChar w:fldCharType="begin"/>
      </w:r>
      <w:r w:rsidR="00F662DF" w:rsidRPr="00A34837">
        <w:instrText xml:space="preserve"> REF _Ref173321141 \h  \* MERGEFORMAT </w:instrText>
      </w:r>
      <w:r w:rsidR="00F662DF" w:rsidRPr="00A34837">
        <w:fldChar w:fldCharType="separate"/>
      </w:r>
      <w:r w:rsidR="00F31865" w:rsidRPr="00F31865">
        <w:rPr>
          <w:b/>
          <w:bCs/>
        </w:rPr>
        <w:t>Appendix A</w:t>
      </w:r>
      <w:r w:rsidR="00F31865" w:rsidRPr="005E4A52">
        <w:t xml:space="preserve"> –</w:t>
      </w:r>
      <w:r w:rsidR="00F31865">
        <w:t xml:space="preserve"> </w:t>
      </w:r>
      <w:r w:rsidR="00F31865" w:rsidRPr="005E4A52">
        <w:t>Consolidated list of discussion questions</w:t>
      </w:r>
      <w:r w:rsidR="00F662DF" w:rsidRPr="00A34837">
        <w:fldChar w:fldCharType="end"/>
      </w:r>
      <w:r w:rsidR="00F662DF" w:rsidRPr="00A34837">
        <w:t>.</w:t>
      </w:r>
    </w:p>
    <w:p w14:paraId="6242968B" w14:textId="4765C13C" w:rsidR="00857EE1" w:rsidRPr="00A34837" w:rsidRDefault="00857EE1" w:rsidP="00A34837">
      <w:pPr>
        <w:spacing w:line="240" w:lineRule="auto"/>
      </w:pPr>
      <w:r w:rsidRPr="00A34837">
        <w:t xml:space="preserve">Topics covered in the issues paper are not exhaustive. You are welcome to raise other issues in your submission, </w:t>
      </w:r>
      <w:r w:rsidR="00220378" w:rsidRPr="00A34837">
        <w:t>within</w:t>
      </w:r>
      <w:r w:rsidRPr="00A34837">
        <w:t xml:space="preserve"> the review’s terms of reference</w:t>
      </w:r>
      <w:r w:rsidR="00F35455">
        <w:t xml:space="preserve"> at </w:t>
      </w:r>
      <w:r w:rsidR="00F35455" w:rsidRPr="00F35455">
        <w:rPr>
          <w:b/>
          <w:bCs/>
        </w:rPr>
        <w:t>Appendix B</w:t>
      </w:r>
      <w:r w:rsidRPr="00A34837">
        <w:t xml:space="preserve">. You do not need to answer every </w:t>
      </w:r>
      <w:r w:rsidR="003F5259" w:rsidRPr="00A34837">
        <w:t>question,</w:t>
      </w:r>
      <w:r w:rsidRPr="00A34837">
        <w:t xml:space="preserve"> and </w:t>
      </w:r>
      <w:r w:rsidR="00EC4664">
        <w:t xml:space="preserve">you </w:t>
      </w:r>
      <w:r w:rsidRPr="00A34837">
        <w:t>are welcome to address only the questions relevant to you.</w:t>
      </w:r>
    </w:p>
    <w:p w14:paraId="5C471FA9" w14:textId="6037DC96" w:rsidR="003967A9" w:rsidRPr="003B0EF2" w:rsidRDefault="00E90C1F" w:rsidP="00DE64BB">
      <w:pPr>
        <w:spacing w:after="160" w:line="240" w:lineRule="auto"/>
        <w:rPr>
          <w:b/>
          <w:bCs/>
        </w:rPr>
      </w:pPr>
      <w:r w:rsidRPr="003B0EF2">
        <w:rPr>
          <w:b/>
          <w:bCs/>
        </w:rPr>
        <w:t>Publishing submissions</w:t>
      </w:r>
    </w:p>
    <w:p w14:paraId="3D02F93F" w14:textId="016A0B7B" w:rsidR="00916AB7" w:rsidRPr="00A34837" w:rsidRDefault="002A2F0B" w:rsidP="00A34837">
      <w:pPr>
        <w:spacing w:line="240" w:lineRule="auto"/>
      </w:pPr>
      <w:r w:rsidRPr="00A34837">
        <w:t xml:space="preserve">The independent SRC Act review is a public process so submissions will generally be posted on the Department of Employment and Workplace Relations website. </w:t>
      </w:r>
    </w:p>
    <w:p w14:paraId="2115647D" w14:textId="12E33E69" w:rsidR="00642F60" w:rsidRPr="00A34837" w:rsidRDefault="00642F60" w:rsidP="00CA2E69">
      <w:pPr>
        <w:spacing w:after="200" w:line="240" w:lineRule="auto"/>
      </w:pPr>
      <w:r w:rsidRPr="00A34837">
        <w:t xml:space="preserve">Before you </w:t>
      </w:r>
      <w:r w:rsidR="000F4AB4">
        <w:t>make</w:t>
      </w:r>
      <w:r w:rsidRPr="00A34837">
        <w:t xml:space="preserve"> your submission, the department will ask you to review and accept a Privacy Collection Statement. You will have the option to keep your response confidential.</w:t>
      </w:r>
      <w:r w:rsidR="00A7228E" w:rsidRPr="00A7228E">
        <w:t xml:space="preserve"> You can </w:t>
      </w:r>
      <w:r w:rsidR="00A7228E">
        <w:t xml:space="preserve">also </w:t>
      </w:r>
      <w:r w:rsidR="00A7228E" w:rsidRPr="00A7228E">
        <w:t>choose to remain anonymous.</w:t>
      </w:r>
      <w:r w:rsidRPr="00A34837">
        <w:t xml:space="preserve"> If you share another person’s story, such as a family member, we encourage you to seek their permission before doing so. </w:t>
      </w:r>
    </w:p>
    <w:p w14:paraId="6C3DDC05" w14:textId="7E97D9FE" w:rsidR="0051254C" w:rsidRPr="003B0EF2" w:rsidRDefault="008464F8" w:rsidP="00DE64BB">
      <w:pPr>
        <w:spacing w:after="160" w:line="240" w:lineRule="auto"/>
        <w:rPr>
          <w:b/>
          <w:bCs/>
        </w:rPr>
      </w:pPr>
      <w:r w:rsidRPr="003B0EF2">
        <w:rPr>
          <w:b/>
          <w:bCs/>
        </w:rPr>
        <w:t>If you need support</w:t>
      </w:r>
    </w:p>
    <w:p w14:paraId="631EF514" w14:textId="26643B34" w:rsidR="007913A1" w:rsidRPr="00A34837" w:rsidRDefault="008F0649" w:rsidP="00A34837">
      <w:pPr>
        <w:spacing w:line="240" w:lineRule="auto"/>
      </w:pPr>
      <w:r>
        <w:t xml:space="preserve">The panel </w:t>
      </w:r>
      <w:r w:rsidR="007913A1" w:rsidRPr="00A34837">
        <w:t xml:space="preserve">also want you to know that your wellbeing is important to </w:t>
      </w:r>
      <w:r>
        <w:t>them</w:t>
      </w:r>
      <w:r w:rsidR="007913A1" w:rsidRPr="00A34837">
        <w:t xml:space="preserve">. </w:t>
      </w:r>
      <w:r>
        <w:t>They</w:t>
      </w:r>
      <w:r w:rsidR="007913A1" w:rsidRPr="00A34837">
        <w:t xml:space="preserve"> acknowledge that </w:t>
      </w:r>
      <w:r w:rsidR="00B0730E" w:rsidRPr="00A34837">
        <w:t>sharing your experience</w:t>
      </w:r>
      <w:r w:rsidR="007913A1" w:rsidRPr="00A34837">
        <w:t xml:space="preserve"> may bring up difficult feelings. If this is the case, please take care of yourself and reach out for support if needed. </w:t>
      </w:r>
    </w:p>
    <w:p w14:paraId="35ACE32C" w14:textId="64688F39" w:rsidR="007913A1" w:rsidRPr="00A34837" w:rsidRDefault="00000000" w:rsidP="00CA2E69">
      <w:pPr>
        <w:spacing w:afterLines="50" w:after="120" w:line="240" w:lineRule="auto"/>
      </w:pPr>
      <w:hyperlink r:id="rId26" w:history="1">
        <w:r w:rsidR="007913A1" w:rsidRPr="00A34837">
          <w:rPr>
            <w:rStyle w:val="Hyperlink"/>
            <w:b/>
            <w:bCs/>
          </w:rPr>
          <w:t>Lifeline Australia</w:t>
        </w:r>
      </w:hyperlink>
      <w:r w:rsidR="007913A1" w:rsidRPr="00A34837">
        <w:rPr>
          <w:b/>
          <w:bCs/>
        </w:rPr>
        <w:t>:</w:t>
      </w:r>
      <w:r w:rsidR="007913A1" w:rsidRPr="00A34837">
        <w:t xml:space="preserve"> 13 11 14 or Text 0477 13 11 14 </w:t>
      </w:r>
    </w:p>
    <w:p w14:paraId="5194095B" w14:textId="5CBE3B66" w:rsidR="00FF6146" w:rsidRPr="00A34837" w:rsidRDefault="00FF6146" w:rsidP="00CA2E69">
      <w:pPr>
        <w:spacing w:afterLines="50" w:after="120" w:line="240" w:lineRule="auto"/>
      </w:pPr>
      <w:r w:rsidRPr="00A34837">
        <w:rPr>
          <w:b/>
          <w:bCs/>
        </w:rPr>
        <w:t>Suicide Call Back Service:</w:t>
      </w:r>
      <w:r w:rsidRPr="00A34837">
        <w:t xml:space="preserve"> 1300 659 467</w:t>
      </w:r>
    </w:p>
    <w:p w14:paraId="4493DFD5" w14:textId="7DD0FA9E" w:rsidR="007913A1" w:rsidRPr="00A34837" w:rsidRDefault="00000000" w:rsidP="00CA2E69">
      <w:pPr>
        <w:spacing w:afterLines="50" w:after="120" w:line="240" w:lineRule="auto"/>
      </w:pPr>
      <w:hyperlink r:id="rId27" w:history="1">
        <w:r w:rsidR="007913A1" w:rsidRPr="00A34837">
          <w:rPr>
            <w:rStyle w:val="Hyperlink"/>
            <w:b/>
            <w:bCs/>
          </w:rPr>
          <w:t>Beyond Blue</w:t>
        </w:r>
      </w:hyperlink>
      <w:r w:rsidR="007913A1" w:rsidRPr="00A34837">
        <w:rPr>
          <w:b/>
          <w:bCs/>
        </w:rPr>
        <w:t>:</w:t>
      </w:r>
      <w:r w:rsidR="007913A1" w:rsidRPr="00A34837">
        <w:t xml:space="preserve"> 1300 224 636 </w:t>
      </w:r>
      <w:r w:rsidR="00CA0321" w:rsidRPr="00A34837">
        <w:t xml:space="preserve">or </w:t>
      </w:r>
      <w:hyperlink r:id="rId28" w:history="1">
        <w:r w:rsidR="00CA0321" w:rsidRPr="00A34837">
          <w:rPr>
            <w:rStyle w:val="Hyperlink"/>
          </w:rPr>
          <w:t>chat online</w:t>
        </w:r>
      </w:hyperlink>
      <w:r w:rsidR="00CA0321" w:rsidRPr="00A34837">
        <w:t xml:space="preserve"> </w:t>
      </w:r>
      <w:r w:rsidR="003E6A0E" w:rsidRPr="00A34837">
        <w:t>to a trained mental health professional.</w:t>
      </w:r>
    </w:p>
    <w:p w14:paraId="77B78B5F" w14:textId="77777777" w:rsidR="00A34837" w:rsidRDefault="00A34837" w:rsidP="009042DA">
      <w:pPr>
        <w:pStyle w:val="Heading3"/>
        <w:rPr>
          <w:rFonts w:asciiTheme="minorHAnsi" w:hAnsiTheme="minorHAnsi"/>
        </w:rPr>
        <w:sectPr w:rsidR="00A34837" w:rsidSect="007A56DA">
          <w:headerReference w:type="default" r:id="rId29"/>
          <w:footerReference w:type="default" r:id="rId30"/>
          <w:pgSz w:w="11906" w:h="16838"/>
          <w:pgMar w:top="1440" w:right="1304" w:bottom="1440" w:left="1304" w:header="0" w:footer="454" w:gutter="0"/>
          <w:cols w:space="708"/>
          <w:docGrid w:linePitch="360"/>
        </w:sectPr>
      </w:pPr>
      <w:bookmarkStart w:id="11" w:name="_Toc177409613"/>
    </w:p>
    <w:p w14:paraId="2855E3B6" w14:textId="69127902" w:rsidR="00857EE1" w:rsidRPr="005E4A52" w:rsidRDefault="00857EE1" w:rsidP="007B556F">
      <w:pPr>
        <w:pStyle w:val="Heading3"/>
        <w:spacing w:before="240"/>
        <w:rPr>
          <w:rFonts w:asciiTheme="minorHAnsi" w:hAnsiTheme="minorHAnsi"/>
        </w:rPr>
      </w:pPr>
      <w:bookmarkStart w:id="12" w:name="_Toc180174607"/>
      <w:r w:rsidRPr="005E4A52">
        <w:rPr>
          <w:rFonts w:asciiTheme="minorHAnsi" w:hAnsiTheme="minorHAnsi"/>
        </w:rPr>
        <w:lastRenderedPageBreak/>
        <w:t>1.3</w:t>
      </w:r>
      <w:r>
        <w:tab/>
      </w:r>
      <w:bookmarkEnd w:id="11"/>
      <w:r w:rsidR="311DA6B2" w:rsidRPr="463AB5C5">
        <w:rPr>
          <w:rFonts w:asciiTheme="minorHAnsi" w:hAnsiTheme="minorHAnsi"/>
        </w:rPr>
        <w:t>Reference Material</w:t>
      </w:r>
      <w:bookmarkEnd w:id="12"/>
    </w:p>
    <w:p w14:paraId="020D86DA" w14:textId="1912A0D8" w:rsidR="00857EE1" w:rsidRPr="005E4A52" w:rsidRDefault="00857EE1" w:rsidP="00857EE1">
      <w:r w:rsidRPr="005E4A52">
        <w:t xml:space="preserve">In undertaking the review, where appropriate, the panel will draw on the work of relevant reviews </w:t>
      </w:r>
      <w:r w:rsidR="2499A629">
        <w:t>and reports on workers’ compensation schemes in Australia including:</w:t>
      </w:r>
      <w:r w:rsidRPr="005E4A52">
        <w:t xml:space="preserve">     </w:t>
      </w:r>
    </w:p>
    <w:p w14:paraId="46D2C3DA" w14:textId="77777777" w:rsidR="00240957" w:rsidRPr="005E4A52" w:rsidRDefault="00240957" w:rsidP="00240957">
      <w:pPr>
        <w:pStyle w:val="ListParagraph"/>
        <w:numPr>
          <w:ilvl w:val="0"/>
          <w:numId w:val="6"/>
        </w:numPr>
        <w:spacing w:line="276" w:lineRule="auto"/>
        <w:ind w:left="765" w:hanging="357"/>
      </w:pPr>
      <w:r w:rsidRPr="005E4A52">
        <w:t xml:space="preserve">2004 – Productivity Commission, Inquiry report - </w:t>
      </w:r>
      <w:r w:rsidRPr="005E4A52">
        <w:rPr>
          <w:i/>
          <w:iCs/>
        </w:rPr>
        <w:t>National Workers' Compensation and Occupational Health and Safety Frameworks</w:t>
      </w:r>
      <w:r w:rsidRPr="005E4A52">
        <w:rPr>
          <w:vertAlign w:val="superscript"/>
        </w:rPr>
        <w:footnoteReference w:id="3"/>
      </w:r>
      <w:r w:rsidRPr="005E4A52">
        <w:t xml:space="preserve"> </w:t>
      </w:r>
    </w:p>
    <w:p w14:paraId="1DDC6FA0" w14:textId="77777777" w:rsidR="00240957" w:rsidRPr="005E4A52" w:rsidRDefault="00240957" w:rsidP="00903151">
      <w:pPr>
        <w:pStyle w:val="ListParagraph"/>
        <w:numPr>
          <w:ilvl w:val="0"/>
          <w:numId w:val="6"/>
        </w:numPr>
        <w:spacing w:after="120" w:line="240" w:lineRule="auto"/>
        <w:ind w:left="765" w:hanging="357"/>
      </w:pPr>
      <w:r w:rsidRPr="005E4A52">
        <w:t xml:space="preserve">2012 – Safety, Rehabilitation and Compensation Act Review, Report of the </w:t>
      </w:r>
      <w:r w:rsidRPr="005E4A52">
        <w:rPr>
          <w:i/>
          <w:iCs/>
        </w:rPr>
        <w:t>Comcare’s scheme’s performance, governance and financial framework</w:t>
      </w:r>
      <w:r w:rsidRPr="005E4A52">
        <w:t>, Allan Hawke AC</w:t>
      </w:r>
      <w:r w:rsidRPr="005E4A52">
        <w:rPr>
          <w:vertAlign w:val="superscript"/>
        </w:rPr>
        <w:footnoteReference w:id="4"/>
      </w:r>
      <w:r w:rsidRPr="005E4A52">
        <w:t xml:space="preserve"> (Hawke Review)</w:t>
      </w:r>
    </w:p>
    <w:p w14:paraId="5BFB027B" w14:textId="77777777" w:rsidR="00857EE1" w:rsidRPr="005E4A52" w:rsidRDefault="00857EE1" w:rsidP="009042DA">
      <w:pPr>
        <w:pStyle w:val="ListParagraph"/>
        <w:numPr>
          <w:ilvl w:val="0"/>
          <w:numId w:val="6"/>
        </w:numPr>
        <w:spacing w:line="276" w:lineRule="auto"/>
        <w:ind w:left="765" w:hanging="357"/>
      </w:pPr>
      <w:r w:rsidRPr="005E4A52">
        <w:t xml:space="preserve">2013 – </w:t>
      </w:r>
      <w:r w:rsidRPr="005E4A52">
        <w:rPr>
          <w:i/>
          <w:iCs/>
        </w:rPr>
        <w:t>Safety, Rehabilitation and Compensation Act Review Final Report</w:t>
      </w:r>
      <w:r w:rsidRPr="005E4A52">
        <w:t>, Peter Hanks KC</w:t>
      </w:r>
      <w:r w:rsidRPr="005E4A52">
        <w:rPr>
          <w:vertAlign w:val="superscript"/>
        </w:rPr>
        <w:footnoteReference w:id="5"/>
      </w:r>
      <w:r w:rsidRPr="005E4A52">
        <w:t xml:space="preserve"> (Hanks Review)</w:t>
      </w:r>
    </w:p>
    <w:p w14:paraId="7EE16D5E" w14:textId="4CD529C6" w:rsidR="00857EE1" w:rsidRPr="005E4A52" w:rsidRDefault="00857EE1" w:rsidP="009042DA">
      <w:pPr>
        <w:pStyle w:val="ListParagraph"/>
        <w:numPr>
          <w:ilvl w:val="0"/>
          <w:numId w:val="6"/>
        </w:numPr>
        <w:spacing w:line="276" w:lineRule="auto"/>
        <w:ind w:left="765" w:hanging="357"/>
      </w:pPr>
      <w:r w:rsidRPr="005E4A52">
        <w:t xml:space="preserve">The </w:t>
      </w:r>
      <w:r w:rsidRPr="005E4A52">
        <w:rPr>
          <w:i/>
          <w:iCs/>
        </w:rPr>
        <w:t>National Return to Work Strategy 2020-2030</w:t>
      </w:r>
      <w:r w:rsidRPr="005E4A52">
        <w:t>, agreed between all governments in 2019</w:t>
      </w:r>
      <w:r w:rsidRPr="005E4A52">
        <w:rPr>
          <w:vertAlign w:val="superscript"/>
        </w:rPr>
        <w:footnoteReference w:id="6"/>
      </w:r>
    </w:p>
    <w:p w14:paraId="62654422" w14:textId="0D7BCC55" w:rsidR="22892905" w:rsidRDefault="6E1E11CE" w:rsidP="22892905">
      <w:pPr>
        <w:pStyle w:val="ListParagraph"/>
        <w:numPr>
          <w:ilvl w:val="0"/>
          <w:numId w:val="6"/>
        </w:numPr>
        <w:spacing w:line="276" w:lineRule="auto"/>
        <w:ind w:left="765" w:hanging="357"/>
      </w:pPr>
      <w:r>
        <w:t>2021 – Improving the experience of injured workers: A review of WorkSafe Victoria’s management of complex workers’ compensation claims, Peter Rozen KC</w:t>
      </w:r>
    </w:p>
    <w:p w14:paraId="2A498BEC" w14:textId="192F838A" w:rsidR="2D82BF98" w:rsidRPr="00893C05" w:rsidRDefault="2D82BF98" w:rsidP="26CA2FB2">
      <w:pPr>
        <w:pStyle w:val="ListParagraph"/>
        <w:numPr>
          <w:ilvl w:val="0"/>
          <w:numId w:val="6"/>
        </w:numPr>
        <w:spacing w:line="276" w:lineRule="auto"/>
        <w:ind w:left="765" w:hanging="357"/>
      </w:pPr>
      <w:r w:rsidRPr="00893C05">
        <w:t xml:space="preserve">2023 – Review of the </w:t>
      </w:r>
      <w:r>
        <w:t>Workers</w:t>
      </w:r>
      <w:r w:rsidR="6017FE3D">
        <w:t>’</w:t>
      </w:r>
      <w:r w:rsidRPr="00893C05">
        <w:t xml:space="preserve"> Compensation Scheme, Standing Committee on Law and Justice, Legislative Council, NSW Parliament</w:t>
      </w:r>
    </w:p>
    <w:p w14:paraId="2BA44AB7" w14:textId="3C09F03B" w:rsidR="2D82BF98" w:rsidRDefault="2D82BF98" w:rsidP="00893C05">
      <w:pPr>
        <w:pStyle w:val="ListParagraph"/>
        <w:numPr>
          <w:ilvl w:val="0"/>
          <w:numId w:val="6"/>
        </w:numPr>
        <w:spacing w:line="276" w:lineRule="auto"/>
        <w:ind w:left="765" w:hanging="357"/>
      </w:pPr>
      <w:r w:rsidRPr="00893C05">
        <w:t>2023 – Comparison of Workers' Compensation Arrangements in Australia and New Zealand 2023 – Safe Work Australia</w:t>
      </w:r>
    </w:p>
    <w:p w14:paraId="6388D09D" w14:textId="0118C2A6" w:rsidR="00752444" w:rsidRPr="005E4A52" w:rsidRDefault="00752444" w:rsidP="00CA2E69">
      <w:pPr>
        <w:pStyle w:val="ListParagraph"/>
        <w:numPr>
          <w:ilvl w:val="0"/>
          <w:numId w:val="6"/>
        </w:numPr>
        <w:spacing w:after="120" w:line="276" w:lineRule="auto"/>
        <w:ind w:left="765" w:hanging="357"/>
      </w:pPr>
      <w:r>
        <w:t>2024</w:t>
      </w:r>
      <w:r w:rsidR="00E963D8">
        <w:t xml:space="preserve"> </w:t>
      </w:r>
      <w:r w:rsidR="00E963D8" w:rsidRPr="00893C05">
        <w:t xml:space="preserve">– </w:t>
      </w:r>
      <w:r w:rsidRPr="005E4A52">
        <w:t>The Final Report of the Royal Commission into Defence and Veteran Suicide</w:t>
      </w:r>
      <w:r w:rsidRPr="005E4A52">
        <w:rPr>
          <w:rStyle w:val="FootnoteReference"/>
        </w:rPr>
        <w:footnoteReference w:id="7"/>
      </w:r>
      <w:r w:rsidRPr="005E4A52">
        <w:t xml:space="preserve"> </w:t>
      </w:r>
    </w:p>
    <w:p w14:paraId="3A62274D" w14:textId="3F2E2FF7" w:rsidR="00857EE1" w:rsidRPr="005E4A52" w:rsidRDefault="00857EE1">
      <w:pPr>
        <w:sectPr w:rsidR="00857EE1" w:rsidRPr="005E4A52" w:rsidSect="008C65B4">
          <w:headerReference w:type="default" r:id="rId31"/>
          <w:pgSz w:w="11906" w:h="16838"/>
          <w:pgMar w:top="1440" w:right="1304" w:bottom="1440" w:left="1304" w:header="0" w:footer="454" w:gutter="0"/>
          <w:cols w:space="708"/>
          <w:docGrid w:linePitch="360"/>
        </w:sectPr>
      </w:pPr>
    </w:p>
    <w:p w14:paraId="250A4D56" w14:textId="540B38D3" w:rsidR="00857EE1" w:rsidRPr="007733A5" w:rsidRDefault="00857EE1" w:rsidP="007B556F">
      <w:pPr>
        <w:pStyle w:val="Heading2"/>
        <w:spacing w:before="240" w:after="60"/>
      </w:pPr>
      <w:bookmarkStart w:id="13" w:name="_Toc177409614"/>
      <w:bookmarkStart w:id="14" w:name="_Toc180174608"/>
      <w:r w:rsidRPr="007733A5">
        <w:lastRenderedPageBreak/>
        <w:t>The Comcare scheme</w:t>
      </w:r>
      <w:bookmarkEnd w:id="13"/>
      <w:bookmarkEnd w:id="14"/>
      <w:r w:rsidRPr="007733A5">
        <w:t xml:space="preserve"> </w:t>
      </w:r>
    </w:p>
    <w:p w14:paraId="1745AB4B" w14:textId="7DA511FF" w:rsidR="00857EE1" w:rsidRPr="005E4A52" w:rsidRDefault="00E963D8" w:rsidP="00857EE1">
      <w:r w:rsidRPr="005E4A52">
        <w:rPr>
          <w:noProof/>
        </w:rPr>
        <w:drawing>
          <wp:anchor distT="0" distB="0" distL="114300" distR="114300" simplePos="0" relativeHeight="251658297" behindDoc="0" locked="0" layoutInCell="1" allowOverlap="1" wp14:anchorId="40B04C50" wp14:editId="0C7D7771">
            <wp:simplePos x="0" y="0"/>
            <wp:positionH relativeFrom="margin">
              <wp:posOffset>109220</wp:posOffset>
            </wp:positionH>
            <wp:positionV relativeFrom="paragraph">
              <wp:posOffset>83820</wp:posOffset>
            </wp:positionV>
            <wp:extent cx="1323975" cy="1962150"/>
            <wp:effectExtent l="0" t="0" r="0" b="0"/>
            <wp:wrapThrough wrapText="bothSides">
              <wp:wrapPolygon edited="0">
                <wp:start x="0" y="0"/>
                <wp:lineTo x="0" y="21390"/>
                <wp:lineTo x="21134" y="21390"/>
                <wp:lineTo x="21134" y="0"/>
                <wp:lineTo x="0" y="0"/>
              </wp:wrapPolygon>
            </wp:wrapThrough>
            <wp:docPr id="150385348" name="Picture 1" descr="A group of peop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5348" name="Picture 1" descr="A group of people with numbers and text&#10;&#10;Description automatically generated"/>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1323975" cy="196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6DA" w:rsidRPr="005E4A52">
        <w:rPr>
          <w:noProof/>
        </w:rPr>
        <w:drawing>
          <wp:anchor distT="0" distB="0" distL="114300" distR="114300" simplePos="0" relativeHeight="251658269" behindDoc="0" locked="0" layoutInCell="1" allowOverlap="1" wp14:anchorId="50E1FCDD" wp14:editId="52D9C8CE">
            <wp:simplePos x="0" y="0"/>
            <wp:positionH relativeFrom="margin">
              <wp:posOffset>45720</wp:posOffset>
            </wp:positionH>
            <wp:positionV relativeFrom="paragraph">
              <wp:posOffset>162560</wp:posOffset>
            </wp:positionV>
            <wp:extent cx="1562100" cy="1819275"/>
            <wp:effectExtent l="0" t="0" r="0" b="9525"/>
            <wp:wrapThrough wrapText="bothSides">
              <wp:wrapPolygon edited="0">
                <wp:start x="0" y="0"/>
                <wp:lineTo x="0" y="21487"/>
                <wp:lineTo x="21337" y="21487"/>
                <wp:lineTo x="21337" y="0"/>
                <wp:lineTo x="0" y="0"/>
              </wp:wrapPolygon>
            </wp:wrapThrough>
            <wp:docPr id="10861805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80547" name="Picture 1">
                      <a:extLst>
                        <a:ext uri="{C183D7F6-B498-43B3-948B-1728B52AA6E4}">
                          <adec:decorative xmlns:adec="http://schemas.microsoft.com/office/drawing/2017/decorative" val="1"/>
                        </a:ext>
                      </a:extLst>
                    </pic:cNvPr>
                    <pic:cNvPicPr/>
                  </pic:nvPicPr>
                  <pic:blipFill rotWithShape="1">
                    <a:blip r:embed="rId33"/>
                    <a:srcRect t="4330" b="5582"/>
                    <a:stretch/>
                  </pic:blipFill>
                  <pic:spPr bwMode="auto">
                    <a:xfrm>
                      <a:off x="0" y="0"/>
                      <a:ext cx="1562100" cy="181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6DA" w:rsidRPr="007733A5">
        <w:rPr>
          <w:noProof/>
        </w:rPr>
        <mc:AlternateContent>
          <mc:Choice Requires="wps">
            <w:drawing>
              <wp:anchor distT="0" distB="0" distL="114300" distR="114300" simplePos="0" relativeHeight="251658255" behindDoc="1" locked="0" layoutInCell="1" allowOverlap="1" wp14:anchorId="1464692D" wp14:editId="07F97403">
                <wp:simplePos x="0" y="0"/>
                <wp:positionH relativeFrom="margin">
                  <wp:posOffset>-43180</wp:posOffset>
                </wp:positionH>
                <wp:positionV relativeFrom="paragraph">
                  <wp:posOffset>55245</wp:posOffset>
                </wp:positionV>
                <wp:extent cx="6048000" cy="2007235"/>
                <wp:effectExtent l="0" t="0" r="10160" b="12065"/>
                <wp:wrapNone/>
                <wp:docPr id="944310275" name="Text Box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48000" cy="2007235"/>
                        </a:xfrm>
                        <a:prstGeom prst="rect">
                          <a:avLst/>
                        </a:prstGeom>
                        <a:solidFill>
                          <a:schemeClr val="lt1"/>
                        </a:solidFill>
                        <a:ln w="6350">
                          <a:solidFill>
                            <a:schemeClr val="bg2"/>
                          </a:solidFill>
                        </a:ln>
                      </wps:spPr>
                      <wps:txbx>
                        <w:txbxContent>
                          <w:p w14:paraId="628A97BA" w14:textId="77777777" w:rsidR="00857EE1" w:rsidRDefault="00857EE1"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4692D" id="Text Box 23" o:spid="_x0000_s1035" type="#_x0000_t202" alt="&quot;&quot;" style="position:absolute;margin-left:-3.4pt;margin-top:4.35pt;width:476.2pt;height:158.05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" fillcolor="white [3201]" strokecolor="#009b9f [3214]" strokeweight=".5pt">
                <v:textbox>
                  <w:txbxContent>
                    <w:p w14:paraId="628A97BA" w14:textId="77777777" w:rsidR="00857EE1" w:rsidRDefault="00857EE1" w:rsidP="00857EE1"/>
                  </w:txbxContent>
                </v:textbox>
                <w10:wrap anchorx="margin"/>
              </v:shape>
            </w:pict>
          </mc:Fallback>
        </mc:AlternateContent>
      </w:r>
    </w:p>
    <w:p w14:paraId="66C927EC" w14:textId="0B97AF2C" w:rsidR="00857EE1" w:rsidRPr="005E4A52" w:rsidRDefault="00857EE1" w:rsidP="00857EE1">
      <w:r w:rsidRPr="005E4A52">
        <w:t xml:space="preserve">The SRC Act establishes the Comcare scheme and provides rehabilitation and workers’ compensation arrangements to employers and employees in every state and territory. This includes employees of the Australian Government, the ACT Government, and around 40 private corporations who self-insure their workers’ compensation obligations under the SRC Act. </w:t>
      </w:r>
    </w:p>
    <w:p w14:paraId="11F71F51" w14:textId="272349CA" w:rsidR="00D25DA0" w:rsidRPr="005E4A52" w:rsidRDefault="00857EE1" w:rsidP="00253497">
      <w:r w:rsidRPr="005E4A52">
        <w:t>Around half a million employees are covered by the scheme, representing about 3.3% of all persons employed in Australia.</w:t>
      </w:r>
      <w:r w:rsidRPr="005E4A52">
        <w:rPr>
          <w:rStyle w:val="FootnoteReference"/>
        </w:rPr>
        <w:footnoteReference w:id="8"/>
      </w:r>
      <w:r w:rsidRPr="005E4A52">
        <w:rPr>
          <w:noProof/>
        </w:rPr>
        <w:t xml:space="preserve"> </w:t>
      </w:r>
    </w:p>
    <w:p w14:paraId="752C14CF" w14:textId="58A91E23" w:rsidR="00857EE1" w:rsidRPr="00E963D8" w:rsidRDefault="00857EE1" w:rsidP="00E963D8">
      <w:pPr>
        <w:rPr>
          <w:b/>
          <w:bCs/>
          <w:sz w:val="32"/>
          <w:szCs w:val="32"/>
        </w:rPr>
      </w:pPr>
      <w:r w:rsidRPr="00E963D8">
        <w:rPr>
          <w:b/>
          <w:bCs/>
          <w:color w:val="009B9F" w:themeColor="background2"/>
          <w:sz w:val="32"/>
          <w:szCs w:val="32"/>
        </w:rPr>
        <w:t>The profile of employees covered by the SRC Act</w:t>
      </w:r>
      <w:r w:rsidRPr="00E963D8">
        <w:rPr>
          <w:b/>
          <w:bCs/>
          <w:sz w:val="32"/>
          <w:szCs w:val="32"/>
        </w:rPr>
        <w:t xml:space="preserve"> </w:t>
      </w:r>
    </w:p>
    <w:p w14:paraId="372743B5" w14:textId="690789DA" w:rsidR="00857EE1" w:rsidRPr="005E4A52" w:rsidRDefault="00857EE1" w:rsidP="00857EE1">
      <w:r w:rsidRPr="005E4A52">
        <w:t>The SRC Act was initially designed to cover Australian Government employees only. The scheme was expanded in 1992 and 2002 to allow Commonwealth Authorities and private sector employers to join the scheme as self-insured licensees. Since 2018-19,</w:t>
      </w:r>
      <w:r w:rsidRPr="005E4A52">
        <w:rPr>
          <w:rStyle w:val="FootnoteReference"/>
        </w:rPr>
        <w:footnoteReference w:id="9"/>
      </w:r>
      <w:r w:rsidRPr="005E4A52">
        <w:t xml:space="preserve"> the scheme has covered more private sector (57%) than Australian Government employees.</w:t>
      </w:r>
      <w:r w:rsidRPr="005E4A52">
        <w:rPr>
          <w:rStyle w:val="FootnoteReference"/>
        </w:rPr>
        <w:footnoteReference w:id="10"/>
      </w:r>
      <w:r w:rsidRPr="005E4A52">
        <w:t xml:space="preserve"> </w:t>
      </w:r>
    </w:p>
    <w:p w14:paraId="7EE40F68" w14:textId="58EA1E19" w:rsidR="00473779" w:rsidRDefault="00FF200C">
      <w:pPr>
        <w:spacing w:after="160"/>
      </w:pPr>
      <w:r w:rsidRPr="005E4A52">
        <w:t xml:space="preserve">The infographic shows </w:t>
      </w:r>
      <w:r>
        <w:t xml:space="preserve">an approximate </w:t>
      </w:r>
      <w:r w:rsidRPr="005E4A52">
        <w:t xml:space="preserve">proportion of the Australian workforce in industries covered by the SRC Act as </w:t>
      </w:r>
      <w:proofErr w:type="gramStart"/>
      <w:r w:rsidRPr="005E4A52">
        <w:t>at</w:t>
      </w:r>
      <w:proofErr w:type="gramEnd"/>
      <w:r w:rsidRPr="005E4A52">
        <w:t xml:space="preserve"> 30 June 2024.</w:t>
      </w:r>
      <w:r>
        <w:rPr>
          <w:rStyle w:val="FootnoteReference"/>
        </w:rPr>
        <w:footnoteReference w:id="11"/>
      </w:r>
      <w:r w:rsidRPr="005E4A52">
        <w:t xml:space="preserve">  </w:t>
      </w:r>
    </w:p>
    <w:p w14:paraId="647955D8" w14:textId="030EA02D" w:rsidR="00473779" w:rsidRDefault="00FF200C">
      <w:pPr>
        <w:spacing w:after="160"/>
      </w:pPr>
      <w:r w:rsidRPr="005E4A52">
        <w:rPr>
          <w:noProof/>
        </w:rPr>
        <mc:AlternateContent>
          <mc:Choice Requires="wps">
            <w:drawing>
              <wp:anchor distT="0" distB="0" distL="114300" distR="114300" simplePos="0" relativeHeight="251658291" behindDoc="1" locked="0" layoutInCell="1" allowOverlap="1" wp14:anchorId="76B648E7" wp14:editId="07E43D28">
                <wp:simplePos x="0" y="0"/>
                <wp:positionH relativeFrom="margin">
                  <wp:align>left</wp:align>
                </wp:positionH>
                <wp:positionV relativeFrom="paragraph">
                  <wp:posOffset>4445</wp:posOffset>
                </wp:positionV>
                <wp:extent cx="6048000" cy="2990850"/>
                <wp:effectExtent l="0" t="0" r="10160" b="19050"/>
                <wp:wrapNone/>
                <wp:docPr id="125309786" name="Text Box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48000" cy="2990850"/>
                        </a:xfrm>
                        <a:prstGeom prst="rect">
                          <a:avLst/>
                        </a:prstGeom>
                        <a:solidFill>
                          <a:schemeClr val="lt1"/>
                        </a:solidFill>
                        <a:ln w="6350">
                          <a:solidFill>
                            <a:schemeClr val="bg2"/>
                          </a:solidFill>
                        </a:ln>
                      </wps:spPr>
                      <wps:txbx>
                        <w:txbxContent>
                          <w:tbl>
                            <w:tblPr>
                              <w:tblStyle w:val="GridTable1Light-Accent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
                              <w:gridCol w:w="2727"/>
                              <w:gridCol w:w="820"/>
                              <w:gridCol w:w="971"/>
                              <w:gridCol w:w="3020"/>
                              <w:gridCol w:w="750"/>
                            </w:tblGrid>
                            <w:tr w:rsidR="00440485" w14:paraId="0A90BE3E" w14:textId="7FABFFF0" w:rsidTr="00E963D8">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65" w:type="dxa"/>
                                  <w:tcBorders>
                                    <w:bottom w:val="none" w:sz="0" w:space="0" w:color="auto"/>
                                  </w:tcBorders>
                                </w:tcPr>
                                <w:p w14:paraId="2959D771" w14:textId="38F329D9" w:rsidR="00440485" w:rsidRPr="00372C58" w:rsidRDefault="00440485" w:rsidP="00FF200C">
                                  <w:pPr>
                                    <w:rPr>
                                      <w:noProof/>
                                      <w:sz w:val="20"/>
                                      <w:szCs w:val="20"/>
                                    </w:rPr>
                                  </w:pPr>
                                  <w:r w:rsidRPr="00372C58">
                                    <w:rPr>
                                      <w:noProof/>
                                      <w:sz w:val="20"/>
                                      <w:szCs w:val="20"/>
                                    </w:rPr>
                                    <w:drawing>
                                      <wp:inline distT="0" distB="0" distL="0" distR="0" wp14:anchorId="63994132" wp14:editId="4516993F">
                                        <wp:extent cx="432000" cy="432000"/>
                                        <wp:effectExtent l="0" t="0" r="0" b="6350"/>
                                        <wp:docPr id="1323414602" name="Content Placeholder 4" descr="Building with solid fill">
                                          <a:extLst xmlns:a="http://schemas.openxmlformats.org/drawingml/2006/main">
                                            <a:ext uri="{FF2B5EF4-FFF2-40B4-BE49-F238E27FC236}">
                                              <a16:creationId xmlns:a16="http://schemas.microsoft.com/office/drawing/2014/main" id="{57626ABB-C598-D104-8A02-A4BF7F1A76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descr="Building with solid fill">
                                                  <a:extLst>
                                                    <a:ext uri="{FF2B5EF4-FFF2-40B4-BE49-F238E27FC236}">
                                                      <a16:creationId xmlns:a16="http://schemas.microsoft.com/office/drawing/2014/main" id="{57626ABB-C598-D104-8A02-A4BF7F1A760B}"/>
                                                    </a:ext>
                                                  </a:extLst>
                                                </pic:cNvPr>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432000" cy="432000"/>
                                                </a:xfrm>
                                                <a:prstGeom prst="rect">
                                                  <a:avLst/>
                                                </a:prstGeom>
                                              </pic:spPr>
                                            </pic:pic>
                                          </a:graphicData>
                                        </a:graphic>
                                      </wp:inline>
                                    </w:drawing>
                                  </w:r>
                                </w:p>
                              </w:tc>
                              <w:tc>
                                <w:tcPr>
                                  <w:tcW w:w="2858" w:type="dxa"/>
                                  <w:tcBorders>
                                    <w:bottom w:val="none" w:sz="0" w:space="0" w:color="auto"/>
                                  </w:tcBorders>
                                </w:tcPr>
                                <w:p w14:paraId="659F2F93" w14:textId="1625F042" w:rsidR="00440485" w:rsidRPr="0058488C" w:rsidRDefault="00440485" w:rsidP="0058488C">
                                  <w:pPr>
                                    <w:cnfStyle w:val="100000000000" w:firstRow="1" w:lastRow="0" w:firstColumn="0" w:lastColumn="0" w:oddVBand="0" w:evenVBand="0" w:oddHBand="0" w:evenHBand="0" w:firstRowFirstColumn="0" w:firstRowLastColumn="0" w:lastRowFirstColumn="0" w:lastRowLastColumn="0"/>
                                    <w:rPr>
                                      <w:b w:val="0"/>
                                      <w:bCs w:val="0"/>
                                      <w:color w:val="394390" w:themeColor="accent1"/>
                                    </w:rPr>
                                  </w:pPr>
                                  <w:r w:rsidRPr="0058488C">
                                    <w:rPr>
                                      <w:b w:val="0"/>
                                      <w:bCs w:val="0"/>
                                      <w:color w:val="394390" w:themeColor="accent1"/>
                                    </w:rPr>
                                    <w:t>Public administration and safety</w:t>
                                  </w:r>
                                  <w:r w:rsidRPr="0058488C">
                                    <w:rPr>
                                      <w:b w:val="0"/>
                                      <w:bCs w:val="0"/>
                                      <w:color w:val="394390" w:themeColor="accent1"/>
                                    </w:rPr>
                                    <w:tab/>
                                  </w:r>
                                </w:p>
                              </w:tc>
                              <w:tc>
                                <w:tcPr>
                                  <w:tcW w:w="288" w:type="dxa"/>
                                  <w:tcBorders>
                                    <w:bottom w:val="none" w:sz="0" w:space="0" w:color="auto"/>
                                  </w:tcBorders>
                                </w:tcPr>
                                <w:p w14:paraId="0E117E4A" w14:textId="19DFC538" w:rsidR="00440485" w:rsidRDefault="00440485" w:rsidP="00FF200C">
                                  <w:pPr>
                                    <w:cnfStyle w:val="100000000000" w:firstRow="1" w:lastRow="0" w:firstColumn="0" w:lastColumn="0" w:oddVBand="0" w:evenVBand="0" w:oddHBand="0" w:evenHBand="0" w:firstRowFirstColumn="0" w:firstRowLastColumn="0" w:lastRowFirstColumn="0" w:lastRowLastColumn="0"/>
                                  </w:pPr>
                                  <w:r w:rsidRPr="00372C58">
                                    <w:rPr>
                                      <w:color w:val="394390" w:themeColor="accent1"/>
                                      <w:sz w:val="20"/>
                                      <w:szCs w:val="20"/>
                                    </w:rPr>
                                    <w:t>21.5%</w:t>
                                  </w:r>
                                </w:p>
                              </w:tc>
                              <w:tc>
                                <w:tcPr>
                                  <w:tcW w:w="987" w:type="dxa"/>
                                  <w:tcBorders>
                                    <w:bottom w:val="none" w:sz="0" w:space="0" w:color="auto"/>
                                  </w:tcBorders>
                                </w:tcPr>
                                <w:p w14:paraId="26F11A75" w14:textId="1C2F72B3" w:rsidR="00440485" w:rsidRDefault="00440485" w:rsidP="00FF200C">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34FEEC7" wp14:editId="0C883983">
                                        <wp:extent cx="432000" cy="432000"/>
                                        <wp:effectExtent l="0" t="0" r="6350" b="6350"/>
                                        <wp:docPr id="1227181644" name="Graphic 2"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88740" name="Graphic 1532488740" descr="Blueprint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432000" cy="432000"/>
                                                </a:xfrm>
                                                <a:prstGeom prst="rect">
                                                  <a:avLst/>
                                                </a:prstGeom>
                                              </pic:spPr>
                                            </pic:pic>
                                          </a:graphicData>
                                        </a:graphic>
                                      </wp:inline>
                                    </w:drawing>
                                  </w:r>
                                </w:p>
                              </w:tc>
                              <w:tc>
                                <w:tcPr>
                                  <w:tcW w:w="3368" w:type="dxa"/>
                                  <w:tcBorders>
                                    <w:bottom w:val="none" w:sz="0" w:space="0" w:color="auto"/>
                                  </w:tcBorders>
                                </w:tcPr>
                                <w:p w14:paraId="05EDC49B" w14:textId="0FEC9B07" w:rsidR="00440485" w:rsidRPr="00C107C6" w:rsidRDefault="00430569" w:rsidP="00FF200C">
                                  <w:pPr>
                                    <w:cnfStyle w:val="100000000000" w:firstRow="1" w:lastRow="0" w:firstColumn="0" w:lastColumn="0" w:oddVBand="0" w:evenVBand="0" w:oddHBand="0" w:evenHBand="0" w:firstRowFirstColumn="0" w:firstRowLastColumn="0" w:lastRowFirstColumn="0" w:lastRowLastColumn="0"/>
                                    <w:rPr>
                                      <w:b w:val="0"/>
                                      <w:bCs w:val="0"/>
                                      <w:color w:val="394390" w:themeColor="accent1"/>
                                    </w:rPr>
                                  </w:pPr>
                                  <w:r w:rsidRPr="00430569">
                                    <w:rPr>
                                      <w:b w:val="0"/>
                                      <w:bCs w:val="0"/>
                                      <w:color w:val="394390" w:themeColor="accent1"/>
                                    </w:rPr>
                                    <w:t>Professional, scientific and technical services</w:t>
                                  </w:r>
                                </w:p>
                              </w:tc>
                              <w:tc>
                                <w:tcPr>
                                  <w:tcW w:w="761" w:type="dxa"/>
                                  <w:tcBorders>
                                    <w:bottom w:val="none" w:sz="0" w:space="0" w:color="auto"/>
                                  </w:tcBorders>
                                </w:tcPr>
                                <w:p w14:paraId="04869B38" w14:textId="7F980466" w:rsidR="00440485" w:rsidRDefault="00440485" w:rsidP="00FF200C">
                                  <w:pPr>
                                    <w:cnfStyle w:val="100000000000" w:firstRow="1" w:lastRow="0" w:firstColumn="0" w:lastColumn="0" w:oddVBand="0" w:evenVBand="0" w:oddHBand="0" w:evenHBand="0" w:firstRowFirstColumn="0" w:firstRowLastColumn="0" w:lastRowFirstColumn="0" w:lastRowLastColumn="0"/>
                                  </w:pPr>
                                  <w:r w:rsidRPr="00C107C6">
                                    <w:rPr>
                                      <w:color w:val="394390" w:themeColor="accent1"/>
                                    </w:rPr>
                                    <w:t>1.3%</w:t>
                                  </w:r>
                                </w:p>
                              </w:tc>
                            </w:tr>
                            <w:tr w:rsidR="00440485" w14:paraId="087DB5A8" w14:textId="06ACA592" w:rsidTr="0058488C">
                              <w:tc>
                                <w:tcPr>
                                  <w:cnfStyle w:val="001000000000" w:firstRow="0" w:lastRow="0" w:firstColumn="1" w:lastColumn="0" w:oddVBand="0" w:evenVBand="0" w:oddHBand="0" w:evenHBand="0" w:firstRowFirstColumn="0" w:firstRowLastColumn="0" w:lastRowFirstColumn="0" w:lastRowLastColumn="0"/>
                                  <w:tcW w:w="965" w:type="dxa"/>
                                </w:tcPr>
                                <w:p w14:paraId="3B0DB7D4" w14:textId="14FEFBCB" w:rsidR="00440485" w:rsidRDefault="00440485" w:rsidP="00FF200C">
                                  <w:r w:rsidRPr="00DD7B66">
                                    <w:rPr>
                                      <w:noProof/>
                                    </w:rPr>
                                    <w:drawing>
                                      <wp:inline distT="0" distB="0" distL="0" distR="0" wp14:anchorId="150E635B" wp14:editId="64064DE8">
                                        <wp:extent cx="432000" cy="432000"/>
                                        <wp:effectExtent l="0" t="0" r="0" b="0"/>
                                        <wp:docPr id="565471866" name="Graphic 9" descr="Speaker phone with solid fill">
                                          <a:extLst xmlns:a="http://schemas.openxmlformats.org/drawingml/2006/main">
                                            <a:ext uri="{FF2B5EF4-FFF2-40B4-BE49-F238E27FC236}">
                                              <a16:creationId xmlns:a16="http://schemas.microsoft.com/office/drawing/2014/main" id="{F46A70CC-C84B-EB87-5B46-64F9F67163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Speaker phone with solid fill">
                                                  <a:extLst>
                                                    <a:ext uri="{FF2B5EF4-FFF2-40B4-BE49-F238E27FC236}">
                                                      <a16:creationId xmlns:a16="http://schemas.microsoft.com/office/drawing/2014/main" id="{F46A70CC-C84B-EB87-5B46-64F9F67163D5}"/>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432000" cy="432000"/>
                                                </a:xfrm>
                                                <a:prstGeom prst="rect">
                                                  <a:avLst/>
                                                </a:prstGeom>
                                              </pic:spPr>
                                            </pic:pic>
                                          </a:graphicData>
                                        </a:graphic>
                                      </wp:inline>
                                    </w:drawing>
                                  </w:r>
                                </w:p>
                              </w:tc>
                              <w:tc>
                                <w:tcPr>
                                  <w:tcW w:w="2858" w:type="dxa"/>
                                </w:tcPr>
                                <w:p w14:paraId="6DDF0BCA" w14:textId="2AC0A5AB" w:rsidR="00440485" w:rsidRPr="0058488C" w:rsidRDefault="00440485" w:rsidP="0058488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Information, media and telecommunications</w:t>
                                  </w:r>
                                </w:p>
                              </w:tc>
                              <w:tc>
                                <w:tcPr>
                                  <w:tcW w:w="288" w:type="dxa"/>
                                </w:tcPr>
                                <w:p w14:paraId="1C18D1EF" w14:textId="6E01ADF5" w:rsidR="00440485" w:rsidRDefault="00440485" w:rsidP="00FF200C">
                                  <w:pPr>
                                    <w:cnfStyle w:val="000000000000" w:firstRow="0" w:lastRow="0" w:firstColumn="0" w:lastColumn="0" w:oddVBand="0" w:evenVBand="0" w:oddHBand="0" w:evenHBand="0" w:firstRowFirstColumn="0" w:firstRowLastColumn="0" w:lastRowFirstColumn="0" w:lastRowLastColumn="0"/>
                                  </w:pPr>
                                  <w:r w:rsidRPr="00B100B3">
                                    <w:rPr>
                                      <w:b/>
                                      <w:bCs/>
                                      <w:color w:val="394390" w:themeColor="accent1"/>
                                    </w:rPr>
                                    <w:t>2</w:t>
                                  </w:r>
                                  <w:r w:rsidRPr="00C107C6">
                                    <w:rPr>
                                      <w:b/>
                                      <w:bCs/>
                                      <w:color w:val="394390" w:themeColor="accent1"/>
                                    </w:rPr>
                                    <w:t>0.6</w:t>
                                  </w:r>
                                  <w:r w:rsidRPr="00B100B3">
                                    <w:rPr>
                                      <w:b/>
                                      <w:bCs/>
                                      <w:color w:val="394390" w:themeColor="accent1"/>
                                    </w:rPr>
                                    <w:t>%</w:t>
                                  </w:r>
                                </w:p>
                              </w:tc>
                              <w:tc>
                                <w:tcPr>
                                  <w:tcW w:w="987" w:type="dxa"/>
                                </w:tcPr>
                                <w:p w14:paraId="20D43839" w14:textId="2E9377ED" w:rsidR="00440485" w:rsidRDefault="00DA5394" w:rsidP="00FF200C">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A6C96B0" wp14:editId="62DDC4BD">
                                        <wp:extent cx="432000" cy="432000"/>
                                        <wp:effectExtent l="0" t="0" r="0" b="0"/>
                                        <wp:docPr id="2078461168" name="Graphic 3"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94171" name="Graphic 1886394171" descr="Heart with pulse with solid fill"/>
                                                <pic:cNvPicPr/>
                                              </pic:nvPicPr>
                                              <pic:blipFill>
                                                <a:blip r:embed="rId40">
                                                  <a:extLst>
                                                    <a:ext uri="{96DAC541-7B7A-43D3-8B79-37D633B846F1}">
                                                      <asvg:svgBlip xmlns:asvg="http://schemas.microsoft.com/office/drawing/2016/SVG/main" r:embed="rId41"/>
                                                    </a:ext>
                                                  </a:extLst>
                                                </a:blip>
                                                <a:stretch>
                                                  <a:fillRect/>
                                                </a:stretch>
                                              </pic:blipFill>
                                              <pic:spPr>
                                                <a:xfrm>
                                                  <a:off x="0" y="0"/>
                                                  <a:ext cx="432000" cy="432000"/>
                                                </a:xfrm>
                                                <a:prstGeom prst="rect">
                                                  <a:avLst/>
                                                </a:prstGeom>
                                              </pic:spPr>
                                            </pic:pic>
                                          </a:graphicData>
                                        </a:graphic>
                                      </wp:inline>
                                    </w:drawing>
                                  </w:r>
                                </w:p>
                              </w:tc>
                              <w:tc>
                                <w:tcPr>
                                  <w:tcW w:w="3368" w:type="dxa"/>
                                </w:tcPr>
                                <w:p w14:paraId="24B021F2" w14:textId="5B99A814" w:rsidR="00440485" w:rsidRPr="0058488C" w:rsidRDefault="00EA5B61" w:rsidP="00FF200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Health care and social assistance</w:t>
                                  </w:r>
                                </w:p>
                              </w:tc>
                              <w:tc>
                                <w:tcPr>
                                  <w:tcW w:w="761" w:type="dxa"/>
                                </w:tcPr>
                                <w:p w14:paraId="285877CE" w14:textId="1B0EEDB3" w:rsidR="00440485" w:rsidRDefault="001E4B47"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0.8%</w:t>
                                  </w:r>
                                </w:p>
                              </w:tc>
                            </w:tr>
                            <w:tr w:rsidR="00440485" w14:paraId="03E677AF" w14:textId="2875A213" w:rsidTr="0058488C">
                              <w:tc>
                                <w:tcPr>
                                  <w:cnfStyle w:val="001000000000" w:firstRow="0" w:lastRow="0" w:firstColumn="1" w:lastColumn="0" w:oddVBand="0" w:evenVBand="0" w:oddHBand="0" w:evenHBand="0" w:firstRowFirstColumn="0" w:firstRowLastColumn="0" w:lastRowFirstColumn="0" w:lastRowLastColumn="0"/>
                                  <w:tcW w:w="965" w:type="dxa"/>
                                </w:tcPr>
                                <w:p w14:paraId="4D89D9B5" w14:textId="4C2B2882" w:rsidR="00440485" w:rsidRDefault="00440485" w:rsidP="00FF200C">
                                  <w:r w:rsidRPr="00DD7B66">
                                    <w:rPr>
                                      <w:noProof/>
                                    </w:rPr>
                                    <w:drawing>
                                      <wp:inline distT="0" distB="0" distL="0" distR="0" wp14:anchorId="2EBDDB6B" wp14:editId="449769B1">
                                        <wp:extent cx="432000" cy="432000"/>
                                        <wp:effectExtent l="0" t="0" r="6350" b="6350"/>
                                        <wp:docPr id="539119266" name="Graphic 5" descr="Coins with solid fill">
                                          <a:extLst xmlns:a="http://schemas.openxmlformats.org/drawingml/2006/main">
                                            <a:ext uri="{FF2B5EF4-FFF2-40B4-BE49-F238E27FC236}">
                                              <a16:creationId xmlns:a16="http://schemas.microsoft.com/office/drawing/2014/main" id="{533B2F30-40FC-5E9A-72DB-E794152788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oins with solid fill">
                                                  <a:extLst>
                                                    <a:ext uri="{FF2B5EF4-FFF2-40B4-BE49-F238E27FC236}">
                                                      <a16:creationId xmlns:a16="http://schemas.microsoft.com/office/drawing/2014/main" id="{533B2F30-40FC-5E9A-72DB-E79415278813}"/>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32000" cy="432000"/>
                                                </a:xfrm>
                                                <a:prstGeom prst="rect">
                                                  <a:avLst/>
                                                </a:prstGeom>
                                              </pic:spPr>
                                            </pic:pic>
                                          </a:graphicData>
                                        </a:graphic>
                                      </wp:inline>
                                    </w:drawing>
                                  </w:r>
                                </w:p>
                              </w:tc>
                              <w:tc>
                                <w:tcPr>
                                  <w:tcW w:w="2858" w:type="dxa"/>
                                </w:tcPr>
                                <w:p w14:paraId="59AEA46E" w14:textId="79D690BE" w:rsidR="00440485" w:rsidRPr="0058488C" w:rsidRDefault="00440485" w:rsidP="0058488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Financial and insurance services</w:t>
                                  </w:r>
                                  <w:r w:rsidRPr="0058488C">
                                    <w:rPr>
                                      <w:color w:val="394390" w:themeColor="accent1"/>
                                    </w:rPr>
                                    <w:tab/>
                                  </w:r>
                                </w:p>
                              </w:tc>
                              <w:tc>
                                <w:tcPr>
                                  <w:tcW w:w="288" w:type="dxa"/>
                                </w:tcPr>
                                <w:p w14:paraId="37A2FC80" w14:textId="32EB9996" w:rsidR="00440485" w:rsidRDefault="00440485" w:rsidP="00FF200C">
                                  <w:pPr>
                                    <w:cnfStyle w:val="000000000000" w:firstRow="0" w:lastRow="0" w:firstColumn="0" w:lastColumn="0" w:oddVBand="0" w:evenVBand="0" w:oddHBand="0" w:evenHBand="0" w:firstRowFirstColumn="0" w:firstRowLastColumn="0" w:lastRowFirstColumn="0" w:lastRowLastColumn="0"/>
                                  </w:pPr>
                                  <w:r w:rsidRPr="00B100B3">
                                    <w:rPr>
                                      <w:b/>
                                      <w:bCs/>
                                      <w:color w:val="394390" w:themeColor="accent1"/>
                                    </w:rPr>
                                    <w:t>1</w:t>
                                  </w:r>
                                  <w:r w:rsidRPr="00C107C6">
                                    <w:rPr>
                                      <w:b/>
                                      <w:bCs/>
                                      <w:color w:val="394390" w:themeColor="accent1"/>
                                    </w:rPr>
                                    <w:t>6.9</w:t>
                                  </w:r>
                                  <w:r w:rsidRPr="00B100B3">
                                    <w:rPr>
                                      <w:b/>
                                      <w:bCs/>
                                      <w:color w:val="394390" w:themeColor="accent1"/>
                                    </w:rPr>
                                    <w:t>%</w:t>
                                  </w:r>
                                </w:p>
                              </w:tc>
                              <w:tc>
                                <w:tcPr>
                                  <w:tcW w:w="987" w:type="dxa"/>
                                </w:tcPr>
                                <w:p w14:paraId="1BE6E4DB" w14:textId="452DC5CF" w:rsidR="00440485" w:rsidRDefault="000D20D0" w:rsidP="00FF200C">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80A82ED" wp14:editId="164D60B8">
                                        <wp:extent cx="432000" cy="432000"/>
                                        <wp:effectExtent l="0" t="0" r="6350" b="0"/>
                                        <wp:docPr id="886800421" name="Graphic 4" descr="Factor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54825" name="Graphic 966054825" descr="Factory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432000" cy="432000"/>
                                                </a:xfrm>
                                                <a:prstGeom prst="rect">
                                                  <a:avLst/>
                                                </a:prstGeom>
                                              </pic:spPr>
                                            </pic:pic>
                                          </a:graphicData>
                                        </a:graphic>
                                      </wp:inline>
                                    </w:drawing>
                                  </w:r>
                                </w:p>
                              </w:tc>
                              <w:tc>
                                <w:tcPr>
                                  <w:tcW w:w="3368" w:type="dxa"/>
                                </w:tcPr>
                                <w:p w14:paraId="2F68C073" w14:textId="13B7072C" w:rsidR="00440485" w:rsidRPr="0058488C" w:rsidRDefault="00013CB1" w:rsidP="00FF200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Manufacturing</w:t>
                                  </w:r>
                                  <w:r w:rsidRPr="0058488C">
                                    <w:rPr>
                                      <w:color w:val="394390" w:themeColor="accent1"/>
                                    </w:rPr>
                                    <w:tab/>
                                  </w:r>
                                </w:p>
                              </w:tc>
                              <w:tc>
                                <w:tcPr>
                                  <w:tcW w:w="761" w:type="dxa"/>
                                </w:tcPr>
                                <w:p w14:paraId="43D776F0" w14:textId="6DF5F881" w:rsidR="00440485" w:rsidRDefault="004E1889"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0.4%</w:t>
                                  </w:r>
                                </w:p>
                              </w:tc>
                            </w:tr>
                            <w:tr w:rsidR="00440485" w14:paraId="729323B4" w14:textId="3832404F" w:rsidTr="0058488C">
                              <w:tc>
                                <w:tcPr>
                                  <w:cnfStyle w:val="001000000000" w:firstRow="0" w:lastRow="0" w:firstColumn="1" w:lastColumn="0" w:oddVBand="0" w:evenVBand="0" w:oddHBand="0" w:evenHBand="0" w:firstRowFirstColumn="0" w:firstRowLastColumn="0" w:lastRowFirstColumn="0" w:lastRowLastColumn="0"/>
                                  <w:tcW w:w="965" w:type="dxa"/>
                                </w:tcPr>
                                <w:p w14:paraId="64F25DBF" w14:textId="445C10B6" w:rsidR="00440485" w:rsidRDefault="00440485" w:rsidP="00FF200C">
                                  <w:r w:rsidRPr="00DD7B66">
                                    <w:rPr>
                                      <w:noProof/>
                                    </w:rPr>
                                    <w:drawing>
                                      <wp:inline distT="0" distB="0" distL="0" distR="0" wp14:anchorId="1AF9E398" wp14:editId="7F9D1103">
                                        <wp:extent cx="432000" cy="432000"/>
                                        <wp:effectExtent l="0" t="0" r="6350" b="0"/>
                                        <wp:docPr id="2119809674" name="Graphic 7" descr="Truck with solid fill">
                                          <a:extLst xmlns:a="http://schemas.openxmlformats.org/drawingml/2006/main">
                                            <a:ext uri="{FF2B5EF4-FFF2-40B4-BE49-F238E27FC236}">
                                              <a16:creationId xmlns:a16="http://schemas.microsoft.com/office/drawing/2014/main" id="{BE087BC5-2ABB-AD62-FFBF-1E0184F4D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descr="Truck with solid fill">
                                                  <a:extLst>
                                                    <a:ext uri="{FF2B5EF4-FFF2-40B4-BE49-F238E27FC236}">
                                                      <a16:creationId xmlns:a16="http://schemas.microsoft.com/office/drawing/2014/main" id="{BE087BC5-2ABB-AD62-FFBF-1E0184F4DDFD}"/>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432000" cy="432000"/>
                                                </a:xfrm>
                                                <a:prstGeom prst="rect">
                                                  <a:avLst/>
                                                </a:prstGeom>
                                              </pic:spPr>
                                            </pic:pic>
                                          </a:graphicData>
                                        </a:graphic>
                                      </wp:inline>
                                    </w:drawing>
                                  </w:r>
                                </w:p>
                              </w:tc>
                              <w:tc>
                                <w:tcPr>
                                  <w:tcW w:w="2858" w:type="dxa"/>
                                </w:tcPr>
                                <w:p w14:paraId="3B8A2B0C" w14:textId="2A2ABFE7" w:rsidR="00440485" w:rsidRPr="0058488C" w:rsidRDefault="00440485" w:rsidP="0058488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Transport, postal and warehousing</w:t>
                                  </w:r>
                                  <w:r w:rsidRPr="0058488C">
                                    <w:rPr>
                                      <w:color w:val="394390" w:themeColor="accent1"/>
                                    </w:rPr>
                                    <w:tab/>
                                  </w:r>
                                </w:p>
                              </w:tc>
                              <w:tc>
                                <w:tcPr>
                                  <w:tcW w:w="288" w:type="dxa"/>
                                </w:tcPr>
                                <w:p w14:paraId="6C848155" w14:textId="0ADAE591" w:rsidR="00440485" w:rsidRDefault="00440485"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9.7</w:t>
                                  </w:r>
                                  <w:r w:rsidRPr="00B100B3">
                                    <w:rPr>
                                      <w:b/>
                                      <w:bCs/>
                                      <w:color w:val="394390" w:themeColor="accent1"/>
                                    </w:rPr>
                                    <w:t>%</w:t>
                                  </w:r>
                                </w:p>
                              </w:tc>
                              <w:tc>
                                <w:tcPr>
                                  <w:tcW w:w="987" w:type="dxa"/>
                                </w:tcPr>
                                <w:p w14:paraId="3EA24739" w14:textId="0168972B" w:rsidR="00440485" w:rsidRDefault="00DE215C" w:rsidP="00FF200C">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47BED71" wp14:editId="4150D0F5">
                                        <wp:extent cx="432000" cy="432000"/>
                                        <wp:effectExtent l="0" t="0" r="0" b="6350"/>
                                        <wp:docPr id="1022017489" name="Graphic 5" descr="Construction worker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08700" name="Graphic 1591208700" descr="Construction worker female with solid fill"/>
                                                <pic:cNvPicPr/>
                                              </pic:nvPicPr>
                                              <pic:blipFill>
                                                <a:blip r:embed="rId48">
                                                  <a:extLst>
                                                    <a:ext uri="{96DAC541-7B7A-43D3-8B79-37D633B846F1}">
                                                      <asvg:svgBlip xmlns:asvg="http://schemas.microsoft.com/office/drawing/2016/SVG/main" r:embed="rId49"/>
                                                    </a:ext>
                                                  </a:extLst>
                                                </a:blip>
                                                <a:stretch>
                                                  <a:fillRect/>
                                                </a:stretch>
                                              </pic:blipFill>
                                              <pic:spPr>
                                                <a:xfrm>
                                                  <a:off x="0" y="0"/>
                                                  <a:ext cx="432000" cy="432000"/>
                                                </a:xfrm>
                                                <a:prstGeom prst="rect">
                                                  <a:avLst/>
                                                </a:prstGeom>
                                              </pic:spPr>
                                            </pic:pic>
                                          </a:graphicData>
                                        </a:graphic>
                                      </wp:inline>
                                    </w:drawing>
                                  </w:r>
                                </w:p>
                              </w:tc>
                              <w:tc>
                                <w:tcPr>
                                  <w:tcW w:w="3368" w:type="dxa"/>
                                </w:tcPr>
                                <w:p w14:paraId="4791359F" w14:textId="17862EE1" w:rsidR="00440485" w:rsidRPr="0058488C" w:rsidRDefault="00BE4C94" w:rsidP="00FF200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Construction</w:t>
                                  </w:r>
                                  <w:r w:rsidRPr="0058488C">
                                    <w:rPr>
                                      <w:color w:val="394390" w:themeColor="accent1"/>
                                    </w:rPr>
                                    <w:tab/>
                                  </w:r>
                                </w:p>
                              </w:tc>
                              <w:tc>
                                <w:tcPr>
                                  <w:tcW w:w="761" w:type="dxa"/>
                                </w:tcPr>
                                <w:p w14:paraId="7AD9D76F" w14:textId="764B810D" w:rsidR="00440485" w:rsidRDefault="002A7EF6"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0.4%</w:t>
                                  </w:r>
                                </w:p>
                              </w:tc>
                            </w:tr>
                            <w:tr w:rsidR="00440485" w14:paraId="477D094C" w14:textId="693EAA3D" w:rsidTr="0058488C">
                              <w:tc>
                                <w:tcPr>
                                  <w:cnfStyle w:val="001000000000" w:firstRow="0" w:lastRow="0" w:firstColumn="1" w:lastColumn="0" w:oddVBand="0" w:evenVBand="0" w:oddHBand="0" w:evenHBand="0" w:firstRowFirstColumn="0" w:firstRowLastColumn="0" w:lastRowFirstColumn="0" w:lastRowLastColumn="0"/>
                                  <w:tcW w:w="965" w:type="dxa"/>
                                </w:tcPr>
                                <w:p w14:paraId="2092E7DC" w14:textId="26458DCC" w:rsidR="00440485" w:rsidRDefault="00440485" w:rsidP="00FF200C">
                                  <w:r>
                                    <w:rPr>
                                      <w:noProof/>
                                    </w:rPr>
                                    <w:drawing>
                                      <wp:inline distT="0" distB="0" distL="0" distR="0" wp14:anchorId="555DA074" wp14:editId="03E157B6">
                                        <wp:extent cx="432000" cy="432000"/>
                                        <wp:effectExtent l="0" t="0" r="0" b="6350"/>
                                        <wp:docPr id="1005233360" name="Graphic 1" descr="Lightbulb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63873" name="Graphic 1181063873" descr="Lightbulb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432000" cy="432000"/>
                                                </a:xfrm>
                                                <a:prstGeom prst="rect">
                                                  <a:avLst/>
                                                </a:prstGeom>
                                              </pic:spPr>
                                            </pic:pic>
                                          </a:graphicData>
                                        </a:graphic>
                                      </wp:inline>
                                    </w:drawing>
                                  </w:r>
                                </w:p>
                              </w:tc>
                              <w:tc>
                                <w:tcPr>
                                  <w:tcW w:w="2858" w:type="dxa"/>
                                </w:tcPr>
                                <w:p w14:paraId="11CDB3F8" w14:textId="7850B42B" w:rsidR="00440485" w:rsidRPr="0058488C" w:rsidRDefault="00440485" w:rsidP="0058488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Electricity, gas, water and waste services</w:t>
                                  </w:r>
                                </w:p>
                              </w:tc>
                              <w:tc>
                                <w:tcPr>
                                  <w:tcW w:w="288" w:type="dxa"/>
                                </w:tcPr>
                                <w:p w14:paraId="6F829BB0" w14:textId="41E6AD8E" w:rsidR="00440485" w:rsidRDefault="00440485"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4.3%</w:t>
                                  </w:r>
                                </w:p>
                              </w:tc>
                              <w:tc>
                                <w:tcPr>
                                  <w:tcW w:w="987" w:type="dxa"/>
                                </w:tcPr>
                                <w:p w14:paraId="1B7DE313" w14:textId="2B74F7FF" w:rsidR="00440485" w:rsidRDefault="007F5950" w:rsidP="00FF200C">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15AC81B" wp14:editId="52BB7ED0">
                                        <wp:extent cx="432000" cy="432000"/>
                                        <wp:effectExtent l="0" t="0" r="6350" b="6350"/>
                                        <wp:docPr id="1554242317" name="Graphic 6"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05974" name="Graphic 911805974" descr="Classroom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432000" cy="432000"/>
                                                </a:xfrm>
                                                <a:prstGeom prst="rect">
                                                  <a:avLst/>
                                                </a:prstGeom>
                                              </pic:spPr>
                                            </pic:pic>
                                          </a:graphicData>
                                        </a:graphic>
                                      </wp:inline>
                                    </w:drawing>
                                  </w:r>
                                </w:p>
                              </w:tc>
                              <w:tc>
                                <w:tcPr>
                                  <w:tcW w:w="3368" w:type="dxa"/>
                                </w:tcPr>
                                <w:p w14:paraId="29AAFA49" w14:textId="22A64422" w:rsidR="00440485" w:rsidRPr="0058488C" w:rsidRDefault="006013F4" w:rsidP="00FF200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Education and training</w:t>
                                  </w:r>
                                  <w:r w:rsidRPr="0058488C">
                                    <w:rPr>
                                      <w:color w:val="394390" w:themeColor="accent1"/>
                                    </w:rPr>
                                    <w:tab/>
                                  </w:r>
                                  <w:r w:rsidRPr="0058488C">
                                    <w:rPr>
                                      <w:color w:val="394390" w:themeColor="accent1"/>
                                    </w:rPr>
                                    <w:tab/>
                                  </w:r>
                                </w:p>
                              </w:tc>
                              <w:tc>
                                <w:tcPr>
                                  <w:tcW w:w="761" w:type="dxa"/>
                                </w:tcPr>
                                <w:p w14:paraId="2415CAA4" w14:textId="783D980D" w:rsidR="00440485" w:rsidRDefault="0058488C"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0.2%</w:t>
                                  </w:r>
                                </w:p>
                              </w:tc>
                            </w:tr>
                          </w:tbl>
                          <w:p w14:paraId="78DA4130" w14:textId="77777777" w:rsidR="00FF200C" w:rsidRDefault="00FF200C" w:rsidP="00FF20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648E7" id="_x0000_s1036" type="#_x0000_t202" alt="&quot;&quot;" style="position:absolute;margin-left:0;margin-top:.35pt;width:476.2pt;height:235.5pt;z-index:-2516581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" fillcolor="white [3201]" strokecolor="#009b9f [3214]" strokeweight=".5pt">
                <v:textbox>
                  <w:txbxContent>
                    <w:tbl>
                      <w:tblPr>
                        <w:tblStyle w:val="GridTable1Light-Accent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
                        <w:gridCol w:w="2727"/>
                        <w:gridCol w:w="820"/>
                        <w:gridCol w:w="971"/>
                        <w:gridCol w:w="3020"/>
                        <w:gridCol w:w="750"/>
                      </w:tblGrid>
                      <w:tr w:rsidR="00440485" w14:paraId="0A90BE3E" w14:textId="7FABFFF0" w:rsidTr="00E963D8">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65" w:type="dxa"/>
                            <w:tcBorders>
                              <w:bottom w:val="none" w:sz="0" w:space="0" w:color="auto"/>
                            </w:tcBorders>
                          </w:tcPr>
                          <w:p w14:paraId="2959D771" w14:textId="38F329D9" w:rsidR="00440485" w:rsidRPr="00372C58" w:rsidRDefault="00440485" w:rsidP="00FF200C">
                            <w:pPr>
                              <w:rPr>
                                <w:noProof/>
                                <w:sz w:val="20"/>
                                <w:szCs w:val="20"/>
                              </w:rPr>
                            </w:pPr>
                            <w:r w:rsidRPr="00372C58">
                              <w:rPr>
                                <w:noProof/>
                                <w:sz w:val="20"/>
                                <w:szCs w:val="20"/>
                              </w:rPr>
                              <w:drawing>
                                <wp:inline distT="0" distB="0" distL="0" distR="0" wp14:anchorId="63994132" wp14:editId="4516993F">
                                  <wp:extent cx="432000" cy="432000"/>
                                  <wp:effectExtent l="0" t="0" r="0" b="6350"/>
                                  <wp:docPr id="1323414602" name="Content Placeholder 4" descr="Building with solid fill">
                                    <a:extLst xmlns:a="http://schemas.openxmlformats.org/drawingml/2006/main">
                                      <a:ext uri="{FF2B5EF4-FFF2-40B4-BE49-F238E27FC236}">
                                        <a16:creationId xmlns:a16="http://schemas.microsoft.com/office/drawing/2014/main" id="{57626ABB-C598-D104-8A02-A4BF7F1A76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descr="Building with solid fill">
                                            <a:extLst>
                                              <a:ext uri="{FF2B5EF4-FFF2-40B4-BE49-F238E27FC236}">
                                                <a16:creationId xmlns:a16="http://schemas.microsoft.com/office/drawing/2014/main" id="{57626ABB-C598-D104-8A02-A4BF7F1A760B}"/>
                                              </a:ext>
                                            </a:extLst>
                                          </pic:cNvPr>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432000" cy="432000"/>
                                          </a:xfrm>
                                          <a:prstGeom prst="rect">
                                            <a:avLst/>
                                          </a:prstGeom>
                                        </pic:spPr>
                                      </pic:pic>
                                    </a:graphicData>
                                  </a:graphic>
                                </wp:inline>
                              </w:drawing>
                            </w:r>
                          </w:p>
                        </w:tc>
                        <w:tc>
                          <w:tcPr>
                            <w:tcW w:w="2858" w:type="dxa"/>
                            <w:tcBorders>
                              <w:bottom w:val="none" w:sz="0" w:space="0" w:color="auto"/>
                            </w:tcBorders>
                          </w:tcPr>
                          <w:p w14:paraId="659F2F93" w14:textId="1625F042" w:rsidR="00440485" w:rsidRPr="0058488C" w:rsidRDefault="00440485" w:rsidP="0058488C">
                            <w:pPr>
                              <w:cnfStyle w:val="100000000000" w:firstRow="1" w:lastRow="0" w:firstColumn="0" w:lastColumn="0" w:oddVBand="0" w:evenVBand="0" w:oddHBand="0" w:evenHBand="0" w:firstRowFirstColumn="0" w:firstRowLastColumn="0" w:lastRowFirstColumn="0" w:lastRowLastColumn="0"/>
                              <w:rPr>
                                <w:b w:val="0"/>
                                <w:bCs w:val="0"/>
                                <w:color w:val="394390" w:themeColor="accent1"/>
                              </w:rPr>
                            </w:pPr>
                            <w:r w:rsidRPr="0058488C">
                              <w:rPr>
                                <w:b w:val="0"/>
                                <w:bCs w:val="0"/>
                                <w:color w:val="394390" w:themeColor="accent1"/>
                              </w:rPr>
                              <w:t>Public administration and safety</w:t>
                            </w:r>
                            <w:r w:rsidRPr="0058488C">
                              <w:rPr>
                                <w:b w:val="0"/>
                                <w:bCs w:val="0"/>
                                <w:color w:val="394390" w:themeColor="accent1"/>
                              </w:rPr>
                              <w:tab/>
                            </w:r>
                          </w:p>
                        </w:tc>
                        <w:tc>
                          <w:tcPr>
                            <w:tcW w:w="288" w:type="dxa"/>
                            <w:tcBorders>
                              <w:bottom w:val="none" w:sz="0" w:space="0" w:color="auto"/>
                            </w:tcBorders>
                          </w:tcPr>
                          <w:p w14:paraId="0E117E4A" w14:textId="19DFC538" w:rsidR="00440485" w:rsidRDefault="00440485" w:rsidP="00FF200C">
                            <w:pPr>
                              <w:cnfStyle w:val="100000000000" w:firstRow="1" w:lastRow="0" w:firstColumn="0" w:lastColumn="0" w:oddVBand="0" w:evenVBand="0" w:oddHBand="0" w:evenHBand="0" w:firstRowFirstColumn="0" w:firstRowLastColumn="0" w:lastRowFirstColumn="0" w:lastRowLastColumn="0"/>
                            </w:pPr>
                            <w:r w:rsidRPr="00372C58">
                              <w:rPr>
                                <w:color w:val="394390" w:themeColor="accent1"/>
                                <w:sz w:val="20"/>
                                <w:szCs w:val="20"/>
                              </w:rPr>
                              <w:t>21.5%</w:t>
                            </w:r>
                          </w:p>
                        </w:tc>
                        <w:tc>
                          <w:tcPr>
                            <w:tcW w:w="987" w:type="dxa"/>
                            <w:tcBorders>
                              <w:bottom w:val="none" w:sz="0" w:space="0" w:color="auto"/>
                            </w:tcBorders>
                          </w:tcPr>
                          <w:p w14:paraId="26F11A75" w14:textId="1C2F72B3" w:rsidR="00440485" w:rsidRDefault="00440485" w:rsidP="00FF200C">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34FEEC7" wp14:editId="0C883983">
                                  <wp:extent cx="432000" cy="432000"/>
                                  <wp:effectExtent l="0" t="0" r="6350" b="6350"/>
                                  <wp:docPr id="1227181644" name="Graphic 2"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88740" name="Graphic 1532488740" descr="Blueprint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432000" cy="432000"/>
                                          </a:xfrm>
                                          <a:prstGeom prst="rect">
                                            <a:avLst/>
                                          </a:prstGeom>
                                        </pic:spPr>
                                      </pic:pic>
                                    </a:graphicData>
                                  </a:graphic>
                                </wp:inline>
                              </w:drawing>
                            </w:r>
                          </w:p>
                        </w:tc>
                        <w:tc>
                          <w:tcPr>
                            <w:tcW w:w="3368" w:type="dxa"/>
                            <w:tcBorders>
                              <w:bottom w:val="none" w:sz="0" w:space="0" w:color="auto"/>
                            </w:tcBorders>
                          </w:tcPr>
                          <w:p w14:paraId="05EDC49B" w14:textId="0FEC9B07" w:rsidR="00440485" w:rsidRPr="00C107C6" w:rsidRDefault="00430569" w:rsidP="00FF200C">
                            <w:pPr>
                              <w:cnfStyle w:val="100000000000" w:firstRow="1" w:lastRow="0" w:firstColumn="0" w:lastColumn="0" w:oddVBand="0" w:evenVBand="0" w:oddHBand="0" w:evenHBand="0" w:firstRowFirstColumn="0" w:firstRowLastColumn="0" w:lastRowFirstColumn="0" w:lastRowLastColumn="0"/>
                              <w:rPr>
                                <w:b w:val="0"/>
                                <w:bCs w:val="0"/>
                                <w:color w:val="394390" w:themeColor="accent1"/>
                              </w:rPr>
                            </w:pPr>
                            <w:r w:rsidRPr="00430569">
                              <w:rPr>
                                <w:b w:val="0"/>
                                <w:bCs w:val="0"/>
                                <w:color w:val="394390" w:themeColor="accent1"/>
                              </w:rPr>
                              <w:t>Professional, scientific and technical services</w:t>
                            </w:r>
                          </w:p>
                        </w:tc>
                        <w:tc>
                          <w:tcPr>
                            <w:tcW w:w="761" w:type="dxa"/>
                            <w:tcBorders>
                              <w:bottom w:val="none" w:sz="0" w:space="0" w:color="auto"/>
                            </w:tcBorders>
                          </w:tcPr>
                          <w:p w14:paraId="04869B38" w14:textId="7F980466" w:rsidR="00440485" w:rsidRDefault="00440485" w:rsidP="00FF200C">
                            <w:pPr>
                              <w:cnfStyle w:val="100000000000" w:firstRow="1" w:lastRow="0" w:firstColumn="0" w:lastColumn="0" w:oddVBand="0" w:evenVBand="0" w:oddHBand="0" w:evenHBand="0" w:firstRowFirstColumn="0" w:firstRowLastColumn="0" w:lastRowFirstColumn="0" w:lastRowLastColumn="0"/>
                            </w:pPr>
                            <w:r w:rsidRPr="00C107C6">
                              <w:rPr>
                                <w:color w:val="394390" w:themeColor="accent1"/>
                              </w:rPr>
                              <w:t>1.3%</w:t>
                            </w:r>
                          </w:p>
                        </w:tc>
                      </w:tr>
                      <w:tr w:rsidR="00440485" w14:paraId="087DB5A8" w14:textId="06ACA592" w:rsidTr="0058488C">
                        <w:tc>
                          <w:tcPr>
                            <w:cnfStyle w:val="001000000000" w:firstRow="0" w:lastRow="0" w:firstColumn="1" w:lastColumn="0" w:oddVBand="0" w:evenVBand="0" w:oddHBand="0" w:evenHBand="0" w:firstRowFirstColumn="0" w:firstRowLastColumn="0" w:lastRowFirstColumn="0" w:lastRowLastColumn="0"/>
                            <w:tcW w:w="965" w:type="dxa"/>
                          </w:tcPr>
                          <w:p w14:paraId="3B0DB7D4" w14:textId="14FEFBCB" w:rsidR="00440485" w:rsidRDefault="00440485" w:rsidP="00FF200C">
                            <w:r w:rsidRPr="00DD7B66">
                              <w:rPr>
                                <w:noProof/>
                              </w:rPr>
                              <w:drawing>
                                <wp:inline distT="0" distB="0" distL="0" distR="0" wp14:anchorId="150E635B" wp14:editId="64064DE8">
                                  <wp:extent cx="432000" cy="432000"/>
                                  <wp:effectExtent l="0" t="0" r="0" b="0"/>
                                  <wp:docPr id="565471866" name="Graphic 9" descr="Speaker phone with solid fill">
                                    <a:extLst xmlns:a="http://schemas.openxmlformats.org/drawingml/2006/main">
                                      <a:ext uri="{FF2B5EF4-FFF2-40B4-BE49-F238E27FC236}">
                                        <a16:creationId xmlns:a16="http://schemas.microsoft.com/office/drawing/2014/main" id="{F46A70CC-C84B-EB87-5B46-64F9F67163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Speaker phone with solid fill">
                                            <a:extLst>
                                              <a:ext uri="{FF2B5EF4-FFF2-40B4-BE49-F238E27FC236}">
                                                <a16:creationId xmlns:a16="http://schemas.microsoft.com/office/drawing/2014/main" id="{F46A70CC-C84B-EB87-5B46-64F9F67163D5}"/>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432000" cy="432000"/>
                                          </a:xfrm>
                                          <a:prstGeom prst="rect">
                                            <a:avLst/>
                                          </a:prstGeom>
                                        </pic:spPr>
                                      </pic:pic>
                                    </a:graphicData>
                                  </a:graphic>
                                </wp:inline>
                              </w:drawing>
                            </w:r>
                          </w:p>
                        </w:tc>
                        <w:tc>
                          <w:tcPr>
                            <w:tcW w:w="2858" w:type="dxa"/>
                          </w:tcPr>
                          <w:p w14:paraId="6DDF0BCA" w14:textId="2AC0A5AB" w:rsidR="00440485" w:rsidRPr="0058488C" w:rsidRDefault="00440485" w:rsidP="0058488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Information, media and telecommunications</w:t>
                            </w:r>
                          </w:p>
                        </w:tc>
                        <w:tc>
                          <w:tcPr>
                            <w:tcW w:w="288" w:type="dxa"/>
                          </w:tcPr>
                          <w:p w14:paraId="1C18D1EF" w14:textId="6E01ADF5" w:rsidR="00440485" w:rsidRDefault="00440485" w:rsidP="00FF200C">
                            <w:pPr>
                              <w:cnfStyle w:val="000000000000" w:firstRow="0" w:lastRow="0" w:firstColumn="0" w:lastColumn="0" w:oddVBand="0" w:evenVBand="0" w:oddHBand="0" w:evenHBand="0" w:firstRowFirstColumn="0" w:firstRowLastColumn="0" w:lastRowFirstColumn="0" w:lastRowLastColumn="0"/>
                            </w:pPr>
                            <w:r w:rsidRPr="00B100B3">
                              <w:rPr>
                                <w:b/>
                                <w:bCs/>
                                <w:color w:val="394390" w:themeColor="accent1"/>
                              </w:rPr>
                              <w:t>2</w:t>
                            </w:r>
                            <w:r w:rsidRPr="00C107C6">
                              <w:rPr>
                                <w:b/>
                                <w:bCs/>
                                <w:color w:val="394390" w:themeColor="accent1"/>
                              </w:rPr>
                              <w:t>0.6</w:t>
                            </w:r>
                            <w:r w:rsidRPr="00B100B3">
                              <w:rPr>
                                <w:b/>
                                <w:bCs/>
                                <w:color w:val="394390" w:themeColor="accent1"/>
                              </w:rPr>
                              <w:t>%</w:t>
                            </w:r>
                          </w:p>
                        </w:tc>
                        <w:tc>
                          <w:tcPr>
                            <w:tcW w:w="987" w:type="dxa"/>
                          </w:tcPr>
                          <w:p w14:paraId="20D43839" w14:textId="2E9377ED" w:rsidR="00440485" w:rsidRDefault="00DA5394" w:rsidP="00FF200C">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A6C96B0" wp14:editId="62DDC4BD">
                                  <wp:extent cx="432000" cy="432000"/>
                                  <wp:effectExtent l="0" t="0" r="0" b="0"/>
                                  <wp:docPr id="2078461168" name="Graphic 3"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94171" name="Graphic 1886394171" descr="Heart with pulse with solid fill"/>
                                          <pic:cNvPicPr/>
                                        </pic:nvPicPr>
                                        <pic:blipFill>
                                          <a:blip r:embed="rId40">
                                            <a:extLst>
                                              <a:ext uri="{96DAC541-7B7A-43D3-8B79-37D633B846F1}">
                                                <asvg:svgBlip xmlns:asvg="http://schemas.microsoft.com/office/drawing/2016/SVG/main" r:embed="rId41"/>
                                              </a:ext>
                                            </a:extLst>
                                          </a:blip>
                                          <a:stretch>
                                            <a:fillRect/>
                                          </a:stretch>
                                        </pic:blipFill>
                                        <pic:spPr>
                                          <a:xfrm>
                                            <a:off x="0" y="0"/>
                                            <a:ext cx="432000" cy="432000"/>
                                          </a:xfrm>
                                          <a:prstGeom prst="rect">
                                            <a:avLst/>
                                          </a:prstGeom>
                                        </pic:spPr>
                                      </pic:pic>
                                    </a:graphicData>
                                  </a:graphic>
                                </wp:inline>
                              </w:drawing>
                            </w:r>
                          </w:p>
                        </w:tc>
                        <w:tc>
                          <w:tcPr>
                            <w:tcW w:w="3368" w:type="dxa"/>
                          </w:tcPr>
                          <w:p w14:paraId="24B021F2" w14:textId="5B99A814" w:rsidR="00440485" w:rsidRPr="0058488C" w:rsidRDefault="00EA5B61" w:rsidP="00FF200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Health care and social assistance</w:t>
                            </w:r>
                          </w:p>
                        </w:tc>
                        <w:tc>
                          <w:tcPr>
                            <w:tcW w:w="761" w:type="dxa"/>
                          </w:tcPr>
                          <w:p w14:paraId="285877CE" w14:textId="1B0EEDB3" w:rsidR="00440485" w:rsidRDefault="001E4B47"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0.8%</w:t>
                            </w:r>
                          </w:p>
                        </w:tc>
                      </w:tr>
                      <w:tr w:rsidR="00440485" w14:paraId="03E677AF" w14:textId="2875A213" w:rsidTr="0058488C">
                        <w:tc>
                          <w:tcPr>
                            <w:cnfStyle w:val="001000000000" w:firstRow="0" w:lastRow="0" w:firstColumn="1" w:lastColumn="0" w:oddVBand="0" w:evenVBand="0" w:oddHBand="0" w:evenHBand="0" w:firstRowFirstColumn="0" w:firstRowLastColumn="0" w:lastRowFirstColumn="0" w:lastRowLastColumn="0"/>
                            <w:tcW w:w="965" w:type="dxa"/>
                          </w:tcPr>
                          <w:p w14:paraId="4D89D9B5" w14:textId="4C2B2882" w:rsidR="00440485" w:rsidRDefault="00440485" w:rsidP="00FF200C">
                            <w:r w:rsidRPr="00DD7B66">
                              <w:rPr>
                                <w:noProof/>
                              </w:rPr>
                              <w:drawing>
                                <wp:inline distT="0" distB="0" distL="0" distR="0" wp14:anchorId="2EBDDB6B" wp14:editId="449769B1">
                                  <wp:extent cx="432000" cy="432000"/>
                                  <wp:effectExtent l="0" t="0" r="6350" b="6350"/>
                                  <wp:docPr id="539119266" name="Graphic 5" descr="Coins with solid fill">
                                    <a:extLst xmlns:a="http://schemas.openxmlformats.org/drawingml/2006/main">
                                      <a:ext uri="{FF2B5EF4-FFF2-40B4-BE49-F238E27FC236}">
                                        <a16:creationId xmlns:a16="http://schemas.microsoft.com/office/drawing/2014/main" id="{533B2F30-40FC-5E9A-72DB-E794152788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oins with solid fill">
                                            <a:extLst>
                                              <a:ext uri="{FF2B5EF4-FFF2-40B4-BE49-F238E27FC236}">
                                                <a16:creationId xmlns:a16="http://schemas.microsoft.com/office/drawing/2014/main" id="{533B2F30-40FC-5E9A-72DB-E79415278813}"/>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32000" cy="432000"/>
                                          </a:xfrm>
                                          <a:prstGeom prst="rect">
                                            <a:avLst/>
                                          </a:prstGeom>
                                        </pic:spPr>
                                      </pic:pic>
                                    </a:graphicData>
                                  </a:graphic>
                                </wp:inline>
                              </w:drawing>
                            </w:r>
                          </w:p>
                        </w:tc>
                        <w:tc>
                          <w:tcPr>
                            <w:tcW w:w="2858" w:type="dxa"/>
                          </w:tcPr>
                          <w:p w14:paraId="59AEA46E" w14:textId="79D690BE" w:rsidR="00440485" w:rsidRPr="0058488C" w:rsidRDefault="00440485" w:rsidP="0058488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Financial and insurance services</w:t>
                            </w:r>
                            <w:r w:rsidRPr="0058488C">
                              <w:rPr>
                                <w:color w:val="394390" w:themeColor="accent1"/>
                              </w:rPr>
                              <w:tab/>
                            </w:r>
                          </w:p>
                        </w:tc>
                        <w:tc>
                          <w:tcPr>
                            <w:tcW w:w="288" w:type="dxa"/>
                          </w:tcPr>
                          <w:p w14:paraId="37A2FC80" w14:textId="32EB9996" w:rsidR="00440485" w:rsidRDefault="00440485" w:rsidP="00FF200C">
                            <w:pPr>
                              <w:cnfStyle w:val="000000000000" w:firstRow="0" w:lastRow="0" w:firstColumn="0" w:lastColumn="0" w:oddVBand="0" w:evenVBand="0" w:oddHBand="0" w:evenHBand="0" w:firstRowFirstColumn="0" w:firstRowLastColumn="0" w:lastRowFirstColumn="0" w:lastRowLastColumn="0"/>
                            </w:pPr>
                            <w:r w:rsidRPr="00B100B3">
                              <w:rPr>
                                <w:b/>
                                <w:bCs/>
                                <w:color w:val="394390" w:themeColor="accent1"/>
                              </w:rPr>
                              <w:t>1</w:t>
                            </w:r>
                            <w:r w:rsidRPr="00C107C6">
                              <w:rPr>
                                <w:b/>
                                <w:bCs/>
                                <w:color w:val="394390" w:themeColor="accent1"/>
                              </w:rPr>
                              <w:t>6.9</w:t>
                            </w:r>
                            <w:r w:rsidRPr="00B100B3">
                              <w:rPr>
                                <w:b/>
                                <w:bCs/>
                                <w:color w:val="394390" w:themeColor="accent1"/>
                              </w:rPr>
                              <w:t>%</w:t>
                            </w:r>
                          </w:p>
                        </w:tc>
                        <w:tc>
                          <w:tcPr>
                            <w:tcW w:w="987" w:type="dxa"/>
                          </w:tcPr>
                          <w:p w14:paraId="1BE6E4DB" w14:textId="452DC5CF" w:rsidR="00440485" w:rsidRDefault="000D20D0" w:rsidP="00FF200C">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80A82ED" wp14:editId="164D60B8">
                                  <wp:extent cx="432000" cy="432000"/>
                                  <wp:effectExtent l="0" t="0" r="6350" b="0"/>
                                  <wp:docPr id="886800421" name="Graphic 4" descr="Factor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54825" name="Graphic 966054825" descr="Factory with solid fill"/>
                                          <pic:cNvPicPr/>
                                        </pic:nvPicPr>
                                        <pic:blipFill>
                                          <a:blip r:embed="rId44">
                                            <a:extLst>
                                              <a:ext uri="{96DAC541-7B7A-43D3-8B79-37D633B846F1}">
                                                <asvg:svgBlip xmlns:asvg="http://schemas.microsoft.com/office/drawing/2016/SVG/main" r:embed="rId45"/>
                                              </a:ext>
                                            </a:extLst>
                                          </a:blip>
                                          <a:stretch>
                                            <a:fillRect/>
                                          </a:stretch>
                                        </pic:blipFill>
                                        <pic:spPr>
                                          <a:xfrm>
                                            <a:off x="0" y="0"/>
                                            <a:ext cx="432000" cy="432000"/>
                                          </a:xfrm>
                                          <a:prstGeom prst="rect">
                                            <a:avLst/>
                                          </a:prstGeom>
                                        </pic:spPr>
                                      </pic:pic>
                                    </a:graphicData>
                                  </a:graphic>
                                </wp:inline>
                              </w:drawing>
                            </w:r>
                          </w:p>
                        </w:tc>
                        <w:tc>
                          <w:tcPr>
                            <w:tcW w:w="3368" w:type="dxa"/>
                          </w:tcPr>
                          <w:p w14:paraId="2F68C073" w14:textId="13B7072C" w:rsidR="00440485" w:rsidRPr="0058488C" w:rsidRDefault="00013CB1" w:rsidP="00FF200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Manufacturing</w:t>
                            </w:r>
                            <w:r w:rsidRPr="0058488C">
                              <w:rPr>
                                <w:color w:val="394390" w:themeColor="accent1"/>
                              </w:rPr>
                              <w:tab/>
                            </w:r>
                          </w:p>
                        </w:tc>
                        <w:tc>
                          <w:tcPr>
                            <w:tcW w:w="761" w:type="dxa"/>
                          </w:tcPr>
                          <w:p w14:paraId="43D776F0" w14:textId="6DF5F881" w:rsidR="00440485" w:rsidRDefault="004E1889"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0.4%</w:t>
                            </w:r>
                          </w:p>
                        </w:tc>
                      </w:tr>
                      <w:tr w:rsidR="00440485" w14:paraId="729323B4" w14:textId="3832404F" w:rsidTr="0058488C">
                        <w:tc>
                          <w:tcPr>
                            <w:cnfStyle w:val="001000000000" w:firstRow="0" w:lastRow="0" w:firstColumn="1" w:lastColumn="0" w:oddVBand="0" w:evenVBand="0" w:oddHBand="0" w:evenHBand="0" w:firstRowFirstColumn="0" w:firstRowLastColumn="0" w:lastRowFirstColumn="0" w:lastRowLastColumn="0"/>
                            <w:tcW w:w="965" w:type="dxa"/>
                          </w:tcPr>
                          <w:p w14:paraId="64F25DBF" w14:textId="445C10B6" w:rsidR="00440485" w:rsidRDefault="00440485" w:rsidP="00FF200C">
                            <w:r w:rsidRPr="00DD7B66">
                              <w:rPr>
                                <w:noProof/>
                              </w:rPr>
                              <w:drawing>
                                <wp:inline distT="0" distB="0" distL="0" distR="0" wp14:anchorId="1AF9E398" wp14:editId="7F9D1103">
                                  <wp:extent cx="432000" cy="432000"/>
                                  <wp:effectExtent l="0" t="0" r="6350" b="0"/>
                                  <wp:docPr id="2119809674" name="Graphic 7" descr="Truck with solid fill">
                                    <a:extLst xmlns:a="http://schemas.openxmlformats.org/drawingml/2006/main">
                                      <a:ext uri="{FF2B5EF4-FFF2-40B4-BE49-F238E27FC236}">
                                        <a16:creationId xmlns:a16="http://schemas.microsoft.com/office/drawing/2014/main" id="{BE087BC5-2ABB-AD62-FFBF-1E0184F4D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descr="Truck with solid fill">
                                            <a:extLst>
                                              <a:ext uri="{FF2B5EF4-FFF2-40B4-BE49-F238E27FC236}">
                                                <a16:creationId xmlns:a16="http://schemas.microsoft.com/office/drawing/2014/main" id="{BE087BC5-2ABB-AD62-FFBF-1E0184F4DDFD}"/>
                                              </a:ext>
                                            </a:extLst>
                                          </pic:cNvPr>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432000" cy="432000"/>
                                          </a:xfrm>
                                          <a:prstGeom prst="rect">
                                            <a:avLst/>
                                          </a:prstGeom>
                                        </pic:spPr>
                                      </pic:pic>
                                    </a:graphicData>
                                  </a:graphic>
                                </wp:inline>
                              </w:drawing>
                            </w:r>
                          </w:p>
                        </w:tc>
                        <w:tc>
                          <w:tcPr>
                            <w:tcW w:w="2858" w:type="dxa"/>
                          </w:tcPr>
                          <w:p w14:paraId="3B8A2B0C" w14:textId="2A2ABFE7" w:rsidR="00440485" w:rsidRPr="0058488C" w:rsidRDefault="00440485" w:rsidP="0058488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Transport, postal and warehousing</w:t>
                            </w:r>
                            <w:r w:rsidRPr="0058488C">
                              <w:rPr>
                                <w:color w:val="394390" w:themeColor="accent1"/>
                              </w:rPr>
                              <w:tab/>
                            </w:r>
                          </w:p>
                        </w:tc>
                        <w:tc>
                          <w:tcPr>
                            <w:tcW w:w="288" w:type="dxa"/>
                          </w:tcPr>
                          <w:p w14:paraId="6C848155" w14:textId="0ADAE591" w:rsidR="00440485" w:rsidRDefault="00440485"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9.7</w:t>
                            </w:r>
                            <w:r w:rsidRPr="00B100B3">
                              <w:rPr>
                                <w:b/>
                                <w:bCs/>
                                <w:color w:val="394390" w:themeColor="accent1"/>
                              </w:rPr>
                              <w:t>%</w:t>
                            </w:r>
                          </w:p>
                        </w:tc>
                        <w:tc>
                          <w:tcPr>
                            <w:tcW w:w="987" w:type="dxa"/>
                          </w:tcPr>
                          <w:p w14:paraId="3EA24739" w14:textId="0168972B" w:rsidR="00440485" w:rsidRDefault="00DE215C" w:rsidP="00FF200C">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47BED71" wp14:editId="4150D0F5">
                                  <wp:extent cx="432000" cy="432000"/>
                                  <wp:effectExtent l="0" t="0" r="0" b="6350"/>
                                  <wp:docPr id="1022017489" name="Graphic 5" descr="Construction worker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08700" name="Graphic 1591208700" descr="Construction worker female with solid fill"/>
                                          <pic:cNvPicPr/>
                                        </pic:nvPicPr>
                                        <pic:blipFill>
                                          <a:blip r:embed="rId48">
                                            <a:extLst>
                                              <a:ext uri="{96DAC541-7B7A-43D3-8B79-37D633B846F1}">
                                                <asvg:svgBlip xmlns:asvg="http://schemas.microsoft.com/office/drawing/2016/SVG/main" r:embed="rId49"/>
                                              </a:ext>
                                            </a:extLst>
                                          </a:blip>
                                          <a:stretch>
                                            <a:fillRect/>
                                          </a:stretch>
                                        </pic:blipFill>
                                        <pic:spPr>
                                          <a:xfrm>
                                            <a:off x="0" y="0"/>
                                            <a:ext cx="432000" cy="432000"/>
                                          </a:xfrm>
                                          <a:prstGeom prst="rect">
                                            <a:avLst/>
                                          </a:prstGeom>
                                        </pic:spPr>
                                      </pic:pic>
                                    </a:graphicData>
                                  </a:graphic>
                                </wp:inline>
                              </w:drawing>
                            </w:r>
                          </w:p>
                        </w:tc>
                        <w:tc>
                          <w:tcPr>
                            <w:tcW w:w="3368" w:type="dxa"/>
                          </w:tcPr>
                          <w:p w14:paraId="4791359F" w14:textId="17862EE1" w:rsidR="00440485" w:rsidRPr="0058488C" w:rsidRDefault="00BE4C94" w:rsidP="00FF200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Construction</w:t>
                            </w:r>
                            <w:r w:rsidRPr="0058488C">
                              <w:rPr>
                                <w:color w:val="394390" w:themeColor="accent1"/>
                              </w:rPr>
                              <w:tab/>
                            </w:r>
                          </w:p>
                        </w:tc>
                        <w:tc>
                          <w:tcPr>
                            <w:tcW w:w="761" w:type="dxa"/>
                          </w:tcPr>
                          <w:p w14:paraId="7AD9D76F" w14:textId="764B810D" w:rsidR="00440485" w:rsidRDefault="002A7EF6"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0.4%</w:t>
                            </w:r>
                          </w:p>
                        </w:tc>
                      </w:tr>
                      <w:tr w:rsidR="00440485" w14:paraId="477D094C" w14:textId="693EAA3D" w:rsidTr="0058488C">
                        <w:tc>
                          <w:tcPr>
                            <w:cnfStyle w:val="001000000000" w:firstRow="0" w:lastRow="0" w:firstColumn="1" w:lastColumn="0" w:oddVBand="0" w:evenVBand="0" w:oddHBand="0" w:evenHBand="0" w:firstRowFirstColumn="0" w:firstRowLastColumn="0" w:lastRowFirstColumn="0" w:lastRowLastColumn="0"/>
                            <w:tcW w:w="965" w:type="dxa"/>
                          </w:tcPr>
                          <w:p w14:paraId="2092E7DC" w14:textId="26458DCC" w:rsidR="00440485" w:rsidRDefault="00440485" w:rsidP="00FF200C">
                            <w:r>
                              <w:rPr>
                                <w:noProof/>
                              </w:rPr>
                              <w:drawing>
                                <wp:inline distT="0" distB="0" distL="0" distR="0" wp14:anchorId="555DA074" wp14:editId="03E157B6">
                                  <wp:extent cx="432000" cy="432000"/>
                                  <wp:effectExtent l="0" t="0" r="0" b="6350"/>
                                  <wp:docPr id="1005233360" name="Graphic 1" descr="Lightbulb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63873" name="Graphic 1181063873" descr="Lightbulb with solid fill"/>
                                          <pic:cNvPicPr/>
                                        </pic:nvPicPr>
                                        <pic:blipFill>
                                          <a:blip r:embed="rId50">
                                            <a:extLst>
                                              <a:ext uri="{96DAC541-7B7A-43D3-8B79-37D633B846F1}">
                                                <asvg:svgBlip xmlns:asvg="http://schemas.microsoft.com/office/drawing/2016/SVG/main" r:embed="rId51"/>
                                              </a:ext>
                                            </a:extLst>
                                          </a:blip>
                                          <a:stretch>
                                            <a:fillRect/>
                                          </a:stretch>
                                        </pic:blipFill>
                                        <pic:spPr>
                                          <a:xfrm>
                                            <a:off x="0" y="0"/>
                                            <a:ext cx="432000" cy="432000"/>
                                          </a:xfrm>
                                          <a:prstGeom prst="rect">
                                            <a:avLst/>
                                          </a:prstGeom>
                                        </pic:spPr>
                                      </pic:pic>
                                    </a:graphicData>
                                  </a:graphic>
                                </wp:inline>
                              </w:drawing>
                            </w:r>
                          </w:p>
                        </w:tc>
                        <w:tc>
                          <w:tcPr>
                            <w:tcW w:w="2858" w:type="dxa"/>
                          </w:tcPr>
                          <w:p w14:paraId="11CDB3F8" w14:textId="7850B42B" w:rsidR="00440485" w:rsidRPr="0058488C" w:rsidRDefault="00440485" w:rsidP="0058488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Electricity, gas, water and waste services</w:t>
                            </w:r>
                          </w:p>
                        </w:tc>
                        <w:tc>
                          <w:tcPr>
                            <w:tcW w:w="288" w:type="dxa"/>
                          </w:tcPr>
                          <w:p w14:paraId="6F829BB0" w14:textId="41E6AD8E" w:rsidR="00440485" w:rsidRDefault="00440485"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4.3%</w:t>
                            </w:r>
                          </w:p>
                        </w:tc>
                        <w:tc>
                          <w:tcPr>
                            <w:tcW w:w="987" w:type="dxa"/>
                          </w:tcPr>
                          <w:p w14:paraId="1B7DE313" w14:textId="2B74F7FF" w:rsidR="00440485" w:rsidRDefault="007F5950" w:rsidP="00FF200C">
                            <w:pP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15AC81B" wp14:editId="52BB7ED0">
                                  <wp:extent cx="432000" cy="432000"/>
                                  <wp:effectExtent l="0" t="0" r="6350" b="6350"/>
                                  <wp:docPr id="1554242317" name="Graphic 6"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05974" name="Graphic 911805974" descr="Classroom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432000" cy="432000"/>
                                          </a:xfrm>
                                          <a:prstGeom prst="rect">
                                            <a:avLst/>
                                          </a:prstGeom>
                                        </pic:spPr>
                                      </pic:pic>
                                    </a:graphicData>
                                  </a:graphic>
                                </wp:inline>
                              </w:drawing>
                            </w:r>
                          </w:p>
                        </w:tc>
                        <w:tc>
                          <w:tcPr>
                            <w:tcW w:w="3368" w:type="dxa"/>
                          </w:tcPr>
                          <w:p w14:paraId="29AAFA49" w14:textId="22A64422" w:rsidR="00440485" w:rsidRPr="0058488C" w:rsidRDefault="006013F4" w:rsidP="00FF200C">
                            <w:pPr>
                              <w:cnfStyle w:val="000000000000" w:firstRow="0" w:lastRow="0" w:firstColumn="0" w:lastColumn="0" w:oddVBand="0" w:evenVBand="0" w:oddHBand="0" w:evenHBand="0" w:firstRowFirstColumn="0" w:firstRowLastColumn="0" w:lastRowFirstColumn="0" w:lastRowLastColumn="0"/>
                              <w:rPr>
                                <w:color w:val="394390" w:themeColor="accent1"/>
                              </w:rPr>
                            </w:pPr>
                            <w:r w:rsidRPr="0058488C">
                              <w:rPr>
                                <w:color w:val="394390" w:themeColor="accent1"/>
                              </w:rPr>
                              <w:t>Education and training</w:t>
                            </w:r>
                            <w:r w:rsidRPr="0058488C">
                              <w:rPr>
                                <w:color w:val="394390" w:themeColor="accent1"/>
                              </w:rPr>
                              <w:tab/>
                            </w:r>
                            <w:r w:rsidRPr="0058488C">
                              <w:rPr>
                                <w:color w:val="394390" w:themeColor="accent1"/>
                              </w:rPr>
                              <w:tab/>
                            </w:r>
                          </w:p>
                        </w:tc>
                        <w:tc>
                          <w:tcPr>
                            <w:tcW w:w="761" w:type="dxa"/>
                          </w:tcPr>
                          <w:p w14:paraId="2415CAA4" w14:textId="783D980D" w:rsidR="00440485" w:rsidRDefault="0058488C" w:rsidP="00FF200C">
                            <w:pPr>
                              <w:cnfStyle w:val="000000000000" w:firstRow="0" w:lastRow="0" w:firstColumn="0" w:lastColumn="0" w:oddVBand="0" w:evenVBand="0" w:oddHBand="0" w:evenHBand="0" w:firstRowFirstColumn="0" w:firstRowLastColumn="0" w:lastRowFirstColumn="0" w:lastRowLastColumn="0"/>
                            </w:pPr>
                            <w:r w:rsidRPr="00C107C6">
                              <w:rPr>
                                <w:b/>
                                <w:bCs/>
                                <w:color w:val="394390" w:themeColor="accent1"/>
                              </w:rPr>
                              <w:t>0.2%</w:t>
                            </w:r>
                          </w:p>
                        </w:tc>
                      </w:tr>
                    </w:tbl>
                    <w:p w14:paraId="78DA4130" w14:textId="77777777" w:rsidR="00FF200C" w:rsidRDefault="00FF200C" w:rsidP="00FF200C"/>
                  </w:txbxContent>
                </v:textbox>
                <w10:wrap anchorx="margin"/>
              </v:shape>
            </w:pict>
          </mc:Fallback>
        </mc:AlternateContent>
      </w:r>
    </w:p>
    <w:p w14:paraId="2ED2A9ED" w14:textId="66F2F967" w:rsidR="00857EE1" w:rsidRPr="005E4A52" w:rsidRDefault="003D6227" w:rsidP="00B3445F">
      <w:pPr>
        <w:pStyle w:val="Heading3"/>
      </w:pPr>
      <w:r>
        <w:br w:type="page"/>
      </w:r>
      <w:bookmarkStart w:id="15" w:name="_Toc180174609"/>
      <w:r w:rsidR="003D7164">
        <w:lastRenderedPageBreak/>
        <w:softHyphen/>
      </w:r>
      <w:r w:rsidR="003D7164">
        <w:softHyphen/>
      </w:r>
      <w:r w:rsidR="003D7164">
        <w:softHyphen/>
      </w:r>
      <w:r w:rsidR="003D7164">
        <w:softHyphen/>
      </w:r>
      <w:r w:rsidR="003D7164">
        <w:softHyphen/>
      </w:r>
      <w:r w:rsidR="003D7164">
        <w:softHyphen/>
      </w:r>
      <w:r w:rsidR="003D7164">
        <w:softHyphen/>
      </w:r>
      <w:bookmarkStart w:id="16" w:name="_Toc177409615"/>
      <w:r w:rsidR="00857EE1" w:rsidRPr="005E4A52">
        <w:t xml:space="preserve">2.1 </w:t>
      </w:r>
      <w:r w:rsidR="00857EE1">
        <w:tab/>
      </w:r>
      <w:r w:rsidR="00857EE1" w:rsidRPr="005E4A52">
        <w:t>Key statistics</w:t>
      </w:r>
      <w:bookmarkEnd w:id="15"/>
      <w:bookmarkEnd w:id="16"/>
      <w:r w:rsidR="00857EE1" w:rsidRPr="005E4A52">
        <w:rPr>
          <w:noProof/>
        </w:rPr>
        <w:t xml:space="preserve"> </w:t>
      </w:r>
    </w:p>
    <w:p w14:paraId="62CDBD3E" w14:textId="28548A71" w:rsidR="00857EE1" w:rsidRPr="005E4A52" w:rsidRDefault="0042259D" w:rsidP="00857EE1">
      <w:r w:rsidRPr="005E4A52">
        <w:rPr>
          <w:noProof/>
        </w:rPr>
        <mc:AlternateContent>
          <mc:Choice Requires="wps">
            <w:drawing>
              <wp:anchor distT="0" distB="0" distL="114300" distR="114300" simplePos="0" relativeHeight="251658264" behindDoc="1" locked="0" layoutInCell="1" allowOverlap="1" wp14:anchorId="569F0C91" wp14:editId="5A0AE57F">
                <wp:simplePos x="0" y="0"/>
                <wp:positionH relativeFrom="margin">
                  <wp:align>left</wp:align>
                </wp:positionH>
                <wp:positionV relativeFrom="paragraph">
                  <wp:posOffset>431800</wp:posOffset>
                </wp:positionV>
                <wp:extent cx="6048000" cy="2362200"/>
                <wp:effectExtent l="0" t="0" r="10160" b="19050"/>
                <wp:wrapNone/>
                <wp:docPr id="148777013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48000" cy="2362200"/>
                        </a:xfrm>
                        <a:prstGeom prst="rect">
                          <a:avLst/>
                        </a:prstGeom>
                        <a:solidFill>
                          <a:schemeClr val="lt1"/>
                        </a:solidFill>
                        <a:ln w="6350">
                          <a:solidFill>
                            <a:srgbClr val="009999"/>
                          </a:solidFill>
                        </a:ln>
                      </wps:spPr>
                      <wps:txbx>
                        <w:txbxContent>
                          <w:p w14:paraId="2DFC5230" w14:textId="7EACBDD0" w:rsidR="00857EE1" w:rsidRDefault="00857EE1" w:rsidP="00857EE1"/>
                          <w:p w14:paraId="43E9C3BE" w14:textId="77777777" w:rsidR="00857EE1" w:rsidRDefault="00857EE1"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F0C91" id="Text Box 3" o:spid="_x0000_s1037" type="#_x0000_t202" alt="&quot;&quot;" style="position:absolute;margin-left:0;margin-top:34pt;width:476.2pt;height:186pt;z-index:-251658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" fillcolor="white [3201]" strokecolor="#099" strokeweight=".5pt">
                <v:textbox>
                  <w:txbxContent>
                    <w:p w14:paraId="2DFC5230" w14:textId="7EACBDD0" w:rsidR="00857EE1" w:rsidRDefault="00857EE1" w:rsidP="00857EE1"/>
                    <w:p w14:paraId="43E9C3BE" w14:textId="77777777" w:rsidR="00857EE1" w:rsidRDefault="00857EE1" w:rsidP="00857EE1"/>
                  </w:txbxContent>
                </v:textbox>
                <w10:wrap anchorx="margin"/>
              </v:shape>
            </w:pict>
          </mc:Fallback>
        </mc:AlternateContent>
      </w:r>
      <w:r w:rsidR="00857EE1" w:rsidRPr="005E4A52">
        <w:t>The most recent publicly available data from Comcare provides an overview of the nature of claims in the Comcare scheme.</w:t>
      </w:r>
      <w:r w:rsidR="00857EE1" w:rsidRPr="005E4A52">
        <w:rPr>
          <w:rStyle w:val="FootnoteReference"/>
        </w:rPr>
        <w:footnoteReference w:id="12"/>
      </w:r>
      <w:r w:rsidR="00857EE1" w:rsidRPr="005E4A52">
        <w:t xml:space="preserve"> </w:t>
      </w:r>
      <w:r w:rsidR="00857EE1" w:rsidRPr="005E4A52">
        <w:rPr>
          <w:rStyle w:val="FootnoteReference"/>
        </w:rPr>
        <w:footnoteReference w:id="13"/>
      </w:r>
      <w:r w:rsidR="00857EE1" w:rsidRPr="005E4A52">
        <w:t xml:space="preserve"> </w:t>
      </w:r>
    </w:p>
    <w:p w14:paraId="09E1CCB1" w14:textId="306D0E22" w:rsidR="00857EE1" w:rsidRPr="005E4A52" w:rsidRDefault="0099104D" w:rsidP="00857EE1">
      <w:r w:rsidRPr="005E4A52">
        <w:rPr>
          <w:noProof/>
        </w:rPr>
        <mc:AlternateContent>
          <mc:Choice Requires="wps">
            <w:drawing>
              <wp:anchor distT="0" distB="0" distL="114300" distR="114300" simplePos="0" relativeHeight="251658261" behindDoc="0" locked="0" layoutInCell="1" allowOverlap="1" wp14:anchorId="31911D51" wp14:editId="328790DD">
                <wp:simplePos x="0" y="0"/>
                <wp:positionH relativeFrom="margin">
                  <wp:posOffset>44450</wp:posOffset>
                </wp:positionH>
                <wp:positionV relativeFrom="paragraph">
                  <wp:posOffset>10795</wp:posOffset>
                </wp:positionV>
                <wp:extent cx="2598420" cy="1859280"/>
                <wp:effectExtent l="0" t="0" r="0" b="7620"/>
                <wp:wrapNone/>
                <wp:docPr id="846910649" name="Text Box 1"/>
                <wp:cNvGraphicFramePr/>
                <a:graphic xmlns:a="http://schemas.openxmlformats.org/drawingml/2006/main">
                  <a:graphicData uri="http://schemas.microsoft.com/office/word/2010/wordprocessingShape">
                    <wps:wsp>
                      <wps:cNvSpPr txBox="1"/>
                      <wps:spPr>
                        <a:xfrm>
                          <a:off x="0" y="0"/>
                          <a:ext cx="2598420" cy="1859280"/>
                        </a:xfrm>
                        <a:prstGeom prst="rect">
                          <a:avLst/>
                        </a:prstGeom>
                        <a:noFill/>
                        <a:ln w="6350">
                          <a:noFill/>
                        </a:ln>
                      </wps:spPr>
                      <wps:txbx>
                        <w:txbxContent>
                          <w:p w14:paraId="3D07E74E" w14:textId="0E240329" w:rsidR="007B556F" w:rsidRDefault="00857EE1" w:rsidP="002F0677">
                            <w:pPr>
                              <w:spacing w:after="120" w:line="216" w:lineRule="auto"/>
                            </w:pPr>
                            <w:r w:rsidRPr="004E4B0B">
                              <w:rPr>
                                <w:b/>
                              </w:rPr>
                              <w:t>Number of claims:</w:t>
                            </w:r>
                            <w:r>
                              <w:t xml:space="preserve"> </w:t>
                            </w:r>
                            <w:r w:rsidR="00302673" w:rsidRPr="00252996">
                              <w:t xml:space="preserve">Over the last </w:t>
                            </w:r>
                            <w:r w:rsidR="00302673" w:rsidRPr="00B34886">
                              <w:t>10</w:t>
                            </w:r>
                            <w:r w:rsidR="00302673" w:rsidRPr="00252996">
                              <w:t xml:space="preserve"> years the number of claims accepted </w:t>
                            </w:r>
                            <w:r w:rsidR="00302673">
                              <w:t>has decreased. Accepted claims declined from 2014 to 2022, increasing since that time</w:t>
                            </w:r>
                            <w:r w:rsidR="00302673" w:rsidRPr="00252996">
                              <w:t>.</w:t>
                            </w:r>
                          </w:p>
                          <w:p w14:paraId="4C3A235E" w14:textId="74F6D9A1" w:rsidR="00857EE1" w:rsidRDefault="00857EE1" w:rsidP="002F0677">
                            <w:pPr>
                              <w:spacing w:after="120" w:line="216" w:lineRule="auto"/>
                            </w:pPr>
                            <w:r>
                              <w:t>Claims for</w:t>
                            </w:r>
                            <w:r w:rsidRPr="00252996">
                              <w:t xml:space="preserve"> </w:t>
                            </w:r>
                            <w:r>
                              <w:t>Australian G</w:t>
                            </w:r>
                            <w:r w:rsidRPr="00252996">
                              <w:t xml:space="preserve">overnment employees </w:t>
                            </w:r>
                            <w:r>
                              <w:t>are generally lower (</w:t>
                            </w:r>
                            <w:r w:rsidR="00524B18">
                              <w:t>4.7</w:t>
                            </w:r>
                            <w:r w:rsidRPr="00252996">
                              <w:t xml:space="preserve"> claims</w:t>
                            </w:r>
                            <w:r w:rsidR="00917919">
                              <w:t xml:space="preserve"> accepted</w:t>
                            </w:r>
                            <w:r w:rsidRPr="00252996">
                              <w:t xml:space="preserve"> for 1000 </w:t>
                            </w:r>
                            <w:r>
                              <w:t>FTE in 2023-24) than claims</w:t>
                            </w:r>
                            <w:r w:rsidRPr="00252996">
                              <w:t xml:space="preserve"> for self-insurance licensee</w:t>
                            </w:r>
                            <w:r>
                              <w:t xml:space="preserve"> employees</w:t>
                            </w:r>
                            <w:r w:rsidR="00413F51">
                              <w:t xml:space="preserve"> </w:t>
                            </w:r>
                            <w:r>
                              <w:t>(</w:t>
                            </w:r>
                            <w:r w:rsidR="00765900">
                              <w:t>14.5</w:t>
                            </w:r>
                            <w:r w:rsidRPr="00252996">
                              <w:t xml:space="preserve"> per 1000 FTE</w:t>
                            </w:r>
                            <w:r>
                              <w:t xml:space="preserve"> in 2023-24)</w:t>
                            </w:r>
                            <w:r w:rsidRPr="00252996">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11D51" id="Text Box 1" o:spid="_x0000_s1038" type="#_x0000_t202" style="position:absolute;margin-left:3.5pt;margin-top:.85pt;width:204.6pt;height:146.4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" filled="f" stroked="f" strokeweight=".5pt">
                <v:textbox>
                  <w:txbxContent>
                    <w:p w14:paraId="3D07E74E" w14:textId="0E240329" w:rsidR="007B556F" w:rsidRDefault="00857EE1" w:rsidP="002F0677">
                      <w:pPr>
                        <w:spacing w:after="120" w:line="216" w:lineRule="auto"/>
                      </w:pPr>
                      <w:r w:rsidRPr="004E4B0B">
                        <w:rPr>
                          <w:b/>
                        </w:rPr>
                        <w:t>Number of claims:</w:t>
                      </w:r>
                      <w:r>
                        <w:t xml:space="preserve"> </w:t>
                      </w:r>
                      <w:r w:rsidR="00302673" w:rsidRPr="00252996">
                        <w:t xml:space="preserve">Over the last </w:t>
                      </w:r>
                      <w:r w:rsidR="00302673" w:rsidRPr="00B34886">
                        <w:t>10</w:t>
                      </w:r>
                      <w:r w:rsidR="00302673" w:rsidRPr="00252996">
                        <w:t xml:space="preserve"> years the number of claims accepted </w:t>
                      </w:r>
                      <w:r w:rsidR="00302673">
                        <w:t>has decreased. Accepted claims declined from 2014 to 2022, increasing since that time</w:t>
                      </w:r>
                      <w:r w:rsidR="00302673" w:rsidRPr="00252996">
                        <w:t>.</w:t>
                      </w:r>
                    </w:p>
                    <w:p w14:paraId="4C3A235E" w14:textId="74F6D9A1" w:rsidR="00857EE1" w:rsidRDefault="00857EE1" w:rsidP="002F0677">
                      <w:pPr>
                        <w:spacing w:after="120" w:line="216" w:lineRule="auto"/>
                      </w:pPr>
                      <w:r>
                        <w:t>Claims for</w:t>
                      </w:r>
                      <w:r w:rsidRPr="00252996">
                        <w:t xml:space="preserve"> </w:t>
                      </w:r>
                      <w:r>
                        <w:t>Australian G</w:t>
                      </w:r>
                      <w:r w:rsidRPr="00252996">
                        <w:t xml:space="preserve">overnment employees </w:t>
                      </w:r>
                      <w:r>
                        <w:t>are generally lower (</w:t>
                      </w:r>
                      <w:r w:rsidR="00524B18">
                        <w:t>4.7</w:t>
                      </w:r>
                      <w:r w:rsidRPr="00252996">
                        <w:t xml:space="preserve"> claims</w:t>
                      </w:r>
                      <w:r w:rsidR="00917919">
                        <w:t xml:space="preserve"> accepted</w:t>
                      </w:r>
                      <w:r w:rsidRPr="00252996">
                        <w:t xml:space="preserve"> for 1000 </w:t>
                      </w:r>
                      <w:r>
                        <w:t>FTE in 2023-24) than claims</w:t>
                      </w:r>
                      <w:r w:rsidRPr="00252996">
                        <w:t xml:space="preserve"> for self-insurance licensee</w:t>
                      </w:r>
                      <w:r>
                        <w:t xml:space="preserve"> employees</w:t>
                      </w:r>
                      <w:r w:rsidR="00413F51">
                        <w:t xml:space="preserve"> </w:t>
                      </w:r>
                      <w:r>
                        <w:t>(</w:t>
                      </w:r>
                      <w:r w:rsidR="00765900">
                        <w:t>14.5</w:t>
                      </w:r>
                      <w:r w:rsidRPr="00252996">
                        <w:t xml:space="preserve"> per 1000 FTE</w:t>
                      </w:r>
                      <w:r>
                        <w:t xml:space="preserve"> in 2023-24)</w:t>
                      </w:r>
                      <w:r w:rsidRPr="00252996">
                        <w:t xml:space="preserve">.  </w:t>
                      </w:r>
                    </w:p>
                  </w:txbxContent>
                </v:textbox>
                <w10:wrap anchorx="margin"/>
              </v:shape>
            </w:pict>
          </mc:Fallback>
        </mc:AlternateContent>
      </w:r>
      <w:r w:rsidR="002F0677">
        <w:rPr>
          <w:noProof/>
        </w:rPr>
        <w:drawing>
          <wp:anchor distT="0" distB="0" distL="114300" distR="114300" simplePos="0" relativeHeight="251658287" behindDoc="1" locked="0" layoutInCell="1" allowOverlap="1" wp14:anchorId="220646E8" wp14:editId="15CD2EA7">
            <wp:simplePos x="0" y="0"/>
            <wp:positionH relativeFrom="column">
              <wp:posOffset>2749550</wp:posOffset>
            </wp:positionH>
            <wp:positionV relativeFrom="paragraph">
              <wp:posOffset>10795</wp:posOffset>
            </wp:positionV>
            <wp:extent cx="3147060" cy="2079625"/>
            <wp:effectExtent l="0" t="0" r="15240" b="15875"/>
            <wp:wrapSquare wrapText="bothSides"/>
            <wp:docPr id="1492195629" name="Char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14:paraId="36765B9F" w14:textId="28E99348" w:rsidR="00857EE1" w:rsidRPr="005E4A52" w:rsidRDefault="00857EE1" w:rsidP="00857EE1"/>
    <w:p w14:paraId="75A5BAE0" w14:textId="327E725F" w:rsidR="00857EE1" w:rsidRPr="005E4A52" w:rsidRDefault="00857EE1" w:rsidP="00857EE1"/>
    <w:p w14:paraId="71FF1497" w14:textId="0F4A6E41" w:rsidR="00857EE1" w:rsidRPr="005E4A52" w:rsidRDefault="00857EE1" w:rsidP="00857EE1"/>
    <w:p w14:paraId="61C5D060" w14:textId="259E8870" w:rsidR="00857EE1" w:rsidRPr="005E4A52" w:rsidRDefault="00857EE1" w:rsidP="00857EE1">
      <w:pPr>
        <w:rPr>
          <w:b/>
        </w:rPr>
      </w:pPr>
    </w:p>
    <w:p w14:paraId="62E0ED86" w14:textId="30518B81" w:rsidR="00857EE1" w:rsidRPr="005E4A52" w:rsidRDefault="007B556F" w:rsidP="007B556F">
      <w:pPr>
        <w:rPr>
          <w:b/>
        </w:rPr>
      </w:pPr>
      <w:r w:rsidRPr="005E4A52">
        <w:rPr>
          <w:rFonts w:eastAsiaTheme="minorEastAsia"/>
          <w:b/>
          <w:noProof/>
        </w:rPr>
        <mc:AlternateContent>
          <mc:Choice Requires="wps">
            <w:drawing>
              <wp:anchor distT="45720" distB="45720" distL="114300" distR="114300" simplePos="0" relativeHeight="251658260" behindDoc="1" locked="0" layoutInCell="1" allowOverlap="1" wp14:anchorId="03D03583" wp14:editId="4EBD3A4C">
                <wp:simplePos x="0" y="0"/>
                <wp:positionH relativeFrom="margin">
                  <wp:posOffset>147320</wp:posOffset>
                </wp:positionH>
                <wp:positionV relativeFrom="paragraph">
                  <wp:posOffset>229870</wp:posOffset>
                </wp:positionV>
                <wp:extent cx="2209800" cy="342900"/>
                <wp:effectExtent l="0" t="0" r="0" b="0"/>
                <wp:wrapThrough wrapText="bothSides">
                  <wp:wrapPolygon edited="0">
                    <wp:start x="0" y="0"/>
                    <wp:lineTo x="0" y="20400"/>
                    <wp:lineTo x="20855" y="20400"/>
                    <wp:lineTo x="20855" y="0"/>
                    <wp:lineTo x="0" y="0"/>
                  </wp:wrapPolygon>
                </wp:wrapThrough>
                <wp:docPr id="20455164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42900"/>
                        </a:xfrm>
                        <a:prstGeom prst="rect">
                          <a:avLst/>
                        </a:prstGeom>
                        <a:noFill/>
                        <a:ln w="9525">
                          <a:noFill/>
                          <a:miter lim="800000"/>
                          <a:headEnd/>
                          <a:tailEnd/>
                        </a:ln>
                      </wps:spPr>
                      <wps:txbx>
                        <w:txbxContent>
                          <w:p w14:paraId="637624F4" w14:textId="6C5E954D" w:rsidR="00857EE1" w:rsidRPr="009F1090" w:rsidRDefault="00857EE1" w:rsidP="002F0677">
                            <w:pPr>
                              <w:spacing w:line="192" w:lineRule="auto"/>
                              <w:rPr>
                                <w:sz w:val="18"/>
                                <w:szCs w:val="18"/>
                              </w:rPr>
                            </w:pPr>
                            <w:r w:rsidRPr="009F1090">
                              <w:rPr>
                                <w:sz w:val="18"/>
                                <w:szCs w:val="18"/>
                              </w:rPr>
                              <w:t xml:space="preserve">Source: Comcare, 2024 </w:t>
                            </w:r>
                            <w:r w:rsidR="008D2543">
                              <w:rPr>
                                <w:sz w:val="18"/>
                                <w:szCs w:val="18"/>
                              </w:rPr>
                              <w:t>unpublished data</w:t>
                            </w:r>
                            <w:r w:rsidR="008338C5">
                              <w:rPr>
                                <w:sz w:val="18"/>
                                <w:szCs w:val="18"/>
                              </w:rPr>
                              <w:t xml:space="preserve">, </w:t>
                            </w:r>
                            <w:r w:rsidRPr="009F1090">
                              <w:rPr>
                                <w:sz w:val="18"/>
                                <w:szCs w:val="18"/>
                              </w:rPr>
                              <w:t>September 2024</w:t>
                            </w:r>
                          </w:p>
                          <w:p w14:paraId="467498EE" w14:textId="77777777" w:rsidR="00857EE1" w:rsidRDefault="00857EE1" w:rsidP="002F0677">
                            <w:pPr>
                              <w:spacing w:line="192" w:lineRule="auto"/>
                            </w:pP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03583" id="_x0000_s1039" type="#_x0000_t202" alt="&quot;&quot;" style="position:absolute;margin-left:11.6pt;margin-top:18.1pt;width:174pt;height:27pt;z-index:-2516582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" filled="f" stroked="f">
                <v:textbox inset="0">
                  <w:txbxContent>
                    <w:p w14:paraId="637624F4" w14:textId="6C5E954D" w:rsidR="00857EE1" w:rsidRPr="009F1090" w:rsidRDefault="00857EE1" w:rsidP="002F0677">
                      <w:pPr>
                        <w:spacing w:line="192" w:lineRule="auto"/>
                        <w:rPr>
                          <w:sz w:val="18"/>
                          <w:szCs w:val="18"/>
                        </w:rPr>
                      </w:pPr>
                      <w:r w:rsidRPr="009F1090">
                        <w:rPr>
                          <w:sz w:val="18"/>
                          <w:szCs w:val="18"/>
                        </w:rPr>
                        <w:t xml:space="preserve">Source: Comcare, 2024 </w:t>
                      </w:r>
                      <w:r w:rsidR="008D2543">
                        <w:rPr>
                          <w:sz w:val="18"/>
                          <w:szCs w:val="18"/>
                        </w:rPr>
                        <w:t>unpublished data</w:t>
                      </w:r>
                      <w:r w:rsidR="008338C5">
                        <w:rPr>
                          <w:sz w:val="18"/>
                          <w:szCs w:val="18"/>
                        </w:rPr>
                        <w:t xml:space="preserve">, </w:t>
                      </w:r>
                      <w:r w:rsidRPr="009F1090">
                        <w:rPr>
                          <w:sz w:val="18"/>
                          <w:szCs w:val="18"/>
                        </w:rPr>
                        <w:t>September 2024</w:t>
                      </w:r>
                    </w:p>
                    <w:p w14:paraId="467498EE" w14:textId="77777777" w:rsidR="00857EE1" w:rsidRDefault="00857EE1" w:rsidP="002F0677">
                      <w:pPr>
                        <w:spacing w:line="192" w:lineRule="auto"/>
                      </w:pPr>
                    </w:p>
                  </w:txbxContent>
                </v:textbox>
                <w10:wrap type="through" anchorx="margin"/>
              </v:shape>
            </w:pict>
          </mc:Fallback>
        </mc:AlternateContent>
      </w:r>
    </w:p>
    <w:p w14:paraId="412AAB88" w14:textId="3C55148D" w:rsidR="007B556F" w:rsidRPr="005E4A52" w:rsidRDefault="007B556F" w:rsidP="0099104D">
      <w:pPr>
        <w:framePr w:w="4831" w:h="2330" w:hSpace="181" w:wrap="around" w:vAnchor="text" w:hAnchor="page" w:x="1623" w:y="789"/>
        <w:spacing w:after="120" w:line="216" w:lineRule="auto"/>
      </w:pPr>
      <w:r w:rsidRPr="005E4A52">
        <w:rPr>
          <w:b/>
        </w:rPr>
        <w:t>Type of claim:</w:t>
      </w:r>
      <w:r w:rsidRPr="005E4A52">
        <w:rPr>
          <w:b/>
          <w:bCs/>
        </w:rPr>
        <w:t xml:space="preserve"> </w:t>
      </w:r>
      <w:r w:rsidRPr="005E4A52">
        <w:t xml:space="preserve">injuries (other than diseases) account for 61% of all claims. There were less claims for injury (43%) for Australian Government employees in 2023-24 than for self-insured licensee (65%). </w:t>
      </w:r>
    </w:p>
    <w:p w14:paraId="1D035AFF" w14:textId="77777777" w:rsidR="007B556F" w:rsidRPr="005E4A52" w:rsidRDefault="007B556F" w:rsidP="0099104D">
      <w:pPr>
        <w:pStyle w:val="ListParagraph"/>
        <w:framePr w:w="4831" w:h="2330" w:hSpace="181" w:wrap="around" w:vAnchor="text" w:hAnchor="page" w:x="1623" w:y="789"/>
        <w:spacing w:after="120" w:line="216" w:lineRule="auto"/>
        <w:ind w:left="0"/>
      </w:pPr>
      <w:r w:rsidRPr="005E4A52">
        <w:rPr>
          <w:b/>
          <w:bCs/>
        </w:rPr>
        <w:t>Psychological claims:</w:t>
      </w:r>
      <w:r w:rsidRPr="005E4A52">
        <w:t xml:space="preserve"> accounted for around 12% of all claims in 2023-24. However, they make up a higher proportion of claims for Australian Government employees (around 30%).</w:t>
      </w:r>
    </w:p>
    <w:p w14:paraId="17FA0C7C" w14:textId="07BC050F" w:rsidR="003B688D" w:rsidRPr="005E4A52" w:rsidRDefault="0099104D" w:rsidP="007B556F">
      <w:pPr>
        <w:rPr>
          <w:b/>
        </w:rPr>
      </w:pPr>
      <w:r w:rsidRPr="005E4A52">
        <w:rPr>
          <w:noProof/>
        </w:rPr>
        <mc:AlternateContent>
          <mc:Choice Requires="wps">
            <w:drawing>
              <wp:anchor distT="0" distB="0" distL="114300" distR="114300" simplePos="0" relativeHeight="251658265" behindDoc="1" locked="0" layoutInCell="1" allowOverlap="1" wp14:anchorId="046B4BD1" wp14:editId="7C9D2B2C">
                <wp:simplePos x="0" y="0"/>
                <wp:positionH relativeFrom="margin">
                  <wp:posOffset>6350</wp:posOffset>
                </wp:positionH>
                <wp:positionV relativeFrom="paragraph">
                  <wp:posOffset>384811</wp:posOffset>
                </wp:positionV>
                <wp:extent cx="6047740" cy="1988820"/>
                <wp:effectExtent l="0" t="0" r="10160" b="11430"/>
                <wp:wrapNone/>
                <wp:docPr id="25305311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47740" cy="1988820"/>
                        </a:xfrm>
                        <a:prstGeom prst="rect">
                          <a:avLst/>
                        </a:prstGeom>
                        <a:solidFill>
                          <a:schemeClr val="lt1"/>
                        </a:solidFill>
                        <a:ln w="6350">
                          <a:solidFill>
                            <a:schemeClr val="accent2"/>
                          </a:solidFill>
                        </a:ln>
                      </wps:spPr>
                      <wps:txbx>
                        <w:txbxContent>
                          <w:p w14:paraId="7C89ADD9" w14:textId="77777777" w:rsidR="00857EE1" w:rsidRDefault="00857EE1"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B4BD1" id="Text Box 4" o:spid="_x0000_s1040" type="#_x0000_t202" alt="&quot;&quot;" style="position:absolute;margin-left:.5pt;margin-top:30.3pt;width:476.2pt;height:156.6pt;z-index:-251658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" fillcolor="white [3201]" strokecolor="#656da9 [3205]" strokeweight=".5pt">
                <v:textbox>
                  <w:txbxContent>
                    <w:p w14:paraId="7C89ADD9" w14:textId="77777777" w:rsidR="00857EE1" w:rsidRDefault="00857EE1" w:rsidP="00857EE1"/>
                  </w:txbxContent>
                </v:textbox>
                <w10:wrap anchorx="margin"/>
              </v:shape>
            </w:pict>
          </mc:Fallback>
        </mc:AlternateContent>
      </w:r>
    </w:p>
    <w:p w14:paraId="6A051890" w14:textId="680819D6" w:rsidR="00857EE1" w:rsidRPr="005E4A52" w:rsidRDefault="00764B5C" w:rsidP="00857EE1">
      <w:pPr>
        <w:rPr>
          <w:b/>
        </w:rPr>
      </w:pPr>
      <w:r w:rsidRPr="005E4A52">
        <w:rPr>
          <w:noProof/>
        </w:rPr>
        <mc:AlternateContent>
          <mc:Choice Requires="wps">
            <w:drawing>
              <wp:anchor distT="45720" distB="45720" distL="114300" distR="114300" simplePos="0" relativeHeight="251658292" behindDoc="0" locked="0" layoutInCell="1" allowOverlap="1" wp14:anchorId="226D8D43" wp14:editId="348E1F5C">
                <wp:simplePos x="0" y="0"/>
                <wp:positionH relativeFrom="margin">
                  <wp:posOffset>3254375</wp:posOffset>
                </wp:positionH>
                <wp:positionV relativeFrom="paragraph">
                  <wp:posOffset>170815</wp:posOffset>
                </wp:positionV>
                <wp:extent cx="2172335" cy="269875"/>
                <wp:effectExtent l="0" t="0" r="0" b="0"/>
                <wp:wrapNone/>
                <wp:docPr id="21048165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69875"/>
                        </a:xfrm>
                        <a:prstGeom prst="rect">
                          <a:avLst/>
                        </a:prstGeom>
                        <a:noFill/>
                        <a:ln w="9525">
                          <a:noFill/>
                          <a:miter lim="800000"/>
                          <a:headEnd/>
                          <a:tailEnd/>
                        </a:ln>
                      </wps:spPr>
                      <wps:txbx>
                        <w:txbxContent>
                          <w:p w14:paraId="025070AB" w14:textId="0E31BA29" w:rsidR="00506E05" w:rsidRPr="00F96F99" w:rsidRDefault="00506E05" w:rsidP="00506E05">
                            <w:pPr>
                              <w:rPr>
                                <w:b/>
                                <w:bCs/>
                                <w:color w:val="656DA9" w:themeColor="accent2"/>
                                <w:sz w:val="24"/>
                                <w:szCs w:val="24"/>
                              </w:rPr>
                            </w:pPr>
                            <w:r w:rsidRPr="00F96F99">
                              <w:rPr>
                                <w:b/>
                                <w:bCs/>
                                <w:color w:val="656DA9" w:themeColor="accent2"/>
                                <w:sz w:val="24"/>
                                <w:szCs w:val="24"/>
                              </w:rPr>
                              <w:t>Types of claims</w:t>
                            </w:r>
                          </w:p>
                          <w:p w14:paraId="62FF0F22" w14:textId="77777777" w:rsidR="00506E05" w:rsidRPr="00D7458E" w:rsidRDefault="00506E05" w:rsidP="00506E05">
                            <w:pPr>
                              <w:rPr>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D8D43" id="_x0000_s1041" type="#_x0000_t202" alt="&quot;&quot;" style="position:absolute;margin-left:256.25pt;margin-top:13.45pt;width:171.05pt;height:21.25pt;z-index:2516582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" filled="f" stroked="f">
                <v:textbox>
                  <w:txbxContent>
                    <w:p w14:paraId="025070AB" w14:textId="0E31BA29" w:rsidR="00506E05" w:rsidRPr="00F96F99" w:rsidRDefault="00506E05" w:rsidP="00506E05">
                      <w:pPr>
                        <w:rPr>
                          <w:b/>
                          <w:bCs/>
                          <w:color w:val="656DA9" w:themeColor="accent2"/>
                          <w:sz w:val="24"/>
                          <w:szCs w:val="24"/>
                        </w:rPr>
                      </w:pPr>
                      <w:r w:rsidRPr="00F96F99">
                        <w:rPr>
                          <w:b/>
                          <w:bCs/>
                          <w:color w:val="656DA9" w:themeColor="accent2"/>
                          <w:sz w:val="24"/>
                          <w:szCs w:val="24"/>
                        </w:rPr>
                        <w:t>Types of claims</w:t>
                      </w:r>
                    </w:p>
                    <w:p w14:paraId="62FF0F22" w14:textId="77777777" w:rsidR="00506E05" w:rsidRPr="00D7458E" w:rsidRDefault="00506E05" w:rsidP="00506E05">
                      <w:pPr>
                        <w:rPr>
                          <w:b/>
                          <w:bCs/>
                          <w:sz w:val="20"/>
                          <w:szCs w:val="20"/>
                        </w:rPr>
                      </w:pPr>
                    </w:p>
                  </w:txbxContent>
                </v:textbox>
                <w10:wrap anchorx="margin"/>
              </v:shape>
            </w:pict>
          </mc:Fallback>
        </mc:AlternateContent>
      </w:r>
      <w:r w:rsidRPr="005E4A52">
        <w:rPr>
          <w:noProof/>
        </w:rPr>
        <mc:AlternateContent>
          <mc:Choice Requires="wpg">
            <w:drawing>
              <wp:anchor distT="0" distB="0" distL="114300" distR="114300" simplePos="0" relativeHeight="251658266" behindDoc="1" locked="0" layoutInCell="1" allowOverlap="1" wp14:anchorId="248C4B14" wp14:editId="4B55E74F">
                <wp:simplePos x="0" y="0"/>
                <wp:positionH relativeFrom="column">
                  <wp:posOffset>3188335</wp:posOffset>
                </wp:positionH>
                <wp:positionV relativeFrom="paragraph">
                  <wp:posOffset>317692</wp:posOffset>
                </wp:positionV>
                <wp:extent cx="2803525" cy="1720850"/>
                <wp:effectExtent l="0" t="0" r="0" b="0"/>
                <wp:wrapTight wrapText="bothSides">
                  <wp:wrapPolygon edited="0">
                    <wp:start x="12329" y="0"/>
                    <wp:lineTo x="0" y="1435"/>
                    <wp:lineTo x="0" y="21281"/>
                    <wp:lineTo x="8219" y="21281"/>
                    <wp:lineTo x="21429" y="20564"/>
                    <wp:lineTo x="21429" y="0"/>
                    <wp:lineTo x="12329" y="0"/>
                  </wp:wrapPolygon>
                </wp:wrapTight>
                <wp:docPr id="1482052769"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803525" cy="1720850"/>
                          <a:chOff x="0" y="-169842"/>
                          <a:chExt cx="2803856" cy="1722417"/>
                        </a:xfrm>
                      </wpg:grpSpPr>
                      <pic:pic xmlns:pic="http://schemas.openxmlformats.org/drawingml/2006/picture">
                        <pic:nvPicPr>
                          <pic:cNvPr id="1574588653" name="Picture 1" descr="Purple brain with text and purple background&#10;&#10;Description automatically generated"/>
                          <pic:cNvPicPr>
                            <a:picLocks noChangeAspect="1"/>
                          </pic:cNvPicPr>
                        </pic:nvPicPr>
                        <pic:blipFill rotWithShape="1">
                          <a:blip r:embed="rId55"/>
                          <a:srcRect r="15883" b="9756"/>
                          <a:stretch/>
                        </pic:blipFill>
                        <pic:spPr bwMode="auto">
                          <a:xfrm>
                            <a:off x="1630304" y="-169842"/>
                            <a:ext cx="1173552" cy="16321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98329406" name="Picture 1" descr="A blue square with a white cross in it&#10;&#10;Description automatically generated"/>
                          <pic:cNvPicPr>
                            <a:picLocks noChangeAspect="1"/>
                          </pic:cNvPicPr>
                        </pic:nvPicPr>
                        <pic:blipFill>
                          <a:blip r:embed="rId56"/>
                          <a:stretch>
                            <a:fillRect/>
                          </a:stretch>
                        </pic:blipFill>
                        <pic:spPr>
                          <a:xfrm>
                            <a:off x="0" y="-34728"/>
                            <a:ext cx="1043919" cy="1587303"/>
                          </a:xfrm>
                          <a:prstGeom prst="rect">
                            <a:avLst/>
                          </a:prstGeom>
                        </pic:spPr>
                      </pic:pic>
                      <pic:pic xmlns:pic="http://schemas.openxmlformats.org/drawingml/2006/picture">
                        <pic:nvPicPr>
                          <pic:cNvPr id="1888865452" name="Picture 1" descr="A blue and black image of a skeleton&#10;&#10;Description automatically generated"/>
                          <pic:cNvPicPr>
                            <a:picLocks noChangeAspect="1"/>
                          </pic:cNvPicPr>
                        </pic:nvPicPr>
                        <pic:blipFill>
                          <a:blip r:embed="rId57"/>
                          <a:stretch>
                            <a:fillRect/>
                          </a:stretch>
                        </pic:blipFill>
                        <pic:spPr>
                          <a:xfrm>
                            <a:off x="1021000" y="-39568"/>
                            <a:ext cx="721607" cy="1501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AF63C0" id="Group 1" o:spid="_x0000_s1026" alt="&quot;&quot;" style="position:absolute;margin-left:251.05pt;margin-top:25pt;width:220.75pt;height:135.5pt;z-index:-251658200;mso-width-relative:margin;mso-height-relative:margin" coordorigin=",-1698" coordsize="28038,17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Purple brain with text and purple background&#10;&#10;Description automatically generated" style="position:absolute;left:16303;top:-1698;width:11735;height:16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">
                  <v:imagedata r:id="rId61" o:title="Purple brain with text and purple background&#10;&#10;Description automatically generated" cropbottom="6394f" cropright="10409f"/>
                </v:shape>
                <v:shape id="Picture 1" o:spid="_x0000_s1028" type="#_x0000_t75" alt="A blue square with a white cross in it&#10;&#10;Description automatically generated" style="position:absolute;top:-347;width:10439;height:15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">
                  <v:imagedata r:id="rId62" o:title="A blue square with a white cross in it&#10;&#10;Description automatically generated"/>
                </v:shape>
                <v:shape id="Picture 1" o:spid="_x0000_s1029" type="#_x0000_t75" alt="A blue and black image of a skeleton&#10;&#10;Description automatically generated" style="position:absolute;left:10210;top:-395;width:7216;height:15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">
                  <v:imagedata r:id="rId63" o:title="A blue and black image of a skeleton&#10;&#10;Description automatically generated"/>
                </v:shape>
                <w10:wrap type="tight"/>
              </v:group>
            </w:pict>
          </mc:Fallback>
        </mc:AlternateContent>
      </w:r>
      <w:r w:rsidR="0099104D" w:rsidRPr="005E4A52">
        <w:rPr>
          <w:rFonts w:eastAsiaTheme="minorEastAsia"/>
          <w:b/>
          <w:noProof/>
        </w:rPr>
        <mc:AlternateContent>
          <mc:Choice Requires="wps">
            <w:drawing>
              <wp:anchor distT="0" distB="0" distL="114300" distR="114300" simplePos="0" relativeHeight="251658277" behindDoc="0" locked="0" layoutInCell="1" allowOverlap="1" wp14:anchorId="003EC725" wp14:editId="3997A834">
                <wp:simplePos x="0" y="0"/>
                <wp:positionH relativeFrom="column">
                  <wp:posOffset>166370</wp:posOffset>
                </wp:positionH>
                <wp:positionV relativeFrom="paragraph">
                  <wp:posOffset>1668780</wp:posOffset>
                </wp:positionV>
                <wp:extent cx="3086100" cy="365760"/>
                <wp:effectExtent l="0" t="0" r="0" b="0"/>
                <wp:wrapNone/>
                <wp:docPr id="75527908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65760"/>
                        </a:xfrm>
                        <a:prstGeom prst="rect">
                          <a:avLst/>
                        </a:prstGeom>
                        <a:noFill/>
                        <a:ln w="9525">
                          <a:noFill/>
                          <a:miter lim="800000"/>
                          <a:headEnd/>
                          <a:tailEnd/>
                        </a:ln>
                      </wps:spPr>
                      <wps:txbx>
                        <w:txbxContent>
                          <w:p w14:paraId="3CFC1E60" w14:textId="1EDA40EE" w:rsidR="00857EE1" w:rsidRPr="009F1090" w:rsidRDefault="00857EE1" w:rsidP="0099104D">
                            <w:pPr>
                              <w:spacing w:line="192" w:lineRule="auto"/>
                              <w:rPr>
                                <w:sz w:val="18"/>
                                <w:szCs w:val="18"/>
                              </w:rPr>
                            </w:pPr>
                            <w:r w:rsidRPr="009F1090">
                              <w:rPr>
                                <w:sz w:val="18"/>
                                <w:szCs w:val="18"/>
                              </w:rPr>
                              <w:t xml:space="preserve">Source: Comcare, </w:t>
                            </w:r>
                            <w:hyperlink r:id="rId64" w:anchor="overview" w:history="1">
                              <w:r w:rsidRPr="009F1090">
                                <w:rPr>
                                  <w:rStyle w:val="Hyperlink"/>
                                  <w:i/>
                                  <w:sz w:val="18"/>
                                  <w:szCs w:val="18"/>
                                </w:rPr>
                                <w:t>The Comcare scheme</w:t>
                              </w:r>
                            </w:hyperlink>
                            <w:r w:rsidRPr="009F1090">
                              <w:rPr>
                                <w:sz w:val="18"/>
                                <w:szCs w:val="18"/>
                              </w:rPr>
                              <w:t xml:space="preserve">, Comcare website, </w:t>
                            </w:r>
                            <w:r w:rsidR="002F0677">
                              <w:rPr>
                                <w:sz w:val="18"/>
                                <w:szCs w:val="18"/>
                              </w:rPr>
                              <w:br/>
                            </w:r>
                            <w:r w:rsidRPr="009F1090">
                              <w:rPr>
                                <w:sz w:val="18"/>
                                <w:szCs w:val="18"/>
                              </w:rPr>
                              <w:t>2024 accessed September 2024</w:t>
                            </w:r>
                          </w:p>
                          <w:p w14:paraId="2F261B26" w14:textId="77777777" w:rsidR="00857EE1" w:rsidRDefault="00857EE1" w:rsidP="00857EE1"/>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EC725" id="_x0000_s1042" type="#_x0000_t202" alt="&quot;&quot;" style="position:absolute;margin-left:13.1pt;margin-top:131.4pt;width:243pt;height:28.8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" filled="f" stroked="f">
                <v:textbox inset="0">
                  <w:txbxContent>
                    <w:p w14:paraId="3CFC1E60" w14:textId="1EDA40EE" w:rsidR="00857EE1" w:rsidRPr="009F1090" w:rsidRDefault="00857EE1" w:rsidP="0099104D">
                      <w:pPr>
                        <w:spacing w:line="192" w:lineRule="auto"/>
                        <w:rPr>
                          <w:sz w:val="18"/>
                          <w:szCs w:val="18"/>
                        </w:rPr>
                      </w:pPr>
                      <w:r w:rsidRPr="009F1090">
                        <w:rPr>
                          <w:sz w:val="18"/>
                          <w:szCs w:val="18"/>
                        </w:rPr>
                        <w:t xml:space="preserve">Source: Comcare, </w:t>
                      </w:r>
                      <w:hyperlink r:id="rId65" w:anchor="overview" w:history="1">
                        <w:r w:rsidRPr="009F1090">
                          <w:rPr>
                            <w:rStyle w:val="Hyperlink"/>
                            <w:i/>
                            <w:sz w:val="18"/>
                            <w:szCs w:val="18"/>
                          </w:rPr>
                          <w:t>The Comcare scheme</w:t>
                        </w:r>
                      </w:hyperlink>
                      <w:r w:rsidRPr="009F1090">
                        <w:rPr>
                          <w:sz w:val="18"/>
                          <w:szCs w:val="18"/>
                        </w:rPr>
                        <w:t xml:space="preserve">, Comcare website, </w:t>
                      </w:r>
                      <w:r w:rsidR="002F0677">
                        <w:rPr>
                          <w:sz w:val="18"/>
                          <w:szCs w:val="18"/>
                        </w:rPr>
                        <w:br/>
                      </w:r>
                      <w:r w:rsidRPr="009F1090">
                        <w:rPr>
                          <w:sz w:val="18"/>
                          <w:szCs w:val="18"/>
                        </w:rPr>
                        <w:t>2024 accessed September 2024</w:t>
                      </w:r>
                    </w:p>
                    <w:p w14:paraId="2F261B26" w14:textId="77777777" w:rsidR="00857EE1" w:rsidRDefault="00857EE1" w:rsidP="00857EE1"/>
                  </w:txbxContent>
                </v:textbox>
              </v:shape>
            </w:pict>
          </mc:Fallback>
        </mc:AlternateContent>
      </w:r>
    </w:p>
    <w:p w14:paraId="608C3D9A" w14:textId="03A12CE4" w:rsidR="00857EE1" w:rsidRPr="005E4A52" w:rsidRDefault="00857EE1" w:rsidP="00857EE1">
      <w:pPr>
        <w:jc w:val="right"/>
        <w:rPr>
          <w:b/>
        </w:rPr>
      </w:pPr>
    </w:p>
    <w:p w14:paraId="32F8AC97" w14:textId="063AE24B" w:rsidR="004B2D09" w:rsidRDefault="00C41E5A" w:rsidP="00F763A8">
      <w:pPr>
        <w:rPr>
          <w:b/>
        </w:rPr>
      </w:pPr>
      <w:r>
        <w:rPr>
          <w:noProof/>
        </w:rPr>
        <w:drawing>
          <wp:anchor distT="0" distB="0" distL="114300" distR="114300" simplePos="0" relativeHeight="251658288" behindDoc="0" locked="0" layoutInCell="1" allowOverlap="1" wp14:anchorId="5E67FAE2" wp14:editId="0A1C98F4">
            <wp:simplePos x="0" y="0"/>
            <wp:positionH relativeFrom="margin">
              <wp:posOffset>2536190</wp:posOffset>
            </wp:positionH>
            <wp:positionV relativeFrom="page">
              <wp:posOffset>6301740</wp:posOffset>
            </wp:positionV>
            <wp:extent cx="3388360" cy="1875155"/>
            <wp:effectExtent l="0" t="0" r="2540" b="10795"/>
            <wp:wrapTopAndBottom/>
            <wp:docPr id="366620388" name="Char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sidR="0099104D" w:rsidRPr="005E4A52">
        <w:rPr>
          <w:rFonts w:eastAsiaTheme="minorEastAsia"/>
          <w:b/>
          <w:noProof/>
        </w:rPr>
        <mc:AlternateContent>
          <mc:Choice Requires="wps">
            <w:drawing>
              <wp:anchor distT="45720" distB="45720" distL="114300" distR="114300" simplePos="0" relativeHeight="251658290" behindDoc="0" locked="0" layoutInCell="1" allowOverlap="1" wp14:anchorId="5DA4EBE1" wp14:editId="3FC60790">
                <wp:simplePos x="0" y="0"/>
                <wp:positionH relativeFrom="margin">
                  <wp:posOffset>158750</wp:posOffset>
                </wp:positionH>
                <wp:positionV relativeFrom="paragraph">
                  <wp:posOffset>1783080</wp:posOffset>
                </wp:positionV>
                <wp:extent cx="2209800" cy="396240"/>
                <wp:effectExtent l="0" t="0" r="0" b="3810"/>
                <wp:wrapNone/>
                <wp:docPr id="23827946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96240"/>
                        </a:xfrm>
                        <a:prstGeom prst="rect">
                          <a:avLst/>
                        </a:prstGeom>
                        <a:noFill/>
                        <a:ln w="9525">
                          <a:noFill/>
                          <a:miter lim="800000"/>
                          <a:headEnd/>
                          <a:tailEnd/>
                        </a:ln>
                      </wps:spPr>
                      <wps:txbx>
                        <w:txbxContent>
                          <w:p w14:paraId="44215FC8" w14:textId="033FE4D1" w:rsidR="00C67027" w:rsidRPr="009F1090" w:rsidRDefault="00C67027" w:rsidP="0099104D">
                            <w:pPr>
                              <w:spacing w:line="192" w:lineRule="auto"/>
                              <w:rPr>
                                <w:sz w:val="18"/>
                                <w:szCs w:val="18"/>
                              </w:rPr>
                            </w:pPr>
                            <w:r w:rsidRPr="009F1090">
                              <w:rPr>
                                <w:sz w:val="18"/>
                                <w:szCs w:val="18"/>
                              </w:rPr>
                              <w:t>Source: Comcare, 2024</w:t>
                            </w:r>
                            <w:r>
                              <w:rPr>
                                <w:sz w:val="18"/>
                                <w:szCs w:val="18"/>
                              </w:rPr>
                              <w:t xml:space="preserve"> unpublished data</w:t>
                            </w:r>
                            <w:r w:rsidR="008338C5">
                              <w:rPr>
                                <w:sz w:val="18"/>
                                <w:szCs w:val="18"/>
                              </w:rPr>
                              <w:t>,</w:t>
                            </w:r>
                            <w:r w:rsidRPr="009F1090">
                              <w:rPr>
                                <w:sz w:val="18"/>
                                <w:szCs w:val="18"/>
                              </w:rPr>
                              <w:t xml:space="preserve"> </w:t>
                            </w:r>
                            <w:r w:rsidR="0099104D">
                              <w:rPr>
                                <w:sz w:val="18"/>
                                <w:szCs w:val="18"/>
                              </w:rPr>
                              <w:br/>
                            </w:r>
                            <w:r w:rsidRPr="009F1090">
                              <w:rPr>
                                <w:sz w:val="18"/>
                                <w:szCs w:val="18"/>
                              </w:rPr>
                              <w:t>September 2024</w:t>
                            </w:r>
                          </w:p>
                          <w:p w14:paraId="4F64666E" w14:textId="77777777" w:rsidR="00C67027" w:rsidRDefault="00C67027" w:rsidP="00C67027"/>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4EBE1" id="_x0000_s1043" type="#_x0000_t202" alt="&quot;&quot;" style="position:absolute;margin-left:12.5pt;margin-top:140.4pt;width:174pt;height:31.2pt;z-index:251658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" filled="f" stroked="f">
                <v:textbox inset="0">
                  <w:txbxContent>
                    <w:p w14:paraId="44215FC8" w14:textId="033FE4D1" w:rsidR="00C67027" w:rsidRPr="009F1090" w:rsidRDefault="00C67027" w:rsidP="0099104D">
                      <w:pPr>
                        <w:spacing w:line="192" w:lineRule="auto"/>
                        <w:rPr>
                          <w:sz w:val="18"/>
                          <w:szCs w:val="18"/>
                        </w:rPr>
                      </w:pPr>
                      <w:r w:rsidRPr="009F1090">
                        <w:rPr>
                          <w:sz w:val="18"/>
                          <w:szCs w:val="18"/>
                        </w:rPr>
                        <w:t>Source: Comcare, 2024</w:t>
                      </w:r>
                      <w:r>
                        <w:rPr>
                          <w:sz w:val="18"/>
                          <w:szCs w:val="18"/>
                        </w:rPr>
                        <w:t xml:space="preserve"> unpublished data</w:t>
                      </w:r>
                      <w:r w:rsidR="008338C5">
                        <w:rPr>
                          <w:sz w:val="18"/>
                          <w:szCs w:val="18"/>
                        </w:rPr>
                        <w:t>,</w:t>
                      </w:r>
                      <w:r w:rsidRPr="009F1090">
                        <w:rPr>
                          <w:sz w:val="18"/>
                          <w:szCs w:val="18"/>
                        </w:rPr>
                        <w:t xml:space="preserve"> </w:t>
                      </w:r>
                      <w:r w:rsidR="0099104D">
                        <w:rPr>
                          <w:sz w:val="18"/>
                          <w:szCs w:val="18"/>
                        </w:rPr>
                        <w:br/>
                      </w:r>
                      <w:r w:rsidRPr="009F1090">
                        <w:rPr>
                          <w:sz w:val="18"/>
                          <w:szCs w:val="18"/>
                        </w:rPr>
                        <w:t>September 2024</w:t>
                      </w:r>
                    </w:p>
                    <w:p w14:paraId="4F64666E" w14:textId="77777777" w:rsidR="00C67027" w:rsidRDefault="00C67027" w:rsidP="00C67027"/>
                  </w:txbxContent>
                </v:textbox>
                <w10:wrap anchorx="margin"/>
              </v:shape>
            </w:pict>
          </mc:Fallback>
        </mc:AlternateContent>
      </w:r>
      <w:r w:rsidR="0099104D">
        <w:rPr>
          <w:noProof/>
        </w:rPr>
        <mc:AlternateContent>
          <mc:Choice Requires="wps">
            <w:drawing>
              <wp:anchor distT="0" distB="0" distL="114300" distR="114300" simplePos="0" relativeHeight="251658286" behindDoc="0" locked="0" layoutInCell="1" allowOverlap="1" wp14:anchorId="5C79D49A" wp14:editId="2B1CFDB9">
                <wp:simplePos x="0" y="0"/>
                <wp:positionH relativeFrom="column">
                  <wp:posOffset>82550</wp:posOffset>
                </wp:positionH>
                <wp:positionV relativeFrom="paragraph">
                  <wp:posOffset>236220</wp:posOffset>
                </wp:positionV>
                <wp:extent cx="2156460" cy="1493520"/>
                <wp:effectExtent l="0" t="0" r="0" b="0"/>
                <wp:wrapNone/>
                <wp:docPr id="34388482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56460" cy="1493520"/>
                        </a:xfrm>
                        <a:prstGeom prst="rect">
                          <a:avLst/>
                        </a:prstGeom>
                        <a:solidFill>
                          <a:schemeClr val="lt1"/>
                        </a:solidFill>
                        <a:ln w="6350">
                          <a:noFill/>
                        </a:ln>
                      </wps:spPr>
                      <wps:txbx>
                        <w:txbxContent>
                          <w:p w14:paraId="3373DC6B" w14:textId="62D669B1" w:rsidR="004108F3" w:rsidRPr="005E4A52" w:rsidRDefault="004108F3" w:rsidP="0099104D">
                            <w:pPr>
                              <w:pStyle w:val="ListParagraph"/>
                              <w:spacing w:after="0" w:line="216" w:lineRule="auto"/>
                              <w:ind w:left="0"/>
                            </w:pPr>
                            <w:bookmarkStart w:id="17" w:name="_Hlk178163593"/>
                            <w:r w:rsidRPr="005E4A52">
                              <w:rPr>
                                <w:b/>
                                <w:bCs/>
                              </w:rPr>
                              <w:t>Serious claims:</w:t>
                            </w:r>
                            <w:r w:rsidRPr="005E4A52">
                              <w:t xml:space="preserve"> the rate of serious claims has improved over the last 10-15 years. The rate was </w:t>
                            </w:r>
                            <w:r w:rsidR="00DA7107">
                              <w:t>6.2</w:t>
                            </w:r>
                            <w:r w:rsidRPr="005E4A52">
                              <w:t xml:space="preserve"> in 202</w:t>
                            </w:r>
                            <w:r w:rsidR="00DA7107">
                              <w:t>3</w:t>
                            </w:r>
                            <w:r w:rsidRPr="005E4A52">
                              <w:t>-2</w:t>
                            </w:r>
                            <w:r w:rsidR="00DA7107">
                              <w:t>4</w:t>
                            </w:r>
                            <w:r w:rsidRPr="005E4A52">
                              <w:t xml:space="preserve"> per 1000 FTE. For Australian Government employees it was lower at 3.</w:t>
                            </w:r>
                            <w:r w:rsidR="00B671DB">
                              <w:t>2</w:t>
                            </w:r>
                            <w:r w:rsidRPr="005E4A52">
                              <w:t xml:space="preserve"> per 1000 FTE, while for self-insured licensee employees it was 8.</w:t>
                            </w:r>
                            <w:r w:rsidR="00B671DB">
                              <w:t>7</w:t>
                            </w:r>
                            <w:r w:rsidRPr="005E4A52">
                              <w:t xml:space="preserve"> per 1000 FTE.</w:t>
                            </w:r>
                            <w:r w:rsidRPr="005E4A52">
                              <w:rPr>
                                <w:rStyle w:val="FootnoteReference"/>
                              </w:rPr>
                              <w:t xml:space="preserve"> </w:t>
                            </w:r>
                            <w:bookmarkEnd w:id="17"/>
                          </w:p>
                          <w:p w14:paraId="475C7991" w14:textId="77777777" w:rsidR="004108F3" w:rsidRDefault="004108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9D49A" id="_x0000_s1044" type="#_x0000_t202" alt="&quot;&quot;" style="position:absolute;margin-left:6.5pt;margin-top:18.6pt;width:169.8pt;height:117.6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" fillcolor="white [3201]" stroked="f" strokeweight=".5pt">
                <v:textbox>
                  <w:txbxContent>
                    <w:p w14:paraId="3373DC6B" w14:textId="62D669B1" w:rsidR="004108F3" w:rsidRPr="005E4A52" w:rsidRDefault="004108F3" w:rsidP="0099104D">
                      <w:pPr>
                        <w:pStyle w:val="ListParagraph"/>
                        <w:spacing w:after="0" w:line="216" w:lineRule="auto"/>
                        <w:ind w:left="0"/>
                      </w:pPr>
                      <w:bookmarkStart w:id="18" w:name="_Hlk178163593"/>
                      <w:r w:rsidRPr="005E4A52">
                        <w:rPr>
                          <w:b/>
                          <w:bCs/>
                        </w:rPr>
                        <w:t>Serious claims:</w:t>
                      </w:r>
                      <w:r w:rsidRPr="005E4A52">
                        <w:t xml:space="preserve"> the rate of serious claims has improved over the last 10-15 years. The rate was </w:t>
                      </w:r>
                      <w:r w:rsidR="00DA7107">
                        <w:t>6.2</w:t>
                      </w:r>
                      <w:r w:rsidRPr="005E4A52">
                        <w:t xml:space="preserve"> in 202</w:t>
                      </w:r>
                      <w:r w:rsidR="00DA7107">
                        <w:t>3</w:t>
                      </w:r>
                      <w:r w:rsidRPr="005E4A52">
                        <w:t>-2</w:t>
                      </w:r>
                      <w:r w:rsidR="00DA7107">
                        <w:t>4</w:t>
                      </w:r>
                      <w:r w:rsidRPr="005E4A52">
                        <w:t xml:space="preserve"> per 1000 FTE. For Australian Government employees it was lower at 3.</w:t>
                      </w:r>
                      <w:r w:rsidR="00B671DB">
                        <w:t>2</w:t>
                      </w:r>
                      <w:r w:rsidRPr="005E4A52">
                        <w:t xml:space="preserve"> per 1000 FTE, while for self-insured licensee employees it was 8.</w:t>
                      </w:r>
                      <w:r w:rsidR="00B671DB">
                        <w:t>7</w:t>
                      </w:r>
                      <w:r w:rsidRPr="005E4A52">
                        <w:t xml:space="preserve"> per 1000 FTE.</w:t>
                      </w:r>
                      <w:r w:rsidRPr="005E4A52">
                        <w:rPr>
                          <w:rStyle w:val="FootnoteReference"/>
                        </w:rPr>
                        <w:t xml:space="preserve"> </w:t>
                      </w:r>
                      <w:bookmarkEnd w:id="18"/>
                    </w:p>
                    <w:p w14:paraId="475C7991" w14:textId="77777777" w:rsidR="004108F3" w:rsidRDefault="004108F3"/>
                  </w:txbxContent>
                </v:textbox>
              </v:shape>
            </w:pict>
          </mc:Fallback>
        </mc:AlternateContent>
      </w:r>
      <w:r w:rsidR="002F0677" w:rsidRPr="005E4A52">
        <w:rPr>
          <w:noProof/>
        </w:rPr>
        <mc:AlternateContent>
          <mc:Choice Requires="wps">
            <w:drawing>
              <wp:anchor distT="0" distB="0" distL="114300" distR="114300" simplePos="0" relativeHeight="251658285" behindDoc="1" locked="0" layoutInCell="1" allowOverlap="1" wp14:anchorId="3740CEAA" wp14:editId="123E76F4">
                <wp:simplePos x="0" y="0"/>
                <wp:positionH relativeFrom="margin">
                  <wp:posOffset>0</wp:posOffset>
                </wp:positionH>
                <wp:positionV relativeFrom="paragraph">
                  <wp:posOffset>125730</wp:posOffset>
                </wp:positionV>
                <wp:extent cx="6047740" cy="2034540"/>
                <wp:effectExtent l="0" t="0" r="10160" b="22860"/>
                <wp:wrapNone/>
                <wp:docPr id="621509907"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47740" cy="2034540"/>
                        </a:xfrm>
                        <a:prstGeom prst="rect">
                          <a:avLst/>
                        </a:prstGeom>
                        <a:solidFill>
                          <a:schemeClr val="lt1"/>
                        </a:solidFill>
                        <a:ln w="6350">
                          <a:solidFill>
                            <a:schemeClr val="accent2"/>
                          </a:solidFill>
                        </a:ln>
                      </wps:spPr>
                      <wps:txbx>
                        <w:txbxContent>
                          <w:p w14:paraId="14E2FD76" w14:textId="1D25C9D8" w:rsidR="004108F3" w:rsidRDefault="004108F3" w:rsidP="004108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0CEAA" id="_x0000_s1045" type="#_x0000_t202" alt="&quot;&quot;" style="position:absolute;margin-left:0;margin-top:9.9pt;width:476.2pt;height:160.2pt;z-index:-251658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" fillcolor="white [3201]" strokecolor="#656da9 [3205]" strokeweight=".5pt">
                <v:textbox>
                  <w:txbxContent>
                    <w:p w14:paraId="14E2FD76" w14:textId="1D25C9D8" w:rsidR="004108F3" w:rsidRDefault="004108F3" w:rsidP="004108F3"/>
                  </w:txbxContent>
                </v:textbox>
                <w10:wrap anchorx="margin"/>
              </v:shape>
            </w:pict>
          </mc:Fallback>
        </mc:AlternateContent>
      </w:r>
    </w:p>
    <w:p w14:paraId="1E2590EE" w14:textId="6A182D25" w:rsidR="00F763A8" w:rsidRDefault="00C02798" w:rsidP="00F763A8">
      <w:pPr>
        <w:rPr>
          <w:b/>
        </w:rPr>
      </w:pPr>
      <w:r w:rsidRPr="005E4A52">
        <w:rPr>
          <w:noProof/>
        </w:rPr>
        <w:lastRenderedPageBreak/>
        <mc:AlternateContent>
          <mc:Choice Requires="wps">
            <w:drawing>
              <wp:anchor distT="0" distB="0" distL="114300" distR="114300" simplePos="0" relativeHeight="251658263" behindDoc="1" locked="0" layoutInCell="1" allowOverlap="1" wp14:anchorId="4090876F" wp14:editId="062475C0">
                <wp:simplePos x="0" y="0"/>
                <wp:positionH relativeFrom="margin">
                  <wp:posOffset>-103073</wp:posOffset>
                </wp:positionH>
                <wp:positionV relativeFrom="paragraph">
                  <wp:posOffset>-205486</wp:posOffset>
                </wp:positionV>
                <wp:extent cx="6031712" cy="8460000"/>
                <wp:effectExtent l="0" t="0" r="26670" b="17780"/>
                <wp:wrapNone/>
                <wp:docPr id="12188131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31712" cy="8460000"/>
                        </a:xfrm>
                        <a:prstGeom prst="rect">
                          <a:avLst/>
                        </a:prstGeom>
                        <a:solidFill>
                          <a:schemeClr val="lt1"/>
                        </a:solidFill>
                        <a:ln w="6350">
                          <a:solidFill>
                            <a:schemeClr val="bg2"/>
                          </a:solidFill>
                        </a:ln>
                      </wps:spPr>
                      <wps:txbx>
                        <w:txbxContent>
                          <w:p w14:paraId="7BAB0046" w14:textId="42A5C817" w:rsidR="00857EE1" w:rsidRDefault="00857EE1" w:rsidP="00857EE1"/>
                          <w:p w14:paraId="4D555506" w14:textId="77777777" w:rsidR="00C63CAB" w:rsidRDefault="00C63CAB" w:rsidP="00857EE1"/>
                          <w:p w14:paraId="1E133A0F" w14:textId="77777777" w:rsidR="00C63CAB" w:rsidRDefault="00C63CAB" w:rsidP="00857EE1"/>
                          <w:p w14:paraId="3C8BC8BC" w14:textId="77777777" w:rsidR="00C63CAB" w:rsidRDefault="00C63CAB" w:rsidP="00857EE1"/>
                          <w:p w14:paraId="0502FDDB" w14:textId="77777777" w:rsidR="00C63CAB" w:rsidRDefault="00C63CAB" w:rsidP="00857EE1"/>
                          <w:p w14:paraId="22E1A7AB" w14:textId="77777777" w:rsidR="00C63CAB" w:rsidRDefault="00C63CAB" w:rsidP="00857EE1"/>
                          <w:p w14:paraId="5065D833" w14:textId="4C1B4BB8" w:rsidR="00C63CAB" w:rsidRDefault="00C63CAB" w:rsidP="00857EE1"/>
                          <w:p w14:paraId="7863DB24" w14:textId="77777777" w:rsidR="00C63CAB" w:rsidRDefault="00C63CAB" w:rsidP="00857EE1"/>
                          <w:p w14:paraId="4D33DE6C" w14:textId="77777777" w:rsidR="00C63CAB" w:rsidRDefault="00C63CAB" w:rsidP="00857EE1"/>
                          <w:p w14:paraId="5190BB0B" w14:textId="3F57AA54" w:rsidR="00C63CAB" w:rsidRDefault="00C63CAB" w:rsidP="00857EE1"/>
                          <w:p w14:paraId="01C0251D" w14:textId="77777777" w:rsidR="00C63CAB" w:rsidRDefault="00C63CAB" w:rsidP="00857EE1"/>
                          <w:p w14:paraId="4EE9C59E" w14:textId="77777777" w:rsidR="00C63CAB" w:rsidRDefault="00C63CAB" w:rsidP="00857EE1"/>
                          <w:p w14:paraId="695939BA" w14:textId="77777777" w:rsidR="00C63CAB" w:rsidRDefault="00C63CAB" w:rsidP="00857EE1"/>
                          <w:p w14:paraId="268849E1" w14:textId="1C18F070" w:rsidR="00C63CAB" w:rsidRDefault="00C63CAB"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0876F" id="Text Box 5" o:spid="_x0000_s1046" type="#_x0000_t202" alt="&quot;&quot;" style="position:absolute;margin-left:-8.1pt;margin-top:-16.2pt;width:474.95pt;height:666.15pt;z-index:-251658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" fillcolor="white [3201]" strokecolor="#009b9f [3214]" strokeweight=".5pt">
                <v:textbox>
                  <w:txbxContent>
                    <w:p w14:paraId="7BAB0046" w14:textId="42A5C817" w:rsidR="00857EE1" w:rsidRDefault="00857EE1" w:rsidP="00857EE1"/>
                    <w:p w14:paraId="4D555506" w14:textId="77777777" w:rsidR="00C63CAB" w:rsidRDefault="00C63CAB" w:rsidP="00857EE1"/>
                    <w:p w14:paraId="1E133A0F" w14:textId="77777777" w:rsidR="00C63CAB" w:rsidRDefault="00C63CAB" w:rsidP="00857EE1"/>
                    <w:p w14:paraId="3C8BC8BC" w14:textId="77777777" w:rsidR="00C63CAB" w:rsidRDefault="00C63CAB" w:rsidP="00857EE1"/>
                    <w:p w14:paraId="0502FDDB" w14:textId="77777777" w:rsidR="00C63CAB" w:rsidRDefault="00C63CAB" w:rsidP="00857EE1"/>
                    <w:p w14:paraId="22E1A7AB" w14:textId="77777777" w:rsidR="00C63CAB" w:rsidRDefault="00C63CAB" w:rsidP="00857EE1"/>
                    <w:p w14:paraId="5065D833" w14:textId="4C1B4BB8" w:rsidR="00C63CAB" w:rsidRDefault="00C63CAB" w:rsidP="00857EE1"/>
                    <w:p w14:paraId="7863DB24" w14:textId="77777777" w:rsidR="00C63CAB" w:rsidRDefault="00C63CAB" w:rsidP="00857EE1"/>
                    <w:p w14:paraId="4D33DE6C" w14:textId="77777777" w:rsidR="00C63CAB" w:rsidRDefault="00C63CAB" w:rsidP="00857EE1"/>
                    <w:p w14:paraId="5190BB0B" w14:textId="3F57AA54" w:rsidR="00C63CAB" w:rsidRDefault="00C63CAB" w:rsidP="00857EE1"/>
                    <w:p w14:paraId="01C0251D" w14:textId="77777777" w:rsidR="00C63CAB" w:rsidRDefault="00C63CAB" w:rsidP="00857EE1"/>
                    <w:p w14:paraId="4EE9C59E" w14:textId="77777777" w:rsidR="00C63CAB" w:rsidRDefault="00C63CAB" w:rsidP="00857EE1"/>
                    <w:p w14:paraId="695939BA" w14:textId="77777777" w:rsidR="00C63CAB" w:rsidRDefault="00C63CAB" w:rsidP="00857EE1"/>
                    <w:p w14:paraId="268849E1" w14:textId="1C18F070" w:rsidR="00C63CAB" w:rsidRDefault="00C63CAB" w:rsidP="00857EE1"/>
                  </w:txbxContent>
                </v:textbox>
                <w10:wrap anchorx="margin"/>
              </v:shape>
            </w:pict>
          </mc:Fallback>
        </mc:AlternateContent>
      </w:r>
      <w:r>
        <w:rPr>
          <w:b/>
          <w:noProof/>
        </w:rPr>
        <mc:AlternateContent>
          <mc:Choice Requires="wps">
            <w:drawing>
              <wp:anchor distT="0" distB="0" distL="114300" distR="114300" simplePos="0" relativeHeight="251658284" behindDoc="0" locked="0" layoutInCell="1" allowOverlap="1" wp14:anchorId="46158789" wp14:editId="016632D4">
                <wp:simplePos x="0" y="0"/>
                <wp:positionH relativeFrom="margin">
                  <wp:align>left</wp:align>
                </wp:positionH>
                <wp:positionV relativeFrom="paragraph">
                  <wp:posOffset>4009898</wp:posOffset>
                </wp:positionV>
                <wp:extent cx="5855335" cy="472440"/>
                <wp:effectExtent l="0" t="0" r="0" b="3810"/>
                <wp:wrapNone/>
                <wp:docPr id="845536574"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55335" cy="472440"/>
                        </a:xfrm>
                        <a:prstGeom prst="rect">
                          <a:avLst/>
                        </a:prstGeom>
                        <a:solidFill>
                          <a:schemeClr val="lt1"/>
                        </a:solidFill>
                        <a:ln w="6350">
                          <a:noFill/>
                        </a:ln>
                      </wps:spPr>
                      <wps:txbx>
                        <w:txbxContent>
                          <w:p w14:paraId="025BBEC3" w14:textId="1FC632F7" w:rsidR="00CB5F10" w:rsidRDefault="00CB5F10" w:rsidP="00CB5F10">
                            <w:bookmarkStart w:id="19" w:name="_Hlk180171149"/>
                            <w:r w:rsidRPr="004E4B0B">
                              <w:rPr>
                                <w:b/>
                              </w:rPr>
                              <w:t>Time off work</w:t>
                            </w:r>
                            <w:r>
                              <w:rPr>
                                <w:b/>
                              </w:rPr>
                              <w:t>, psych</w:t>
                            </w:r>
                            <w:r w:rsidR="00F6418F">
                              <w:rPr>
                                <w:b/>
                              </w:rPr>
                              <w:t>ological</w:t>
                            </w:r>
                            <w:r>
                              <w:rPr>
                                <w:b/>
                              </w:rPr>
                              <w:t xml:space="preserve"> claims</w:t>
                            </w:r>
                            <w:r w:rsidRPr="004E4B0B">
                              <w:rPr>
                                <w:b/>
                              </w:rPr>
                              <w:t>:</w:t>
                            </w:r>
                            <w:r>
                              <w:rPr>
                                <w:b/>
                              </w:rPr>
                              <w:t xml:space="preserve"> </w:t>
                            </w:r>
                            <w:r w:rsidR="006D0094" w:rsidRPr="006D0094">
                              <w:rPr>
                                <w:bCs/>
                              </w:rPr>
                              <w:t>Psychological claims typically require more time off work,</w:t>
                            </w:r>
                            <w:r w:rsidR="006D0094">
                              <w:rPr>
                                <w:b/>
                              </w:rPr>
                              <w:t xml:space="preserve"> </w:t>
                            </w:r>
                            <w:r w:rsidR="006D0094">
                              <w:rPr>
                                <w:bCs/>
                              </w:rPr>
                              <w:t>increasing by</w:t>
                            </w:r>
                            <w:r>
                              <w:t xml:space="preserve"> </w:t>
                            </w:r>
                            <w:r w:rsidRPr="00020D8A">
                              <w:t>2</w:t>
                            </w:r>
                            <w:r>
                              <w:t>0.63</w:t>
                            </w:r>
                            <w:r w:rsidRPr="00020D8A">
                              <w:t>%</w:t>
                            </w:r>
                            <w:r>
                              <w:t xml:space="preserve">, from 16.0 </w:t>
                            </w:r>
                            <w:r w:rsidRPr="00020D8A">
                              <w:t xml:space="preserve">weeks in 2014-15 to </w:t>
                            </w:r>
                            <w:r>
                              <w:t>19.3</w:t>
                            </w:r>
                            <w:r w:rsidRPr="00020D8A">
                              <w:t xml:space="preserve"> weeks in 2023-24.</w:t>
                            </w:r>
                          </w:p>
                          <w:bookmarkEnd w:id="19"/>
                          <w:p w14:paraId="1700AEB0" w14:textId="77777777" w:rsidR="00C152BD" w:rsidRDefault="00C152BD" w:rsidP="00CB5F10"/>
                          <w:p w14:paraId="5BC036E2" w14:textId="77777777" w:rsidR="00C152BD" w:rsidRDefault="00C152BD" w:rsidP="00CB5F10"/>
                          <w:p w14:paraId="0AB7196E" w14:textId="77777777" w:rsidR="00C152BD" w:rsidRDefault="00C152BD" w:rsidP="00CB5F10"/>
                          <w:p w14:paraId="790DF03E" w14:textId="59217776" w:rsidR="003F1CA6" w:rsidRDefault="003F1C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58789" id="_x0000_s1047" type="#_x0000_t202" alt="&quot;&quot;" style="position:absolute;margin-left:0;margin-top:315.75pt;width:461.05pt;height:37.2pt;z-index:2516582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" fillcolor="white [3201]" stroked="f" strokeweight=".5pt">
                <v:textbox>
                  <w:txbxContent>
                    <w:p w14:paraId="025BBEC3" w14:textId="1FC632F7" w:rsidR="00CB5F10" w:rsidRDefault="00CB5F10" w:rsidP="00CB5F10">
                      <w:bookmarkStart w:id="20" w:name="_Hlk180171149"/>
                      <w:r w:rsidRPr="004E4B0B">
                        <w:rPr>
                          <w:b/>
                        </w:rPr>
                        <w:t>Time off work</w:t>
                      </w:r>
                      <w:r>
                        <w:rPr>
                          <w:b/>
                        </w:rPr>
                        <w:t>, psych</w:t>
                      </w:r>
                      <w:r w:rsidR="00F6418F">
                        <w:rPr>
                          <w:b/>
                        </w:rPr>
                        <w:t>ological</w:t>
                      </w:r>
                      <w:r>
                        <w:rPr>
                          <w:b/>
                        </w:rPr>
                        <w:t xml:space="preserve"> claims</w:t>
                      </w:r>
                      <w:r w:rsidRPr="004E4B0B">
                        <w:rPr>
                          <w:b/>
                        </w:rPr>
                        <w:t>:</w:t>
                      </w:r>
                      <w:r>
                        <w:rPr>
                          <w:b/>
                        </w:rPr>
                        <w:t xml:space="preserve"> </w:t>
                      </w:r>
                      <w:r w:rsidR="006D0094" w:rsidRPr="006D0094">
                        <w:rPr>
                          <w:bCs/>
                        </w:rPr>
                        <w:t>Psychological claims typically require more time off work,</w:t>
                      </w:r>
                      <w:r w:rsidR="006D0094">
                        <w:rPr>
                          <w:b/>
                        </w:rPr>
                        <w:t xml:space="preserve"> </w:t>
                      </w:r>
                      <w:r w:rsidR="006D0094">
                        <w:rPr>
                          <w:bCs/>
                        </w:rPr>
                        <w:t>increasing by</w:t>
                      </w:r>
                      <w:r>
                        <w:t xml:space="preserve"> </w:t>
                      </w:r>
                      <w:r w:rsidRPr="00020D8A">
                        <w:t>2</w:t>
                      </w:r>
                      <w:r>
                        <w:t>0.63</w:t>
                      </w:r>
                      <w:r w:rsidRPr="00020D8A">
                        <w:t>%</w:t>
                      </w:r>
                      <w:r>
                        <w:t xml:space="preserve">, from 16.0 </w:t>
                      </w:r>
                      <w:r w:rsidRPr="00020D8A">
                        <w:t xml:space="preserve">weeks in 2014-15 to </w:t>
                      </w:r>
                      <w:r>
                        <w:t>19.3</w:t>
                      </w:r>
                      <w:r w:rsidRPr="00020D8A">
                        <w:t xml:space="preserve"> weeks in 2023-24.</w:t>
                      </w:r>
                    </w:p>
                    <w:bookmarkEnd w:id="20"/>
                    <w:p w14:paraId="1700AEB0" w14:textId="77777777" w:rsidR="00C152BD" w:rsidRDefault="00C152BD" w:rsidP="00CB5F10"/>
                    <w:p w14:paraId="5BC036E2" w14:textId="77777777" w:rsidR="00C152BD" w:rsidRDefault="00C152BD" w:rsidP="00CB5F10"/>
                    <w:p w14:paraId="0AB7196E" w14:textId="77777777" w:rsidR="00C152BD" w:rsidRDefault="00C152BD" w:rsidP="00CB5F10"/>
                    <w:p w14:paraId="790DF03E" w14:textId="59217776" w:rsidR="003F1CA6" w:rsidRDefault="003F1CA6"/>
                  </w:txbxContent>
                </v:textbox>
                <w10:wrap anchorx="margin"/>
              </v:shape>
            </w:pict>
          </mc:Fallback>
        </mc:AlternateContent>
      </w:r>
      <w:r w:rsidRPr="005E4A52">
        <w:rPr>
          <w:noProof/>
        </w:rPr>
        <w:drawing>
          <wp:anchor distT="0" distB="0" distL="114300" distR="114300" simplePos="0" relativeHeight="251658281" behindDoc="1" locked="0" layoutInCell="1" allowOverlap="1" wp14:anchorId="6F0DF5CC" wp14:editId="48B8ADBB">
            <wp:simplePos x="0" y="0"/>
            <wp:positionH relativeFrom="margin">
              <wp:align>right</wp:align>
            </wp:positionH>
            <wp:positionV relativeFrom="paragraph">
              <wp:posOffset>552857</wp:posOffset>
            </wp:positionV>
            <wp:extent cx="5654040" cy="3305175"/>
            <wp:effectExtent l="0" t="0" r="3810" b="9525"/>
            <wp:wrapTight wrapText="bothSides">
              <wp:wrapPolygon edited="0">
                <wp:start x="0" y="0"/>
                <wp:lineTo x="0" y="21538"/>
                <wp:lineTo x="21542" y="21538"/>
                <wp:lineTo x="21542" y="0"/>
                <wp:lineTo x="0" y="0"/>
              </wp:wrapPolygon>
            </wp:wrapTight>
            <wp:docPr id="1647926887" name="Chart 1">
              <a:extLst xmlns:a="http://schemas.openxmlformats.org/drawingml/2006/main">
                <a:ext uri="{FF2B5EF4-FFF2-40B4-BE49-F238E27FC236}">
                  <a16:creationId xmlns:a16="http://schemas.microsoft.com/office/drawing/2014/main" id="{71B8569E-2622-49FD-A6BC-320421F479E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sidRPr="005E4A52">
        <w:rPr>
          <w:noProof/>
        </w:rPr>
        <mc:AlternateContent>
          <mc:Choice Requires="wps">
            <w:drawing>
              <wp:anchor distT="0" distB="0" distL="114300" distR="114300" simplePos="0" relativeHeight="251658262" behindDoc="1" locked="0" layoutInCell="1" allowOverlap="1" wp14:anchorId="6776FB5B" wp14:editId="6FEDBA0C">
                <wp:simplePos x="0" y="0"/>
                <wp:positionH relativeFrom="margin">
                  <wp:posOffset>-8280</wp:posOffset>
                </wp:positionH>
                <wp:positionV relativeFrom="page">
                  <wp:posOffset>854355</wp:posOffset>
                </wp:positionV>
                <wp:extent cx="5730240" cy="449580"/>
                <wp:effectExtent l="0" t="0" r="3810" b="7620"/>
                <wp:wrapTight wrapText="bothSides">
                  <wp:wrapPolygon edited="0">
                    <wp:start x="0" y="0"/>
                    <wp:lineTo x="0" y="21051"/>
                    <wp:lineTo x="21543" y="21051"/>
                    <wp:lineTo x="21543" y="0"/>
                    <wp:lineTo x="0" y="0"/>
                  </wp:wrapPolygon>
                </wp:wrapTight>
                <wp:docPr id="987702048"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30240" cy="449580"/>
                        </a:xfrm>
                        <a:prstGeom prst="rect">
                          <a:avLst/>
                        </a:prstGeom>
                        <a:solidFill>
                          <a:schemeClr val="lt1"/>
                        </a:solidFill>
                        <a:ln w="6350">
                          <a:noFill/>
                        </a:ln>
                      </wps:spPr>
                      <wps:txbx>
                        <w:txbxContent>
                          <w:p w14:paraId="33594EE8" w14:textId="5E478736" w:rsidR="00857EE1" w:rsidRPr="00166265" w:rsidRDefault="00857EE1" w:rsidP="00857EE1">
                            <w:bookmarkStart w:id="21" w:name="_Hlk180171130"/>
                            <w:r w:rsidRPr="004E4B0B">
                              <w:rPr>
                                <w:b/>
                              </w:rPr>
                              <w:t>Time off work:</w:t>
                            </w:r>
                            <w:r>
                              <w:rPr>
                                <w:b/>
                              </w:rPr>
                              <w:t xml:space="preserve"> </w:t>
                            </w:r>
                            <w:r w:rsidRPr="009935FF">
                              <w:rPr>
                                <w:bCs/>
                              </w:rPr>
                              <w:t>Th</w:t>
                            </w:r>
                            <w:r w:rsidRPr="007C3072">
                              <w:rPr>
                                <w:bCs/>
                              </w:rPr>
                              <w:t>e</w:t>
                            </w:r>
                            <w:r w:rsidRPr="007602EE">
                              <w:t xml:space="preserve"> typical duration of time spent off work for workers’ compensation claims </w:t>
                            </w:r>
                            <w:r>
                              <w:t xml:space="preserve">in the scheme </w:t>
                            </w:r>
                            <w:r w:rsidRPr="007602EE">
                              <w:t>has increas</w:t>
                            </w:r>
                            <w:r>
                              <w:t xml:space="preserve">ed by </w:t>
                            </w:r>
                            <w:r w:rsidRPr="00020D8A">
                              <w:t>21.81%</w:t>
                            </w:r>
                            <w:r>
                              <w:t xml:space="preserve">, from </w:t>
                            </w:r>
                            <w:r w:rsidRPr="00020D8A">
                              <w:t>5.5 weeks in 2014-15 to 6.7 weeks in 2023-24.</w:t>
                            </w:r>
                          </w:p>
                          <w:bookmarkEnd w:id="21"/>
                          <w:p w14:paraId="0434F6D2" w14:textId="77777777" w:rsidR="00857EE1" w:rsidRDefault="00857EE1"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6FB5B" id="_x0000_s1048" type="#_x0000_t202" alt="&quot;&quot;" style="position:absolute;margin-left:-.65pt;margin-top:67.25pt;width:451.2pt;height:35.4pt;z-index:-25165821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" fillcolor="white [3201]" stroked="f" strokeweight=".5pt">
                <v:textbox>
                  <w:txbxContent>
                    <w:p w14:paraId="33594EE8" w14:textId="5E478736" w:rsidR="00857EE1" w:rsidRPr="00166265" w:rsidRDefault="00857EE1" w:rsidP="00857EE1">
                      <w:bookmarkStart w:id="22" w:name="_Hlk180171130"/>
                      <w:r w:rsidRPr="004E4B0B">
                        <w:rPr>
                          <w:b/>
                        </w:rPr>
                        <w:t>Time off work:</w:t>
                      </w:r>
                      <w:r>
                        <w:rPr>
                          <w:b/>
                        </w:rPr>
                        <w:t xml:space="preserve"> </w:t>
                      </w:r>
                      <w:r w:rsidRPr="009935FF">
                        <w:rPr>
                          <w:bCs/>
                        </w:rPr>
                        <w:t>Th</w:t>
                      </w:r>
                      <w:r w:rsidRPr="007C3072">
                        <w:rPr>
                          <w:bCs/>
                        </w:rPr>
                        <w:t>e</w:t>
                      </w:r>
                      <w:r w:rsidRPr="007602EE">
                        <w:t xml:space="preserve"> typical duration of time spent off work for workers’ compensation claims </w:t>
                      </w:r>
                      <w:r>
                        <w:t xml:space="preserve">in the scheme </w:t>
                      </w:r>
                      <w:r w:rsidRPr="007602EE">
                        <w:t>has increas</w:t>
                      </w:r>
                      <w:r>
                        <w:t xml:space="preserve">ed by </w:t>
                      </w:r>
                      <w:r w:rsidRPr="00020D8A">
                        <w:t>21.81%</w:t>
                      </w:r>
                      <w:r>
                        <w:t xml:space="preserve">, from </w:t>
                      </w:r>
                      <w:r w:rsidRPr="00020D8A">
                        <w:t>5.5 weeks in 2014-15 to 6.7 weeks in 2023-24.</w:t>
                      </w:r>
                    </w:p>
                    <w:bookmarkEnd w:id="22"/>
                    <w:p w14:paraId="0434F6D2" w14:textId="77777777" w:rsidR="00857EE1" w:rsidRDefault="00857EE1" w:rsidP="00857EE1"/>
                  </w:txbxContent>
                </v:textbox>
                <w10:wrap type="tight" anchorx="margin" anchory="page"/>
              </v:shape>
            </w:pict>
          </mc:Fallback>
        </mc:AlternateContent>
      </w:r>
    </w:p>
    <w:p w14:paraId="2A39C446" w14:textId="28691358" w:rsidR="00857EE1" w:rsidRPr="005E4A52" w:rsidRDefault="008C08F4" w:rsidP="00857EE1">
      <w:pPr>
        <w:rPr>
          <w:b/>
        </w:rPr>
      </w:pPr>
      <w:r>
        <w:rPr>
          <w:noProof/>
        </w:rPr>
        <w:drawing>
          <wp:anchor distT="0" distB="0" distL="114300" distR="114300" simplePos="0" relativeHeight="251658283" behindDoc="0" locked="0" layoutInCell="1" allowOverlap="1" wp14:anchorId="04C5E968" wp14:editId="0E073EDF">
            <wp:simplePos x="0" y="0"/>
            <wp:positionH relativeFrom="margin">
              <wp:align>right</wp:align>
            </wp:positionH>
            <wp:positionV relativeFrom="paragraph">
              <wp:posOffset>316535</wp:posOffset>
            </wp:positionV>
            <wp:extent cx="5631180" cy="3476625"/>
            <wp:effectExtent l="0" t="0" r="7620" b="9525"/>
            <wp:wrapSquare wrapText="bothSides"/>
            <wp:docPr id="389205501" name="Char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p>
    <w:p w14:paraId="6778B7D4" w14:textId="4DDB05F4" w:rsidR="00F819DC" w:rsidRDefault="00F819DC" w:rsidP="00857EE1">
      <w:pPr>
        <w:rPr>
          <w:b/>
        </w:rPr>
      </w:pPr>
    </w:p>
    <w:p w14:paraId="53EB8311" w14:textId="056E60A3" w:rsidR="00F819DC" w:rsidRDefault="00F819DC" w:rsidP="00857EE1">
      <w:pPr>
        <w:rPr>
          <w:b/>
        </w:rPr>
      </w:pPr>
    </w:p>
    <w:p w14:paraId="05FF3EB0" w14:textId="2FC9F8B2" w:rsidR="00F819DC" w:rsidRDefault="004F79AC" w:rsidP="00857EE1">
      <w:pPr>
        <w:rPr>
          <w:b/>
        </w:rPr>
      </w:pPr>
      <w:r w:rsidRPr="005E4A52">
        <w:rPr>
          <w:b/>
          <w:noProof/>
        </w:rPr>
        <w:lastRenderedPageBreak/>
        <mc:AlternateContent>
          <mc:Choice Requires="wps">
            <w:drawing>
              <wp:anchor distT="0" distB="0" distL="114300" distR="114300" simplePos="0" relativeHeight="251658267" behindDoc="1" locked="0" layoutInCell="1" allowOverlap="1" wp14:anchorId="109DF110" wp14:editId="4703A2B0">
                <wp:simplePos x="0" y="0"/>
                <wp:positionH relativeFrom="margin">
                  <wp:align>center</wp:align>
                </wp:positionH>
                <wp:positionV relativeFrom="paragraph">
                  <wp:posOffset>-330150</wp:posOffset>
                </wp:positionV>
                <wp:extent cx="6120000" cy="7417612"/>
                <wp:effectExtent l="0" t="0" r="14605" b="12065"/>
                <wp:wrapNone/>
                <wp:docPr id="1122604129"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20000" cy="7417612"/>
                        </a:xfrm>
                        <a:prstGeom prst="rect">
                          <a:avLst/>
                        </a:prstGeom>
                        <a:solidFill>
                          <a:schemeClr val="lt1"/>
                        </a:solidFill>
                        <a:ln w="6350">
                          <a:solidFill>
                            <a:schemeClr val="accent1"/>
                          </a:solidFill>
                        </a:ln>
                      </wps:spPr>
                      <wps:txbx>
                        <w:txbxContent>
                          <w:p w14:paraId="47C93E3C" w14:textId="2996AF17" w:rsidR="00857EE1" w:rsidRDefault="00857EE1" w:rsidP="00C02798">
                            <w:pPr>
                              <w:spacing w:before="240"/>
                              <w:ind w:left="284"/>
                            </w:pPr>
                            <w:r w:rsidRPr="004E4B0B">
                              <w:rPr>
                                <w:b/>
                              </w:rPr>
                              <w:t>Cause of claim:</w:t>
                            </w:r>
                            <w:r>
                              <w:rPr>
                                <w:b/>
                              </w:rPr>
                              <w:t xml:space="preserve"> </w:t>
                            </w:r>
                            <w:r>
                              <w:t>T</w:t>
                            </w:r>
                            <w:r w:rsidRPr="00377A50">
                              <w:t xml:space="preserve">he most common </w:t>
                            </w:r>
                            <w:r>
                              <w:t xml:space="preserve">cause of </w:t>
                            </w:r>
                            <w:r w:rsidRPr="00256D90">
                              <w:t>claim</w:t>
                            </w:r>
                            <w:r>
                              <w:t xml:space="preserve">s </w:t>
                            </w:r>
                            <w:r w:rsidR="00C02798">
                              <w:t>is</w:t>
                            </w:r>
                            <w:r>
                              <w:t xml:space="preserve"> body stressing (health problems associated with repetitive and strenuous work), falls, trips and slips, being hit by moving objects and mental stress</w:t>
                            </w:r>
                            <w:r w:rsidR="001A2510">
                              <w:t xml:space="preserve"> </w:t>
                            </w:r>
                            <w:r w:rsidR="001A2510">
                              <w:rPr>
                                <w:bCs/>
                              </w:rPr>
                              <w:t>(</w:t>
                            </w:r>
                            <w:r w:rsidR="008D516F">
                              <w:rPr>
                                <w:bCs/>
                              </w:rPr>
                              <w:t xml:space="preserve">as </w:t>
                            </w:r>
                            <w:proofErr w:type="gramStart"/>
                            <w:r w:rsidR="008D516F">
                              <w:rPr>
                                <w:bCs/>
                              </w:rPr>
                              <w:t>at</w:t>
                            </w:r>
                            <w:proofErr w:type="gramEnd"/>
                            <w:r w:rsidR="008D516F">
                              <w:rPr>
                                <w:bCs/>
                              </w:rPr>
                              <w:t xml:space="preserve"> 30 </w:t>
                            </w:r>
                            <w:r w:rsidR="001A2510">
                              <w:rPr>
                                <w:bCs/>
                              </w:rPr>
                              <w:t>June 2024)</w:t>
                            </w:r>
                            <w:r>
                              <w:t>.</w:t>
                            </w:r>
                            <w:r w:rsidR="00474CD0" w:rsidRPr="00474CD0">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DF110" id="Text Box 6" o:spid="_x0000_s1049" type="#_x0000_t202" alt="&quot;&quot;" style="position:absolute;margin-left:0;margin-top:-26pt;width:481.9pt;height:584.05pt;z-index:-2516582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" fillcolor="white [3201]" strokecolor="#394390 [3204]" strokeweight=".5pt">
                <v:textbox>
                  <w:txbxContent>
                    <w:p w14:paraId="47C93E3C" w14:textId="2996AF17" w:rsidR="00857EE1" w:rsidRDefault="00857EE1" w:rsidP="00C02798">
                      <w:pPr>
                        <w:spacing w:before="240"/>
                        <w:ind w:left="284"/>
                      </w:pPr>
                      <w:r w:rsidRPr="004E4B0B">
                        <w:rPr>
                          <w:b/>
                        </w:rPr>
                        <w:t>Cause of claim:</w:t>
                      </w:r>
                      <w:r>
                        <w:rPr>
                          <w:b/>
                        </w:rPr>
                        <w:t xml:space="preserve"> </w:t>
                      </w:r>
                      <w:r>
                        <w:t>T</w:t>
                      </w:r>
                      <w:r w:rsidRPr="00377A50">
                        <w:t xml:space="preserve">he most common </w:t>
                      </w:r>
                      <w:r>
                        <w:t xml:space="preserve">cause of </w:t>
                      </w:r>
                      <w:r w:rsidRPr="00256D90">
                        <w:t>claim</w:t>
                      </w:r>
                      <w:r>
                        <w:t xml:space="preserve">s </w:t>
                      </w:r>
                      <w:r w:rsidR="00C02798">
                        <w:t>is</w:t>
                      </w:r>
                      <w:r>
                        <w:t xml:space="preserve"> body stressing (health problems associated with repetitive and strenuous work), falls, trips and slips, being hit by moving objects and mental stress</w:t>
                      </w:r>
                      <w:r w:rsidR="001A2510">
                        <w:t xml:space="preserve"> </w:t>
                      </w:r>
                      <w:r w:rsidR="001A2510">
                        <w:rPr>
                          <w:bCs/>
                        </w:rPr>
                        <w:t>(</w:t>
                      </w:r>
                      <w:r w:rsidR="008D516F">
                        <w:rPr>
                          <w:bCs/>
                        </w:rPr>
                        <w:t xml:space="preserve">as </w:t>
                      </w:r>
                      <w:proofErr w:type="gramStart"/>
                      <w:r w:rsidR="008D516F">
                        <w:rPr>
                          <w:bCs/>
                        </w:rPr>
                        <w:t>at</w:t>
                      </w:r>
                      <w:proofErr w:type="gramEnd"/>
                      <w:r w:rsidR="008D516F">
                        <w:rPr>
                          <w:bCs/>
                        </w:rPr>
                        <w:t xml:space="preserve"> 30 </w:t>
                      </w:r>
                      <w:r w:rsidR="001A2510">
                        <w:rPr>
                          <w:bCs/>
                        </w:rPr>
                        <w:t>June 2024)</w:t>
                      </w:r>
                      <w:r>
                        <w:t>.</w:t>
                      </w:r>
                      <w:r w:rsidR="00474CD0" w:rsidRPr="00474CD0">
                        <w:rPr>
                          <w:noProof/>
                        </w:rPr>
                        <w:t xml:space="preserve"> </w:t>
                      </w:r>
                    </w:p>
                  </w:txbxContent>
                </v:textbox>
                <w10:wrap anchorx="margin"/>
              </v:shape>
            </w:pict>
          </mc:Fallback>
        </mc:AlternateContent>
      </w:r>
    </w:p>
    <w:p w14:paraId="2C0977CC" w14:textId="16806637" w:rsidR="00F819DC" w:rsidRDefault="00C02798" w:rsidP="00857EE1">
      <w:pPr>
        <w:rPr>
          <w:b/>
        </w:rPr>
      </w:pPr>
      <w:r w:rsidRPr="005E4A52">
        <w:rPr>
          <w:b/>
          <w:noProof/>
        </w:rPr>
        <mc:AlternateContent>
          <mc:Choice Requires="wps">
            <w:drawing>
              <wp:anchor distT="0" distB="0" distL="114300" distR="114300" simplePos="0" relativeHeight="251658276" behindDoc="0" locked="0" layoutInCell="1" allowOverlap="1" wp14:anchorId="26F0ABC0" wp14:editId="7185242F">
                <wp:simplePos x="0" y="0"/>
                <wp:positionH relativeFrom="margin">
                  <wp:align>left</wp:align>
                </wp:positionH>
                <wp:positionV relativeFrom="paragraph">
                  <wp:posOffset>289332</wp:posOffset>
                </wp:positionV>
                <wp:extent cx="4133850" cy="285750"/>
                <wp:effectExtent l="0" t="0" r="0" b="0"/>
                <wp:wrapNone/>
                <wp:docPr id="171674122"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33850" cy="285750"/>
                        </a:xfrm>
                        <a:prstGeom prst="rect">
                          <a:avLst/>
                        </a:prstGeom>
                        <a:noFill/>
                        <a:ln w="6350">
                          <a:noFill/>
                        </a:ln>
                      </wps:spPr>
                      <wps:txbx>
                        <w:txbxContent>
                          <w:p w14:paraId="63F0CEED" w14:textId="7B8527A1" w:rsidR="00857EE1" w:rsidRPr="00C83C12" w:rsidRDefault="00857EE1" w:rsidP="00857EE1">
                            <w:pPr>
                              <w:rPr>
                                <w:b/>
                                <w:bCs/>
                              </w:rPr>
                            </w:pPr>
                            <w:r w:rsidRPr="00C83C12">
                              <w:rPr>
                                <w:b/>
                                <w:bCs/>
                              </w:rPr>
                              <w:t xml:space="preserve">Total </w:t>
                            </w:r>
                            <w:proofErr w:type="gramStart"/>
                            <w:r w:rsidRPr="00C83C12">
                              <w:rPr>
                                <w:b/>
                                <w:bCs/>
                              </w:rPr>
                              <w:t>scheme</w:t>
                            </w:r>
                            <w:proofErr w:type="gramEnd"/>
                            <w:r w:rsidRPr="00C83C12">
                              <w:rPr>
                                <w:b/>
                                <w:bCs/>
                              </w:rPr>
                              <w:t xml:space="preserve"> claim</w:t>
                            </w:r>
                            <w:r w:rsidR="00C63CAB">
                              <w:rPr>
                                <w:b/>
                                <w:bCs/>
                              </w:rPr>
                              <w:t xml:space="preserve"> cause</w:t>
                            </w:r>
                            <w:r w:rsidRPr="00C83C12">
                              <w:rPr>
                                <w:b/>
                                <w:bCs/>
                              </w:rPr>
                              <w:t xml:space="preserve"> type</w:t>
                            </w:r>
                            <w:r w:rsidR="00F93A97">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0ABC0" id="_x0000_s1050" type="#_x0000_t202" alt="&quot;&quot;" style="position:absolute;margin-left:0;margin-top:22.8pt;width:325.5pt;height:22.5pt;z-index:2516582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" filled="f" stroked="f" strokeweight=".5pt">
                <v:textbox>
                  <w:txbxContent>
                    <w:p w14:paraId="63F0CEED" w14:textId="7B8527A1" w:rsidR="00857EE1" w:rsidRPr="00C83C12" w:rsidRDefault="00857EE1" w:rsidP="00857EE1">
                      <w:pPr>
                        <w:rPr>
                          <w:b/>
                          <w:bCs/>
                        </w:rPr>
                      </w:pPr>
                      <w:r w:rsidRPr="00C83C12">
                        <w:rPr>
                          <w:b/>
                          <w:bCs/>
                        </w:rPr>
                        <w:t xml:space="preserve">Total </w:t>
                      </w:r>
                      <w:proofErr w:type="gramStart"/>
                      <w:r w:rsidRPr="00C83C12">
                        <w:rPr>
                          <w:b/>
                          <w:bCs/>
                        </w:rPr>
                        <w:t>scheme</w:t>
                      </w:r>
                      <w:proofErr w:type="gramEnd"/>
                      <w:r w:rsidRPr="00C83C12">
                        <w:rPr>
                          <w:b/>
                          <w:bCs/>
                        </w:rPr>
                        <w:t xml:space="preserve"> claim</w:t>
                      </w:r>
                      <w:r w:rsidR="00C63CAB">
                        <w:rPr>
                          <w:b/>
                          <w:bCs/>
                        </w:rPr>
                        <w:t xml:space="preserve"> cause</w:t>
                      </w:r>
                      <w:r w:rsidRPr="00C83C12">
                        <w:rPr>
                          <w:b/>
                          <w:bCs/>
                        </w:rPr>
                        <w:t xml:space="preserve"> type</w:t>
                      </w:r>
                      <w:r w:rsidR="00F93A97">
                        <w:rPr>
                          <w:b/>
                          <w:bCs/>
                        </w:rPr>
                        <w:t xml:space="preserve"> </w:t>
                      </w:r>
                    </w:p>
                  </w:txbxContent>
                </v:textbox>
                <w10:wrap anchorx="margin"/>
              </v:shape>
            </w:pict>
          </mc:Fallback>
        </mc:AlternateContent>
      </w:r>
    </w:p>
    <w:p w14:paraId="401DA3C2" w14:textId="52791571" w:rsidR="00F819DC" w:rsidRDefault="00B73165" w:rsidP="00857EE1">
      <w:pPr>
        <w:rPr>
          <w:b/>
        </w:rPr>
      </w:pPr>
      <w:r>
        <w:rPr>
          <w:noProof/>
        </w:rPr>
        <w:drawing>
          <wp:anchor distT="0" distB="0" distL="114300" distR="114300" simplePos="0" relativeHeight="251658294" behindDoc="0" locked="0" layoutInCell="1" allowOverlap="1" wp14:anchorId="366ADE64" wp14:editId="365F466F">
            <wp:simplePos x="0" y="0"/>
            <wp:positionH relativeFrom="column">
              <wp:posOffset>134740</wp:posOffset>
            </wp:positionH>
            <wp:positionV relativeFrom="paragraph">
              <wp:posOffset>312428</wp:posOffset>
            </wp:positionV>
            <wp:extent cx="1222219" cy="1374672"/>
            <wp:effectExtent l="0" t="0" r="0" b="0"/>
            <wp:wrapNone/>
            <wp:docPr id="5801704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70449" name="Picture 1">
                      <a:extLst>
                        <a:ext uri="{C183D7F6-B498-43B3-948B-1728B52AA6E4}">
                          <adec:decorative xmlns:adec="http://schemas.microsoft.com/office/drawing/2017/decorative" val="1"/>
                        </a:ext>
                      </a:extLst>
                    </pic:cNvPr>
                    <pic:cNvPicPr/>
                  </pic:nvPicPr>
                  <pic:blipFill>
                    <a:blip r:embed="rId69">
                      <a:extLst>
                        <a:ext uri="{28A0092B-C50C-407E-A947-70E740481C1C}">
                          <a14:useLocalDpi xmlns:a14="http://schemas.microsoft.com/office/drawing/2010/main" val="0"/>
                        </a:ext>
                      </a:extLst>
                    </a:blip>
                    <a:stretch>
                      <a:fillRect/>
                    </a:stretch>
                  </pic:blipFill>
                  <pic:spPr>
                    <a:xfrm>
                      <a:off x="0" y="0"/>
                      <a:ext cx="1222698" cy="137521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95" behindDoc="0" locked="0" layoutInCell="1" allowOverlap="1" wp14:anchorId="500A1285" wp14:editId="31A09540">
            <wp:simplePos x="0" y="0"/>
            <wp:positionH relativeFrom="margin">
              <wp:posOffset>4422067</wp:posOffset>
            </wp:positionH>
            <wp:positionV relativeFrom="paragraph">
              <wp:posOffset>279496</wp:posOffset>
            </wp:positionV>
            <wp:extent cx="1233577" cy="1423866"/>
            <wp:effectExtent l="0" t="0" r="5080" b="5080"/>
            <wp:wrapNone/>
            <wp:docPr id="1733889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8934" name="Picture 1">
                      <a:extLst>
                        <a:ext uri="{C183D7F6-B498-43B3-948B-1728B52AA6E4}">
                          <adec:decorative xmlns:adec="http://schemas.microsoft.com/office/drawing/2017/decorative" val="1"/>
                        </a:ext>
                      </a:extLst>
                    </pic:cNvPr>
                    <pic:cNvPicPr/>
                  </pic:nvPicPr>
                  <pic:blipFill>
                    <a:blip r:embed="rId70">
                      <a:extLst>
                        <a:ext uri="{28A0092B-C50C-407E-A947-70E740481C1C}">
                          <a14:useLocalDpi xmlns:a14="http://schemas.microsoft.com/office/drawing/2010/main" val="0"/>
                        </a:ext>
                      </a:extLst>
                    </a:blip>
                    <a:stretch>
                      <a:fillRect/>
                    </a:stretch>
                  </pic:blipFill>
                  <pic:spPr>
                    <a:xfrm>
                      <a:off x="0" y="0"/>
                      <a:ext cx="1233577" cy="1423866"/>
                    </a:xfrm>
                    <a:prstGeom prst="rect">
                      <a:avLst/>
                    </a:prstGeom>
                  </pic:spPr>
                </pic:pic>
              </a:graphicData>
            </a:graphic>
            <wp14:sizeRelH relativeFrom="margin">
              <wp14:pctWidth>0</wp14:pctWidth>
            </wp14:sizeRelH>
            <wp14:sizeRelV relativeFrom="margin">
              <wp14:pctHeight>0</wp14:pctHeight>
            </wp14:sizeRelV>
          </wp:anchor>
        </w:drawing>
      </w:r>
      <w:r w:rsidR="001A72AF">
        <w:rPr>
          <w:noProof/>
        </w:rPr>
        <w:drawing>
          <wp:anchor distT="0" distB="0" distL="114300" distR="114300" simplePos="0" relativeHeight="251658293" behindDoc="0" locked="0" layoutInCell="1" allowOverlap="1" wp14:anchorId="32371336" wp14:editId="788A92C3">
            <wp:simplePos x="0" y="0"/>
            <wp:positionH relativeFrom="column">
              <wp:posOffset>3024086</wp:posOffset>
            </wp:positionH>
            <wp:positionV relativeFrom="paragraph">
              <wp:posOffset>271780</wp:posOffset>
            </wp:positionV>
            <wp:extent cx="1469460" cy="1449237"/>
            <wp:effectExtent l="0" t="0" r="0" b="0"/>
            <wp:wrapNone/>
            <wp:docPr id="7857459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45926" name="Picture 1">
                      <a:extLst>
                        <a:ext uri="{C183D7F6-B498-43B3-948B-1728B52AA6E4}">
                          <adec:decorative xmlns:adec="http://schemas.microsoft.com/office/drawing/2017/decorative" val="1"/>
                        </a:ext>
                      </a:extLst>
                    </pic:cNvPr>
                    <pic:cNvPicPr/>
                  </pic:nvPicPr>
                  <pic:blipFill>
                    <a:blip r:embed="rId71">
                      <a:extLst>
                        <a:ext uri="{28A0092B-C50C-407E-A947-70E740481C1C}">
                          <a14:useLocalDpi xmlns:a14="http://schemas.microsoft.com/office/drawing/2010/main" val="0"/>
                        </a:ext>
                      </a:extLst>
                    </a:blip>
                    <a:stretch>
                      <a:fillRect/>
                    </a:stretch>
                  </pic:blipFill>
                  <pic:spPr>
                    <a:xfrm>
                      <a:off x="0" y="0"/>
                      <a:ext cx="1469460" cy="1449237"/>
                    </a:xfrm>
                    <a:prstGeom prst="rect">
                      <a:avLst/>
                    </a:prstGeom>
                  </pic:spPr>
                </pic:pic>
              </a:graphicData>
            </a:graphic>
            <wp14:sizeRelH relativeFrom="margin">
              <wp14:pctWidth>0</wp14:pctWidth>
            </wp14:sizeRelH>
            <wp14:sizeRelV relativeFrom="margin">
              <wp14:pctHeight>0</wp14:pctHeight>
            </wp14:sizeRelV>
          </wp:anchor>
        </w:drawing>
      </w:r>
      <w:r w:rsidR="001A72AF">
        <w:rPr>
          <w:b/>
          <w:noProof/>
        </w:rPr>
        <w:drawing>
          <wp:anchor distT="0" distB="0" distL="114300" distR="114300" simplePos="0" relativeHeight="251658282" behindDoc="0" locked="0" layoutInCell="1" allowOverlap="1" wp14:anchorId="5980EEF0" wp14:editId="772D2CDC">
            <wp:simplePos x="0" y="0"/>
            <wp:positionH relativeFrom="column">
              <wp:posOffset>1255982</wp:posOffset>
            </wp:positionH>
            <wp:positionV relativeFrom="paragraph">
              <wp:posOffset>264904</wp:posOffset>
            </wp:positionV>
            <wp:extent cx="1825904" cy="1421874"/>
            <wp:effectExtent l="0" t="0" r="3175" b="6985"/>
            <wp:wrapNone/>
            <wp:docPr id="4188170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17062" name="Picture 1">
                      <a:extLst>
                        <a:ext uri="{C183D7F6-B498-43B3-948B-1728B52AA6E4}">
                          <adec:decorative xmlns:adec="http://schemas.microsoft.com/office/drawing/2017/decorative" val="1"/>
                        </a:ext>
                      </a:extLst>
                    </pic:cNvPr>
                    <pic:cNvPicPr>
                      <a:picLocks noChangeAspect="1"/>
                    </pic:cNvPicPr>
                  </pic:nvPicPr>
                  <pic:blipFill>
                    <a:blip r:embed="rId72"/>
                    <a:stretch>
                      <a:fillRect/>
                    </a:stretch>
                  </pic:blipFill>
                  <pic:spPr>
                    <a:xfrm>
                      <a:off x="0" y="0"/>
                      <a:ext cx="1825904" cy="1421874"/>
                    </a:xfrm>
                    <a:prstGeom prst="rect">
                      <a:avLst/>
                    </a:prstGeom>
                  </pic:spPr>
                </pic:pic>
              </a:graphicData>
            </a:graphic>
            <wp14:sizeRelH relativeFrom="margin">
              <wp14:pctWidth>0</wp14:pctWidth>
            </wp14:sizeRelH>
            <wp14:sizeRelV relativeFrom="margin">
              <wp14:pctHeight>0</wp14:pctHeight>
            </wp14:sizeRelV>
          </wp:anchor>
        </w:drawing>
      </w:r>
    </w:p>
    <w:p w14:paraId="080062B7" w14:textId="22B3455F" w:rsidR="00F819DC" w:rsidRDefault="00F819DC" w:rsidP="00857EE1">
      <w:pPr>
        <w:rPr>
          <w:b/>
        </w:rPr>
      </w:pPr>
    </w:p>
    <w:p w14:paraId="1E7E213A" w14:textId="39D1291E" w:rsidR="00F819DC" w:rsidRDefault="00F819DC" w:rsidP="00857EE1">
      <w:pPr>
        <w:rPr>
          <w:b/>
        </w:rPr>
      </w:pPr>
    </w:p>
    <w:p w14:paraId="4F2F31FE" w14:textId="3836672A" w:rsidR="00F819DC" w:rsidRDefault="00F819DC" w:rsidP="00857EE1">
      <w:pPr>
        <w:rPr>
          <w:b/>
        </w:rPr>
      </w:pPr>
    </w:p>
    <w:p w14:paraId="200A883E" w14:textId="6AA864E6" w:rsidR="00F819DC" w:rsidRDefault="00F819DC" w:rsidP="00857EE1">
      <w:pPr>
        <w:rPr>
          <w:b/>
        </w:rPr>
      </w:pPr>
    </w:p>
    <w:p w14:paraId="1BFDA497" w14:textId="4E0CD8CF" w:rsidR="00F819DC" w:rsidRDefault="00C02798" w:rsidP="00857EE1">
      <w:pPr>
        <w:rPr>
          <w:b/>
        </w:rPr>
      </w:pPr>
      <w:r w:rsidRPr="005E4A52">
        <w:rPr>
          <w:noProof/>
        </w:rPr>
        <mc:AlternateContent>
          <mc:Choice Requires="wps">
            <w:drawing>
              <wp:anchor distT="0" distB="0" distL="114300" distR="114300" simplePos="0" relativeHeight="251658275" behindDoc="0" locked="0" layoutInCell="1" allowOverlap="1" wp14:anchorId="3FACA17E" wp14:editId="1B1EF507">
                <wp:simplePos x="0" y="0"/>
                <wp:positionH relativeFrom="margin">
                  <wp:align>left</wp:align>
                </wp:positionH>
                <wp:positionV relativeFrom="paragraph">
                  <wp:posOffset>195783</wp:posOffset>
                </wp:positionV>
                <wp:extent cx="5858510" cy="514350"/>
                <wp:effectExtent l="0" t="0" r="0" b="0"/>
                <wp:wrapNone/>
                <wp:docPr id="189563929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58510" cy="514350"/>
                        </a:xfrm>
                        <a:prstGeom prst="rect">
                          <a:avLst/>
                        </a:prstGeom>
                        <a:noFill/>
                        <a:ln w="6350">
                          <a:noFill/>
                        </a:ln>
                      </wps:spPr>
                      <wps:txbx>
                        <w:txbxContent>
                          <w:p w14:paraId="1D30DEEC" w14:textId="77777777" w:rsidR="00857EE1" w:rsidRDefault="00857EE1" w:rsidP="00857EE1">
                            <w:pPr>
                              <w:rPr>
                                <w:bCs/>
                              </w:rPr>
                            </w:pPr>
                            <w:r w:rsidRPr="00C83C12">
                              <w:rPr>
                                <w:b/>
                              </w:rPr>
                              <w:t>Australian Government workers</w:t>
                            </w:r>
                            <w:r>
                              <w:rPr>
                                <w:bCs/>
                              </w:rPr>
                              <w:t xml:space="preserve"> have a higher proportion of mental stress claims with lower levels of body stressing.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CA17E" id="_x0000_s1051" type="#_x0000_t202" alt="&quot;&quot;" style="position:absolute;margin-left:0;margin-top:15.4pt;width:461.3pt;height:40.5pt;z-index:25165827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" filled="f" stroked="f" strokeweight=".5pt">
                <v:textbox>
                  <w:txbxContent>
                    <w:p w14:paraId="1D30DEEC" w14:textId="77777777" w:rsidR="00857EE1" w:rsidRDefault="00857EE1" w:rsidP="00857EE1">
                      <w:pPr>
                        <w:rPr>
                          <w:bCs/>
                        </w:rPr>
                      </w:pPr>
                      <w:r w:rsidRPr="00C83C12">
                        <w:rPr>
                          <w:b/>
                        </w:rPr>
                        <w:t>Australian Government workers</w:t>
                      </w:r>
                      <w:r>
                        <w:rPr>
                          <w:bCs/>
                        </w:rPr>
                        <w:t xml:space="preserve"> have a higher proportion of mental stress claims with lower levels of body stressing. </w:t>
                      </w:r>
                    </w:p>
                  </w:txbxContent>
                </v:textbox>
                <w10:wrap anchorx="margin"/>
              </v:shape>
            </w:pict>
          </mc:Fallback>
        </mc:AlternateContent>
      </w:r>
    </w:p>
    <w:p w14:paraId="276B84A4" w14:textId="320CF331" w:rsidR="00F819DC" w:rsidRDefault="00F819DC" w:rsidP="00857EE1">
      <w:pPr>
        <w:rPr>
          <w:b/>
        </w:rPr>
      </w:pPr>
    </w:p>
    <w:p w14:paraId="2D25EDF7" w14:textId="51D81AC0" w:rsidR="00F819DC" w:rsidRDefault="004470CB" w:rsidP="00857EE1">
      <w:pPr>
        <w:rPr>
          <w:b/>
        </w:rPr>
      </w:pPr>
      <w:r w:rsidRPr="004470CB">
        <w:rPr>
          <w:noProof/>
        </w:rPr>
        <w:drawing>
          <wp:inline distT="0" distB="0" distL="0" distR="0" wp14:anchorId="09E541DB" wp14:editId="2EB9D60B">
            <wp:extent cx="5759450" cy="1702435"/>
            <wp:effectExtent l="0" t="0" r="0" b="0"/>
            <wp:docPr id="1411684710" name="Picture 1" descr="Heading is Total scheme claim cause type. Icon is a comparison of different types of body stress including:&#10;- Mental stress 28%&#10;- Falls, trips and slips of a person 26%&#10;- Body stressing 19%&#10;- being hit by a moving object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84710" name="Picture 1" descr="Heading is Total scheme claim cause type. Icon is a comparison of different types of body stress including:&#10;- Mental stress 28%&#10;- Falls, trips and slips of a person 26%&#10;- Body stressing 19%&#10;- being hit by a moving objects 5.5%"/>
                    <pic:cNvPicPr/>
                  </pic:nvPicPr>
                  <pic:blipFill>
                    <a:blip r:embed="rId73"/>
                    <a:stretch>
                      <a:fillRect/>
                    </a:stretch>
                  </pic:blipFill>
                  <pic:spPr>
                    <a:xfrm>
                      <a:off x="0" y="0"/>
                      <a:ext cx="5759450" cy="1702435"/>
                    </a:xfrm>
                    <a:prstGeom prst="rect">
                      <a:avLst/>
                    </a:prstGeom>
                  </pic:spPr>
                </pic:pic>
              </a:graphicData>
            </a:graphic>
          </wp:inline>
        </w:drawing>
      </w:r>
      <w:r w:rsidR="00C02798" w:rsidRPr="005E4A52">
        <w:rPr>
          <w:noProof/>
        </w:rPr>
        <mc:AlternateContent>
          <mc:Choice Requires="wps">
            <w:drawing>
              <wp:anchor distT="0" distB="0" distL="114300" distR="114300" simplePos="0" relativeHeight="251658268" behindDoc="0" locked="0" layoutInCell="1" allowOverlap="1" wp14:anchorId="63F2F271" wp14:editId="0DAABFD3">
                <wp:simplePos x="0" y="0"/>
                <wp:positionH relativeFrom="margin">
                  <wp:posOffset>43231</wp:posOffset>
                </wp:positionH>
                <wp:positionV relativeFrom="paragraph">
                  <wp:posOffset>1671371</wp:posOffset>
                </wp:positionV>
                <wp:extent cx="5745480" cy="838200"/>
                <wp:effectExtent l="0" t="0" r="0" b="0"/>
                <wp:wrapNone/>
                <wp:docPr id="1463282995"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45480" cy="838200"/>
                        </a:xfrm>
                        <a:prstGeom prst="rect">
                          <a:avLst/>
                        </a:prstGeom>
                        <a:noFill/>
                        <a:ln w="6350">
                          <a:noFill/>
                        </a:ln>
                      </wps:spPr>
                      <wps:txbx>
                        <w:txbxContent>
                          <w:p w14:paraId="3ED9C9DA" w14:textId="0324EAD3" w:rsidR="00857EE1" w:rsidRDefault="00857EE1" w:rsidP="00857EE1">
                            <w:pPr>
                              <w:rPr>
                                <w:bCs/>
                              </w:rPr>
                            </w:pPr>
                            <w:r w:rsidRPr="00C83C12">
                              <w:rPr>
                                <w:b/>
                              </w:rPr>
                              <w:t>Self-insured licensees</w:t>
                            </w:r>
                            <w:r w:rsidRPr="00BE6D7C">
                              <w:rPr>
                                <w:bCs/>
                              </w:rPr>
                              <w:t xml:space="preserve"> </w:t>
                            </w:r>
                            <w:r>
                              <w:rPr>
                                <w:bCs/>
                              </w:rPr>
                              <w:t xml:space="preserve">(including ACT Government) </w:t>
                            </w:r>
                            <w:r w:rsidRPr="00BE6D7C">
                              <w:rPr>
                                <w:bCs/>
                              </w:rPr>
                              <w:t xml:space="preserve">have </w:t>
                            </w:r>
                            <w:r>
                              <w:rPr>
                                <w:bCs/>
                              </w:rPr>
                              <w:t>lower proportions of mental stress claims and being hit by moving objects,</w:t>
                            </w:r>
                            <w:r w:rsidRPr="00BE6D7C">
                              <w:rPr>
                                <w:bCs/>
                              </w:rPr>
                              <w:t xml:space="preserve"> </w:t>
                            </w:r>
                            <w:r>
                              <w:rPr>
                                <w:bCs/>
                              </w:rPr>
                              <w:t xml:space="preserve">however </w:t>
                            </w:r>
                            <w:r w:rsidRPr="00BE6D7C">
                              <w:rPr>
                                <w:bCs/>
                              </w:rPr>
                              <w:t>higher</w:t>
                            </w:r>
                            <w:r>
                              <w:rPr>
                                <w:bCs/>
                              </w:rPr>
                              <w:t xml:space="preserve"> proportion</w:t>
                            </w:r>
                            <w:r w:rsidRPr="0058738B" w:rsidDel="0047159D">
                              <w:rPr>
                                <w:bCs/>
                              </w:rPr>
                              <w:t xml:space="preserve"> </w:t>
                            </w:r>
                            <w:r>
                              <w:rPr>
                                <w:bCs/>
                              </w:rPr>
                              <w:t xml:space="preserve">of body stress and falls, trips and slips, </w:t>
                            </w:r>
                            <w:r w:rsidRPr="00BE6D7C">
                              <w:rPr>
                                <w:bCs/>
                              </w:rPr>
                              <w:t>as shown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2F271" id="_x0000_s1052" type="#_x0000_t202" alt="&quot;&quot;" style="position:absolute;margin-left:3.4pt;margin-top:131.6pt;width:452.4pt;height:66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" filled="f" stroked="f" strokeweight=".5pt">
                <v:textbox>
                  <w:txbxContent>
                    <w:p w14:paraId="3ED9C9DA" w14:textId="0324EAD3" w:rsidR="00857EE1" w:rsidRDefault="00857EE1" w:rsidP="00857EE1">
                      <w:pPr>
                        <w:rPr>
                          <w:bCs/>
                        </w:rPr>
                      </w:pPr>
                      <w:r w:rsidRPr="00C83C12">
                        <w:rPr>
                          <w:b/>
                        </w:rPr>
                        <w:t>Self-insured licensees</w:t>
                      </w:r>
                      <w:r w:rsidRPr="00BE6D7C">
                        <w:rPr>
                          <w:bCs/>
                        </w:rPr>
                        <w:t xml:space="preserve"> </w:t>
                      </w:r>
                      <w:r>
                        <w:rPr>
                          <w:bCs/>
                        </w:rPr>
                        <w:t xml:space="preserve">(including ACT Government) </w:t>
                      </w:r>
                      <w:r w:rsidRPr="00BE6D7C">
                        <w:rPr>
                          <w:bCs/>
                        </w:rPr>
                        <w:t xml:space="preserve">have </w:t>
                      </w:r>
                      <w:r>
                        <w:rPr>
                          <w:bCs/>
                        </w:rPr>
                        <w:t>lower proportions of mental stress claims and being hit by moving objects,</w:t>
                      </w:r>
                      <w:r w:rsidRPr="00BE6D7C">
                        <w:rPr>
                          <w:bCs/>
                        </w:rPr>
                        <w:t xml:space="preserve"> </w:t>
                      </w:r>
                      <w:r>
                        <w:rPr>
                          <w:bCs/>
                        </w:rPr>
                        <w:t xml:space="preserve">however </w:t>
                      </w:r>
                      <w:r w:rsidRPr="00BE6D7C">
                        <w:rPr>
                          <w:bCs/>
                        </w:rPr>
                        <w:t>higher</w:t>
                      </w:r>
                      <w:r>
                        <w:rPr>
                          <w:bCs/>
                        </w:rPr>
                        <w:t xml:space="preserve"> proportion</w:t>
                      </w:r>
                      <w:r w:rsidRPr="0058738B" w:rsidDel="0047159D">
                        <w:rPr>
                          <w:bCs/>
                        </w:rPr>
                        <w:t xml:space="preserve"> </w:t>
                      </w:r>
                      <w:r>
                        <w:rPr>
                          <w:bCs/>
                        </w:rPr>
                        <w:t xml:space="preserve">of body stress and falls, trips and slips, </w:t>
                      </w:r>
                      <w:r w:rsidRPr="00BE6D7C">
                        <w:rPr>
                          <w:bCs/>
                        </w:rPr>
                        <w:t>as shown below:</w:t>
                      </w:r>
                    </w:p>
                  </w:txbxContent>
                </v:textbox>
                <w10:wrap anchorx="margin"/>
              </v:shape>
            </w:pict>
          </mc:Fallback>
        </mc:AlternateContent>
      </w:r>
    </w:p>
    <w:p w14:paraId="19B97A90" w14:textId="6A872B10" w:rsidR="00F819DC" w:rsidRDefault="00E963D8" w:rsidP="00857EE1">
      <w:pPr>
        <w:rPr>
          <w:b/>
        </w:rPr>
      </w:pPr>
      <w:r w:rsidRPr="000F7198">
        <w:rPr>
          <w:b/>
          <w:noProof/>
        </w:rPr>
        <mc:AlternateContent>
          <mc:Choice Requires="wpg">
            <w:drawing>
              <wp:anchor distT="0" distB="0" distL="114300" distR="114300" simplePos="0" relativeHeight="251658298" behindDoc="1" locked="0" layoutInCell="1" allowOverlap="1" wp14:anchorId="242F3AC8" wp14:editId="7E3376BF">
                <wp:simplePos x="0" y="0"/>
                <wp:positionH relativeFrom="column">
                  <wp:posOffset>42545</wp:posOffset>
                </wp:positionH>
                <wp:positionV relativeFrom="paragraph">
                  <wp:posOffset>251460</wp:posOffset>
                </wp:positionV>
                <wp:extent cx="5831045" cy="1837055"/>
                <wp:effectExtent l="0" t="0" r="0" b="0"/>
                <wp:wrapNone/>
                <wp:docPr id="607275732" name="Group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831045" cy="1837055"/>
                          <a:chOff x="0" y="0"/>
                          <a:chExt cx="6978776" cy="2198360"/>
                        </a:xfrm>
                      </wpg:grpSpPr>
                      <pic:pic xmlns:pic="http://schemas.openxmlformats.org/drawingml/2006/picture">
                        <pic:nvPicPr>
                          <pic:cNvPr id="2087875158" name="Picture 2087875158"/>
                          <pic:cNvPicPr>
                            <a:picLocks noChangeAspect="1"/>
                          </pic:cNvPicPr>
                        </pic:nvPicPr>
                        <pic:blipFill rotWithShape="1">
                          <a:blip r:embed="rId74"/>
                          <a:srcRect r="6814"/>
                          <a:stretch/>
                        </pic:blipFill>
                        <pic:spPr>
                          <a:xfrm>
                            <a:off x="0" y="150199"/>
                            <a:ext cx="1438103" cy="2048161"/>
                          </a:xfrm>
                          <a:prstGeom prst="rect">
                            <a:avLst/>
                          </a:prstGeom>
                        </pic:spPr>
                      </pic:pic>
                      <pic:pic xmlns:pic="http://schemas.openxmlformats.org/drawingml/2006/picture">
                        <pic:nvPicPr>
                          <pic:cNvPr id="1514918845" name="Picture 1514918845"/>
                          <pic:cNvPicPr>
                            <a:picLocks noChangeAspect="1"/>
                          </pic:cNvPicPr>
                        </pic:nvPicPr>
                        <pic:blipFill rotWithShape="1">
                          <a:blip r:embed="rId75"/>
                          <a:srcRect l="10717" r="6925" b="9244"/>
                          <a:stretch/>
                        </pic:blipFill>
                        <pic:spPr>
                          <a:xfrm>
                            <a:off x="1438103" y="0"/>
                            <a:ext cx="2228172" cy="2057687"/>
                          </a:xfrm>
                          <a:prstGeom prst="rect">
                            <a:avLst/>
                          </a:prstGeom>
                        </pic:spPr>
                      </pic:pic>
                      <pic:pic xmlns:pic="http://schemas.openxmlformats.org/drawingml/2006/picture">
                        <pic:nvPicPr>
                          <pic:cNvPr id="1931653184" name="Picture 1931653184"/>
                          <pic:cNvPicPr>
                            <a:picLocks noChangeAspect="1"/>
                          </pic:cNvPicPr>
                        </pic:nvPicPr>
                        <pic:blipFill rotWithShape="1">
                          <a:blip r:embed="rId76"/>
                          <a:srcRect b="9623"/>
                          <a:stretch/>
                        </pic:blipFill>
                        <pic:spPr>
                          <a:xfrm>
                            <a:off x="3747029" y="32929"/>
                            <a:ext cx="1924319" cy="2057687"/>
                          </a:xfrm>
                          <a:prstGeom prst="rect">
                            <a:avLst/>
                          </a:prstGeom>
                        </pic:spPr>
                      </pic:pic>
                      <pic:pic xmlns:pic="http://schemas.openxmlformats.org/drawingml/2006/picture">
                        <pic:nvPicPr>
                          <pic:cNvPr id="1119722399" name="Picture 1119722399"/>
                          <pic:cNvPicPr>
                            <a:picLocks noChangeAspect="1"/>
                          </pic:cNvPicPr>
                        </pic:nvPicPr>
                        <pic:blipFill rotWithShape="1">
                          <a:blip r:embed="rId77"/>
                          <a:srcRect l="7890" b="6658"/>
                          <a:stretch/>
                        </pic:blipFill>
                        <pic:spPr>
                          <a:xfrm>
                            <a:off x="5671348" y="98787"/>
                            <a:ext cx="1307428" cy="199182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45B3D8" id="Group 13" o:spid="_x0000_s1026" style="position:absolute;margin-left:3.35pt;margin-top:19.8pt;width:459.15pt;height:144.65pt;z-index:-251658167;mso-width-relative:margin;mso-height-relative:margin" coordsize="69787,2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">
                <o:lock v:ext="edit" aspectratio="t"/>
                <v:shape id="Picture 2087875158" o:spid="_x0000_s1027" type="#_x0000_t75" style="position:absolute;top:1501;width:14381;height:20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">
                  <v:imagedata r:id="rId78" o:title="" cropright="4466f"/>
                </v:shape>
                <v:shape id="Picture 1514918845" o:spid="_x0000_s1028" type="#_x0000_t75" style="position:absolute;left:14381;width:22281;height:20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">
                  <v:imagedata r:id="rId79" o:title="" cropbottom="6058f" cropleft="7023f" cropright="4538f"/>
                </v:shape>
                <v:shape id="Picture 1931653184" o:spid="_x0000_s1029" type="#_x0000_t75" style="position:absolute;left:37470;top:329;width:19243;height:20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">
                  <v:imagedata r:id="rId80" o:title="" cropbottom="6307f"/>
                </v:shape>
                <v:shape id="Picture 1119722399" o:spid="_x0000_s1030" type="#_x0000_t75" style="position:absolute;left:56713;top:987;width:13074;height:19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">
                  <v:imagedata r:id="rId81" o:title="" cropbottom="4363f" cropleft="5171f"/>
                </v:shape>
              </v:group>
            </w:pict>
          </mc:Fallback>
        </mc:AlternateContent>
      </w:r>
    </w:p>
    <w:p w14:paraId="3908FBF2" w14:textId="51A80C86" w:rsidR="00F819DC" w:rsidRDefault="00F819DC" w:rsidP="00857EE1">
      <w:pPr>
        <w:rPr>
          <w:b/>
        </w:rPr>
      </w:pPr>
    </w:p>
    <w:p w14:paraId="74D957B7" w14:textId="76162D85" w:rsidR="00F819DC" w:rsidRDefault="00F819DC" w:rsidP="00E14312">
      <w:pPr>
        <w:rPr>
          <w:b/>
        </w:rPr>
      </w:pPr>
    </w:p>
    <w:p w14:paraId="570F310E" w14:textId="068B6388" w:rsidR="00F819DC" w:rsidRDefault="00F819DC" w:rsidP="00857EE1">
      <w:pPr>
        <w:rPr>
          <w:b/>
        </w:rPr>
      </w:pPr>
    </w:p>
    <w:p w14:paraId="6B3250A4" w14:textId="1799529E" w:rsidR="00F819DC" w:rsidRDefault="00F819DC" w:rsidP="00857EE1">
      <w:pPr>
        <w:rPr>
          <w:b/>
        </w:rPr>
      </w:pPr>
    </w:p>
    <w:p w14:paraId="2D5386CC" w14:textId="4B39F0B2" w:rsidR="00857EE1" w:rsidRPr="005E4A52" w:rsidRDefault="00857EE1" w:rsidP="00857EE1">
      <w:pPr>
        <w:rPr>
          <w:b/>
        </w:rPr>
      </w:pPr>
    </w:p>
    <w:p w14:paraId="6952B7B9" w14:textId="1575810D" w:rsidR="00857EE1" w:rsidRPr="005E4A52" w:rsidRDefault="00857EE1" w:rsidP="00857EE1">
      <w:pPr>
        <w:rPr>
          <w:b/>
        </w:rPr>
      </w:pPr>
    </w:p>
    <w:p w14:paraId="22DA794D" w14:textId="6335F079" w:rsidR="00857EE1" w:rsidRPr="005E4A52" w:rsidRDefault="00C02798" w:rsidP="00857EE1">
      <w:pPr>
        <w:rPr>
          <w:b/>
        </w:rPr>
      </w:pPr>
      <w:r w:rsidRPr="005E4A52">
        <w:rPr>
          <w:noProof/>
        </w:rPr>
        <w:lastRenderedPageBreak/>
        <mc:AlternateContent>
          <mc:Choice Requires="wps">
            <w:drawing>
              <wp:anchor distT="0" distB="0" distL="114300" distR="114300" simplePos="0" relativeHeight="251658270" behindDoc="1" locked="0" layoutInCell="1" allowOverlap="1" wp14:anchorId="6C7BB711" wp14:editId="58BB2C8C">
                <wp:simplePos x="0" y="0"/>
                <wp:positionH relativeFrom="margin">
                  <wp:posOffset>-300584</wp:posOffset>
                </wp:positionH>
                <wp:positionV relativeFrom="paragraph">
                  <wp:posOffset>-139649</wp:posOffset>
                </wp:positionV>
                <wp:extent cx="6348730" cy="2530627"/>
                <wp:effectExtent l="0" t="0" r="13970" b="22225"/>
                <wp:wrapNone/>
                <wp:docPr id="499601482"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48730" cy="2530627"/>
                        </a:xfrm>
                        <a:prstGeom prst="rect">
                          <a:avLst/>
                        </a:prstGeom>
                        <a:solidFill>
                          <a:schemeClr val="lt1"/>
                        </a:solidFill>
                        <a:ln w="6350">
                          <a:solidFill>
                            <a:schemeClr val="bg2"/>
                          </a:solidFill>
                        </a:ln>
                      </wps:spPr>
                      <wps:txbx>
                        <w:txbxContent>
                          <w:p w14:paraId="537A66CE" w14:textId="77777777" w:rsidR="00857EE1" w:rsidRDefault="00857EE1"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BB711" id="Text Box 21" o:spid="_x0000_s1053" type="#_x0000_t202" alt="&quot;&quot;" style="position:absolute;margin-left:-23.65pt;margin-top:-11pt;width:499.9pt;height:199.25pt;z-index:-2516582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" fillcolor="white [3201]" strokecolor="#009b9f [3214]" strokeweight=".5pt">
                <v:textbox>
                  <w:txbxContent>
                    <w:p w14:paraId="537A66CE" w14:textId="77777777" w:rsidR="00857EE1" w:rsidRDefault="00857EE1" w:rsidP="00857EE1"/>
                  </w:txbxContent>
                </v:textbox>
                <w10:wrap anchorx="margin"/>
              </v:shape>
            </w:pict>
          </mc:Fallback>
        </mc:AlternateContent>
      </w:r>
      <w:r w:rsidRPr="005E4A52">
        <w:rPr>
          <w:noProof/>
        </w:rPr>
        <w:drawing>
          <wp:anchor distT="0" distB="0" distL="114300" distR="114300" simplePos="0" relativeHeight="251658271" behindDoc="0" locked="0" layoutInCell="1" allowOverlap="1" wp14:anchorId="4620DB87" wp14:editId="1FA8E575">
            <wp:simplePos x="0" y="0"/>
            <wp:positionH relativeFrom="margin">
              <wp:posOffset>1539062</wp:posOffset>
            </wp:positionH>
            <wp:positionV relativeFrom="paragraph">
              <wp:posOffset>102</wp:posOffset>
            </wp:positionV>
            <wp:extent cx="4439920" cy="2259965"/>
            <wp:effectExtent l="0" t="0" r="0" b="6985"/>
            <wp:wrapSquare wrapText="bothSides"/>
            <wp:docPr id="8049134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13407" name="Picture 1">
                      <a:extLst>
                        <a:ext uri="{C183D7F6-B498-43B3-948B-1728B52AA6E4}">
                          <adec:decorative xmlns:adec="http://schemas.microsoft.com/office/drawing/2017/decorative" val="1"/>
                        </a:ext>
                      </a:extLst>
                    </pic:cNvPr>
                    <pic:cNvPicPr>
                      <a:picLocks noChangeAspect="1"/>
                    </pic:cNvPicPr>
                  </pic:nvPicPr>
                  <pic:blipFill rotWithShape="1">
                    <a:blip r:embed="rId82"/>
                    <a:srcRect b="21666"/>
                    <a:stretch/>
                  </pic:blipFill>
                  <pic:spPr bwMode="auto">
                    <a:xfrm>
                      <a:off x="0" y="0"/>
                      <a:ext cx="4439920" cy="2259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4A52">
        <w:rPr>
          <w:noProof/>
        </w:rPr>
        <mc:AlternateContent>
          <mc:Choice Requires="wps">
            <w:drawing>
              <wp:anchor distT="0" distB="0" distL="114300" distR="114300" simplePos="0" relativeHeight="251658272" behindDoc="0" locked="0" layoutInCell="1" allowOverlap="1" wp14:anchorId="1397DE71" wp14:editId="2D7770E1">
                <wp:simplePos x="0" y="0"/>
                <wp:positionH relativeFrom="margin">
                  <wp:posOffset>-181660</wp:posOffset>
                </wp:positionH>
                <wp:positionV relativeFrom="paragraph">
                  <wp:posOffset>4826</wp:posOffset>
                </wp:positionV>
                <wp:extent cx="1775460" cy="2115820"/>
                <wp:effectExtent l="0" t="0" r="0" b="0"/>
                <wp:wrapNone/>
                <wp:docPr id="1091038644"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75460" cy="2115820"/>
                        </a:xfrm>
                        <a:prstGeom prst="rect">
                          <a:avLst/>
                        </a:prstGeom>
                        <a:noFill/>
                        <a:ln w="6350">
                          <a:noFill/>
                        </a:ln>
                      </wps:spPr>
                      <wps:txbx>
                        <w:txbxContent>
                          <w:p w14:paraId="7C784D38" w14:textId="77777777" w:rsidR="00857EE1" w:rsidRDefault="00857EE1" w:rsidP="00857EE1">
                            <w:r w:rsidRPr="00477921">
                              <w:rPr>
                                <w:b/>
                                <w:bCs/>
                              </w:rPr>
                              <w:t>Return to work rates:</w:t>
                            </w:r>
                            <w:r>
                              <w:t xml:space="preserve"> </w:t>
                            </w:r>
                            <w:r w:rsidRPr="00B66062">
                              <w:t xml:space="preserve">The </w:t>
                            </w:r>
                            <w:hyperlink r:id="rId83" w:history="1">
                              <w:r w:rsidRPr="00B66062">
                                <w:t>2021 National Return to Work survey</w:t>
                              </w:r>
                            </w:hyperlink>
                            <w:r w:rsidRPr="00B66062">
                              <w:t xml:space="preserve"> shows that </w:t>
                            </w:r>
                            <w:r>
                              <w:t xml:space="preserve">the </w:t>
                            </w:r>
                            <w:r w:rsidRPr="00B66062">
                              <w:t>Comcare</w:t>
                            </w:r>
                            <w:r>
                              <w:t xml:space="preserve"> scheme</w:t>
                            </w:r>
                            <w:r w:rsidRPr="00B66062">
                              <w:t xml:space="preserve">’s current return to work rate of </w:t>
                            </w:r>
                            <w:r w:rsidRPr="004E4B0B">
                              <w:t>90.2%</w:t>
                            </w:r>
                            <w:r w:rsidRPr="00B66062">
                              <w:t xml:space="preserve"> was higher than the national average </w:t>
                            </w:r>
                            <w:r w:rsidRPr="004E4B0B">
                              <w:t>(81.3%).</w:t>
                            </w:r>
                            <w:r>
                              <w:rPr>
                                <w:rStyle w:val="FootnoteReference"/>
                              </w:rPr>
                              <w:footnoteRef/>
                            </w:r>
                            <w:r w:rsidRPr="00E6351F">
                              <w:t xml:space="preserve"> </w:t>
                            </w:r>
                          </w:p>
                          <w:p w14:paraId="685F53C7" w14:textId="77777777" w:rsidR="00E963D8" w:rsidRDefault="00E963D8" w:rsidP="00E963D8">
                            <w:r w:rsidRPr="00A9292B">
                              <w:rPr>
                                <w:sz w:val="18"/>
                                <w:szCs w:val="18"/>
                              </w:rPr>
                              <w:t xml:space="preserve">Source: </w:t>
                            </w:r>
                            <w:r>
                              <w:rPr>
                                <w:sz w:val="18"/>
                                <w:szCs w:val="18"/>
                              </w:rPr>
                              <w:t xml:space="preserve">National </w:t>
                            </w:r>
                            <w:r w:rsidRPr="00A9292B">
                              <w:rPr>
                                <w:sz w:val="18"/>
                                <w:szCs w:val="18"/>
                              </w:rPr>
                              <w:t xml:space="preserve">Return to </w:t>
                            </w:r>
                            <w:r>
                              <w:rPr>
                                <w:sz w:val="18"/>
                                <w:szCs w:val="18"/>
                              </w:rPr>
                              <w:t>W</w:t>
                            </w:r>
                            <w:r w:rsidRPr="00A9292B">
                              <w:rPr>
                                <w:sz w:val="18"/>
                                <w:szCs w:val="18"/>
                              </w:rPr>
                              <w:t>ork</w:t>
                            </w:r>
                            <w:r>
                              <w:rPr>
                                <w:sz w:val="18"/>
                                <w:szCs w:val="18"/>
                              </w:rPr>
                              <w:t xml:space="preserve"> Survey, 2021</w:t>
                            </w:r>
                          </w:p>
                          <w:p w14:paraId="1D011620" w14:textId="77777777" w:rsidR="00857EE1" w:rsidRDefault="00857EE1"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7DE71" id="Text Box 11" o:spid="_x0000_s1054" type="#_x0000_t202" alt="&quot;&quot;" style="position:absolute;margin-left:-14.3pt;margin-top:.4pt;width:139.8pt;height:166.6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" filled="f" stroked="f" strokeweight=".5pt">
                <v:textbox>
                  <w:txbxContent>
                    <w:p w14:paraId="7C784D38" w14:textId="77777777" w:rsidR="00857EE1" w:rsidRDefault="00857EE1" w:rsidP="00857EE1">
                      <w:r w:rsidRPr="00477921">
                        <w:rPr>
                          <w:b/>
                          <w:bCs/>
                        </w:rPr>
                        <w:t>Return to work rates:</w:t>
                      </w:r>
                      <w:r>
                        <w:t xml:space="preserve"> </w:t>
                      </w:r>
                      <w:r w:rsidRPr="00B66062">
                        <w:t xml:space="preserve">The </w:t>
                      </w:r>
                      <w:hyperlink r:id="rId84" w:history="1">
                        <w:r w:rsidRPr="00B66062">
                          <w:t>2021 National Return to Work survey</w:t>
                        </w:r>
                      </w:hyperlink>
                      <w:r w:rsidRPr="00B66062">
                        <w:t xml:space="preserve"> shows that </w:t>
                      </w:r>
                      <w:r>
                        <w:t xml:space="preserve">the </w:t>
                      </w:r>
                      <w:r w:rsidRPr="00B66062">
                        <w:t>Comcare</w:t>
                      </w:r>
                      <w:r>
                        <w:t xml:space="preserve"> scheme</w:t>
                      </w:r>
                      <w:r w:rsidRPr="00B66062">
                        <w:t xml:space="preserve">’s current return to work rate of </w:t>
                      </w:r>
                      <w:r w:rsidRPr="004E4B0B">
                        <w:t>90.2%</w:t>
                      </w:r>
                      <w:r w:rsidRPr="00B66062">
                        <w:t xml:space="preserve"> was higher than the national average </w:t>
                      </w:r>
                      <w:r w:rsidRPr="004E4B0B">
                        <w:t>(81.3%).</w:t>
                      </w:r>
                      <w:r>
                        <w:rPr>
                          <w:rStyle w:val="FootnoteReference"/>
                        </w:rPr>
                        <w:footnoteRef/>
                      </w:r>
                      <w:r w:rsidRPr="00E6351F">
                        <w:t xml:space="preserve"> </w:t>
                      </w:r>
                    </w:p>
                    <w:p w14:paraId="685F53C7" w14:textId="77777777" w:rsidR="00E963D8" w:rsidRDefault="00E963D8" w:rsidP="00E963D8">
                      <w:r w:rsidRPr="00A9292B">
                        <w:rPr>
                          <w:sz w:val="18"/>
                          <w:szCs w:val="18"/>
                        </w:rPr>
                        <w:t xml:space="preserve">Source: </w:t>
                      </w:r>
                      <w:r>
                        <w:rPr>
                          <w:sz w:val="18"/>
                          <w:szCs w:val="18"/>
                        </w:rPr>
                        <w:t xml:space="preserve">National </w:t>
                      </w:r>
                      <w:r w:rsidRPr="00A9292B">
                        <w:rPr>
                          <w:sz w:val="18"/>
                          <w:szCs w:val="18"/>
                        </w:rPr>
                        <w:t xml:space="preserve">Return to </w:t>
                      </w:r>
                      <w:r>
                        <w:rPr>
                          <w:sz w:val="18"/>
                          <w:szCs w:val="18"/>
                        </w:rPr>
                        <w:t>W</w:t>
                      </w:r>
                      <w:r w:rsidRPr="00A9292B">
                        <w:rPr>
                          <w:sz w:val="18"/>
                          <w:szCs w:val="18"/>
                        </w:rPr>
                        <w:t>ork</w:t>
                      </w:r>
                      <w:r>
                        <w:rPr>
                          <w:sz w:val="18"/>
                          <w:szCs w:val="18"/>
                        </w:rPr>
                        <w:t xml:space="preserve"> Survey, 2021</w:t>
                      </w:r>
                    </w:p>
                    <w:p w14:paraId="1D011620" w14:textId="77777777" w:rsidR="00857EE1" w:rsidRDefault="00857EE1" w:rsidP="00857EE1"/>
                  </w:txbxContent>
                </v:textbox>
                <w10:wrap anchorx="margin"/>
              </v:shape>
            </w:pict>
          </mc:Fallback>
        </mc:AlternateContent>
      </w:r>
    </w:p>
    <w:p w14:paraId="326C45EE" w14:textId="10B89120" w:rsidR="00857EE1" w:rsidRPr="005E4A52" w:rsidRDefault="00857EE1" w:rsidP="00857EE1">
      <w:pPr>
        <w:rPr>
          <w:b/>
        </w:rPr>
      </w:pPr>
    </w:p>
    <w:p w14:paraId="7EC395D2" w14:textId="77777777" w:rsidR="00857EE1" w:rsidRPr="005E4A52" w:rsidRDefault="00857EE1" w:rsidP="00857EE1">
      <w:pPr>
        <w:rPr>
          <w:b/>
        </w:rPr>
      </w:pPr>
    </w:p>
    <w:p w14:paraId="30579BBE" w14:textId="0B4739D2" w:rsidR="00857EE1" w:rsidRPr="005E4A52" w:rsidRDefault="00857EE1" w:rsidP="00857EE1">
      <w:pPr>
        <w:rPr>
          <w:b/>
        </w:rPr>
      </w:pPr>
    </w:p>
    <w:p w14:paraId="2BFE84A4" w14:textId="77777777" w:rsidR="00857EE1" w:rsidRPr="005E4A52" w:rsidRDefault="00857EE1" w:rsidP="00857EE1">
      <w:pPr>
        <w:rPr>
          <w:b/>
        </w:rPr>
      </w:pPr>
    </w:p>
    <w:p w14:paraId="5E335F64" w14:textId="77777777" w:rsidR="00857EE1" w:rsidRPr="005E4A52" w:rsidRDefault="00857EE1" w:rsidP="00857EE1">
      <w:pPr>
        <w:rPr>
          <w:b/>
        </w:rPr>
      </w:pPr>
    </w:p>
    <w:p w14:paraId="73DF7B08" w14:textId="77777777" w:rsidR="00857EE1" w:rsidRPr="005E4A52" w:rsidRDefault="00857EE1" w:rsidP="00857EE1">
      <w:pPr>
        <w:rPr>
          <w:b/>
        </w:rPr>
      </w:pPr>
    </w:p>
    <w:p w14:paraId="08083BAB" w14:textId="343DD2EB" w:rsidR="009269EB" w:rsidRPr="005E4A52" w:rsidRDefault="009269EB" w:rsidP="009269EB">
      <w:pPr>
        <w:framePr w:w="4081" w:h="1021" w:hSpace="180" w:wrap="around" w:vAnchor="text" w:hAnchor="page" w:x="1157" w:y="473"/>
        <w:rPr>
          <w:b/>
          <w:bCs/>
        </w:rPr>
      </w:pPr>
      <w:r w:rsidRPr="005E4A52">
        <w:rPr>
          <w:b/>
          <w:bCs/>
        </w:rPr>
        <w:t>Average cost of a claim:</w:t>
      </w:r>
      <w:r w:rsidRPr="005E4A52">
        <w:t xml:space="preserve"> The average cost of a claim in the 2023-24 financial year was $26,106</w:t>
      </w:r>
      <w:r w:rsidR="00E963D8">
        <w:t>.</w:t>
      </w:r>
      <w:r>
        <w:rPr>
          <w:rStyle w:val="FootnoteReference"/>
        </w:rPr>
        <w:footnoteReference w:id="14"/>
      </w:r>
    </w:p>
    <w:p w14:paraId="48E4F700" w14:textId="77777777" w:rsidR="009269EB" w:rsidRPr="005E4A52" w:rsidRDefault="009269EB" w:rsidP="009269EB">
      <w:pPr>
        <w:framePr w:w="4771" w:h="1242" w:hSpace="180" w:wrap="around" w:vAnchor="text" w:hAnchor="page" w:x="5996" w:y="473"/>
        <w:rPr>
          <w:b/>
          <w:bCs/>
        </w:rPr>
      </w:pPr>
      <w:r>
        <w:rPr>
          <w:b/>
          <w:bCs/>
        </w:rPr>
        <w:t>C</w:t>
      </w:r>
      <w:r w:rsidRPr="005E4A52">
        <w:rPr>
          <w:b/>
          <w:bCs/>
        </w:rPr>
        <w:t xml:space="preserve">ost of a </w:t>
      </w:r>
      <w:r>
        <w:rPr>
          <w:b/>
          <w:bCs/>
        </w:rPr>
        <w:t xml:space="preserve">psychological </w:t>
      </w:r>
      <w:r w:rsidRPr="005E4A52">
        <w:rPr>
          <w:b/>
          <w:bCs/>
        </w:rPr>
        <w:t>claim:</w:t>
      </w:r>
      <w:r w:rsidRPr="005E4A52">
        <w:t xml:space="preserve"> The average cost of a claim in the 2023-24 financial year was $</w:t>
      </w:r>
      <w:r>
        <w:t>42,603.</w:t>
      </w:r>
    </w:p>
    <w:p w14:paraId="5F7FDDD6" w14:textId="77777777" w:rsidR="00857EE1" w:rsidRPr="005E4A52" w:rsidRDefault="00857EE1" w:rsidP="00857EE1">
      <w:r w:rsidRPr="005E4A52">
        <w:rPr>
          <w:noProof/>
        </w:rPr>
        <mc:AlternateContent>
          <mc:Choice Requires="wps">
            <w:drawing>
              <wp:anchor distT="0" distB="0" distL="114300" distR="114300" simplePos="0" relativeHeight="251658273" behindDoc="1" locked="0" layoutInCell="1" allowOverlap="1" wp14:anchorId="01CE89C8" wp14:editId="5A322421">
                <wp:simplePos x="0" y="0"/>
                <wp:positionH relativeFrom="column">
                  <wp:posOffset>-295301</wp:posOffset>
                </wp:positionH>
                <wp:positionV relativeFrom="paragraph">
                  <wp:posOffset>157429</wp:posOffset>
                </wp:positionV>
                <wp:extent cx="6357620" cy="2725948"/>
                <wp:effectExtent l="0" t="0" r="24130" b="17780"/>
                <wp:wrapNone/>
                <wp:docPr id="1967195027"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57620" cy="2725948"/>
                        </a:xfrm>
                        <a:prstGeom prst="rect">
                          <a:avLst/>
                        </a:prstGeom>
                        <a:solidFill>
                          <a:schemeClr val="lt1"/>
                        </a:solidFill>
                        <a:ln w="6350">
                          <a:solidFill>
                            <a:schemeClr val="accent2"/>
                          </a:solidFill>
                        </a:ln>
                      </wps:spPr>
                      <wps:txbx>
                        <w:txbxContent>
                          <w:p w14:paraId="09D0986B" w14:textId="77777777" w:rsidR="00857EE1" w:rsidRDefault="00857EE1"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89C8" id="_x0000_s1055" type="#_x0000_t202" alt="&quot;&quot;" style="position:absolute;margin-left:-23.25pt;margin-top:12.4pt;width:500.6pt;height:214.65pt;z-index:-251658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" fillcolor="white [3201]" strokecolor="#656da9 [3205]" strokeweight=".5pt">
                <v:textbox>
                  <w:txbxContent>
                    <w:p w14:paraId="09D0986B" w14:textId="77777777" w:rsidR="00857EE1" w:rsidRDefault="00857EE1" w:rsidP="00857EE1"/>
                  </w:txbxContent>
                </v:textbox>
              </v:shape>
            </w:pict>
          </mc:Fallback>
        </mc:AlternateContent>
      </w:r>
    </w:p>
    <w:p w14:paraId="6C67ECD4" w14:textId="7F2F5624" w:rsidR="00857EE1" w:rsidRPr="005E4A52" w:rsidRDefault="00857EE1" w:rsidP="00857EE1"/>
    <w:p w14:paraId="69F57E5E" w14:textId="4C1CF0F7" w:rsidR="00857EE1" w:rsidRPr="005E4A52" w:rsidRDefault="009269EB" w:rsidP="00857EE1">
      <w:r w:rsidRPr="005E4A52">
        <w:rPr>
          <w:b/>
          <w:bCs/>
          <w:noProof/>
        </w:rPr>
        <w:drawing>
          <wp:anchor distT="0" distB="0" distL="114300" distR="114300" simplePos="0" relativeHeight="251658296" behindDoc="0" locked="0" layoutInCell="1" allowOverlap="1" wp14:anchorId="6E46218E" wp14:editId="726AF672">
            <wp:simplePos x="0" y="0"/>
            <wp:positionH relativeFrom="margin">
              <wp:posOffset>-5080</wp:posOffset>
            </wp:positionH>
            <wp:positionV relativeFrom="paragraph">
              <wp:posOffset>138805</wp:posOffset>
            </wp:positionV>
            <wp:extent cx="2259798" cy="1807210"/>
            <wp:effectExtent l="0" t="0" r="7620" b="2540"/>
            <wp:wrapNone/>
            <wp:docPr id="19922676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67666" name="Picture 1">
                      <a:extLst>
                        <a:ext uri="{C183D7F6-B498-43B3-948B-1728B52AA6E4}">
                          <adec:decorative xmlns:adec="http://schemas.microsoft.com/office/drawing/2017/decorative" val="1"/>
                        </a:ext>
                      </a:extLst>
                    </pic:cNvPr>
                    <pic:cNvPicPr/>
                  </pic:nvPicPr>
                  <pic:blipFill rotWithShape="1">
                    <a:blip r:embed="rId85" cstate="print">
                      <a:extLst>
                        <a:ext uri="{28A0092B-C50C-407E-A947-70E740481C1C}">
                          <a14:useLocalDpi xmlns:a14="http://schemas.microsoft.com/office/drawing/2010/main" val="0"/>
                        </a:ext>
                      </a:extLst>
                    </a:blip>
                    <a:srcRect t="-1367" b="1782"/>
                    <a:stretch/>
                  </pic:blipFill>
                  <pic:spPr bwMode="auto">
                    <a:xfrm>
                      <a:off x="0" y="0"/>
                      <a:ext cx="2259798" cy="1807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89" behindDoc="0" locked="0" layoutInCell="1" allowOverlap="1" wp14:anchorId="748E5F48" wp14:editId="75A81DD2">
            <wp:simplePos x="0" y="0"/>
            <wp:positionH relativeFrom="margin">
              <wp:posOffset>3563213</wp:posOffset>
            </wp:positionH>
            <wp:positionV relativeFrom="paragraph">
              <wp:posOffset>95707</wp:posOffset>
            </wp:positionV>
            <wp:extent cx="2366010" cy="1854809"/>
            <wp:effectExtent l="0" t="0" r="0" b="0"/>
            <wp:wrapNone/>
            <wp:docPr id="27614305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43053" name="Picture 6">
                      <a:extLst>
                        <a:ext uri="{C183D7F6-B498-43B3-948B-1728B52AA6E4}">
                          <adec:decorative xmlns:adec="http://schemas.microsoft.com/office/drawing/2017/decorative" val="1"/>
                        </a:ext>
                      </a:extLst>
                    </pic:cNvPr>
                    <pic:cNvPicPr/>
                  </pic:nvPicPr>
                  <pic:blipFill>
                    <a:blip r:embed="rId86">
                      <a:extLst>
                        <a:ext uri="{28A0092B-C50C-407E-A947-70E740481C1C}">
                          <a14:useLocalDpi xmlns:a14="http://schemas.microsoft.com/office/drawing/2010/main" val="0"/>
                        </a:ext>
                      </a:extLst>
                    </a:blip>
                    <a:stretch>
                      <a:fillRect/>
                    </a:stretch>
                  </pic:blipFill>
                  <pic:spPr>
                    <a:xfrm>
                      <a:off x="0" y="0"/>
                      <a:ext cx="2366010" cy="1854809"/>
                    </a:xfrm>
                    <a:prstGeom prst="rect">
                      <a:avLst/>
                    </a:prstGeom>
                  </pic:spPr>
                </pic:pic>
              </a:graphicData>
            </a:graphic>
            <wp14:sizeRelH relativeFrom="margin">
              <wp14:pctWidth>0</wp14:pctWidth>
            </wp14:sizeRelH>
            <wp14:sizeRelV relativeFrom="margin">
              <wp14:pctHeight>0</wp14:pctHeight>
            </wp14:sizeRelV>
          </wp:anchor>
        </w:drawing>
      </w:r>
    </w:p>
    <w:p w14:paraId="09FDD802" w14:textId="20300345" w:rsidR="00857EE1" w:rsidRPr="005E4A52" w:rsidRDefault="00857EE1" w:rsidP="00857EE1"/>
    <w:p w14:paraId="6A5481DE" w14:textId="4A084C8A" w:rsidR="00857EE1" w:rsidRPr="005E4A52" w:rsidRDefault="00857EE1" w:rsidP="00857EE1"/>
    <w:p w14:paraId="470703E1" w14:textId="4F840E77" w:rsidR="00857EE1" w:rsidRPr="005E4A52" w:rsidRDefault="00857EE1" w:rsidP="00857EE1"/>
    <w:p w14:paraId="732CAD98" w14:textId="47ECA267" w:rsidR="00857EE1" w:rsidRPr="005E4A52" w:rsidRDefault="009269EB" w:rsidP="00857EE1">
      <w:pPr>
        <w:rPr>
          <w:b/>
          <w:bCs/>
        </w:rPr>
      </w:pPr>
      <w:r w:rsidRPr="005E4A52">
        <w:rPr>
          <w:rFonts w:eastAsiaTheme="minorEastAsia"/>
          <w:b/>
          <w:noProof/>
        </w:rPr>
        <mc:AlternateContent>
          <mc:Choice Requires="wps">
            <w:drawing>
              <wp:anchor distT="45720" distB="45720" distL="114300" distR="114300" simplePos="0" relativeHeight="251658278" behindDoc="1" locked="0" layoutInCell="1" allowOverlap="1" wp14:anchorId="7D43F44A" wp14:editId="7ABC23E5">
                <wp:simplePos x="0" y="0"/>
                <wp:positionH relativeFrom="margin">
                  <wp:align>left</wp:align>
                </wp:positionH>
                <wp:positionV relativeFrom="paragraph">
                  <wp:posOffset>545769</wp:posOffset>
                </wp:positionV>
                <wp:extent cx="5918835" cy="285750"/>
                <wp:effectExtent l="0" t="0" r="5715" b="0"/>
                <wp:wrapTight wrapText="bothSides">
                  <wp:wrapPolygon edited="0">
                    <wp:start x="0" y="0"/>
                    <wp:lineTo x="0" y="20160"/>
                    <wp:lineTo x="21551" y="20160"/>
                    <wp:lineTo x="21551" y="0"/>
                    <wp:lineTo x="0" y="0"/>
                  </wp:wrapPolygon>
                </wp:wrapTight>
                <wp:docPr id="5289358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285750"/>
                        </a:xfrm>
                        <a:prstGeom prst="rect">
                          <a:avLst/>
                        </a:prstGeom>
                        <a:solidFill>
                          <a:srgbClr val="FFFFFF"/>
                        </a:solidFill>
                        <a:ln w="9525">
                          <a:noFill/>
                          <a:miter lim="800000"/>
                          <a:headEnd/>
                          <a:tailEnd/>
                        </a:ln>
                      </wps:spPr>
                      <wps:txbx>
                        <w:txbxContent>
                          <w:p w14:paraId="479263E5" w14:textId="19BE0236" w:rsidR="00857EE1" w:rsidRDefault="00857EE1" w:rsidP="00857EE1">
                            <w:r w:rsidRPr="000F001A">
                              <w:rPr>
                                <w:sz w:val="16"/>
                                <w:szCs w:val="16"/>
                              </w:rPr>
                              <w:t xml:space="preserve">Source: Average cost paid per claim 2023-24 Comcare, </w:t>
                            </w:r>
                            <w:hyperlink r:id="rId87" w:anchor="overview" w:history="1">
                              <w:r w:rsidRPr="000F001A">
                                <w:rPr>
                                  <w:rStyle w:val="Hyperlink"/>
                                  <w:sz w:val="16"/>
                                  <w:szCs w:val="16"/>
                                </w:rPr>
                                <w:t>The Comcare scheme</w:t>
                              </w:r>
                            </w:hyperlink>
                            <w:r w:rsidRPr="000F001A">
                              <w:rPr>
                                <w:sz w:val="16"/>
                                <w:szCs w:val="16"/>
                              </w:rPr>
                              <w:t>, Comcare website, 2024 accessed September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3F44A" id="_x0000_s1056" type="#_x0000_t202" alt="&quot;&quot;" style="position:absolute;margin-left:0;margin-top:42.95pt;width:466.05pt;height:22.5pt;z-index:-25165820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" stroked="f">
                <v:textbox>
                  <w:txbxContent>
                    <w:p w14:paraId="479263E5" w14:textId="19BE0236" w:rsidR="00857EE1" w:rsidRDefault="00857EE1" w:rsidP="00857EE1">
                      <w:r w:rsidRPr="000F001A">
                        <w:rPr>
                          <w:sz w:val="16"/>
                          <w:szCs w:val="16"/>
                        </w:rPr>
                        <w:t xml:space="preserve">Source: Average cost paid per claim 2023-24 Comcare, </w:t>
                      </w:r>
                      <w:hyperlink r:id="rId88" w:anchor="overview" w:history="1">
                        <w:r w:rsidRPr="000F001A">
                          <w:rPr>
                            <w:rStyle w:val="Hyperlink"/>
                            <w:sz w:val="16"/>
                            <w:szCs w:val="16"/>
                          </w:rPr>
                          <w:t>The Comcare scheme</w:t>
                        </w:r>
                      </w:hyperlink>
                      <w:r w:rsidRPr="000F001A">
                        <w:rPr>
                          <w:sz w:val="16"/>
                          <w:szCs w:val="16"/>
                        </w:rPr>
                        <w:t>, Comcare website, 2024 accessed September 2024</w:t>
                      </w:r>
                    </w:p>
                  </w:txbxContent>
                </v:textbox>
                <w10:wrap type="tight" anchorx="margin"/>
              </v:shape>
            </w:pict>
          </mc:Fallback>
        </mc:AlternateContent>
      </w:r>
    </w:p>
    <w:p w14:paraId="140C9EC7" w14:textId="0DD3DB6E" w:rsidR="00857EE1" w:rsidRPr="005E4A52" w:rsidRDefault="009269EB" w:rsidP="00857EE1">
      <w:pPr>
        <w:rPr>
          <w:b/>
          <w:bCs/>
        </w:rPr>
      </w:pPr>
      <w:r w:rsidRPr="005E4A52">
        <w:rPr>
          <w:b/>
          <w:bCs/>
          <w:noProof/>
        </w:rPr>
        <mc:AlternateContent>
          <mc:Choice Requires="wps">
            <w:drawing>
              <wp:anchor distT="0" distB="0" distL="114300" distR="114300" simplePos="0" relativeHeight="251658274" behindDoc="0" locked="0" layoutInCell="1" allowOverlap="1" wp14:anchorId="055725AB" wp14:editId="4907BF0C">
                <wp:simplePos x="0" y="0"/>
                <wp:positionH relativeFrom="margin">
                  <wp:align>center</wp:align>
                </wp:positionH>
                <wp:positionV relativeFrom="paragraph">
                  <wp:posOffset>816457</wp:posOffset>
                </wp:positionV>
                <wp:extent cx="5975498" cy="476250"/>
                <wp:effectExtent l="0" t="0" r="6350" b="0"/>
                <wp:wrapNone/>
                <wp:docPr id="1166847119" name="Text Box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75498" cy="476250"/>
                        </a:xfrm>
                        <a:prstGeom prst="rect">
                          <a:avLst/>
                        </a:prstGeom>
                        <a:solidFill>
                          <a:schemeClr val="lt1"/>
                        </a:solidFill>
                        <a:ln w="6350">
                          <a:noFill/>
                        </a:ln>
                      </wps:spPr>
                      <wps:txbx>
                        <w:txbxContent>
                          <w:p w14:paraId="1F50B8EF" w14:textId="56CDDA72" w:rsidR="00857EE1" w:rsidRDefault="00857EE1" w:rsidP="00857EE1">
                            <w:bookmarkStart w:id="23" w:name="_Hlk180173384"/>
                            <w:bookmarkStart w:id="24" w:name="_Hlk180173385"/>
                            <w:r w:rsidRPr="00D96220">
                              <w:rPr>
                                <w:b/>
                                <w:bCs/>
                              </w:rPr>
                              <w:t>Claim expenses</w:t>
                            </w:r>
                            <w:r>
                              <w:t xml:space="preserve">: </w:t>
                            </w:r>
                            <w:r w:rsidRPr="00CB7F58">
                              <w:t xml:space="preserve">The majority of claim costs are for time off work </w:t>
                            </w:r>
                            <w:r>
                              <w:t xml:space="preserve">(56%) </w:t>
                            </w:r>
                            <w:r w:rsidRPr="00CB7F58">
                              <w:t>and medical expenses</w:t>
                            </w:r>
                            <w:r>
                              <w:t xml:space="preserve"> (20%)</w:t>
                            </w:r>
                            <w:r w:rsidR="006A2093">
                              <w:t xml:space="preserve"> (</w:t>
                            </w:r>
                            <w:r w:rsidR="001141AE">
                              <w:t xml:space="preserve">as </w:t>
                            </w:r>
                            <w:proofErr w:type="gramStart"/>
                            <w:r w:rsidR="001141AE">
                              <w:t>at</w:t>
                            </w:r>
                            <w:proofErr w:type="gramEnd"/>
                            <w:r w:rsidR="001141AE">
                              <w:t xml:space="preserve"> 30 June 2024)</w:t>
                            </w:r>
                            <w:r>
                              <w:t xml:space="preserve">. Claim expenses have remained similar </w:t>
                            </w:r>
                            <w:r w:rsidRPr="00521EFE">
                              <w:t>since 2015.</w:t>
                            </w:r>
                            <w:bookmarkEnd w:id="23"/>
                            <w:bookmarkEnd w:id="2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725AB" id="Text Box 19" o:spid="_x0000_s1057" type="#_x0000_t202" alt="&quot;&quot;" style="position:absolute;margin-left:0;margin-top:64.3pt;width:470.5pt;height:37.5pt;z-index:2516582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" fillcolor="white [3201]" stroked="f" strokeweight=".5pt">
                <v:textbox>
                  <w:txbxContent>
                    <w:p w14:paraId="1F50B8EF" w14:textId="56CDDA72" w:rsidR="00857EE1" w:rsidRDefault="00857EE1" w:rsidP="00857EE1">
                      <w:bookmarkStart w:id="25" w:name="_Hlk180173384"/>
                      <w:bookmarkStart w:id="26" w:name="_Hlk180173385"/>
                      <w:r w:rsidRPr="00D96220">
                        <w:rPr>
                          <w:b/>
                          <w:bCs/>
                        </w:rPr>
                        <w:t>Claim expenses</w:t>
                      </w:r>
                      <w:r>
                        <w:t xml:space="preserve">: </w:t>
                      </w:r>
                      <w:r w:rsidRPr="00CB7F58">
                        <w:t xml:space="preserve">The majority of claim costs are for time off work </w:t>
                      </w:r>
                      <w:r>
                        <w:t xml:space="preserve">(56%) </w:t>
                      </w:r>
                      <w:r w:rsidRPr="00CB7F58">
                        <w:t>and medical expenses</w:t>
                      </w:r>
                      <w:r>
                        <w:t xml:space="preserve"> (20%)</w:t>
                      </w:r>
                      <w:r w:rsidR="006A2093">
                        <w:t xml:space="preserve"> (</w:t>
                      </w:r>
                      <w:r w:rsidR="001141AE">
                        <w:t xml:space="preserve">as </w:t>
                      </w:r>
                      <w:proofErr w:type="gramStart"/>
                      <w:r w:rsidR="001141AE">
                        <w:t>at</w:t>
                      </w:r>
                      <w:proofErr w:type="gramEnd"/>
                      <w:r w:rsidR="001141AE">
                        <w:t xml:space="preserve"> 30 June 2024)</w:t>
                      </w:r>
                      <w:r>
                        <w:t xml:space="preserve">. Claim expenses have remained similar </w:t>
                      </w:r>
                      <w:r w:rsidRPr="00521EFE">
                        <w:t>since 2015.</w:t>
                      </w:r>
                      <w:bookmarkEnd w:id="25"/>
                      <w:bookmarkEnd w:id="26"/>
                    </w:p>
                  </w:txbxContent>
                </v:textbox>
                <w10:wrap anchorx="margin"/>
              </v:shape>
            </w:pict>
          </mc:Fallback>
        </mc:AlternateContent>
      </w:r>
      <w:r w:rsidRPr="005E4A52">
        <w:rPr>
          <w:noProof/>
        </w:rPr>
        <mc:AlternateContent>
          <mc:Choice Requires="wps">
            <w:drawing>
              <wp:anchor distT="0" distB="0" distL="114300" distR="114300" simplePos="0" relativeHeight="251658279" behindDoc="1" locked="0" layoutInCell="1" allowOverlap="1" wp14:anchorId="17DE6AFC" wp14:editId="493903CE">
                <wp:simplePos x="0" y="0"/>
                <wp:positionH relativeFrom="column">
                  <wp:posOffset>-285953</wp:posOffset>
                </wp:positionH>
                <wp:positionV relativeFrom="paragraph">
                  <wp:posOffset>680847</wp:posOffset>
                </wp:positionV>
                <wp:extent cx="6349085" cy="2718206"/>
                <wp:effectExtent l="0" t="0" r="13970" b="25400"/>
                <wp:wrapNone/>
                <wp:docPr id="756281345"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49085" cy="2718206"/>
                        </a:xfrm>
                        <a:prstGeom prst="rect">
                          <a:avLst/>
                        </a:prstGeom>
                        <a:solidFill>
                          <a:schemeClr val="lt1"/>
                        </a:solidFill>
                        <a:ln w="6350">
                          <a:solidFill>
                            <a:schemeClr val="bg2"/>
                          </a:solidFill>
                        </a:ln>
                      </wps:spPr>
                      <wps:txbx>
                        <w:txbxContent>
                          <w:p w14:paraId="22E410E3" w14:textId="77777777" w:rsidR="00857EE1" w:rsidRDefault="00857EE1" w:rsidP="00857E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E6AFC" id="Text Box 20" o:spid="_x0000_s1058" type="#_x0000_t202" alt="&quot;&quot;" style="position:absolute;margin-left:-22.5pt;margin-top:53.6pt;width:499.95pt;height:214.05pt;z-index:-251658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" fillcolor="white [3201]" strokecolor="#009b9f [3214]" strokeweight=".5pt">
                <v:textbox>
                  <w:txbxContent>
                    <w:p w14:paraId="22E410E3" w14:textId="77777777" w:rsidR="00857EE1" w:rsidRDefault="00857EE1" w:rsidP="00857EE1"/>
                  </w:txbxContent>
                </v:textbox>
              </v:shape>
            </w:pict>
          </mc:Fallback>
        </mc:AlternateContent>
      </w:r>
    </w:p>
    <w:p w14:paraId="38B803F3" w14:textId="614D32C3" w:rsidR="00857EE1" w:rsidRPr="005E4A52" w:rsidRDefault="00E963D8" w:rsidP="00857EE1">
      <w:r w:rsidRPr="005E4A52">
        <w:rPr>
          <w:noProof/>
        </w:rPr>
        <w:drawing>
          <wp:anchor distT="0" distB="0" distL="114300" distR="114300" simplePos="0" relativeHeight="251658280" behindDoc="0" locked="0" layoutInCell="1" allowOverlap="1" wp14:anchorId="4DA5B628" wp14:editId="69A141D9">
            <wp:simplePos x="0" y="0"/>
            <wp:positionH relativeFrom="margin">
              <wp:align>center</wp:align>
            </wp:positionH>
            <wp:positionV relativeFrom="paragraph">
              <wp:posOffset>362585</wp:posOffset>
            </wp:positionV>
            <wp:extent cx="6010275" cy="1767541"/>
            <wp:effectExtent l="0" t="0" r="0" b="4445"/>
            <wp:wrapNone/>
            <wp:docPr id="2689956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95613" name="Picture 1">
                      <a:extLst>
                        <a:ext uri="{C183D7F6-B498-43B3-948B-1728B52AA6E4}">
                          <adec:decorative xmlns:adec="http://schemas.microsoft.com/office/drawing/2017/decorative" val="1"/>
                        </a:ext>
                      </a:extLst>
                    </pic:cNvPr>
                    <pic:cNvPicPr/>
                  </pic:nvPicPr>
                  <pic:blipFill rotWithShape="1">
                    <a:blip r:embed="rId89"/>
                    <a:srcRect t="17744" b="9785"/>
                    <a:stretch/>
                  </pic:blipFill>
                  <pic:spPr bwMode="auto">
                    <a:xfrm>
                      <a:off x="0" y="0"/>
                      <a:ext cx="6010275" cy="17675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FBE5B1" w14:textId="66EE5C06" w:rsidR="008B1417" w:rsidRDefault="008B1417" w:rsidP="00857EE1">
      <w:pPr>
        <w:spacing w:after="160"/>
      </w:pPr>
    </w:p>
    <w:p w14:paraId="7147DBDE" w14:textId="7C38BADD" w:rsidR="008B1417" w:rsidRDefault="008B1417" w:rsidP="00857EE1">
      <w:pPr>
        <w:spacing w:after="160"/>
      </w:pPr>
    </w:p>
    <w:p w14:paraId="29DB53A9" w14:textId="7DD151D8" w:rsidR="004A5AD2" w:rsidRDefault="004A5AD2" w:rsidP="004A5AD2"/>
    <w:p w14:paraId="5E2533F0" w14:textId="5D35A92D" w:rsidR="004A5AD2" w:rsidRDefault="004A5AD2" w:rsidP="004A5AD2">
      <w:r w:rsidRPr="00F9623F">
        <w:t xml:space="preserve">  </w:t>
      </w:r>
    </w:p>
    <w:p w14:paraId="2C8BB51C" w14:textId="2295D2DF" w:rsidR="004A5AD2" w:rsidRPr="005E4A52" w:rsidRDefault="004A5AD2" w:rsidP="004A5AD2"/>
    <w:p w14:paraId="06AFB962" w14:textId="2354F525" w:rsidR="004A5AD2" w:rsidRPr="005E4A52" w:rsidRDefault="004A5AD2" w:rsidP="004A5AD2"/>
    <w:p w14:paraId="5B452F41" w14:textId="56B7176C" w:rsidR="00345387" w:rsidRPr="007733A5" w:rsidRDefault="00345387" w:rsidP="007A56DA">
      <w:pPr>
        <w:pStyle w:val="Heading2"/>
        <w:spacing w:before="320" w:after="120"/>
        <w:rPr>
          <w:rStyle w:val="Heading1-Lastline"/>
          <w:position w:val="0"/>
        </w:rPr>
      </w:pPr>
      <w:bookmarkStart w:id="27" w:name="_Toc177409616"/>
      <w:bookmarkStart w:id="28" w:name="_Toc180174610"/>
      <w:r w:rsidRPr="007733A5">
        <w:rPr>
          <w:rStyle w:val="Heading1-Lastline"/>
          <w:position w:val="0"/>
        </w:rPr>
        <w:lastRenderedPageBreak/>
        <w:t>Topics for discussion in the SRC Act review</w:t>
      </w:r>
      <w:bookmarkEnd w:id="27"/>
      <w:bookmarkEnd w:id="28"/>
    </w:p>
    <w:p w14:paraId="0832BB04" w14:textId="2146A463" w:rsidR="00345387" w:rsidRPr="001740E1" w:rsidRDefault="00345387" w:rsidP="002A1A42">
      <w:pPr>
        <w:pStyle w:val="Heading3"/>
        <w:rPr>
          <w:spacing w:val="-2"/>
        </w:rPr>
      </w:pPr>
      <w:bookmarkStart w:id="29" w:name="_Toc177409617"/>
      <w:bookmarkStart w:id="30" w:name="_Toc180174611"/>
      <w:r w:rsidRPr="001740E1">
        <w:rPr>
          <w:spacing w:val="-2"/>
        </w:rPr>
        <w:t>3.1</w:t>
      </w:r>
      <w:r w:rsidRPr="001740E1">
        <w:rPr>
          <w:spacing w:val="-2"/>
        </w:rPr>
        <w:tab/>
        <w:t>Best practice in workers’ compensation (Term of reference 1)</w:t>
      </w:r>
      <w:bookmarkEnd w:id="29"/>
      <w:bookmarkEnd w:id="30"/>
    </w:p>
    <w:p w14:paraId="1D3D393C" w14:textId="6050CFB1" w:rsidR="00345387" w:rsidRPr="005E4A52" w:rsidRDefault="00345387" w:rsidP="00345387">
      <w:r w:rsidRPr="005E4A52">
        <w:t>Term of reference 1 is focused on:</w:t>
      </w:r>
    </w:p>
    <w:p w14:paraId="50C96FCA" w14:textId="77777777" w:rsidR="00345387" w:rsidRPr="005E4A52" w:rsidRDefault="00345387" w:rsidP="009042DA">
      <w:pPr>
        <w:pStyle w:val="ListParagraph"/>
        <w:numPr>
          <w:ilvl w:val="0"/>
          <w:numId w:val="12"/>
        </w:numPr>
        <w:spacing w:line="276" w:lineRule="auto"/>
      </w:pPr>
      <w:r w:rsidRPr="005E4A52">
        <w:t>identifying the principles of best practice that could form the objects of the Act, and</w:t>
      </w:r>
    </w:p>
    <w:p w14:paraId="5AD26CAD" w14:textId="77777777" w:rsidR="00345387" w:rsidRPr="005E4A52" w:rsidRDefault="00345387" w:rsidP="009042DA">
      <w:pPr>
        <w:pStyle w:val="ListParagraph"/>
        <w:numPr>
          <w:ilvl w:val="0"/>
          <w:numId w:val="12"/>
        </w:numPr>
        <w:spacing w:line="276" w:lineRule="auto"/>
      </w:pPr>
      <w:r w:rsidRPr="005E4A52">
        <w:t>ensuring the legislative framework enables the Comcare scheme to respond to social and economic challenges.</w:t>
      </w:r>
    </w:p>
    <w:p w14:paraId="55A00FF3" w14:textId="3BE21F8A" w:rsidR="00345387" w:rsidRPr="005E4A52" w:rsidRDefault="00345387" w:rsidP="00345387">
      <w:pPr>
        <w:pStyle w:val="ListParagraph"/>
        <w:spacing w:line="276" w:lineRule="auto"/>
        <w:ind w:left="763"/>
      </w:pPr>
    </w:p>
    <w:tbl>
      <w:tblPr>
        <w:tblStyle w:val="GridTable5Dark-Accent3"/>
        <w:tblW w:w="992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418"/>
        <w:gridCol w:w="8505"/>
      </w:tblGrid>
      <w:tr w:rsidR="00345387" w:rsidRPr="005E4A52" w14:paraId="6271CFB5" w14:textId="77777777" w:rsidTr="007C405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23" w:type="dxa"/>
            <w:gridSpan w:val="2"/>
          </w:tcPr>
          <w:p w14:paraId="7890B4B7" w14:textId="0D52FAAC" w:rsidR="00345387" w:rsidRPr="005E4A52" w:rsidRDefault="00345387" w:rsidP="00236B56">
            <w:pPr>
              <w:pStyle w:val="ListParagraph"/>
              <w:numPr>
                <w:ilvl w:val="0"/>
                <w:numId w:val="10"/>
              </w:numPr>
              <w:spacing w:before="120" w:after="0" w:line="240" w:lineRule="auto"/>
              <w:ind w:left="714" w:hanging="357"/>
            </w:pPr>
            <w:r w:rsidRPr="005E4A52">
              <w:rPr>
                <w:sz w:val="24"/>
                <w:szCs w:val="24"/>
              </w:rPr>
              <w:t>Identifying the principles of best practice</w:t>
            </w:r>
          </w:p>
        </w:tc>
      </w:tr>
      <w:tr w:rsidR="00345387" w:rsidRPr="005E4A52" w14:paraId="5003C72D" w14:textId="77777777" w:rsidTr="00C7717A">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E0E1ED" w:themeFill="accent2" w:themeFillTint="33"/>
          </w:tcPr>
          <w:p w14:paraId="433A3D14" w14:textId="77777777" w:rsidR="00345387" w:rsidRPr="005E4A52" w:rsidRDefault="00345387">
            <w:r w:rsidRPr="005E4A52">
              <w:rPr>
                <w:color w:val="auto"/>
              </w:rPr>
              <w:t xml:space="preserve">Why important </w:t>
            </w:r>
          </w:p>
        </w:tc>
        <w:tc>
          <w:tcPr>
            <w:tcW w:w="8505" w:type="dxa"/>
            <w:shd w:val="clear" w:color="auto" w:fill="F2F2F2" w:themeFill="background1" w:themeFillShade="F2"/>
          </w:tcPr>
          <w:p w14:paraId="2C45F871" w14:textId="77777777" w:rsidR="00345387" w:rsidRPr="005E4A52" w:rsidRDefault="00345387">
            <w:pPr>
              <w:spacing w:after="120" w:line="271" w:lineRule="auto"/>
              <w:cnfStyle w:val="000000100000" w:firstRow="0" w:lastRow="0" w:firstColumn="0" w:lastColumn="0" w:oddVBand="0" w:evenVBand="0" w:oddHBand="1" w:evenHBand="0" w:firstRowFirstColumn="0" w:firstRowLastColumn="0" w:lastRowFirstColumn="0" w:lastRowLastColumn="0"/>
            </w:pPr>
            <w:r w:rsidRPr="005E4A52">
              <w:t xml:space="preserve">The objective of the review is to make recommendations that can be used to reform the Comcare scheme to ensure that it produces fair, sustainable and optimal outcomes for injured workers and at the same time is predictable, affordable and financially sound. </w:t>
            </w:r>
          </w:p>
          <w:p w14:paraId="1358C82B" w14:textId="77777777" w:rsidR="00345387" w:rsidRPr="005E4A52" w:rsidRDefault="00345387">
            <w:pPr>
              <w:spacing w:after="120" w:line="271" w:lineRule="auto"/>
              <w:cnfStyle w:val="000000100000" w:firstRow="0" w:lastRow="0" w:firstColumn="0" w:lastColumn="0" w:oddVBand="0" w:evenVBand="0" w:oddHBand="1" w:evenHBand="0" w:firstRowFirstColumn="0" w:firstRowLastColumn="0" w:lastRowFirstColumn="0" w:lastRowLastColumn="0"/>
            </w:pPr>
            <w:r w:rsidRPr="005E4A52">
              <w:t xml:space="preserve">The SRC Act is over 35 years old. Since its commencement in 1988 there have been significant changes in Australian society and the economy. Judicial decisions and amendments to the SRC Act have increased the complexity of workers’ compensation and resulted in fragmentation of the scheme. </w:t>
            </w:r>
          </w:p>
        </w:tc>
      </w:tr>
      <w:tr w:rsidR="00345387" w:rsidRPr="005E4A52" w14:paraId="7FB27D5F" w14:textId="77777777" w:rsidTr="00C7717A">
        <w:tblPrEx>
          <w:jc w:val="left"/>
        </w:tblPrEx>
        <w:tc>
          <w:tcPr>
            <w:cnfStyle w:val="001000000000" w:firstRow="0" w:lastRow="0" w:firstColumn="1" w:lastColumn="0" w:oddVBand="0" w:evenVBand="0" w:oddHBand="0" w:evenHBand="0" w:firstRowFirstColumn="0" w:firstRowLastColumn="0" w:lastRowFirstColumn="0" w:lastRowLastColumn="0"/>
            <w:tcW w:w="1418" w:type="dxa"/>
            <w:shd w:val="clear" w:color="auto" w:fill="E0E1ED" w:themeFill="accent2" w:themeFillTint="33"/>
          </w:tcPr>
          <w:p w14:paraId="3BFCF3F9" w14:textId="77777777" w:rsidR="00345387" w:rsidRPr="005E4A52" w:rsidRDefault="00345387">
            <w:r w:rsidRPr="005E4A52">
              <w:rPr>
                <w:color w:val="auto"/>
              </w:rPr>
              <w:t>Issues to be considered</w:t>
            </w:r>
          </w:p>
        </w:tc>
        <w:tc>
          <w:tcPr>
            <w:tcW w:w="8505" w:type="dxa"/>
            <w:shd w:val="clear" w:color="auto" w:fill="F2F2F2" w:themeFill="background1" w:themeFillShade="F2"/>
          </w:tcPr>
          <w:p w14:paraId="72285D23" w14:textId="77777777" w:rsidR="00345387" w:rsidRPr="005E4A52" w:rsidRDefault="00345387" w:rsidP="009042DA">
            <w:pPr>
              <w:pStyle w:val="ListParagraph"/>
              <w:numPr>
                <w:ilvl w:val="0"/>
                <w:numId w:val="9"/>
              </w:numPr>
              <w:spacing w:after="120" w:line="271" w:lineRule="auto"/>
              <w:cnfStyle w:val="000000000000" w:firstRow="0" w:lastRow="0" w:firstColumn="0" w:lastColumn="0" w:oddVBand="0" w:evenVBand="0" w:oddHBand="0" w:evenHBand="0" w:firstRowFirstColumn="0" w:firstRowLastColumn="0" w:lastRowFirstColumn="0" w:lastRowLastColumn="0"/>
            </w:pPr>
            <w:r w:rsidRPr="005E4A52">
              <w:t xml:space="preserve">Identifying the Comcare scheme’s objectives. </w:t>
            </w:r>
          </w:p>
          <w:p w14:paraId="118A0513" w14:textId="77777777" w:rsidR="00345387" w:rsidRPr="005E4A52" w:rsidRDefault="00345387" w:rsidP="009042DA">
            <w:pPr>
              <w:pStyle w:val="ListParagraph"/>
              <w:numPr>
                <w:ilvl w:val="0"/>
                <w:numId w:val="9"/>
              </w:numPr>
              <w:shd w:val="clear" w:color="auto" w:fill="F2F2F2" w:themeFill="background1" w:themeFillShade="F2"/>
              <w:spacing w:after="120" w:line="271" w:lineRule="auto"/>
              <w:cnfStyle w:val="000000000000" w:firstRow="0" w:lastRow="0" w:firstColumn="0" w:lastColumn="0" w:oddVBand="0" w:evenVBand="0" w:oddHBand="0" w:evenHBand="0" w:firstRowFirstColumn="0" w:firstRowLastColumn="0" w:lastRowFirstColumn="0" w:lastRowLastColumn="0"/>
            </w:pPr>
            <w:r w:rsidRPr="005E4A52">
              <w:t>The principles that underpin scheme design to give optimal effect to those objectives.</w:t>
            </w:r>
          </w:p>
          <w:p w14:paraId="300FD726" w14:textId="3806D7AC" w:rsidR="006A0782" w:rsidRDefault="00345387" w:rsidP="009042DA">
            <w:pPr>
              <w:pStyle w:val="ListParagraph"/>
              <w:numPr>
                <w:ilvl w:val="0"/>
                <w:numId w:val="9"/>
              </w:numPr>
              <w:shd w:val="clear" w:color="auto" w:fill="F2F2F2" w:themeFill="background1" w:themeFillShade="F2"/>
              <w:spacing w:after="120" w:line="271" w:lineRule="auto"/>
              <w:cnfStyle w:val="000000000000" w:firstRow="0" w:lastRow="0" w:firstColumn="0" w:lastColumn="0" w:oddVBand="0" w:evenVBand="0" w:oddHBand="0" w:evenHBand="0" w:firstRowFirstColumn="0" w:firstRowLastColumn="0" w:lastRowFirstColumn="0" w:lastRowLastColumn="0"/>
            </w:pPr>
            <w:r w:rsidRPr="005E4A52">
              <w:t>The benefit of those objectives being expressly stated within the Act (i.e. insertion of an objects clause) to assist with understanding the purpose of the Act and provide guidance to the courts to resolve uncertainty and ambiguity. A scan of state and territory workers’ compensation legislation shows that the primary objective of the schemes is to provide necessary support and assistance to injured workers to achieve restoration to health and return to work outcomes</w:t>
            </w:r>
            <w:r w:rsidR="4109AFD6" w:rsidRPr="005E4A52">
              <w:t xml:space="preserve"> </w:t>
            </w:r>
            <w:r w:rsidR="4109AFD6" w:rsidRPr="77B81EC0">
              <w:rPr>
                <w:rFonts w:ascii="Aptos" w:eastAsia="Aptos" w:hAnsi="Aptos" w:cs="Aptos"/>
              </w:rPr>
              <w:t>including by consultation, co-ordination and co-operation between scheme participants</w:t>
            </w:r>
            <w:r w:rsidRPr="005E4A52">
              <w:t xml:space="preserve">. </w:t>
            </w:r>
            <w:r w:rsidR="00EE07EB">
              <w:t xml:space="preserve">Other </w:t>
            </w:r>
            <w:r w:rsidRPr="005E4A52">
              <w:t xml:space="preserve">  objective</w:t>
            </w:r>
            <w:r w:rsidR="00EE07EB">
              <w:t>s</w:t>
            </w:r>
            <w:r w:rsidRPr="005E4A52">
              <w:t xml:space="preserve"> </w:t>
            </w:r>
            <w:r w:rsidR="00EE07EB">
              <w:t>are</w:t>
            </w:r>
            <w:r w:rsidRPr="005E4A52">
              <w:t xml:space="preserve"> to achieve an affordable, financially sustainable scheme</w:t>
            </w:r>
            <w:r w:rsidR="009F321D">
              <w:t>;</w:t>
            </w:r>
            <w:r w:rsidR="005E1D01">
              <w:t xml:space="preserve"> </w:t>
            </w:r>
            <w:r w:rsidRPr="005E4A52">
              <w:t>to optimise work outcomes to encourage and improve health and safety performance</w:t>
            </w:r>
            <w:r w:rsidR="009F321D">
              <w:t>;</w:t>
            </w:r>
            <w:r w:rsidRPr="005E4A52">
              <w:t xml:space="preserve"> </w:t>
            </w:r>
            <w:r w:rsidR="00A0494A">
              <w:t>a</w:t>
            </w:r>
            <w:r w:rsidR="009F321D">
              <w:t xml:space="preserve">nd </w:t>
            </w:r>
            <w:r w:rsidR="00A0494A">
              <w:t>to</w:t>
            </w:r>
            <w:r w:rsidR="00A0494A">
              <w:rPr>
                <w:rFonts w:ascii="Aptos" w:eastAsia="Aptos" w:hAnsi="Aptos" w:cs="Aptos"/>
              </w:rPr>
              <w:t xml:space="preserve"> </w:t>
            </w:r>
            <w:r w:rsidR="7F10C8D5" w:rsidRPr="77B81EC0">
              <w:rPr>
                <w:rFonts w:ascii="Aptos" w:eastAsia="Aptos" w:hAnsi="Aptos" w:cs="Aptos"/>
              </w:rPr>
              <w:t>enhanc</w:t>
            </w:r>
            <w:r w:rsidR="00A0494A">
              <w:rPr>
                <w:rFonts w:ascii="Aptos" w:eastAsia="Aptos" w:hAnsi="Aptos" w:cs="Aptos"/>
              </w:rPr>
              <w:t>e</w:t>
            </w:r>
            <w:r w:rsidR="7F10C8D5" w:rsidRPr="77B81EC0">
              <w:rPr>
                <w:rFonts w:ascii="Aptos" w:eastAsia="Aptos" w:hAnsi="Aptos" w:cs="Aptos"/>
              </w:rPr>
              <w:t xml:space="preserve"> </w:t>
            </w:r>
            <w:r w:rsidR="00A0494A">
              <w:rPr>
                <w:rFonts w:ascii="Aptos" w:eastAsia="Aptos" w:hAnsi="Aptos" w:cs="Aptos"/>
              </w:rPr>
              <w:t xml:space="preserve">the </w:t>
            </w:r>
            <w:r w:rsidR="7F10C8D5" w:rsidRPr="77B81EC0">
              <w:rPr>
                <w:rFonts w:ascii="Aptos" w:eastAsia="Aptos" w:hAnsi="Aptos" w:cs="Aptos"/>
              </w:rPr>
              <w:t xml:space="preserve">flexibility </w:t>
            </w:r>
            <w:r w:rsidR="005E1D01">
              <w:rPr>
                <w:rFonts w:ascii="Aptos" w:eastAsia="Aptos" w:hAnsi="Aptos" w:cs="Aptos"/>
              </w:rPr>
              <w:t xml:space="preserve">of the scheme </w:t>
            </w:r>
            <w:r w:rsidR="7F10C8D5" w:rsidRPr="77B81EC0">
              <w:rPr>
                <w:rFonts w:ascii="Aptos" w:eastAsia="Aptos" w:hAnsi="Aptos" w:cs="Aptos"/>
              </w:rPr>
              <w:t>to allow for adaption to cater for future work and other circumstances</w:t>
            </w:r>
            <w:r w:rsidR="7F10C8D5" w:rsidRPr="77B81EC0">
              <w:t xml:space="preserve">. </w:t>
            </w:r>
            <w:r w:rsidR="1AE756E7" w:rsidRPr="77B81EC0">
              <w:t>E</w:t>
            </w:r>
            <w:r w:rsidRPr="005E4A52">
              <w:t>xample</w:t>
            </w:r>
            <w:r w:rsidR="10EDA501" w:rsidRPr="005E4A52">
              <w:t>s</w:t>
            </w:r>
            <w:r w:rsidRPr="005E4A52">
              <w:t xml:space="preserve"> appear in section 3 of South Australia’s </w:t>
            </w:r>
            <w:r w:rsidRPr="005E4A52">
              <w:rPr>
                <w:i/>
                <w:iCs/>
              </w:rPr>
              <w:t>Return to Work Act 2014</w:t>
            </w:r>
            <w:r w:rsidR="607AD060" w:rsidRPr="224B8139">
              <w:rPr>
                <w:i/>
                <w:iCs/>
              </w:rPr>
              <w:t xml:space="preserve"> </w:t>
            </w:r>
            <w:r w:rsidR="607AD060" w:rsidRPr="2BC67B72">
              <w:rPr>
                <w:rFonts w:ascii="Aptos" w:eastAsia="Aptos" w:hAnsi="Aptos" w:cs="Aptos"/>
              </w:rPr>
              <w:t xml:space="preserve">and section 10 of Victoria’s </w:t>
            </w:r>
            <w:r w:rsidR="607AD060" w:rsidRPr="2BC67B72">
              <w:rPr>
                <w:rFonts w:ascii="Aptos" w:eastAsia="Aptos" w:hAnsi="Aptos" w:cs="Aptos"/>
                <w:i/>
                <w:iCs/>
              </w:rPr>
              <w:t>Workplace Injury Rehabilitation and Compensation Act 2013</w:t>
            </w:r>
            <w:r w:rsidRPr="005E4A52">
              <w:t xml:space="preserve">. </w:t>
            </w:r>
          </w:p>
          <w:p w14:paraId="23F16B6A" w14:textId="2856702D" w:rsidR="00345387" w:rsidRPr="005E4A52" w:rsidRDefault="00345387" w:rsidP="009042DA">
            <w:pPr>
              <w:pStyle w:val="ListParagraph"/>
              <w:numPr>
                <w:ilvl w:val="0"/>
                <w:numId w:val="9"/>
              </w:numPr>
              <w:shd w:val="clear" w:color="auto" w:fill="F2F2F2" w:themeFill="background1" w:themeFillShade="F2"/>
              <w:spacing w:after="120" w:line="271" w:lineRule="auto"/>
              <w:cnfStyle w:val="000000000000" w:firstRow="0" w:lastRow="0" w:firstColumn="0" w:lastColumn="0" w:oddVBand="0" w:evenVBand="0" w:oddHBand="0" w:evenHBand="0" w:firstRowFirstColumn="0" w:firstRowLastColumn="0" w:lastRowFirstColumn="0" w:lastRowLastColumn="0"/>
            </w:pPr>
            <w:r w:rsidRPr="005E4A52">
              <w:t xml:space="preserve">Improving clarity and accessibility by reducing complexity and uncertainty in the existing Act. This requires consideration of whether the existing Act could be redesigned, retitled and restructured to ensure the law is better understood, complied with and administered.  </w:t>
            </w:r>
          </w:p>
        </w:tc>
      </w:tr>
      <w:tr w:rsidR="00345387" w:rsidRPr="005E4A52" w14:paraId="445FA245" w14:textId="77777777" w:rsidTr="00731B28">
        <w:tblPrEx>
          <w:jc w:val="left"/>
        </w:tblPrEx>
        <w:trPr>
          <w:cnfStyle w:val="000000100000" w:firstRow="0" w:lastRow="0" w:firstColumn="0" w:lastColumn="0" w:oddVBand="0" w:evenVBand="0" w:oddHBand="1" w:evenHBand="0" w:firstRowFirstColumn="0" w:firstRowLastColumn="0" w:lastRowFirstColumn="0" w:lastRowLastColumn="0"/>
          <w:trHeight w:val="1831"/>
        </w:trPr>
        <w:tc>
          <w:tcPr>
            <w:cnfStyle w:val="001000000000" w:firstRow="0" w:lastRow="0" w:firstColumn="1" w:lastColumn="0" w:oddVBand="0" w:evenVBand="0" w:oddHBand="0" w:evenHBand="0" w:firstRowFirstColumn="0" w:firstRowLastColumn="0" w:lastRowFirstColumn="0" w:lastRowLastColumn="0"/>
            <w:tcW w:w="1418" w:type="dxa"/>
            <w:shd w:val="clear" w:color="auto" w:fill="E0E1ED" w:themeFill="accent2" w:themeFillTint="33"/>
          </w:tcPr>
          <w:p w14:paraId="7D80AABB" w14:textId="77777777" w:rsidR="00345387" w:rsidRPr="005E4A52" w:rsidRDefault="00345387">
            <w:r w:rsidRPr="005E4A52">
              <w:rPr>
                <w:color w:val="auto"/>
              </w:rPr>
              <w:lastRenderedPageBreak/>
              <w:t xml:space="preserve">Questions </w:t>
            </w:r>
          </w:p>
        </w:tc>
        <w:tc>
          <w:tcPr>
            <w:tcW w:w="8505" w:type="dxa"/>
            <w:shd w:val="clear" w:color="auto" w:fill="F2F2F2" w:themeFill="background1" w:themeFillShade="F2"/>
          </w:tcPr>
          <w:p w14:paraId="4C22C6A3" w14:textId="77777777" w:rsidR="00345387" w:rsidRPr="005E4A52" w:rsidRDefault="00345387" w:rsidP="009042DA">
            <w:pPr>
              <w:pStyle w:val="ListParagraph"/>
              <w:numPr>
                <w:ilvl w:val="0"/>
                <w:numId w:val="11"/>
              </w:numPr>
              <w:spacing w:after="120" w:line="271"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What are the primary objectives of a workers’ compensation scheme? Should those objectives be expressly stated in the Act? </w:t>
            </w:r>
          </w:p>
          <w:p w14:paraId="6D2B3B0C" w14:textId="11272E7F" w:rsidR="00345387" w:rsidRPr="005E4A52" w:rsidRDefault="00345387" w:rsidP="009042DA">
            <w:pPr>
              <w:pStyle w:val="ListParagraph"/>
              <w:numPr>
                <w:ilvl w:val="0"/>
                <w:numId w:val="11"/>
              </w:numPr>
              <w:spacing w:after="120" w:line="271"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What are best practice design principles for a workers’ compensation scheme?</w:t>
            </w:r>
            <w:r w:rsidR="00FC10F8">
              <w:rPr>
                <w:rStyle w:val="normaltextrun"/>
                <w:rFonts w:eastAsiaTheme="majorEastAsia" w:cstheme="minorHAnsi"/>
              </w:rPr>
              <w:t xml:space="preserve"> </w:t>
            </w:r>
            <w:r w:rsidRPr="005E4A52">
              <w:rPr>
                <w:rStyle w:val="normaltextrun"/>
                <w:rFonts w:eastAsiaTheme="majorEastAsia" w:cstheme="minorHAnsi"/>
              </w:rPr>
              <w:t>For</w:t>
            </w:r>
            <w:r w:rsidR="00FC10F8">
              <w:rPr>
                <w:rStyle w:val="normaltextrun"/>
                <w:rFonts w:eastAsiaTheme="majorEastAsia" w:cstheme="minorHAnsi"/>
              </w:rPr>
              <w:t> </w:t>
            </w:r>
            <w:r w:rsidRPr="005E4A52">
              <w:rPr>
                <w:rStyle w:val="normaltextrun"/>
                <w:rFonts w:eastAsiaTheme="majorEastAsia" w:cstheme="minorHAnsi"/>
              </w:rPr>
              <w:t>example, can you provide examples (from other schemes) of best practice approaches to early intervention, rehabilitation (including supporting employees with psychological injuries), vocational support and return to work?</w:t>
            </w:r>
          </w:p>
          <w:p w14:paraId="2E85216A" w14:textId="71C54C2F" w:rsidR="00345387" w:rsidRPr="005E4A52" w:rsidRDefault="000E03E0" w:rsidP="009042DA">
            <w:pPr>
              <w:pStyle w:val="ListParagraph"/>
              <w:numPr>
                <w:ilvl w:val="0"/>
                <w:numId w:val="11"/>
              </w:numPr>
              <w:spacing w:after="120" w:line="271" w:lineRule="auto"/>
              <w:cnfStyle w:val="000000100000" w:firstRow="0" w:lastRow="0" w:firstColumn="0" w:lastColumn="0" w:oddVBand="0" w:evenVBand="0" w:oddHBand="1" w:evenHBand="0" w:firstRowFirstColumn="0" w:firstRowLastColumn="0" w:lastRowFirstColumn="0" w:lastRowLastColumn="0"/>
            </w:pPr>
            <w:r w:rsidRPr="005E4A52">
              <w:rPr>
                <w:rStyle w:val="normaltextrun"/>
                <w:rFonts w:eastAsiaTheme="majorEastAsia" w:cstheme="minorHAnsi"/>
              </w:rPr>
              <w:t xml:space="preserve">Describe the areas </w:t>
            </w:r>
            <w:r w:rsidR="00941594">
              <w:rPr>
                <w:rStyle w:val="normaltextrun"/>
                <w:rFonts w:eastAsiaTheme="majorEastAsia" w:cstheme="minorHAnsi"/>
              </w:rPr>
              <w:t xml:space="preserve">of the scheme </w:t>
            </w:r>
            <w:r w:rsidRPr="005E4A52">
              <w:rPr>
                <w:rStyle w:val="normaltextrun"/>
                <w:rFonts w:eastAsiaTheme="majorEastAsia" w:cstheme="minorHAnsi"/>
              </w:rPr>
              <w:t>needing reform</w:t>
            </w:r>
            <w:r>
              <w:rPr>
                <w:rStyle w:val="normaltextrun"/>
                <w:rFonts w:eastAsiaTheme="majorEastAsia" w:cstheme="minorHAnsi"/>
              </w:rPr>
              <w:t xml:space="preserve"> to help workers understand </w:t>
            </w:r>
            <w:r w:rsidR="00A66107">
              <w:rPr>
                <w:rStyle w:val="normaltextrun"/>
                <w:rFonts w:eastAsiaTheme="majorEastAsia" w:cstheme="minorHAnsi"/>
              </w:rPr>
              <w:t xml:space="preserve">and access </w:t>
            </w:r>
            <w:r>
              <w:rPr>
                <w:rStyle w:val="normaltextrun"/>
                <w:rFonts w:eastAsiaTheme="majorEastAsia" w:cstheme="minorHAnsi"/>
              </w:rPr>
              <w:t>their entitlements.</w:t>
            </w:r>
            <w:r w:rsidR="00A66107">
              <w:t xml:space="preserve"> </w:t>
            </w:r>
            <w:r w:rsidR="00A66107" w:rsidRPr="00A66107">
              <w:rPr>
                <w:rStyle w:val="normaltextrun"/>
                <w:rFonts w:eastAsiaTheme="majorEastAsia" w:cstheme="minorHAnsi"/>
              </w:rPr>
              <w:t>What changes are needed to enable workers better</w:t>
            </w:r>
            <w:r w:rsidR="00225CFE">
              <w:rPr>
                <w:rStyle w:val="normaltextrun"/>
                <w:rFonts w:eastAsiaTheme="majorEastAsia" w:cstheme="minorHAnsi"/>
              </w:rPr>
              <w:t xml:space="preserve"> </w:t>
            </w:r>
            <w:r w:rsidR="002352F2">
              <w:rPr>
                <w:rStyle w:val="normaltextrun"/>
                <w:rFonts w:eastAsiaTheme="majorEastAsia" w:cstheme="minorHAnsi"/>
              </w:rPr>
              <w:t xml:space="preserve">to </w:t>
            </w:r>
            <w:r w:rsidR="00A66107" w:rsidRPr="00A66107">
              <w:rPr>
                <w:rStyle w:val="normaltextrun"/>
                <w:rFonts w:eastAsiaTheme="majorEastAsia" w:cstheme="minorHAnsi"/>
              </w:rPr>
              <w:t xml:space="preserve">navigate the legislative framework? </w:t>
            </w:r>
            <w:r>
              <w:rPr>
                <w:rStyle w:val="normaltextrun"/>
                <w:rFonts w:eastAsiaTheme="majorEastAsia" w:cstheme="minorHAnsi"/>
              </w:rPr>
              <w:t xml:space="preserve"> </w:t>
            </w:r>
          </w:p>
        </w:tc>
      </w:tr>
      <w:tr w:rsidR="00345387" w:rsidRPr="005E4A52" w14:paraId="0A83626F" w14:textId="77777777" w:rsidTr="00236B56">
        <w:tblPrEx>
          <w:jc w:val="left"/>
        </w:tblPrEx>
        <w:trPr>
          <w:trHeight w:val="510"/>
        </w:trPr>
        <w:tc>
          <w:tcPr>
            <w:cnfStyle w:val="001000000000" w:firstRow="0" w:lastRow="0" w:firstColumn="1" w:lastColumn="0" w:oddVBand="0" w:evenVBand="0" w:oddHBand="0" w:evenHBand="0" w:firstRowFirstColumn="0" w:firstRowLastColumn="0" w:lastRowFirstColumn="0" w:lastRowLastColumn="0"/>
            <w:tcW w:w="9923" w:type="dxa"/>
            <w:gridSpan w:val="2"/>
            <w:shd w:val="clear" w:color="auto" w:fill="0D2C6C" w:themeFill="text1"/>
          </w:tcPr>
          <w:p w14:paraId="23E104D7" w14:textId="77777777" w:rsidR="00345387" w:rsidRPr="005E4A52" w:rsidRDefault="00345387" w:rsidP="007C4054">
            <w:pPr>
              <w:pStyle w:val="ListParagraph"/>
              <w:numPr>
                <w:ilvl w:val="0"/>
                <w:numId w:val="10"/>
              </w:numPr>
              <w:spacing w:before="120" w:after="120" w:line="240" w:lineRule="auto"/>
              <w:ind w:left="714" w:hanging="357"/>
              <w:rPr>
                <w:rStyle w:val="normaltextrun"/>
                <w:rFonts w:eastAsiaTheme="majorEastAsia" w:cstheme="minorHAnsi"/>
              </w:rPr>
            </w:pPr>
            <w:r w:rsidRPr="005E4A52">
              <w:rPr>
                <w:sz w:val="24"/>
                <w:szCs w:val="24"/>
              </w:rPr>
              <w:t>Ensuring the scheme is responsive to changing workforce conditions</w:t>
            </w:r>
          </w:p>
        </w:tc>
      </w:tr>
      <w:tr w:rsidR="00345387" w:rsidRPr="005E4A52" w14:paraId="6E8D694A" w14:textId="77777777" w:rsidTr="00C7717A">
        <w:tblPrEx>
          <w:jc w:val="left"/>
        </w:tblPrEx>
        <w:trPr>
          <w:cnfStyle w:val="000000100000" w:firstRow="0" w:lastRow="0" w:firstColumn="0" w:lastColumn="0" w:oddVBand="0" w:evenVBand="0" w:oddHBand="1" w:evenHBand="0" w:firstRowFirstColumn="0" w:firstRowLastColumn="0" w:lastRowFirstColumn="0" w:lastRowLastColumn="0"/>
          <w:trHeight w:val="1229"/>
        </w:trPr>
        <w:tc>
          <w:tcPr>
            <w:cnfStyle w:val="001000000000" w:firstRow="0" w:lastRow="0" w:firstColumn="1" w:lastColumn="0" w:oddVBand="0" w:evenVBand="0" w:oddHBand="0" w:evenHBand="0" w:firstRowFirstColumn="0" w:firstRowLastColumn="0" w:lastRowFirstColumn="0" w:lastRowLastColumn="0"/>
            <w:tcW w:w="1418" w:type="dxa"/>
            <w:shd w:val="clear" w:color="auto" w:fill="E0E1ED" w:themeFill="accent2" w:themeFillTint="33"/>
          </w:tcPr>
          <w:p w14:paraId="6D63E3E2" w14:textId="77777777" w:rsidR="00345387" w:rsidRPr="005E4A52" w:rsidRDefault="00345387">
            <w:r w:rsidRPr="005E4A52">
              <w:rPr>
                <w:color w:val="auto"/>
              </w:rPr>
              <w:t>Why important</w:t>
            </w:r>
          </w:p>
        </w:tc>
        <w:tc>
          <w:tcPr>
            <w:tcW w:w="8505" w:type="dxa"/>
            <w:shd w:val="clear" w:color="auto" w:fill="F2F2F2" w:themeFill="background1" w:themeFillShade="F2"/>
          </w:tcPr>
          <w:p w14:paraId="2C2A51B5" w14:textId="77777777" w:rsidR="00345387" w:rsidRPr="005E4A52" w:rsidRDefault="00345387">
            <w:pPr>
              <w:spacing w:after="120"/>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t xml:space="preserve">Since the SRC Act commenced the nature of work and workplaces have changed significantly. This aspect of the term of reference requires the panel to consider ways to ensure that the Comcare scheme’s legislative framework is modern, fit for purpose and sufficiently flexible to better respond to changing needs. </w:t>
            </w:r>
          </w:p>
        </w:tc>
      </w:tr>
      <w:tr w:rsidR="00345387" w:rsidRPr="005E4A52" w14:paraId="71A3C7DA" w14:textId="77777777" w:rsidTr="00C7717A">
        <w:tblPrEx>
          <w:jc w:val="left"/>
        </w:tblPrEx>
        <w:trPr>
          <w:trHeight w:val="3414"/>
        </w:trPr>
        <w:tc>
          <w:tcPr>
            <w:cnfStyle w:val="001000000000" w:firstRow="0" w:lastRow="0" w:firstColumn="1" w:lastColumn="0" w:oddVBand="0" w:evenVBand="0" w:oddHBand="0" w:evenHBand="0" w:firstRowFirstColumn="0" w:firstRowLastColumn="0" w:lastRowFirstColumn="0" w:lastRowLastColumn="0"/>
            <w:tcW w:w="1418" w:type="dxa"/>
            <w:shd w:val="clear" w:color="auto" w:fill="E0E1ED" w:themeFill="accent2" w:themeFillTint="33"/>
          </w:tcPr>
          <w:p w14:paraId="420D223C" w14:textId="77777777" w:rsidR="00345387" w:rsidRPr="005E4A52" w:rsidRDefault="00345387">
            <w:r w:rsidRPr="005E4A52">
              <w:rPr>
                <w:color w:val="auto"/>
              </w:rPr>
              <w:t>Issues to be considered</w:t>
            </w:r>
          </w:p>
        </w:tc>
        <w:tc>
          <w:tcPr>
            <w:tcW w:w="8505" w:type="dxa"/>
            <w:shd w:val="clear" w:color="auto" w:fill="F2F2F2" w:themeFill="background1" w:themeFillShade="F2"/>
          </w:tcPr>
          <w:p w14:paraId="0CE7366F" w14:textId="77777777" w:rsidR="00345387" w:rsidRPr="005E4A52" w:rsidRDefault="00345387">
            <w:pPr>
              <w:spacing w:after="120"/>
              <w:cnfStyle w:val="000000000000" w:firstRow="0" w:lastRow="0" w:firstColumn="0" w:lastColumn="0" w:oddVBand="0" w:evenVBand="0" w:oddHBand="0" w:evenHBand="0" w:firstRowFirstColumn="0" w:firstRowLastColumn="0" w:lastRowFirstColumn="0" w:lastRowLastColumn="0"/>
            </w:pPr>
            <w:r w:rsidRPr="005E4A52">
              <w:t>The impact of:</w:t>
            </w:r>
          </w:p>
          <w:p w14:paraId="1D20039D" w14:textId="1A2AB2C6"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Changes to working arrangements and conditions including remote</w:t>
            </w:r>
            <w:r w:rsidR="000A5C5E">
              <w:t>, mobile</w:t>
            </w:r>
            <w:r w:rsidRPr="005E4A52">
              <w:t xml:space="preserve"> and flexible work.  </w:t>
            </w:r>
          </w:p>
          <w:p w14:paraId="703755DB" w14:textId="2DBAA8DD"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Changes to the industries covered by the scheme, for example self-insured licensees operate in higher risk industries such as construction, mining, </w:t>
            </w:r>
            <w:r w:rsidR="7ADEB6EE">
              <w:t xml:space="preserve">healthcare </w:t>
            </w:r>
            <w:r w:rsidRPr="005E4A52">
              <w:t xml:space="preserve">and transport. </w:t>
            </w:r>
          </w:p>
          <w:p w14:paraId="15E598C4" w14:textId="24BF6BF4"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Technology in the workplace including the use of </w:t>
            </w:r>
            <w:r w:rsidR="000B1D46">
              <w:t xml:space="preserve">Artificial </w:t>
            </w:r>
            <w:r w:rsidRPr="005E4A52">
              <w:t>I</w:t>
            </w:r>
            <w:r w:rsidR="000B1D46">
              <w:t>ntelligence (AI)</w:t>
            </w:r>
            <w:r w:rsidR="006E7814">
              <w:t>, automated decision-making systems and robotics</w:t>
            </w:r>
            <w:r w:rsidRPr="005E4A52">
              <w:t>.</w:t>
            </w:r>
          </w:p>
          <w:p w14:paraId="24224164" w14:textId="77777777"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Implications of an ageing workforce including rise in claim rates, return to work challenges and risk of scheme instability. </w:t>
            </w:r>
          </w:p>
          <w:p w14:paraId="513356EB" w14:textId="0946D38E"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rPr>
                <w:rFonts w:eastAsiaTheme="majorEastAsia" w:cstheme="minorHAnsi"/>
              </w:rPr>
            </w:pPr>
            <w:r w:rsidRPr="005E4A52">
              <w:t>The rise in psychological injuries</w:t>
            </w:r>
            <w:r w:rsidR="000927E6">
              <w:t>.</w:t>
            </w:r>
          </w:p>
          <w:p w14:paraId="399A5B0D" w14:textId="77777777"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05E4A52">
              <w:t>Climate change risks and its impact on injury types, circumstances and return to work rates.</w:t>
            </w:r>
          </w:p>
        </w:tc>
      </w:tr>
      <w:tr w:rsidR="00345387" w:rsidRPr="005E4A52" w14:paraId="66357FF4" w14:textId="77777777" w:rsidTr="00C7717A">
        <w:tblPrEx>
          <w:jc w:val="left"/>
        </w:tblPrEx>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8" w:type="dxa"/>
            <w:shd w:val="clear" w:color="auto" w:fill="E0E1ED" w:themeFill="accent2" w:themeFillTint="33"/>
          </w:tcPr>
          <w:p w14:paraId="3336F700" w14:textId="10D7FC66" w:rsidR="00345387" w:rsidRPr="005E4A52" w:rsidRDefault="00345387">
            <w:r w:rsidRPr="005E4A52">
              <w:rPr>
                <w:color w:val="auto"/>
              </w:rPr>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505" w:type="dxa"/>
            <w:shd w:val="clear" w:color="auto" w:fill="F2F2F2" w:themeFill="background1" w:themeFillShade="F2"/>
          </w:tcPr>
          <w:p w14:paraId="5EAE77C4" w14:textId="77777777" w:rsidR="00345387" w:rsidRPr="005E4A52" w:rsidRDefault="00345387">
            <w:pPr>
              <w:spacing w:after="120"/>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t>Terms of reference 3 and 4</w:t>
            </w:r>
          </w:p>
        </w:tc>
      </w:tr>
      <w:tr w:rsidR="00345387" w:rsidRPr="005E4A52" w14:paraId="600E0550" w14:textId="77777777" w:rsidTr="00C7717A">
        <w:tblPrEx>
          <w:jc w:val="left"/>
        </w:tblPrEx>
        <w:trPr>
          <w:trHeight w:val="1697"/>
        </w:trPr>
        <w:tc>
          <w:tcPr>
            <w:cnfStyle w:val="001000000000" w:firstRow="0" w:lastRow="0" w:firstColumn="1" w:lastColumn="0" w:oddVBand="0" w:evenVBand="0" w:oddHBand="0" w:evenHBand="0" w:firstRowFirstColumn="0" w:firstRowLastColumn="0" w:lastRowFirstColumn="0" w:lastRowLastColumn="0"/>
            <w:tcW w:w="1418" w:type="dxa"/>
            <w:shd w:val="clear" w:color="auto" w:fill="E0E1ED" w:themeFill="accent2" w:themeFillTint="33"/>
          </w:tcPr>
          <w:p w14:paraId="2D7AA71B" w14:textId="77777777" w:rsidR="00345387" w:rsidRPr="005E4A52" w:rsidRDefault="00345387">
            <w:r w:rsidRPr="005E4A52">
              <w:rPr>
                <w:color w:val="auto"/>
              </w:rPr>
              <w:t>Questions</w:t>
            </w:r>
          </w:p>
        </w:tc>
        <w:tc>
          <w:tcPr>
            <w:tcW w:w="8505" w:type="dxa"/>
            <w:shd w:val="clear" w:color="auto" w:fill="F2F2F2" w:themeFill="background1" w:themeFillShade="F2"/>
          </w:tcPr>
          <w:p w14:paraId="55698D20" w14:textId="5BB78D65" w:rsidR="00345387" w:rsidRPr="005E4A52" w:rsidRDefault="0034538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What changes are required to address workforce challenges (current and emerging</w:t>
            </w:r>
            <w:r w:rsidR="004B6F32">
              <w:rPr>
                <w:rStyle w:val="normaltextrun"/>
                <w:rFonts w:eastAsiaTheme="majorEastAsia" w:cstheme="minorHAnsi"/>
              </w:rPr>
              <w:t xml:space="preserve">: see </w:t>
            </w:r>
            <w:r w:rsidR="00EC6BE5">
              <w:rPr>
                <w:rStyle w:val="normaltextrun"/>
                <w:rFonts w:eastAsiaTheme="majorEastAsia" w:cstheme="minorHAnsi"/>
              </w:rPr>
              <w:t>‘Issues to be considered’ above</w:t>
            </w:r>
            <w:r w:rsidRPr="005E4A52">
              <w:rPr>
                <w:rStyle w:val="normaltextrun"/>
                <w:rFonts w:eastAsiaTheme="majorEastAsia" w:cstheme="minorHAnsi"/>
              </w:rPr>
              <w:t xml:space="preserve">) to maintain an effective and sustainable Comcare scheme? </w:t>
            </w:r>
          </w:p>
          <w:p w14:paraId="4D57E80E" w14:textId="77777777" w:rsidR="00345387" w:rsidRPr="005E4A52" w:rsidRDefault="0034538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What changes are required to the Comcare scheme to better accommodate remote work and working outside ‘traditional’ work hours? </w:t>
            </w:r>
          </w:p>
          <w:p w14:paraId="4530D1CD" w14:textId="77777777" w:rsidR="00345387" w:rsidRDefault="0034538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What changes are required to the Comcare scheme to better manage complex psychological claims?  </w:t>
            </w:r>
          </w:p>
          <w:p w14:paraId="406E3C59" w14:textId="6AA3F028" w:rsidR="00EC6BE5" w:rsidRPr="005E4A52" w:rsidRDefault="00EC6BE5"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Fonts w:eastAsiaTheme="majorEastAsia" w:cstheme="minorHAnsi"/>
              </w:rPr>
            </w:pPr>
            <w:r>
              <w:rPr>
                <w:rFonts w:eastAsiaTheme="majorEastAsia" w:cstheme="minorHAnsi"/>
              </w:rPr>
              <w:t>W</w:t>
            </w:r>
            <w:r>
              <w:t>hat changes are required to the Comcare scheme to respond to climate change risks?</w:t>
            </w:r>
          </w:p>
        </w:tc>
      </w:tr>
    </w:tbl>
    <w:p w14:paraId="14EEA5E2" w14:textId="77777777" w:rsidR="00345387" w:rsidRPr="005E4A52" w:rsidRDefault="00345387" w:rsidP="00345387"/>
    <w:p w14:paraId="225E7E15" w14:textId="62A9AAF0" w:rsidR="00345387" w:rsidRPr="005E4A52" w:rsidRDefault="00345387" w:rsidP="00345387">
      <w:pPr>
        <w:spacing w:after="160"/>
      </w:pPr>
      <w:r w:rsidRPr="005E4A52">
        <w:br w:type="page"/>
      </w:r>
    </w:p>
    <w:p w14:paraId="68110762" w14:textId="1E93F4E9" w:rsidR="00345387" w:rsidRPr="005E4A52" w:rsidRDefault="001740E1" w:rsidP="007A56DA">
      <w:pPr>
        <w:pStyle w:val="Heading3"/>
      </w:pPr>
      <w:bookmarkStart w:id="31" w:name="_Toc180174612"/>
      <w:r>
        <w:lastRenderedPageBreak/>
        <w:t>3.2</w:t>
      </w:r>
      <w:r w:rsidR="00D6400A">
        <w:tab/>
      </w:r>
      <w:r w:rsidR="00345387" w:rsidRPr="005E4A52">
        <w:t>Employee’s experience of the scheme (Term of reference 2)</w:t>
      </w:r>
      <w:bookmarkEnd w:id="31"/>
    </w:p>
    <w:p w14:paraId="70553974" w14:textId="75EBA715" w:rsidR="00345387" w:rsidRPr="005E4A52" w:rsidRDefault="00345387" w:rsidP="00345387">
      <w:r w:rsidRPr="005E4A52">
        <w:t>Term of reference 2 is focused on:</w:t>
      </w:r>
    </w:p>
    <w:p w14:paraId="108A04D7" w14:textId="7EC6475A" w:rsidR="00345387" w:rsidRPr="005E4A52" w:rsidRDefault="00345387" w:rsidP="009042DA">
      <w:pPr>
        <w:pStyle w:val="ListParagraph"/>
        <w:numPr>
          <w:ilvl w:val="0"/>
          <w:numId w:val="15"/>
        </w:numPr>
        <w:spacing w:line="276" w:lineRule="auto"/>
      </w:pPr>
      <w:r w:rsidRPr="005E4A52">
        <w:t>understanding the worker experience to ensure the Comcare scheme promotes a person-centred approach, reduces harm and improves outcomes for injured workers and their families, and embeds best practice approaches to early intervention, rehabilitation, vocational and economic support and return to work</w:t>
      </w:r>
      <w:r w:rsidR="00FC10F8">
        <w:t>,</w:t>
      </w:r>
      <w:r w:rsidRPr="005E4A52">
        <w:t xml:space="preserve"> and </w:t>
      </w:r>
    </w:p>
    <w:p w14:paraId="19E85C96" w14:textId="77777777" w:rsidR="00345387" w:rsidRPr="005E4A52" w:rsidRDefault="00345387" w:rsidP="009042DA">
      <w:pPr>
        <w:pStyle w:val="ListParagraph"/>
        <w:numPr>
          <w:ilvl w:val="0"/>
          <w:numId w:val="15"/>
        </w:numPr>
        <w:spacing w:line="276" w:lineRule="auto"/>
      </w:pPr>
      <w:r w:rsidRPr="005E4A52">
        <w:t xml:space="preserve">improving the experience of workers’ compensation for workers from diverse backgrounds and workers with life-altering long-term injuries and illnesses and the families of workers who suffer a serious illness or injury or death. </w:t>
      </w:r>
    </w:p>
    <w:p w14:paraId="0234ADFA" w14:textId="1AFD3143" w:rsidR="00345387" w:rsidRPr="005E4A52" w:rsidRDefault="00345387" w:rsidP="00345387">
      <w:pPr>
        <w:pStyle w:val="ListParagraph"/>
        <w:spacing w:line="276" w:lineRule="auto"/>
        <w:ind w:left="360"/>
      </w:pPr>
    </w:p>
    <w:tbl>
      <w:tblPr>
        <w:tblStyle w:val="GridTable5Dark-Accent3"/>
        <w:tblW w:w="9923" w:type="dxa"/>
        <w:tblLook w:val="04A0" w:firstRow="1" w:lastRow="0" w:firstColumn="1" w:lastColumn="0" w:noHBand="0" w:noVBand="1"/>
      </w:tblPr>
      <w:tblGrid>
        <w:gridCol w:w="1476"/>
        <w:gridCol w:w="8447"/>
      </w:tblGrid>
      <w:tr w:rsidR="00345387" w:rsidRPr="005E4A52" w14:paraId="2245F967" w14:textId="77777777" w:rsidTr="00731B28">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9923" w:type="dxa"/>
            <w:gridSpan w:val="2"/>
          </w:tcPr>
          <w:p w14:paraId="3A030E3C" w14:textId="25DC1E4B" w:rsidR="00345387" w:rsidRPr="005E4A52" w:rsidRDefault="00345387" w:rsidP="006F2BBB">
            <w:pPr>
              <w:pStyle w:val="ListParagraph"/>
              <w:numPr>
                <w:ilvl w:val="0"/>
                <w:numId w:val="13"/>
              </w:numPr>
              <w:spacing w:before="120" w:after="60" w:line="240" w:lineRule="auto"/>
              <w:ind w:left="714" w:hanging="357"/>
            </w:pPr>
            <w:r w:rsidRPr="00731B28">
              <w:rPr>
                <w:sz w:val="24"/>
                <w:szCs w:val="24"/>
              </w:rPr>
              <w:t>Improving health outcomes for injured workers</w:t>
            </w:r>
          </w:p>
        </w:tc>
      </w:tr>
      <w:tr w:rsidR="00345387" w:rsidRPr="005E4A52" w14:paraId="1AFE2804" w14:textId="77777777" w:rsidTr="00731B28">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tcPr>
          <w:p w14:paraId="717DBA95" w14:textId="77777777" w:rsidR="00345387" w:rsidRPr="005E4A52" w:rsidRDefault="00345387">
            <w:r w:rsidRPr="005E4A52">
              <w:rPr>
                <w:color w:val="auto"/>
              </w:rPr>
              <w:t xml:space="preserve">Why important </w:t>
            </w:r>
          </w:p>
        </w:tc>
        <w:tc>
          <w:tcPr>
            <w:tcW w:w="8447" w:type="dxa"/>
          </w:tcPr>
          <w:p w14:paraId="7F6BE1FB" w14:textId="77777777" w:rsidR="00345387" w:rsidRPr="005E4A52" w:rsidRDefault="00345387">
            <w:pPr>
              <w:spacing w:after="120"/>
              <w:cnfStyle w:val="000000100000" w:firstRow="0" w:lastRow="0" w:firstColumn="0" w:lastColumn="0" w:oddVBand="0" w:evenVBand="0" w:oddHBand="1" w:evenHBand="0" w:firstRowFirstColumn="0" w:firstRowLastColumn="0" w:lastRowFirstColumn="0" w:lastRowLastColumn="0"/>
            </w:pPr>
            <w:r w:rsidRPr="005E4A52">
              <w:t>A strong body of evidence indicates that:</w:t>
            </w:r>
          </w:p>
          <w:p w14:paraId="68C96420" w14:textId="77777777" w:rsidR="00345387" w:rsidRPr="005E4A52" w:rsidRDefault="00345387" w:rsidP="009042DA">
            <w:pPr>
              <w:pStyle w:val="ListParagraph"/>
              <w:numPr>
                <w:ilvl w:val="0"/>
                <w:numId w:val="14"/>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 xml:space="preserve">Health outcomes for a compensable injury are less effective than for the same injury in a non-compensable setting. </w:t>
            </w:r>
          </w:p>
          <w:p w14:paraId="111308E7" w14:textId="77777777" w:rsidR="00345387" w:rsidRPr="005E4A52" w:rsidRDefault="00345387" w:rsidP="009042DA">
            <w:pPr>
              <w:pStyle w:val="ListParagraph"/>
              <w:numPr>
                <w:ilvl w:val="0"/>
                <w:numId w:val="14"/>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 xml:space="preserve">Employees who suffer psychological injuries have poorer outcomes than employees who suffer physical injuries. </w:t>
            </w:r>
          </w:p>
          <w:p w14:paraId="22494143" w14:textId="77777777" w:rsidR="00345387" w:rsidRPr="005E4A52" w:rsidRDefault="00345387" w:rsidP="009042DA">
            <w:pPr>
              <w:pStyle w:val="ListParagraph"/>
              <w:numPr>
                <w:ilvl w:val="0"/>
                <w:numId w:val="14"/>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 xml:space="preserve">A combination of physical and psychological injuries produces worse outcomes. </w:t>
            </w:r>
          </w:p>
          <w:p w14:paraId="6F597BC8" w14:textId="77777777" w:rsidR="00345387" w:rsidRPr="005E4A52" w:rsidRDefault="00345387" w:rsidP="009042DA">
            <w:pPr>
              <w:pStyle w:val="ListParagraph"/>
              <w:numPr>
                <w:ilvl w:val="0"/>
                <w:numId w:val="14"/>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 xml:space="preserve">The longer an employee is away from work the less likely it is they will return to work. </w:t>
            </w:r>
          </w:p>
          <w:p w14:paraId="56EE9CB1" w14:textId="77777777" w:rsidR="00345387" w:rsidRPr="005E4A52" w:rsidRDefault="00345387">
            <w:pPr>
              <w:spacing w:after="120"/>
              <w:cnfStyle w:val="000000100000" w:firstRow="0" w:lastRow="0" w:firstColumn="0" w:lastColumn="0" w:oddVBand="0" w:evenVBand="0" w:oddHBand="1" w:evenHBand="0" w:firstRowFirstColumn="0" w:firstRowLastColumn="0" w:lastRowFirstColumn="0" w:lastRowLastColumn="0"/>
            </w:pPr>
            <w:r w:rsidRPr="005E4A52">
              <w:t xml:space="preserve">Evidence also suggests that better health outcomes are achieved from a person-centric approach. This is where an employee is treated fairly, and their social and economic wellbeing is prioritised. </w:t>
            </w:r>
          </w:p>
        </w:tc>
      </w:tr>
      <w:tr w:rsidR="00345387" w:rsidRPr="005E4A52" w14:paraId="099B76A1" w14:textId="77777777" w:rsidTr="00731B28">
        <w:tblPrEx>
          <w:jc w:val="left"/>
        </w:tblPrEx>
        <w:tc>
          <w:tcPr>
            <w:cnfStyle w:val="001000000000" w:firstRow="0" w:lastRow="0" w:firstColumn="1" w:lastColumn="0" w:oddVBand="0" w:evenVBand="0" w:oddHBand="0" w:evenHBand="0" w:firstRowFirstColumn="0" w:firstRowLastColumn="0" w:lastRowFirstColumn="0" w:lastRowLastColumn="0"/>
            <w:tcW w:w="1476" w:type="dxa"/>
          </w:tcPr>
          <w:p w14:paraId="2351E2A5" w14:textId="77777777" w:rsidR="00345387" w:rsidRPr="005E4A52" w:rsidRDefault="00345387">
            <w:r w:rsidRPr="005E4A52">
              <w:rPr>
                <w:color w:val="auto"/>
              </w:rPr>
              <w:t>Issues to be considered</w:t>
            </w:r>
          </w:p>
        </w:tc>
        <w:tc>
          <w:tcPr>
            <w:tcW w:w="8447" w:type="dxa"/>
          </w:tcPr>
          <w:p w14:paraId="17708878" w14:textId="77777777"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The experience of making a workers’ compensation claim, including how to navigate the system’s requirements and processes. </w:t>
            </w:r>
          </w:p>
          <w:p w14:paraId="533023BB" w14:textId="77777777"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The experience of claims management relating to the:</w:t>
            </w:r>
          </w:p>
          <w:p w14:paraId="78D7A95A" w14:textId="77777777" w:rsidR="00345387" w:rsidRPr="005E4A52" w:rsidRDefault="00345387" w:rsidP="009042DA">
            <w:pPr>
              <w:pStyle w:val="ListParagraph"/>
              <w:numPr>
                <w:ilvl w:val="1"/>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Skills and qualifications of claims managers. </w:t>
            </w:r>
          </w:p>
          <w:p w14:paraId="0488DB88" w14:textId="77777777" w:rsidR="00345387" w:rsidRPr="005E4A52" w:rsidRDefault="00345387" w:rsidP="009042DA">
            <w:pPr>
              <w:pStyle w:val="ListParagraph"/>
              <w:numPr>
                <w:ilvl w:val="1"/>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Employees’ involvement in the decision-making process. </w:t>
            </w:r>
          </w:p>
          <w:p w14:paraId="115AB15F" w14:textId="77777777"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The experience of rehabilitation and return to work processes (RTW) including workplace and employer support.</w:t>
            </w:r>
          </w:p>
          <w:p w14:paraId="5F534F7E" w14:textId="77777777"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How to reduce stigma and ensure fairness.  </w:t>
            </w:r>
          </w:p>
          <w:p w14:paraId="46DF06E3" w14:textId="1A7A3DB9" w:rsidR="443F87E0" w:rsidRDefault="443F87E0" w:rsidP="6C36FF4C">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6C36FF4C">
              <w:rPr>
                <w:rFonts w:ascii="Aptos" w:eastAsia="Aptos" w:hAnsi="Aptos" w:cs="Aptos"/>
              </w:rPr>
              <w:t>Best practice approaches to supporting workers with psychological injuries and illnesses.</w:t>
            </w:r>
          </w:p>
          <w:p w14:paraId="1A1D87A4" w14:textId="77777777"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Access to and the experience of health care.</w:t>
            </w:r>
          </w:p>
          <w:p w14:paraId="79E96382" w14:textId="77777777" w:rsidR="00345387" w:rsidRPr="005E4A52" w:rsidRDefault="00345387" w:rsidP="009042DA">
            <w:pPr>
              <w:pStyle w:val="ListParagraph"/>
              <w:numPr>
                <w:ilvl w:val="0"/>
                <w:numId w:val="9"/>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Access to and the experience with workplace rehabilitation providers.  </w:t>
            </w:r>
          </w:p>
        </w:tc>
      </w:tr>
      <w:tr w:rsidR="00345387" w:rsidRPr="005E4A52" w14:paraId="173E5CFF" w14:textId="77777777" w:rsidTr="00731B28">
        <w:tblPrEx>
          <w:jc w:val="left"/>
        </w:tblPrEx>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1476" w:type="dxa"/>
          </w:tcPr>
          <w:p w14:paraId="2C22B078" w14:textId="77777777" w:rsidR="00345387" w:rsidRPr="005E4A52" w:rsidRDefault="00345387">
            <w:r w:rsidRPr="005E4A52">
              <w:rPr>
                <w:color w:val="auto"/>
              </w:rPr>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447" w:type="dxa"/>
          </w:tcPr>
          <w:p w14:paraId="49D8A4FD" w14:textId="1C69A19E" w:rsidR="00345387" w:rsidRPr="005E4A52" w:rsidRDefault="00345387">
            <w:pPr>
              <w:spacing w:after="120"/>
              <w:cnfStyle w:val="000000100000" w:firstRow="0" w:lastRow="0" w:firstColumn="0" w:lastColumn="0" w:oddVBand="0" w:evenVBand="0" w:oddHBand="1" w:evenHBand="0" w:firstRowFirstColumn="0" w:firstRowLastColumn="0" w:lastRowFirstColumn="0" w:lastRowLastColumn="0"/>
            </w:pPr>
            <w:r w:rsidRPr="005E4A52">
              <w:t xml:space="preserve">Specific issues related to rehabilitation, return to work and early intervention are detailed separately under term of reference 5. </w:t>
            </w:r>
          </w:p>
        </w:tc>
      </w:tr>
      <w:tr w:rsidR="00345387" w:rsidRPr="005E4A52" w14:paraId="1EB278C3" w14:textId="77777777" w:rsidTr="00731B28">
        <w:tblPrEx>
          <w:jc w:val="left"/>
        </w:tblPrEx>
        <w:trPr>
          <w:trHeight w:val="699"/>
        </w:trPr>
        <w:tc>
          <w:tcPr>
            <w:cnfStyle w:val="001000000000" w:firstRow="0" w:lastRow="0" w:firstColumn="1" w:lastColumn="0" w:oddVBand="0" w:evenVBand="0" w:oddHBand="0" w:evenHBand="0" w:firstRowFirstColumn="0" w:firstRowLastColumn="0" w:lastRowFirstColumn="0" w:lastRowLastColumn="0"/>
            <w:tcW w:w="1476" w:type="dxa"/>
          </w:tcPr>
          <w:p w14:paraId="4E82695E" w14:textId="16621CCE" w:rsidR="00345387" w:rsidRPr="005E4A52" w:rsidRDefault="00345387">
            <w:r w:rsidRPr="005E4A52">
              <w:rPr>
                <w:color w:val="auto"/>
              </w:rPr>
              <w:t xml:space="preserve">Questions </w:t>
            </w:r>
          </w:p>
        </w:tc>
        <w:tc>
          <w:tcPr>
            <w:tcW w:w="8447" w:type="dxa"/>
          </w:tcPr>
          <w:p w14:paraId="7C1126F8" w14:textId="14F67C0D" w:rsidR="00345387" w:rsidRPr="005E4A52" w:rsidRDefault="0034538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174C302A">
              <w:rPr>
                <w:rStyle w:val="normaltextrun"/>
                <w:rFonts w:eastAsiaTheme="majorEastAsia"/>
              </w:rPr>
              <w:t>What is your claim experience? Positive, negative or neutral?  </w:t>
            </w:r>
          </w:p>
          <w:p w14:paraId="3910E08B" w14:textId="1345551B" w:rsidR="00345387" w:rsidRPr="005E4A52" w:rsidRDefault="03EF7D6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2B800CD3">
              <w:rPr>
                <w:rStyle w:val="normaltextrun"/>
                <w:rFonts w:eastAsiaTheme="majorEastAsia"/>
              </w:rPr>
              <w:t xml:space="preserve">Explain </w:t>
            </w:r>
            <w:r w:rsidR="216454A2" w:rsidRPr="2B800CD3">
              <w:rPr>
                <w:rStyle w:val="normaltextrun"/>
                <w:rFonts w:eastAsiaTheme="majorEastAsia"/>
              </w:rPr>
              <w:t>w</w:t>
            </w:r>
            <w:r w:rsidR="00345387" w:rsidRPr="2B800CD3">
              <w:rPr>
                <w:rStyle w:val="normaltextrun"/>
                <w:rFonts w:eastAsiaTheme="majorEastAsia"/>
              </w:rPr>
              <w:t>hat aspects of the Comcare scheme work well?</w:t>
            </w:r>
            <w:r w:rsidR="39D2B1DB" w:rsidRPr="2B800CD3">
              <w:rPr>
                <w:rStyle w:val="normaltextrun"/>
                <w:rFonts w:eastAsiaTheme="majorEastAsia"/>
              </w:rPr>
              <w:t xml:space="preserve"> </w:t>
            </w:r>
            <w:r w:rsidR="39D2B1DB" w:rsidRPr="2B800CD3">
              <w:rPr>
                <w:rFonts w:ascii="Aptos" w:eastAsia="Aptos" w:hAnsi="Aptos" w:cs="Aptos"/>
              </w:rPr>
              <w:t>For example, early intervention initiatives</w:t>
            </w:r>
            <w:r w:rsidR="00486216">
              <w:rPr>
                <w:rFonts w:ascii="Aptos" w:eastAsia="Aptos" w:hAnsi="Aptos" w:cs="Aptos"/>
              </w:rPr>
              <w:t>,</w:t>
            </w:r>
            <w:r w:rsidR="39D2B1DB" w:rsidRPr="2B800CD3">
              <w:rPr>
                <w:rFonts w:ascii="Aptos" w:eastAsia="Aptos" w:hAnsi="Aptos" w:cs="Aptos"/>
              </w:rPr>
              <w:t xml:space="preserve"> the claim-making process</w:t>
            </w:r>
            <w:r w:rsidR="00486216">
              <w:rPr>
                <w:rFonts w:ascii="Aptos" w:eastAsia="Aptos" w:hAnsi="Aptos" w:cs="Aptos"/>
              </w:rPr>
              <w:t>,</w:t>
            </w:r>
            <w:r w:rsidR="39D2B1DB" w:rsidRPr="2B800CD3">
              <w:rPr>
                <w:rFonts w:ascii="Aptos" w:eastAsia="Aptos" w:hAnsi="Aptos" w:cs="Aptos"/>
              </w:rPr>
              <w:t xml:space="preserve"> rehabilitation</w:t>
            </w:r>
            <w:r w:rsidR="008831F3">
              <w:rPr>
                <w:rFonts w:ascii="Aptos" w:eastAsia="Aptos" w:hAnsi="Aptos" w:cs="Aptos"/>
              </w:rPr>
              <w:t>,</w:t>
            </w:r>
            <w:r w:rsidR="39D2B1DB" w:rsidRPr="2B800CD3">
              <w:rPr>
                <w:rFonts w:ascii="Aptos" w:eastAsia="Aptos" w:hAnsi="Aptos" w:cs="Aptos"/>
              </w:rPr>
              <w:t xml:space="preserve"> return to work support</w:t>
            </w:r>
            <w:r w:rsidR="00451DED">
              <w:rPr>
                <w:rFonts w:ascii="Aptos" w:eastAsia="Aptos" w:hAnsi="Aptos" w:cs="Aptos"/>
              </w:rPr>
              <w:t>.</w:t>
            </w:r>
          </w:p>
          <w:p w14:paraId="5783166D" w14:textId="77777777" w:rsidR="00345387" w:rsidRPr="005E4A52" w:rsidRDefault="0034538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What changes to the Comcare scheme would better support recovery and wellbeing and improve return to work outcomes?</w:t>
            </w:r>
          </w:p>
          <w:p w14:paraId="5B003CF2" w14:textId="0721C3CC" w:rsidR="00345387" w:rsidRPr="005E4A52" w:rsidRDefault="0034538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Pr>
            </w:pPr>
            <w:r w:rsidRPr="2B800CD3">
              <w:rPr>
                <w:rStyle w:val="normaltextrun"/>
                <w:rFonts w:eastAsiaTheme="majorEastAsia"/>
              </w:rPr>
              <w:t>What changes to the Comcare scheme would better support workers with life-changing injuries and illnesses?</w:t>
            </w:r>
            <w:r w:rsidR="00500F1C" w:rsidRPr="00500F1C">
              <w:rPr>
                <w:b/>
                <w:bCs/>
                <w:noProof/>
                <w:color w:val="0D2C6C" w:themeColor="text1"/>
              </w:rPr>
              <w:t xml:space="preserve"> </w:t>
            </w:r>
          </w:p>
          <w:p w14:paraId="3747DCF6" w14:textId="24FF01E9" w:rsidR="2B800CD3" w:rsidRDefault="2529E168" w:rsidP="2B800CD3">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sidRPr="51E46D19">
              <w:rPr>
                <w:rFonts w:ascii="Aptos" w:eastAsia="Aptos" w:hAnsi="Aptos" w:cs="Aptos"/>
              </w:rPr>
              <w:lastRenderedPageBreak/>
              <w:t>What changes to the Comcare scheme would better support workers with psychological injuries and illnesses?</w:t>
            </w:r>
          </w:p>
          <w:p w14:paraId="332EF897" w14:textId="77777777" w:rsidR="00345387" w:rsidRPr="005E4A52" w:rsidRDefault="0034538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Pr>
            </w:pPr>
            <w:r w:rsidRPr="005E4A52">
              <w:rPr>
                <w:rStyle w:val="normaltextrun"/>
                <w:rFonts w:eastAsiaTheme="majorEastAsia" w:cstheme="minorHAnsi"/>
              </w:rPr>
              <w:t>What changes to the Comcare scheme would better support families of workers who have suffered serious injury, illness or death?</w:t>
            </w:r>
          </w:p>
          <w:p w14:paraId="2C03892E" w14:textId="77777777" w:rsidR="00345387" w:rsidRPr="005E4A52" w:rsidRDefault="00345387" w:rsidP="009042DA">
            <w:pPr>
              <w:pStyle w:val="ListParagraph"/>
              <w:numPr>
                <w:ilvl w:val="0"/>
                <w:numId w:val="11"/>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rPr>
                <w:rStyle w:val="normaltextrun"/>
                <w:rFonts w:eastAsiaTheme="majorEastAsia" w:cstheme="minorHAnsi"/>
              </w:rPr>
              <w:t>Do you have any suggestions for improving and building the competencies of claims managers?</w:t>
            </w:r>
          </w:p>
        </w:tc>
      </w:tr>
      <w:tr w:rsidR="00345387" w:rsidRPr="005E4A52" w14:paraId="1AB45F54" w14:textId="77777777" w:rsidTr="006F2BBB">
        <w:tblPrEx>
          <w:jc w:val="left"/>
        </w:tblPrEx>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923" w:type="dxa"/>
            <w:gridSpan w:val="2"/>
            <w:shd w:val="clear" w:color="auto" w:fill="0D2C6C" w:themeFill="text1"/>
          </w:tcPr>
          <w:p w14:paraId="3FCF9C85" w14:textId="364EBE8C" w:rsidR="00345387" w:rsidRPr="005E4A52" w:rsidRDefault="00345387" w:rsidP="006F2BBB">
            <w:pPr>
              <w:pStyle w:val="ListParagraph"/>
              <w:numPr>
                <w:ilvl w:val="0"/>
                <w:numId w:val="13"/>
              </w:numPr>
              <w:spacing w:before="120" w:after="120" w:line="240" w:lineRule="auto"/>
              <w:ind w:left="714" w:hanging="357"/>
            </w:pPr>
            <w:r w:rsidRPr="005E4A52">
              <w:rPr>
                <w:sz w:val="24"/>
                <w:szCs w:val="24"/>
              </w:rPr>
              <w:lastRenderedPageBreak/>
              <w:t>Experiences and outcomes of specific groups</w:t>
            </w:r>
          </w:p>
        </w:tc>
      </w:tr>
      <w:tr w:rsidR="00345387" w:rsidRPr="005E4A52" w14:paraId="2EB95AC6" w14:textId="77777777" w:rsidTr="00731B28">
        <w:tblPrEx>
          <w:jc w:val="left"/>
        </w:tblPrEx>
        <w:trPr>
          <w:trHeight w:val="3000"/>
        </w:trPr>
        <w:tc>
          <w:tcPr>
            <w:cnfStyle w:val="001000000000" w:firstRow="0" w:lastRow="0" w:firstColumn="1" w:lastColumn="0" w:oddVBand="0" w:evenVBand="0" w:oddHBand="0" w:evenHBand="0" w:firstRowFirstColumn="0" w:firstRowLastColumn="0" w:lastRowFirstColumn="0" w:lastRowLastColumn="0"/>
            <w:tcW w:w="1476" w:type="dxa"/>
          </w:tcPr>
          <w:p w14:paraId="14B9D829" w14:textId="39219FED" w:rsidR="00345387" w:rsidRPr="005E4A52" w:rsidRDefault="00345387">
            <w:r w:rsidRPr="005E4A52">
              <w:rPr>
                <w:color w:val="auto"/>
              </w:rPr>
              <w:t>Why important</w:t>
            </w:r>
          </w:p>
        </w:tc>
        <w:tc>
          <w:tcPr>
            <w:tcW w:w="8447" w:type="dxa"/>
          </w:tcPr>
          <w:p w14:paraId="38A64AAD" w14:textId="77777777" w:rsidR="00345387" w:rsidRPr="005E4A52" w:rsidRDefault="00345387">
            <w:pPr>
              <w:spacing w:after="120"/>
              <w:cnfStyle w:val="000000000000" w:firstRow="0" w:lastRow="0" w:firstColumn="0" w:lastColumn="0" w:oddVBand="0" w:evenVBand="0" w:oddHBand="0" w:evenHBand="0" w:firstRowFirstColumn="0" w:firstRowLastColumn="0" w:lastRowFirstColumn="0" w:lastRowLastColumn="0"/>
            </w:pPr>
            <w:r w:rsidRPr="005E4A52">
              <w:t>Research shows multiple stigmatised identities (e.g. a person with an illness or injury who is also a member of a minority group), intensify the potential for prejudice and discrimination of the employee in the workplace.</w:t>
            </w:r>
            <w:r w:rsidRPr="005E4A52">
              <w:rPr>
                <w:rStyle w:val="FootnoteReference"/>
              </w:rPr>
              <w:footnoteReference w:id="15"/>
            </w:r>
          </w:p>
          <w:p w14:paraId="4DB671D7" w14:textId="42BE73BD" w:rsidR="00FD44DA" w:rsidRDefault="00345387" w:rsidP="4E8AAEAB">
            <w:pPr>
              <w:spacing w:after="120"/>
              <w:cnfStyle w:val="000000000000" w:firstRow="0" w:lastRow="0" w:firstColumn="0" w:lastColumn="0" w:oddVBand="0" w:evenVBand="0" w:oddHBand="0" w:evenHBand="0" w:firstRowFirstColumn="0" w:firstRowLastColumn="0" w:lastRowFirstColumn="0" w:lastRowLastColumn="0"/>
            </w:pPr>
            <w:r w:rsidRPr="005E4A52">
              <w:t>Australian Bureau of Statistics data shows the age group with the highest work-related injury or illness are people aged 55 to 59 years.</w:t>
            </w:r>
            <w:r w:rsidRPr="005E4A52">
              <w:rPr>
                <w:rStyle w:val="FootnoteReference"/>
              </w:rPr>
              <w:footnoteReference w:id="16"/>
            </w:r>
            <w:r w:rsidRPr="005E4A52">
              <w:t xml:space="preserve"> </w:t>
            </w:r>
          </w:p>
          <w:p w14:paraId="4B98DD1C" w14:textId="7C7B6553" w:rsidR="002E6712" w:rsidRDefault="006C6BBF" w:rsidP="4E8AAEAB">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In 2022-23</w:t>
            </w:r>
            <w:r w:rsidR="0062202D">
              <w:rPr>
                <w:rFonts w:eastAsia="Calibri" w:cs="Calibri"/>
              </w:rPr>
              <w:t>,</w:t>
            </w:r>
            <w:r>
              <w:rPr>
                <w:rFonts w:eastAsia="Calibri" w:cs="Calibri"/>
              </w:rPr>
              <w:t xml:space="preserve"> the </w:t>
            </w:r>
            <w:r w:rsidR="0062202D">
              <w:rPr>
                <w:rFonts w:eastAsia="Calibri" w:cs="Calibri"/>
              </w:rPr>
              <w:t>premium rate for the Comcare scheme was 0.73%.</w:t>
            </w:r>
            <w:r w:rsidR="0062202D">
              <w:rPr>
                <w:rStyle w:val="FootnoteReference"/>
                <w:rFonts w:eastAsia="Calibri" w:cs="Calibri"/>
              </w:rPr>
              <w:footnoteReference w:id="17"/>
            </w:r>
            <w:r>
              <w:rPr>
                <w:rFonts w:eastAsia="Calibri" w:cs="Calibri"/>
              </w:rPr>
              <w:t xml:space="preserve"> </w:t>
            </w:r>
            <w:r w:rsidR="00345387" w:rsidRPr="005E4A52">
              <w:rPr>
                <w:rFonts w:eastAsia="Calibri" w:cs="Calibri"/>
              </w:rPr>
              <w:t xml:space="preserve">Comcare’s premium performance data </w:t>
            </w:r>
            <w:r w:rsidR="3DCCCE8E" w:rsidRPr="005E4A52">
              <w:rPr>
                <w:rFonts w:eastAsia="Calibri" w:cs="Calibri"/>
              </w:rPr>
              <w:t>for employers with over 100</w:t>
            </w:r>
            <w:r w:rsidR="3DCCCE8E" w:rsidRPr="005E4A52" w:rsidDel="00025919">
              <w:rPr>
                <w:rFonts w:eastAsia="Calibri" w:cs="Calibri"/>
              </w:rPr>
              <w:t xml:space="preserve"> </w:t>
            </w:r>
            <w:r w:rsidR="000D514F">
              <w:rPr>
                <w:rFonts w:eastAsia="Calibri" w:cs="Calibri"/>
              </w:rPr>
              <w:t>FTE</w:t>
            </w:r>
            <w:r w:rsidR="3DCCCE8E" w:rsidRPr="005E4A52">
              <w:rPr>
                <w:rFonts w:eastAsia="Calibri" w:cs="Calibri"/>
              </w:rPr>
              <w:t>,</w:t>
            </w:r>
            <w:r w:rsidR="00345387" w:rsidRPr="005E4A52">
              <w:rPr>
                <w:rFonts w:eastAsia="Calibri" w:cs="Calibri"/>
              </w:rPr>
              <w:t xml:space="preserve"> indicates that workplace injuries and workers’ compensation may disproportionately affect certain groups. </w:t>
            </w:r>
            <w:r w:rsidR="283DD54A" w:rsidRPr="1130ADA7">
              <w:rPr>
                <w:rFonts w:eastAsia="Calibri" w:cs="Calibri"/>
              </w:rPr>
              <w:t>In 2023-</w:t>
            </w:r>
            <w:r w:rsidR="0D826DE9" w:rsidRPr="1130ADA7">
              <w:rPr>
                <w:rFonts w:eastAsia="Calibri" w:cs="Calibri"/>
              </w:rPr>
              <w:t>2</w:t>
            </w:r>
            <w:r w:rsidR="283DD54A" w:rsidRPr="1130ADA7">
              <w:rPr>
                <w:rFonts w:eastAsia="Calibri" w:cs="Calibri"/>
              </w:rPr>
              <w:t>4, t</w:t>
            </w:r>
            <w:r w:rsidR="44398077" w:rsidRPr="1130ADA7">
              <w:rPr>
                <w:rFonts w:eastAsia="Calibri" w:cs="Calibri"/>
              </w:rPr>
              <w:t>he</w:t>
            </w:r>
            <w:r w:rsidR="6B2C8B40" w:rsidRPr="005E4A52">
              <w:rPr>
                <w:rFonts w:eastAsia="Calibri" w:cs="Calibri"/>
              </w:rPr>
              <w:t xml:space="preserve"> </w:t>
            </w:r>
            <w:r w:rsidR="44398077" w:rsidRPr="005E4A52">
              <w:rPr>
                <w:rFonts w:eastAsia="Calibri" w:cs="Calibri"/>
              </w:rPr>
              <w:t xml:space="preserve">5 agencies with </w:t>
            </w:r>
            <w:r w:rsidR="00135BA1">
              <w:rPr>
                <w:rFonts w:eastAsia="Calibri" w:cs="Calibri"/>
              </w:rPr>
              <w:t xml:space="preserve">the </w:t>
            </w:r>
            <w:r w:rsidR="44398077" w:rsidRPr="005E4A52">
              <w:rPr>
                <w:rFonts w:eastAsia="Calibri" w:cs="Calibri"/>
              </w:rPr>
              <w:t>highest premium rates</w:t>
            </w:r>
            <w:r w:rsidR="5E681190" w:rsidRPr="1130ADA7">
              <w:rPr>
                <w:rFonts w:eastAsia="Calibri" w:cs="Calibri"/>
              </w:rPr>
              <w:t xml:space="preserve"> </w:t>
            </w:r>
            <w:r w:rsidR="64A9F697" w:rsidRPr="1130ADA7">
              <w:rPr>
                <w:rFonts w:eastAsia="Calibri" w:cs="Calibri"/>
              </w:rPr>
              <w:t>were</w:t>
            </w:r>
            <w:r w:rsidR="44398077" w:rsidRPr="005E4A52">
              <w:rPr>
                <w:rFonts w:eastAsia="Calibri" w:cs="Calibri"/>
              </w:rPr>
              <w:t xml:space="preserve">: </w:t>
            </w:r>
          </w:p>
          <w:p w14:paraId="508193C1" w14:textId="77777777" w:rsidR="002E6712" w:rsidRDefault="44398077" w:rsidP="002E6712">
            <w:pPr>
              <w:pStyle w:val="ListParagraph"/>
              <w:numPr>
                <w:ilvl w:val="0"/>
                <w:numId w:val="51"/>
              </w:num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FD44DA">
              <w:rPr>
                <w:rFonts w:eastAsia="Calibri" w:cs="Calibri"/>
              </w:rPr>
              <w:t xml:space="preserve">Australian </w:t>
            </w:r>
            <w:r w:rsidR="5E7FFA87" w:rsidRPr="00FD44DA">
              <w:rPr>
                <w:rFonts w:eastAsia="Calibri" w:cs="Calibri"/>
              </w:rPr>
              <w:t>F</w:t>
            </w:r>
            <w:r w:rsidRPr="00FD44DA">
              <w:rPr>
                <w:rFonts w:eastAsia="Calibri" w:cs="Calibri"/>
              </w:rPr>
              <w:t>ederal Police</w:t>
            </w:r>
            <w:r w:rsidR="6CB18C73" w:rsidRPr="00FD44DA">
              <w:rPr>
                <w:rFonts w:eastAsia="Calibri" w:cs="Calibri"/>
              </w:rPr>
              <w:t xml:space="preserve"> (6.26%), </w:t>
            </w:r>
          </w:p>
          <w:p w14:paraId="67060CD7" w14:textId="77777777" w:rsidR="002E6712" w:rsidRDefault="6CB18C73" w:rsidP="002E6712">
            <w:pPr>
              <w:pStyle w:val="ListParagraph"/>
              <w:numPr>
                <w:ilvl w:val="0"/>
                <w:numId w:val="51"/>
              </w:num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FD44DA">
              <w:rPr>
                <w:rFonts w:eastAsia="Calibri" w:cs="Calibri"/>
              </w:rPr>
              <w:t xml:space="preserve">Aboriginal Hostels Limited (2.62%), </w:t>
            </w:r>
          </w:p>
          <w:p w14:paraId="72122A24" w14:textId="77777777" w:rsidR="002E6712" w:rsidRDefault="5D4BA6D0" w:rsidP="002E6712">
            <w:pPr>
              <w:pStyle w:val="ListParagraph"/>
              <w:numPr>
                <w:ilvl w:val="0"/>
                <w:numId w:val="51"/>
              </w:num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FD44DA">
              <w:rPr>
                <w:rFonts w:eastAsia="Calibri" w:cs="Calibri"/>
              </w:rPr>
              <w:t xml:space="preserve">Australian Fisheries Management Authority (2.61%), </w:t>
            </w:r>
          </w:p>
          <w:p w14:paraId="10667CA9" w14:textId="77777777" w:rsidR="002E6712" w:rsidRDefault="5D4BA6D0" w:rsidP="002E6712">
            <w:pPr>
              <w:pStyle w:val="ListParagraph"/>
              <w:numPr>
                <w:ilvl w:val="0"/>
                <w:numId w:val="51"/>
              </w:num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FD44DA">
              <w:rPr>
                <w:rFonts w:eastAsia="Calibri" w:cs="Calibri"/>
              </w:rPr>
              <w:t xml:space="preserve">Anindilyakwa Land Council (2.47%) </w:t>
            </w:r>
            <w:r w:rsidR="0A7634C6" w:rsidRPr="00FD44DA">
              <w:rPr>
                <w:rFonts w:eastAsia="Calibri" w:cs="Calibri"/>
              </w:rPr>
              <w:t xml:space="preserve">and the </w:t>
            </w:r>
          </w:p>
          <w:p w14:paraId="202776EB" w14:textId="02CB811C" w:rsidR="004623EF" w:rsidRDefault="0A7634C6" w:rsidP="00FD44DA">
            <w:pPr>
              <w:pStyle w:val="ListParagraph"/>
              <w:numPr>
                <w:ilvl w:val="0"/>
                <w:numId w:val="51"/>
              </w:numPr>
              <w:spacing w:after="120"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FD44DA">
              <w:rPr>
                <w:rFonts w:eastAsia="Calibri" w:cs="Calibri"/>
              </w:rPr>
              <w:t>National Indigenous Australian Agency (2.07%).</w:t>
            </w:r>
            <w:r w:rsidR="00345387" w:rsidRPr="4E8AAEAB">
              <w:rPr>
                <w:rStyle w:val="FootnoteReference"/>
                <w:rFonts w:eastAsia="Calibri" w:cs="Calibri"/>
              </w:rPr>
              <w:footnoteReference w:id="18"/>
            </w:r>
            <w:r w:rsidR="00345387" w:rsidRPr="00A15630">
              <w:rPr>
                <w:rFonts w:eastAsia="Calibri" w:cs="Calibri"/>
              </w:rPr>
              <w:t xml:space="preserve"> </w:t>
            </w:r>
          </w:p>
          <w:p w14:paraId="24CEFCCF" w14:textId="5B570AEC" w:rsidR="00345387" w:rsidRPr="004623EF" w:rsidRDefault="27AB04B8" w:rsidP="0497F183">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r w:rsidRPr="004623EF">
              <w:rPr>
                <w:rFonts w:eastAsia="Calibri" w:cs="Calibri"/>
              </w:rPr>
              <w:t xml:space="preserve">The </w:t>
            </w:r>
            <w:r w:rsidRPr="53BE23AF">
              <w:rPr>
                <w:rFonts w:eastAsia="Calibri" w:cs="Calibri"/>
              </w:rPr>
              <w:t xml:space="preserve">high </w:t>
            </w:r>
            <w:r w:rsidRPr="004623EF">
              <w:rPr>
                <w:rFonts w:eastAsia="Calibri" w:cs="Calibri"/>
              </w:rPr>
              <w:t xml:space="preserve">premium of the Australian Federal Police </w:t>
            </w:r>
            <w:r w:rsidR="674B618A" w:rsidRPr="35FAD359">
              <w:rPr>
                <w:rFonts w:eastAsia="Calibri" w:cs="Calibri"/>
              </w:rPr>
              <w:t xml:space="preserve">(AFP) </w:t>
            </w:r>
            <w:r w:rsidR="0271D4EC" w:rsidRPr="004623EF">
              <w:rPr>
                <w:rFonts w:eastAsia="Calibri" w:cs="Calibri"/>
              </w:rPr>
              <w:t xml:space="preserve">reflects the </w:t>
            </w:r>
            <w:r w:rsidR="03411E25" w:rsidRPr="5BFCE6A5">
              <w:rPr>
                <w:rFonts w:eastAsia="Calibri" w:cs="Calibri"/>
              </w:rPr>
              <w:t>number of claims and high-</w:t>
            </w:r>
            <w:r w:rsidR="0271D4EC" w:rsidRPr="004623EF">
              <w:rPr>
                <w:rFonts w:eastAsia="Calibri" w:cs="Calibri"/>
              </w:rPr>
              <w:t xml:space="preserve">risk nature of the </w:t>
            </w:r>
            <w:r w:rsidR="0271D4EC" w:rsidRPr="0757C801">
              <w:rPr>
                <w:rFonts w:eastAsia="Calibri" w:cs="Calibri"/>
              </w:rPr>
              <w:t>work</w:t>
            </w:r>
            <w:r w:rsidR="6629A5E6" w:rsidRPr="0757C801">
              <w:rPr>
                <w:rFonts w:eastAsia="Calibri" w:cs="Calibri"/>
              </w:rPr>
              <w:t xml:space="preserve">. A report commissioned </w:t>
            </w:r>
            <w:r w:rsidR="6629A5E6" w:rsidRPr="35FAD359">
              <w:rPr>
                <w:rFonts w:eastAsia="Calibri" w:cs="Calibri"/>
              </w:rPr>
              <w:t xml:space="preserve">by the </w:t>
            </w:r>
            <w:r w:rsidR="543141F5" w:rsidRPr="35FAD359">
              <w:rPr>
                <w:rFonts w:eastAsia="Calibri" w:cs="Calibri"/>
              </w:rPr>
              <w:t xml:space="preserve">AFP in 2019 </w:t>
            </w:r>
            <w:r w:rsidR="543141F5" w:rsidRPr="6E4BE815">
              <w:rPr>
                <w:rFonts w:eastAsia="Calibri" w:cs="Calibri"/>
              </w:rPr>
              <w:t>demonstrated</w:t>
            </w:r>
            <w:r w:rsidR="543141F5" w:rsidRPr="10C63A8B">
              <w:rPr>
                <w:rFonts w:eastAsia="Calibri" w:cs="Calibri"/>
              </w:rPr>
              <w:t xml:space="preserve"> that the claims </w:t>
            </w:r>
            <w:r w:rsidR="0B54048F" w:rsidRPr="71CFD22F">
              <w:rPr>
                <w:rFonts w:eastAsia="Calibri" w:cs="Calibri"/>
              </w:rPr>
              <w:t>process</w:t>
            </w:r>
            <w:r w:rsidR="543141F5" w:rsidRPr="71CFD22F">
              <w:rPr>
                <w:rFonts w:eastAsia="Calibri" w:cs="Calibri"/>
              </w:rPr>
              <w:t xml:space="preserve"> </w:t>
            </w:r>
            <w:r w:rsidR="0F8F923C" w:rsidRPr="5ACB04F5">
              <w:rPr>
                <w:rFonts w:eastAsia="Calibri" w:cs="Calibri"/>
              </w:rPr>
              <w:t xml:space="preserve">could be </w:t>
            </w:r>
            <w:r w:rsidR="0F8F923C" w:rsidRPr="71CFD22F">
              <w:rPr>
                <w:rFonts w:eastAsia="Calibri" w:cs="Calibri"/>
              </w:rPr>
              <w:t xml:space="preserve">complex for </w:t>
            </w:r>
            <w:r w:rsidR="635D19DB" w:rsidRPr="0E4A7596">
              <w:rPr>
                <w:rFonts w:eastAsia="Calibri" w:cs="Calibri"/>
              </w:rPr>
              <w:t>employees</w:t>
            </w:r>
            <w:r w:rsidR="0F8F923C" w:rsidRPr="71CFD22F">
              <w:rPr>
                <w:rFonts w:eastAsia="Calibri" w:cs="Calibri"/>
              </w:rPr>
              <w:t>,</w:t>
            </w:r>
            <w:r w:rsidR="543141F5" w:rsidRPr="10C63A8B">
              <w:rPr>
                <w:rFonts w:eastAsia="Calibri" w:cs="Calibri"/>
              </w:rPr>
              <w:t xml:space="preserve"> particularly </w:t>
            </w:r>
            <w:r w:rsidR="37554F2C" w:rsidRPr="71CFD22F">
              <w:rPr>
                <w:rFonts w:eastAsia="Calibri" w:cs="Calibri"/>
              </w:rPr>
              <w:t>those</w:t>
            </w:r>
            <w:r w:rsidR="16A8FF85" w:rsidRPr="0712BA90">
              <w:rPr>
                <w:rFonts w:eastAsia="Calibri" w:cs="Calibri"/>
              </w:rPr>
              <w:t xml:space="preserve"> suffering from </w:t>
            </w:r>
            <w:r w:rsidR="16A8FF85" w:rsidRPr="678DEC8D">
              <w:rPr>
                <w:rFonts w:eastAsia="Calibri" w:cs="Calibri"/>
              </w:rPr>
              <w:t>psycholog</w:t>
            </w:r>
            <w:r w:rsidR="051E35EB" w:rsidRPr="678DEC8D">
              <w:rPr>
                <w:rFonts w:eastAsia="Calibri" w:cs="Calibri"/>
              </w:rPr>
              <w:t>ical</w:t>
            </w:r>
            <w:r w:rsidR="051E35EB" w:rsidRPr="0497F183">
              <w:rPr>
                <w:rFonts w:eastAsia="Calibri" w:cs="Calibri"/>
              </w:rPr>
              <w:t xml:space="preserve"> injuries.</w:t>
            </w:r>
            <w:r w:rsidRPr="12FB29C6">
              <w:rPr>
                <w:rStyle w:val="FootnoteReference"/>
                <w:rFonts w:eastAsia="Calibri" w:cs="Calibri"/>
              </w:rPr>
              <w:footnoteReference w:id="19"/>
            </w:r>
          </w:p>
          <w:p w14:paraId="5E8BA803" w14:textId="33182A53" w:rsidR="00345387" w:rsidRPr="004623EF" w:rsidRDefault="00345387" w:rsidP="004623EF">
            <w:pPr>
              <w:spacing w:after="120"/>
              <w:cnfStyle w:val="000000000000" w:firstRow="0" w:lastRow="0" w:firstColumn="0" w:lastColumn="0" w:oddVBand="0" w:evenVBand="0" w:oddHBand="0" w:evenHBand="0" w:firstRowFirstColumn="0" w:firstRowLastColumn="0" w:lastRowFirstColumn="0" w:lastRowLastColumn="0"/>
              <w:rPr>
                <w:rFonts w:eastAsia="Calibri" w:cs="Calibri"/>
              </w:rPr>
            </w:pPr>
            <w:r w:rsidRPr="004623EF">
              <w:rPr>
                <w:rFonts w:eastAsia="Calibri" w:cs="Calibri"/>
              </w:rPr>
              <w:t>Notably, 3 of the</w:t>
            </w:r>
            <w:r w:rsidR="45135F39" w:rsidRPr="004623EF">
              <w:rPr>
                <w:rFonts w:eastAsia="Calibri" w:cs="Calibri"/>
              </w:rPr>
              <w:t>se</w:t>
            </w:r>
            <w:r w:rsidRPr="004623EF">
              <w:rPr>
                <w:rFonts w:eastAsia="Calibri" w:cs="Calibri"/>
              </w:rPr>
              <w:t xml:space="preserve"> top 5 agencies are organisations that employ a significant proportion of First Nations empl</w:t>
            </w:r>
            <w:r w:rsidRPr="00DF2BD8">
              <w:rPr>
                <w:rFonts w:eastAsia="Calibri" w:cs="Calibri"/>
              </w:rPr>
              <w:t>oyees</w:t>
            </w:r>
            <w:r w:rsidR="7E0E4BA0" w:rsidRPr="00DF2BD8">
              <w:rPr>
                <w:rFonts w:eastAsia="Calibri" w:cs="Calibri"/>
              </w:rPr>
              <w:t>.</w:t>
            </w:r>
            <w:r w:rsidRPr="00DF2BD8">
              <w:rPr>
                <w:rStyle w:val="FootnoteReference"/>
                <w:rFonts w:eastAsia="Calibri" w:cs="Calibri"/>
              </w:rPr>
              <w:footnoteReference w:id="20"/>
            </w:r>
            <w:r w:rsidR="00A56757">
              <w:rPr>
                <w:rFonts w:eastAsia="Calibri" w:cs="Calibri"/>
              </w:rPr>
              <w:t xml:space="preserve"> </w:t>
            </w:r>
            <w:r w:rsidRPr="00DF2BD8">
              <w:rPr>
                <w:rStyle w:val="FootnoteReference"/>
                <w:rFonts w:eastAsia="Calibri" w:cs="Calibri"/>
              </w:rPr>
              <w:footnoteReference w:id="21"/>
            </w:r>
            <w:r w:rsidR="00C9724B" w:rsidRPr="00DF2BD8">
              <w:rPr>
                <w:rFonts w:cs="Arial"/>
              </w:rPr>
              <w:t xml:space="preserve"> </w:t>
            </w:r>
          </w:p>
        </w:tc>
      </w:tr>
      <w:tr w:rsidR="00345387" w:rsidRPr="005E4A52" w14:paraId="5AB8E769" w14:textId="77777777" w:rsidTr="00731B28">
        <w:tblPrEx>
          <w:jc w:val="left"/>
        </w:tblPrEx>
        <w:trPr>
          <w:cnfStyle w:val="000000100000" w:firstRow="0" w:lastRow="0" w:firstColumn="0" w:lastColumn="0" w:oddVBand="0" w:evenVBand="0" w:oddHBand="1" w:evenHBand="0" w:firstRowFirstColumn="0" w:firstRowLastColumn="0" w:lastRowFirstColumn="0" w:lastRowLastColumn="0"/>
          <w:trHeight w:val="2668"/>
        </w:trPr>
        <w:tc>
          <w:tcPr>
            <w:cnfStyle w:val="001000000000" w:firstRow="0" w:lastRow="0" w:firstColumn="1" w:lastColumn="0" w:oddVBand="0" w:evenVBand="0" w:oddHBand="0" w:evenHBand="0" w:firstRowFirstColumn="0" w:firstRowLastColumn="0" w:lastRowFirstColumn="0" w:lastRowLastColumn="0"/>
            <w:tcW w:w="1476" w:type="dxa"/>
          </w:tcPr>
          <w:p w14:paraId="17DC360C" w14:textId="77777777" w:rsidR="00345387" w:rsidRPr="005E4A52" w:rsidRDefault="00345387">
            <w:r w:rsidRPr="005E4A52">
              <w:rPr>
                <w:color w:val="auto"/>
              </w:rPr>
              <w:lastRenderedPageBreak/>
              <w:t>Issues to be considered</w:t>
            </w:r>
          </w:p>
        </w:tc>
        <w:tc>
          <w:tcPr>
            <w:tcW w:w="8447" w:type="dxa"/>
          </w:tcPr>
          <w:p w14:paraId="76123536" w14:textId="77777777" w:rsidR="00345387" w:rsidRPr="005E4A52" w:rsidRDefault="00345387" w:rsidP="009042DA">
            <w:pPr>
              <w:pStyle w:val="ListParagraph"/>
              <w:numPr>
                <w:ilvl w:val="0"/>
                <w:numId w:val="9"/>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Older employees – retirement provisions restricting access to incapacity payments when an employee reaches retirement age.</w:t>
            </w:r>
          </w:p>
          <w:p w14:paraId="33904411" w14:textId="1EAA8FA6" w:rsidR="00345387" w:rsidRPr="005E4A52" w:rsidRDefault="00345387" w:rsidP="009042DA">
            <w:pPr>
              <w:pStyle w:val="ListParagraph"/>
              <w:numPr>
                <w:ilvl w:val="0"/>
                <w:numId w:val="9"/>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 xml:space="preserve">First Nations peoples – how to </w:t>
            </w:r>
            <w:r w:rsidR="00C82C7B">
              <w:t>ensure</w:t>
            </w:r>
            <w:r w:rsidR="00EF2F30">
              <w:t xml:space="preserve"> culturally safe workspaces</w:t>
            </w:r>
            <w:r w:rsidR="009E3138">
              <w:t xml:space="preserve"> and reduce harm </w:t>
            </w:r>
            <w:r w:rsidR="00654FF9">
              <w:t xml:space="preserve">for First Nations </w:t>
            </w:r>
            <w:r w:rsidR="000F55FC">
              <w:t>e</w:t>
            </w:r>
            <w:r w:rsidR="00654FF9">
              <w:t xml:space="preserve">mployees. </w:t>
            </w:r>
          </w:p>
          <w:p w14:paraId="409005EF" w14:textId="77777777" w:rsidR="00345387" w:rsidRPr="005E4A52" w:rsidRDefault="00345387" w:rsidP="009042DA">
            <w:pPr>
              <w:pStyle w:val="ListParagraph"/>
              <w:numPr>
                <w:ilvl w:val="0"/>
                <w:numId w:val="9"/>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Gender – why a higher proportion of women make workers’ compensation claims for mental stress, compared to men</w:t>
            </w:r>
            <w:r w:rsidRPr="005E4A52">
              <w:rPr>
                <w:vertAlign w:val="superscript"/>
              </w:rPr>
              <w:footnoteReference w:id="22"/>
            </w:r>
            <w:r w:rsidRPr="005E4A52">
              <w:t xml:space="preserve"> </w:t>
            </w:r>
            <w:bookmarkStart w:id="32" w:name="_Hlk176445344"/>
            <w:r w:rsidRPr="005E4A52">
              <w:t>and overall, have longer time off work.</w:t>
            </w:r>
            <w:bookmarkEnd w:id="32"/>
          </w:p>
          <w:p w14:paraId="70407FC8" w14:textId="77777777" w:rsidR="00345387" w:rsidRPr="005E4A52" w:rsidRDefault="00345387" w:rsidP="009042DA">
            <w:pPr>
              <w:pStyle w:val="ListParagraph"/>
              <w:numPr>
                <w:ilvl w:val="0"/>
                <w:numId w:val="9"/>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 xml:space="preserve">Culturally and linguistically diverse groups – may face barriers in understanding and navigating the workers’ compensation system. Including due to lack of awareness and language barriers. </w:t>
            </w:r>
          </w:p>
          <w:p w14:paraId="2C678D12" w14:textId="77777777" w:rsidR="00345387" w:rsidRDefault="00345387" w:rsidP="009042DA">
            <w:pPr>
              <w:pStyle w:val="ListParagraph"/>
              <w:numPr>
                <w:ilvl w:val="0"/>
                <w:numId w:val="9"/>
              </w:numPr>
              <w:spacing w:line="276" w:lineRule="auto"/>
              <w:cnfStyle w:val="000000100000" w:firstRow="0" w:lastRow="0" w:firstColumn="0" w:lastColumn="0" w:oddVBand="0" w:evenVBand="0" w:oddHBand="1" w:evenHBand="0" w:firstRowFirstColumn="0" w:firstRowLastColumn="0" w:lastRowFirstColumn="0" w:lastRowLastColumn="0"/>
            </w:pPr>
            <w:r w:rsidRPr="005E4A52">
              <w:t>Employees with life-altering long-term injuries and illnesses and the families of employees who suffer a serious illness or injury or death – how can they best be supported under the scheme framework</w:t>
            </w:r>
          </w:p>
          <w:p w14:paraId="75731350" w14:textId="1DBD1017" w:rsidR="00C60493" w:rsidRPr="005E4A52" w:rsidRDefault="61C96D80" w:rsidP="004376EF">
            <w:pPr>
              <w:pStyle w:val="ListParagraph"/>
              <w:numPr>
                <w:ilvl w:val="0"/>
                <w:numId w:val="9"/>
              </w:numPr>
              <w:spacing w:line="276" w:lineRule="auto"/>
              <w:cnfStyle w:val="000000100000" w:firstRow="0" w:lastRow="0" w:firstColumn="0" w:lastColumn="0" w:oddVBand="0" w:evenVBand="0" w:oddHBand="1" w:evenHBand="0" w:firstRowFirstColumn="0" w:firstRowLastColumn="0" w:lastRowFirstColumn="0" w:lastRowLastColumn="0"/>
            </w:pPr>
            <w:r w:rsidRPr="423BE2AC">
              <w:rPr>
                <w:rFonts w:ascii="Aptos" w:eastAsia="Aptos" w:hAnsi="Aptos" w:cs="Aptos"/>
              </w:rPr>
              <w:t>First responders</w:t>
            </w:r>
            <w:r w:rsidR="002C1DD0">
              <w:rPr>
                <w:rStyle w:val="FootnoteReference"/>
                <w:rFonts w:ascii="Aptos" w:eastAsia="Aptos" w:hAnsi="Aptos" w:cs="Aptos"/>
              </w:rPr>
              <w:footnoteReference w:id="23"/>
            </w:r>
            <w:r w:rsidRPr="423BE2AC">
              <w:rPr>
                <w:rFonts w:ascii="Aptos" w:eastAsia="Aptos" w:hAnsi="Aptos" w:cs="Aptos"/>
              </w:rPr>
              <w:t xml:space="preserve"> – </w:t>
            </w:r>
            <w:r w:rsidRPr="51A41056">
              <w:rPr>
                <w:rFonts w:ascii="Aptos" w:eastAsia="Aptos" w:hAnsi="Aptos" w:cs="Aptos"/>
              </w:rPr>
              <w:t>how</w:t>
            </w:r>
            <w:r w:rsidRPr="423BE2AC">
              <w:rPr>
                <w:rFonts w:ascii="Aptos" w:eastAsia="Aptos" w:hAnsi="Aptos" w:cs="Aptos"/>
              </w:rPr>
              <w:t xml:space="preserve"> can they best be supported under the scheme framework</w:t>
            </w:r>
            <w:r w:rsidR="00177A67">
              <w:rPr>
                <w:rFonts w:ascii="Aptos" w:eastAsia="Aptos" w:hAnsi="Aptos" w:cs="Aptos"/>
              </w:rPr>
              <w:t>.</w:t>
            </w:r>
            <w:r w:rsidRPr="423BE2AC">
              <w:t xml:space="preserve"> </w:t>
            </w:r>
          </w:p>
        </w:tc>
      </w:tr>
      <w:tr w:rsidR="00345387" w:rsidRPr="005E4A52" w14:paraId="5AF66356" w14:textId="77777777" w:rsidTr="00731B28">
        <w:tblPrEx>
          <w:jc w:val="left"/>
        </w:tblPrEx>
        <w:trPr>
          <w:trHeight w:val="615"/>
        </w:trPr>
        <w:tc>
          <w:tcPr>
            <w:cnfStyle w:val="001000000000" w:firstRow="0" w:lastRow="0" w:firstColumn="1" w:lastColumn="0" w:oddVBand="0" w:evenVBand="0" w:oddHBand="0" w:evenHBand="0" w:firstRowFirstColumn="0" w:firstRowLastColumn="0" w:lastRowFirstColumn="0" w:lastRowLastColumn="0"/>
            <w:tcW w:w="1476" w:type="dxa"/>
          </w:tcPr>
          <w:p w14:paraId="02929106" w14:textId="77777777" w:rsidR="00345387" w:rsidRPr="005E4A52" w:rsidRDefault="00345387">
            <w:r w:rsidRPr="005E4A52">
              <w:rPr>
                <w:color w:val="auto"/>
              </w:rPr>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447" w:type="dxa"/>
          </w:tcPr>
          <w:p w14:paraId="4BD2398B" w14:textId="6937AEEA" w:rsidR="00345387" w:rsidRPr="005E4A52" w:rsidRDefault="00345387">
            <w:pPr>
              <w:cnfStyle w:val="000000000000" w:firstRow="0" w:lastRow="0" w:firstColumn="0" w:lastColumn="0" w:oddVBand="0" w:evenVBand="0" w:oddHBand="0" w:evenHBand="0" w:firstRowFirstColumn="0" w:firstRowLastColumn="0" w:lastRowFirstColumn="0" w:lastRowLastColumn="0"/>
            </w:pPr>
            <w:r w:rsidRPr="005E4A52">
              <w:rPr>
                <w:rStyle w:val="normaltextrun"/>
                <w:rFonts w:eastAsiaTheme="majorEastAsia" w:cstheme="minorHAnsi"/>
              </w:rPr>
              <w:t>Term of reference 1 in relation to best practice.</w:t>
            </w:r>
          </w:p>
        </w:tc>
      </w:tr>
      <w:tr w:rsidR="00345387" w:rsidRPr="005E4A52" w14:paraId="40EB58B7" w14:textId="77777777" w:rsidTr="00731B28">
        <w:tblPrEx>
          <w:jc w:val="left"/>
        </w:tblPrEx>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476" w:type="dxa"/>
          </w:tcPr>
          <w:p w14:paraId="394DC2EB" w14:textId="77777777" w:rsidR="00345387" w:rsidRPr="005E4A52" w:rsidRDefault="00345387">
            <w:pPr>
              <w:rPr>
                <w:b w:val="0"/>
                <w:bCs w:val="0"/>
              </w:rPr>
            </w:pPr>
            <w:r w:rsidRPr="005E4A52">
              <w:rPr>
                <w:color w:val="auto"/>
              </w:rPr>
              <w:t xml:space="preserve">Questions </w:t>
            </w:r>
          </w:p>
        </w:tc>
        <w:tc>
          <w:tcPr>
            <w:tcW w:w="8447" w:type="dxa"/>
          </w:tcPr>
          <w:p w14:paraId="7D793348" w14:textId="2EF1179C" w:rsidR="00C60493" w:rsidRPr="005E4A52" w:rsidRDefault="008A2252" w:rsidP="00C60493">
            <w:pPr>
              <w:pStyle w:val="ListParagraph"/>
              <w:numPr>
                <w:ilvl w:val="0"/>
                <w:numId w:val="11"/>
              </w:numPr>
              <w:spacing w:after="120" w:line="240"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Pr>
                <w:rStyle w:val="normaltextrun"/>
                <w:rFonts w:eastAsiaTheme="majorEastAsia" w:cstheme="minorHAnsi"/>
              </w:rPr>
              <w:t xml:space="preserve">What is the claim experience for women, First Nations workers, older workers or other diverse worker groups?  </w:t>
            </w:r>
          </w:p>
          <w:p w14:paraId="2DB1581B" w14:textId="15D047B8" w:rsidR="00C60493" w:rsidRPr="005E4A52" w:rsidRDefault="00C60493" w:rsidP="00C60493">
            <w:pPr>
              <w:pStyle w:val="ListParagraph"/>
              <w:numPr>
                <w:ilvl w:val="0"/>
                <w:numId w:val="11"/>
              </w:numPr>
              <w:spacing w:after="120" w:line="240"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What aspects of the Comcare scheme work well</w:t>
            </w:r>
            <w:r>
              <w:rPr>
                <w:rStyle w:val="normaltextrun"/>
                <w:rFonts w:eastAsiaTheme="majorEastAsia" w:cstheme="minorHAnsi"/>
              </w:rPr>
              <w:t xml:space="preserve"> for diverse groups</w:t>
            </w:r>
            <w:r w:rsidRPr="005E4A52">
              <w:rPr>
                <w:rStyle w:val="normaltextrun"/>
                <w:rFonts w:eastAsiaTheme="majorEastAsia" w:cstheme="minorHAnsi"/>
              </w:rPr>
              <w:t>?</w:t>
            </w:r>
          </w:p>
          <w:p w14:paraId="773B81B1" w14:textId="58E28DFB" w:rsidR="00345387" w:rsidRPr="005E4A52" w:rsidRDefault="00345387" w:rsidP="009042DA">
            <w:pPr>
              <w:pStyle w:val="ListParagraph"/>
              <w:numPr>
                <w:ilvl w:val="0"/>
                <w:numId w:val="11"/>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rPr>
                <w:rStyle w:val="normaltextrun"/>
                <w:rFonts w:eastAsiaTheme="majorEastAsia" w:cstheme="minorHAnsi"/>
              </w:rPr>
              <w:t>What changes are required to the Comcare scheme to ensure injured workers with diverse backgrounds or needs receive appropriate support?</w:t>
            </w:r>
            <w:r w:rsidRPr="005E4A52">
              <w:t>  </w:t>
            </w:r>
          </w:p>
        </w:tc>
      </w:tr>
    </w:tbl>
    <w:p w14:paraId="1FB7303C" w14:textId="77777777" w:rsidR="00345387" w:rsidRPr="005E4A52" w:rsidRDefault="00345387" w:rsidP="00345387"/>
    <w:p w14:paraId="25F47F89" w14:textId="265BAD99" w:rsidR="00345387" w:rsidRPr="005E4A52" w:rsidRDefault="00345387" w:rsidP="001740E1">
      <w:pPr>
        <w:pStyle w:val="Heading3"/>
      </w:pPr>
      <w:r w:rsidRPr="005E4A52">
        <w:br w:type="page"/>
      </w:r>
      <w:bookmarkStart w:id="33" w:name="_Ref173176080"/>
      <w:bookmarkStart w:id="34" w:name="_Toc177409619"/>
      <w:bookmarkStart w:id="35" w:name="_Toc180174613"/>
      <w:r w:rsidRPr="005E4A52">
        <w:lastRenderedPageBreak/>
        <w:t>3.3</w:t>
      </w:r>
      <w:r w:rsidRPr="005E4A52">
        <w:tab/>
        <w:t>Scheme coverage (Term of reference 3)</w:t>
      </w:r>
      <w:bookmarkEnd w:id="33"/>
      <w:bookmarkEnd w:id="34"/>
      <w:bookmarkEnd w:id="35"/>
    </w:p>
    <w:p w14:paraId="2FCD619E" w14:textId="429E3464" w:rsidR="00345387" w:rsidRPr="005E4A52" w:rsidRDefault="00345387" w:rsidP="00345387">
      <w:r w:rsidRPr="005E4A52">
        <w:t>Term of reference 3 is focused on:</w:t>
      </w:r>
    </w:p>
    <w:p w14:paraId="7526C2BC" w14:textId="2D6A933D" w:rsidR="00345387" w:rsidRPr="005E4A52" w:rsidRDefault="00FC10F8" w:rsidP="009042DA">
      <w:pPr>
        <w:pStyle w:val="ListParagraph"/>
        <w:numPr>
          <w:ilvl w:val="0"/>
          <w:numId w:val="17"/>
        </w:numPr>
        <w:spacing w:line="276" w:lineRule="auto"/>
      </w:pPr>
      <w:r>
        <w:t>n</w:t>
      </w:r>
      <w:r w:rsidR="00345387" w:rsidRPr="005E4A52">
        <w:t xml:space="preserve">ational private sector employees being covered by the Comcare scheme, and </w:t>
      </w:r>
    </w:p>
    <w:p w14:paraId="6B09AC6B" w14:textId="394BE12D" w:rsidR="00345387" w:rsidRPr="005E4A52" w:rsidRDefault="00FC10F8" w:rsidP="009042DA">
      <w:pPr>
        <w:pStyle w:val="ListParagraph"/>
        <w:numPr>
          <w:ilvl w:val="0"/>
          <w:numId w:val="17"/>
        </w:numPr>
        <w:spacing w:line="276" w:lineRule="auto"/>
      </w:pPr>
      <w:r>
        <w:t>n</w:t>
      </w:r>
      <w:r w:rsidR="00345387" w:rsidRPr="005E4A52">
        <w:t xml:space="preserve">ational private sector employers being covered by the Commonwealth’s </w:t>
      </w:r>
      <w:r w:rsidR="00345387" w:rsidRPr="005E4A52">
        <w:rPr>
          <w:i/>
          <w:iCs/>
        </w:rPr>
        <w:t xml:space="preserve">Work Health and Safety Act 2011 </w:t>
      </w:r>
      <w:r w:rsidR="00345387" w:rsidRPr="005E4A52">
        <w:t>by virtue of being covered by the SRC Act.</w:t>
      </w:r>
    </w:p>
    <w:p w14:paraId="6D28641A" w14:textId="6A979DDD" w:rsidR="00345387" w:rsidRPr="005E4A52" w:rsidRDefault="00345387" w:rsidP="00345387">
      <w:r w:rsidRPr="005E4A52">
        <w:t xml:space="preserve">It is also focused on the extent of liability (i.e. injuries and illnesses covered and the circumstances in which they are sustained) dealt with under term of reference 5. </w:t>
      </w:r>
    </w:p>
    <w:tbl>
      <w:tblPr>
        <w:tblStyle w:val="GridTable5Dark-Accent3"/>
        <w:tblW w:w="9923" w:type="dxa"/>
        <w:tblLook w:val="04A0" w:firstRow="1" w:lastRow="0" w:firstColumn="1" w:lastColumn="0" w:noHBand="0" w:noVBand="1"/>
      </w:tblPr>
      <w:tblGrid>
        <w:gridCol w:w="1418"/>
        <w:gridCol w:w="8505"/>
      </w:tblGrid>
      <w:tr w:rsidR="00622DD1" w:rsidRPr="005E4A52" w14:paraId="140DEFD9" w14:textId="77777777" w:rsidTr="00C77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92050" w:themeFill="text1" w:themeFillShade="BF"/>
          </w:tcPr>
          <w:p w14:paraId="4195348D" w14:textId="25F0CE52" w:rsidR="00345387" w:rsidRPr="005E4A52" w:rsidRDefault="00345387" w:rsidP="006F2BBB">
            <w:pPr>
              <w:pStyle w:val="ListParagraph"/>
              <w:numPr>
                <w:ilvl w:val="0"/>
                <w:numId w:val="18"/>
              </w:numPr>
              <w:spacing w:before="120" w:after="120" w:line="240" w:lineRule="auto"/>
              <w:ind w:left="714" w:hanging="357"/>
            </w:pPr>
            <w:r w:rsidRPr="005E4A52">
              <w:rPr>
                <w:sz w:val="24"/>
                <w:szCs w:val="24"/>
              </w:rPr>
              <w:t>National coverage of private sector employees</w:t>
            </w:r>
          </w:p>
        </w:tc>
      </w:tr>
      <w:tr w:rsidR="00630C60" w:rsidRPr="005E4A52" w14:paraId="3A8D86B3" w14:textId="77777777" w:rsidTr="00C7717A">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75B71D83" w14:textId="5D76ADBA" w:rsidR="00345387" w:rsidRPr="005E4A52" w:rsidRDefault="00345387" w:rsidP="006F2BBB">
            <w:pPr>
              <w:spacing w:before="120" w:after="120"/>
            </w:pPr>
            <w:r w:rsidRPr="005E4A52">
              <w:rPr>
                <w:color w:val="auto"/>
              </w:rPr>
              <w:t xml:space="preserve">Why important </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CF427F3" w14:textId="47C382B3" w:rsidR="00D614FD" w:rsidRDefault="00345387" w:rsidP="0057609F">
            <w:pPr>
              <w:spacing w:before="120"/>
              <w:cnfStyle w:val="000000100000" w:firstRow="0" w:lastRow="0" w:firstColumn="0" w:lastColumn="0" w:oddVBand="0" w:evenVBand="0" w:oddHBand="1" w:evenHBand="0" w:firstRowFirstColumn="0" w:firstRowLastColumn="0" w:lastRowFirstColumn="0" w:lastRowLastColumn="0"/>
            </w:pPr>
            <w:r w:rsidRPr="005E4A52">
              <w:t xml:space="preserve">When first introduced in 1988, the SRC Act was designed solely for Australian Government employees as reflected in its original title, </w:t>
            </w:r>
            <w:r w:rsidRPr="005E4A52">
              <w:rPr>
                <w:i/>
                <w:iCs/>
              </w:rPr>
              <w:t>Commonwealth Employees’ Rehabilitation and Compensation Act 1988</w:t>
            </w:r>
            <w:r w:rsidRPr="005E4A52">
              <w:t xml:space="preserve">. </w:t>
            </w:r>
          </w:p>
          <w:p w14:paraId="1A813D51" w14:textId="062680C9" w:rsidR="1FCE1439" w:rsidRDefault="1FCE1439" w:rsidP="0057609F">
            <w:pPr>
              <w:spacing w:before="120"/>
              <w:cnfStyle w:val="000000100000" w:firstRow="0" w:lastRow="0" w:firstColumn="0" w:lastColumn="0" w:oddVBand="0" w:evenVBand="0" w:oddHBand="1" w:evenHBand="0" w:firstRowFirstColumn="0" w:firstRowLastColumn="0" w:lastRowFirstColumn="0" w:lastRowLastColumn="0"/>
            </w:pPr>
            <w:r>
              <w:t>Today the Comcare scheme broadly has 3 groups of employers:</w:t>
            </w:r>
          </w:p>
          <w:p w14:paraId="5B1AE308" w14:textId="77777777" w:rsidR="1FCE1439" w:rsidRDefault="1FCE1439" w:rsidP="0070068B">
            <w:pPr>
              <w:pStyle w:val="ListParagraph"/>
              <w:numPr>
                <w:ilvl w:val="0"/>
                <w:numId w:val="16"/>
              </w:numPr>
              <w:spacing w:before="120" w:after="240" w:line="240" w:lineRule="auto"/>
              <w:ind w:hanging="53"/>
              <w:cnfStyle w:val="000000100000" w:firstRow="0" w:lastRow="0" w:firstColumn="0" w:lastColumn="0" w:oddVBand="0" w:evenVBand="0" w:oddHBand="1" w:evenHBand="0" w:firstRowFirstColumn="0" w:firstRowLastColumn="0" w:lastRowFirstColumn="0" w:lastRowLastColumn="0"/>
            </w:pPr>
            <w:r>
              <w:t>The Australian Government.</w:t>
            </w:r>
          </w:p>
          <w:p w14:paraId="238E3BC8" w14:textId="2216673B" w:rsidR="1FCE1439" w:rsidRDefault="1FCE1439" w:rsidP="0070068B">
            <w:pPr>
              <w:pStyle w:val="ListParagraph"/>
              <w:numPr>
                <w:ilvl w:val="0"/>
                <w:numId w:val="16"/>
              </w:numPr>
              <w:spacing w:before="120" w:after="240" w:line="240" w:lineRule="auto"/>
              <w:ind w:hanging="53"/>
              <w:cnfStyle w:val="000000100000" w:firstRow="0" w:lastRow="0" w:firstColumn="0" w:lastColumn="0" w:oddVBand="0" w:evenVBand="0" w:oddHBand="1" w:evenHBand="0" w:firstRowFirstColumn="0" w:firstRowLastColumn="0" w:lastRowFirstColumn="0" w:lastRowLastColumn="0"/>
            </w:pPr>
            <w:r>
              <w:t>The ACT Government (licensed by the SRCC).</w:t>
            </w:r>
          </w:p>
          <w:p w14:paraId="0CECC3C7" w14:textId="462B25FA" w:rsidR="1FCE1439" w:rsidRDefault="1FCE1439" w:rsidP="0070068B">
            <w:pPr>
              <w:pStyle w:val="ListParagraph"/>
              <w:numPr>
                <w:ilvl w:val="0"/>
                <w:numId w:val="9"/>
              </w:numPr>
              <w:spacing w:before="120" w:after="240" w:line="240" w:lineRule="auto"/>
              <w:ind w:left="732" w:hanging="425"/>
              <w:cnfStyle w:val="000000100000" w:firstRow="0" w:lastRow="0" w:firstColumn="0" w:lastColumn="0" w:oddVBand="0" w:evenVBand="0" w:oddHBand="1" w:evenHBand="0" w:firstRowFirstColumn="0" w:firstRowLastColumn="0" w:lastRowFirstColumn="0" w:lastRowLastColumn="0"/>
            </w:pPr>
            <w:r>
              <w:t>Private sector companies</w:t>
            </w:r>
            <w:r w:rsidR="00C0369C">
              <w:t xml:space="preserve"> and former Commonwealth authorities</w:t>
            </w:r>
            <w:r>
              <w:t xml:space="preserve"> licensed by</w:t>
            </w:r>
            <w:r w:rsidR="0070068B">
              <w:t xml:space="preserve"> t</w:t>
            </w:r>
            <w:r>
              <w:t>he SRCC.</w:t>
            </w:r>
          </w:p>
          <w:p w14:paraId="0DAD4469" w14:textId="1EECDAED" w:rsidR="00345387" w:rsidRPr="005E4A52" w:rsidRDefault="00345387" w:rsidP="0057609F">
            <w:pPr>
              <w:spacing w:before="120"/>
              <w:cnfStyle w:val="000000100000" w:firstRow="0" w:lastRow="0" w:firstColumn="0" w:lastColumn="0" w:oddVBand="0" w:evenVBand="0" w:oddHBand="1" w:evenHBand="0" w:firstRowFirstColumn="0" w:firstRowLastColumn="0" w:lastRowFirstColumn="0" w:lastRowLastColumn="0"/>
            </w:pPr>
            <w:r w:rsidRPr="005E4A52">
              <w:t xml:space="preserve">In 1992 access to the scheme was expanded to cater for Commonwealth authorities which had been corporatised or privatised. To maintain a ‘level playing field’ private sector corporations carrying on business in competition with a Commonwealth authority or privatised Commonwealth authorities could access the SRC Act licensing arrangements to self-insure and/or manage their workers’ compensation liabilities. These arrangements saw many bodies move to the Commonwealth scheme from the state and territory schemes.  </w:t>
            </w:r>
          </w:p>
          <w:p w14:paraId="7B844DED" w14:textId="4919B4E8" w:rsidR="65C168E2" w:rsidRDefault="65C168E2" w:rsidP="0057609F">
            <w:pPr>
              <w:spacing w:before="120"/>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4B5E7176">
              <w:rPr>
                <w:rFonts w:ascii="Aptos" w:eastAsia="Aptos" w:hAnsi="Aptos" w:cs="Aptos"/>
              </w:rPr>
              <w:t xml:space="preserve">In 2004, the Productivity Commission recommended developing a national workers’ compensation scheme to reduce compliance complexities and costs for multi-state employers. Part of this recommendation included actively encouraging self-insurance applications under the Comcare scheme while at the same time commencing the establishment of alternative models for national self-insurance and premium-paying insurance schemes. </w:t>
            </w:r>
          </w:p>
          <w:p w14:paraId="70E000FC" w14:textId="05A9F268" w:rsidR="65C168E2" w:rsidRDefault="65C168E2" w:rsidP="0057609F">
            <w:pPr>
              <w:spacing w:before="120"/>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4B5E7176">
              <w:rPr>
                <w:rFonts w:ascii="Aptos" w:eastAsia="Aptos" w:hAnsi="Aptos" w:cs="Aptos"/>
              </w:rPr>
              <w:t>In 2007 a moratorium was imposed by the Rudd Labor Government on new applications from private corporations wanting to move to the Comcare scheme</w:t>
            </w:r>
            <w:r w:rsidR="006F0889">
              <w:rPr>
                <w:rFonts w:ascii="Aptos" w:eastAsia="Aptos" w:hAnsi="Aptos" w:cs="Aptos"/>
              </w:rPr>
              <w:t>. The move</w:t>
            </w:r>
            <w:r w:rsidR="005B353E">
              <w:rPr>
                <w:rFonts w:ascii="Aptos" w:eastAsia="Aptos" w:hAnsi="Aptos" w:cs="Aptos"/>
              </w:rPr>
              <w:t xml:space="preserve"> </w:t>
            </w:r>
            <w:r w:rsidRPr="4B5E7176">
              <w:rPr>
                <w:rFonts w:ascii="Aptos" w:eastAsia="Aptos" w:hAnsi="Aptos" w:cs="Aptos"/>
              </w:rPr>
              <w:t xml:space="preserve">  recogni</w:t>
            </w:r>
            <w:r w:rsidR="005B353E">
              <w:rPr>
                <w:rFonts w:ascii="Aptos" w:eastAsia="Aptos" w:hAnsi="Aptos" w:cs="Aptos"/>
              </w:rPr>
              <w:t>sed</w:t>
            </w:r>
            <w:r w:rsidRPr="4B5E7176">
              <w:rPr>
                <w:rFonts w:ascii="Aptos" w:eastAsia="Aptos" w:hAnsi="Aptos" w:cs="Aptos"/>
              </w:rPr>
              <w:t xml:space="preserve"> concerns raised by the states and territories about the financial impacts to their schemes </w:t>
            </w:r>
            <w:proofErr w:type="gramStart"/>
            <w:r w:rsidRPr="4B5E7176">
              <w:rPr>
                <w:rFonts w:ascii="Aptos" w:eastAsia="Aptos" w:hAnsi="Aptos" w:cs="Aptos"/>
              </w:rPr>
              <w:t>as a result of</w:t>
            </w:r>
            <w:proofErr w:type="gramEnd"/>
            <w:r w:rsidRPr="4B5E7176">
              <w:rPr>
                <w:rFonts w:ascii="Aptos" w:eastAsia="Aptos" w:hAnsi="Aptos" w:cs="Aptos"/>
              </w:rPr>
              <w:t xml:space="preserve"> large private corporations moving to Comcare. In 2013 the Comcare moratorium was lifted by the Abbott Coalition Government.</w:t>
            </w:r>
          </w:p>
          <w:p w14:paraId="585D4FC4" w14:textId="2CACE501" w:rsidR="00C80481" w:rsidRDefault="65C168E2" w:rsidP="0057609F">
            <w:pPr>
              <w:spacing w:before="120"/>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4B5E7176">
              <w:rPr>
                <w:rFonts w:ascii="Aptos" w:eastAsia="Aptos" w:hAnsi="Aptos" w:cs="Aptos"/>
              </w:rPr>
              <w:t>In 2023 the Safety, Rehabilitation and Compensation Directions 2019 were amended to introduce a new direction which requires that in determining an application for a new licence under section 104 of the SRC Act, the primary criteria to be considered by the SRCC is whether it is satisfied, on reasonable grounds, that</w:t>
            </w:r>
            <w:r w:rsidR="00C80481">
              <w:rPr>
                <w:rFonts w:ascii="Aptos" w:eastAsia="Aptos" w:hAnsi="Aptos" w:cs="Aptos"/>
              </w:rPr>
              <w:t>:</w:t>
            </w:r>
          </w:p>
          <w:p w14:paraId="74EE81D3" w14:textId="488456F3" w:rsidR="00C80481" w:rsidRDefault="007D0F98" w:rsidP="0057609F">
            <w:pPr>
              <w:pStyle w:val="ListParagraph"/>
              <w:numPr>
                <w:ilvl w:val="0"/>
                <w:numId w:val="55"/>
              </w:numPr>
              <w:spacing w:before="120" w:after="240" w:line="240"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 xml:space="preserve">the applicant is a member of a corporate group in which </w:t>
            </w:r>
            <w:proofErr w:type="gramStart"/>
            <w:r>
              <w:rPr>
                <w:rFonts w:ascii="Aptos" w:eastAsia="Aptos" w:hAnsi="Aptos" w:cs="Aptos"/>
              </w:rPr>
              <w:t>a majority of</w:t>
            </w:r>
            <w:proofErr w:type="gramEnd"/>
            <w:r>
              <w:rPr>
                <w:rFonts w:ascii="Aptos" w:eastAsia="Aptos" w:hAnsi="Aptos" w:cs="Aptos"/>
              </w:rPr>
              <w:t xml:space="preserve"> employees in the corporate group are, at the time of the application, covered by the </w:t>
            </w:r>
            <w:r w:rsidR="003B5D8F">
              <w:rPr>
                <w:rFonts w:ascii="Aptos" w:eastAsia="Aptos" w:hAnsi="Aptos" w:cs="Aptos"/>
              </w:rPr>
              <w:t>Act</w:t>
            </w:r>
            <w:r w:rsidR="005A7FE6">
              <w:rPr>
                <w:rFonts w:ascii="Aptos" w:eastAsia="Aptos" w:hAnsi="Aptos" w:cs="Aptos"/>
              </w:rPr>
              <w:t>.</w:t>
            </w:r>
          </w:p>
          <w:p w14:paraId="29730AF2" w14:textId="1682C8D2" w:rsidR="4B5E7176" w:rsidRPr="000F052D" w:rsidRDefault="65C168E2" w:rsidP="0057609F">
            <w:pPr>
              <w:pStyle w:val="ListParagraph"/>
              <w:numPr>
                <w:ilvl w:val="0"/>
                <w:numId w:val="55"/>
              </w:numPr>
              <w:spacing w:before="120" w:after="240" w:line="240"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00CE4F8D">
              <w:rPr>
                <w:rFonts w:ascii="Aptos" w:eastAsia="Aptos" w:hAnsi="Aptos" w:cs="Aptos"/>
              </w:rPr>
              <w:lastRenderedPageBreak/>
              <w:t>the granting of the licence would not result in an overall reduction in workers’ compensation entitlements for the employees of the applicant to be covered by the Act.</w:t>
            </w:r>
          </w:p>
          <w:p w14:paraId="5538E31B" w14:textId="3697E887" w:rsidR="00345387" w:rsidRPr="005E4A52" w:rsidRDefault="30424832" w:rsidP="0057609F">
            <w:pPr>
              <w:spacing w:before="120"/>
              <w:cnfStyle w:val="000000100000" w:firstRow="0" w:lastRow="0" w:firstColumn="0" w:lastColumn="0" w:oddVBand="0" w:evenVBand="0" w:oddHBand="1" w:evenHBand="0" w:firstRowFirstColumn="0" w:firstRowLastColumn="0" w:lastRowFirstColumn="0" w:lastRowLastColumn="0"/>
            </w:pPr>
            <w:r w:rsidRPr="005E4A52">
              <w:t>M</w:t>
            </w:r>
            <w:r w:rsidR="00345387" w:rsidRPr="005E4A52">
              <w:t xml:space="preserve">ore private sector employees are </w:t>
            </w:r>
            <w:r w:rsidR="484FDCC7" w:rsidRPr="005E4A52">
              <w:t xml:space="preserve">now </w:t>
            </w:r>
            <w:r w:rsidR="00345387" w:rsidRPr="005E4A52">
              <w:t xml:space="preserve">covered by the SRC Act than those from the public sector. As </w:t>
            </w:r>
            <w:proofErr w:type="gramStart"/>
            <w:r w:rsidR="00345387" w:rsidRPr="005E4A52">
              <w:t>at</w:t>
            </w:r>
            <w:proofErr w:type="gramEnd"/>
            <w:r w:rsidR="00345387" w:rsidRPr="005E4A52">
              <w:t xml:space="preserve"> 30 June 2024, 39 licensees (including ACT Government) have 260,876 employees or 57% of the 472,079 FTEs covered by the SRC Act.</w:t>
            </w:r>
            <w:r w:rsidR="00FC10F8" w:rsidRPr="005E4A52">
              <w:rPr>
                <w:rStyle w:val="FootnoteReference"/>
                <w:rFonts w:eastAsia="Calibri" w:cs="Calibri"/>
              </w:rPr>
              <w:footnoteReference w:id="24"/>
            </w:r>
            <w:r w:rsidR="00345387" w:rsidRPr="005E4A52">
              <w:t xml:space="preserve"> </w:t>
            </w:r>
          </w:p>
          <w:p w14:paraId="026D6A24" w14:textId="1FCE4731" w:rsidR="00345387" w:rsidRPr="005E4A52" w:rsidRDefault="7623DF7B" w:rsidP="0057609F">
            <w:pPr>
              <w:spacing w:before="120"/>
              <w:cnfStyle w:val="000000100000" w:firstRow="0" w:lastRow="0" w:firstColumn="0" w:lastColumn="0" w:oddVBand="0" w:evenVBand="0" w:oddHBand="1" w:evenHBand="0" w:firstRowFirstColumn="0" w:firstRowLastColumn="0" w:lastRowFirstColumn="0" w:lastRowLastColumn="0"/>
            </w:pPr>
            <w:r w:rsidRPr="005E4A52">
              <w:t xml:space="preserve">As a result, </w:t>
            </w:r>
            <w:r w:rsidR="030F239F" w:rsidRPr="005E4A52">
              <w:t>e</w:t>
            </w:r>
            <w:r w:rsidR="00345387" w:rsidRPr="005E4A52">
              <w:t>mployers and employees in the Comcare scheme now cover a broad range of occupations and industries, including an expansion into higher risk industries. In addition, the ABS data shows a sizeable percentage of the workforce hold 2 or more jobs.</w:t>
            </w:r>
            <w:r w:rsidR="00345387" w:rsidRPr="005E4A52">
              <w:rPr>
                <w:rStyle w:val="FootnoteReference"/>
              </w:rPr>
              <w:footnoteReference w:id="25"/>
            </w:r>
            <w:r w:rsidR="00345387" w:rsidRPr="005E4A52">
              <w:t xml:space="preserve"> This is likely to mean that more employees may be covered by both the SRC Act and their state or territory scheme, giving rise to cross jurisdictional issues. </w:t>
            </w:r>
          </w:p>
        </w:tc>
      </w:tr>
      <w:tr w:rsidR="00630C60" w:rsidRPr="005E4A52" w14:paraId="108C9E0A" w14:textId="77777777" w:rsidTr="00C7717A">
        <w:tblPrEx>
          <w:jc w:val="left"/>
        </w:tblPrEx>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62754D88" w14:textId="77777777" w:rsidR="00345387" w:rsidRPr="005E4A52" w:rsidRDefault="00345387" w:rsidP="006F2BBB">
            <w:pPr>
              <w:spacing w:before="120" w:after="120"/>
            </w:pPr>
            <w:r w:rsidRPr="005E4A52">
              <w:rPr>
                <w:color w:val="auto"/>
              </w:rPr>
              <w:lastRenderedPageBreak/>
              <w:t>Issues to be considered</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92C3658" w14:textId="5C41E75B" w:rsidR="00345387" w:rsidRPr="005E4A52" w:rsidRDefault="00345387" w:rsidP="0057609F">
            <w:pPr>
              <w:pStyle w:val="ListParagraph"/>
              <w:numPr>
                <w:ilvl w:val="0"/>
                <w:numId w:val="20"/>
              </w:numPr>
              <w:spacing w:before="120" w:after="240" w:line="240" w:lineRule="auto"/>
              <w:cnfStyle w:val="000000000000" w:firstRow="0" w:lastRow="0" w:firstColumn="0" w:lastColumn="0" w:oddVBand="0" w:evenVBand="0" w:oddHBand="0" w:evenHBand="0" w:firstRowFirstColumn="0" w:firstRowLastColumn="0" w:lastRowFirstColumn="0" w:lastRowLastColumn="0"/>
            </w:pPr>
            <w:r w:rsidRPr="005E4A52">
              <w:t xml:space="preserve">The </w:t>
            </w:r>
            <w:r w:rsidR="004D2A1C">
              <w:t xml:space="preserve">impact the </w:t>
            </w:r>
            <w:r w:rsidRPr="005E4A52">
              <w:t xml:space="preserve">self-insurance licensing arrangements of private sector corporations moving to the Comcare scheme has on the: </w:t>
            </w:r>
          </w:p>
          <w:p w14:paraId="402DA2F0" w14:textId="7DE35CB6" w:rsidR="00345387" w:rsidRPr="005E4A52" w:rsidRDefault="00345387" w:rsidP="0057609F">
            <w:pPr>
              <w:pStyle w:val="ListParagraph"/>
              <w:numPr>
                <w:ilvl w:val="1"/>
                <w:numId w:val="9"/>
              </w:numPr>
              <w:spacing w:before="120" w:after="240" w:line="240" w:lineRule="auto"/>
              <w:cnfStyle w:val="000000000000" w:firstRow="0" w:lastRow="0" w:firstColumn="0" w:lastColumn="0" w:oddVBand="0" w:evenVBand="0" w:oddHBand="0" w:evenHBand="0" w:firstRowFirstColumn="0" w:firstRowLastColumn="0" w:lastRowFirstColumn="0" w:lastRowLastColumn="0"/>
            </w:pPr>
            <w:r w:rsidRPr="005E4A52">
              <w:t xml:space="preserve">Financial viability of state and territory schemes as the movement may impact the premium pools of other workers’ compensation schemes.  </w:t>
            </w:r>
          </w:p>
          <w:p w14:paraId="31D0AA47" w14:textId="58A3783A" w:rsidR="00345387" w:rsidRPr="005E4A52" w:rsidRDefault="00345387" w:rsidP="0057609F">
            <w:pPr>
              <w:pStyle w:val="ListParagraph"/>
              <w:numPr>
                <w:ilvl w:val="1"/>
                <w:numId w:val="9"/>
              </w:numPr>
              <w:spacing w:before="120" w:after="240" w:line="240" w:lineRule="auto"/>
              <w:cnfStyle w:val="000000000000" w:firstRow="0" w:lastRow="0" w:firstColumn="0" w:lastColumn="0" w:oddVBand="0" w:evenVBand="0" w:oddHBand="0" w:evenHBand="0" w:firstRowFirstColumn="0" w:firstRowLastColumn="0" w:lastRowFirstColumn="0" w:lastRowLastColumn="0"/>
            </w:pPr>
            <w:r w:rsidRPr="005E4A52">
              <w:t>Integrity of the Comcare scheme as the coverage of private sector employers increases the size and complexity of the scheme, while supporting the sharing of better practices.</w:t>
            </w:r>
          </w:p>
          <w:p w14:paraId="2D213E82" w14:textId="745E3ADE" w:rsidR="00345387" w:rsidRPr="005E4A52" w:rsidRDefault="00345387" w:rsidP="0057609F">
            <w:pPr>
              <w:pStyle w:val="ListParagraph"/>
              <w:numPr>
                <w:ilvl w:val="0"/>
                <w:numId w:val="9"/>
              </w:numPr>
              <w:spacing w:before="120" w:after="240" w:line="240" w:lineRule="auto"/>
              <w:cnfStyle w:val="000000000000" w:firstRow="0" w:lastRow="0" w:firstColumn="0" w:lastColumn="0" w:oddVBand="0" w:evenVBand="0" w:oddHBand="0" w:evenHBand="0" w:firstRowFirstColumn="0" w:firstRowLastColumn="0" w:lastRowFirstColumn="0" w:lastRowLastColumn="0"/>
            </w:pPr>
            <w:r w:rsidRPr="005E4A52">
              <w:t>The difference in entitlements for employees and obligations on employers for rehabilitation and return to work under the Comcare scheme as compared with the relevant state and territory schemes.</w:t>
            </w:r>
          </w:p>
          <w:p w14:paraId="6F67DD76" w14:textId="636FFCB1" w:rsidR="00345387" w:rsidRPr="005E4A52" w:rsidRDefault="00345387" w:rsidP="0057609F">
            <w:pPr>
              <w:pStyle w:val="ListParagraph"/>
              <w:numPr>
                <w:ilvl w:val="0"/>
                <w:numId w:val="9"/>
              </w:numPr>
              <w:spacing w:before="120" w:after="240" w:line="240" w:lineRule="auto"/>
              <w:cnfStyle w:val="000000000000" w:firstRow="0" w:lastRow="0" w:firstColumn="0" w:lastColumn="0" w:oddVBand="0" w:evenVBand="0" w:oddHBand="0" w:evenHBand="0" w:firstRowFirstColumn="0" w:firstRowLastColumn="0" w:lastRowFirstColumn="0" w:lastRowLastColumn="0"/>
            </w:pPr>
            <w:r w:rsidRPr="005E4A52">
              <w:t>The benefits of a single scheme for multi-jurisdictional employers including issues arising from the interaction between private sector and public sector ‘employment.’</w:t>
            </w:r>
          </w:p>
          <w:p w14:paraId="7EA7E8B5" w14:textId="4B4ECC50" w:rsidR="00345387" w:rsidRPr="005E4A52" w:rsidRDefault="00345387" w:rsidP="0057609F">
            <w:pPr>
              <w:spacing w:before="120"/>
              <w:cnfStyle w:val="000000000000" w:firstRow="0" w:lastRow="0" w:firstColumn="0" w:lastColumn="0" w:oddVBand="0" w:evenVBand="0" w:oddHBand="0" w:evenHBand="0" w:firstRowFirstColumn="0" w:firstRowLastColumn="0" w:lastRowFirstColumn="0" w:lastRowLastColumn="0"/>
            </w:pPr>
            <w:r w:rsidRPr="005E4A52">
              <w:t xml:space="preserve">If the present coverage continues for the Comcare scheme, issues include: </w:t>
            </w:r>
          </w:p>
          <w:p w14:paraId="0A9756E0" w14:textId="29C12C1B" w:rsidR="00345387" w:rsidRPr="005E4A52" w:rsidRDefault="00345387" w:rsidP="0057609F">
            <w:pPr>
              <w:pStyle w:val="ListParagraph"/>
              <w:numPr>
                <w:ilvl w:val="0"/>
                <w:numId w:val="9"/>
              </w:numPr>
              <w:spacing w:before="120" w:after="240" w:line="240" w:lineRule="auto"/>
              <w:cnfStyle w:val="000000000000" w:firstRow="0" w:lastRow="0" w:firstColumn="0" w:lastColumn="0" w:oddVBand="0" w:evenVBand="0" w:oddHBand="0" w:evenHBand="0" w:firstRowFirstColumn="0" w:firstRowLastColumn="0" w:lastRowFirstColumn="0" w:lastRowLastColumn="0"/>
            </w:pPr>
            <w:r w:rsidRPr="005E4A52">
              <w:t xml:space="preserve">The threshold tests for eligibility for compensation, including ministerial discretion when considering requests for declarations of eligibility. </w:t>
            </w:r>
          </w:p>
          <w:p w14:paraId="6AEC913C" w14:textId="6999A12F" w:rsidR="00345387" w:rsidRPr="005E4A52" w:rsidRDefault="00345387" w:rsidP="0057609F">
            <w:pPr>
              <w:pStyle w:val="ListParagraph"/>
              <w:numPr>
                <w:ilvl w:val="0"/>
                <w:numId w:val="9"/>
              </w:numPr>
              <w:spacing w:before="120" w:after="240" w:line="240" w:lineRule="auto"/>
              <w:cnfStyle w:val="000000000000" w:firstRow="0" w:lastRow="0" w:firstColumn="0" w:lastColumn="0" w:oddVBand="0" w:evenVBand="0" w:oddHBand="0" w:evenHBand="0" w:firstRowFirstColumn="0" w:firstRowLastColumn="0" w:lastRowFirstColumn="0" w:lastRowLastColumn="0"/>
            </w:pPr>
            <w:r w:rsidRPr="005E4A52">
              <w:t xml:space="preserve">The framework for the SRCC granting licences to self-insure, including for groups. </w:t>
            </w:r>
          </w:p>
        </w:tc>
      </w:tr>
      <w:tr w:rsidR="00630C60" w:rsidRPr="005E4A52" w14:paraId="217F3374" w14:textId="77777777" w:rsidTr="00C7717A">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7D97A731" w14:textId="77777777" w:rsidR="00345387" w:rsidRPr="005E4A52" w:rsidRDefault="00345387" w:rsidP="006F2BBB">
            <w:pPr>
              <w:spacing w:before="120" w:after="120"/>
            </w:pPr>
            <w:r w:rsidRPr="005E4A52">
              <w:rPr>
                <w:color w:val="auto"/>
              </w:rPr>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DF60088" w14:textId="2CB72386" w:rsidR="00345387" w:rsidRPr="005E4A52" w:rsidRDefault="00345387" w:rsidP="0057609F">
            <w:pPr>
              <w:spacing w:before="120"/>
              <w:cnfStyle w:val="000000100000" w:firstRow="0" w:lastRow="0" w:firstColumn="0" w:lastColumn="0" w:oddVBand="0" w:evenVBand="0" w:oddHBand="1" w:evenHBand="0" w:firstRowFirstColumn="0" w:firstRowLastColumn="0" w:lastRowFirstColumn="0" w:lastRowLastColumn="0"/>
            </w:pPr>
            <w:r w:rsidRPr="005E4A52">
              <w:t xml:space="preserve">Term of reference 4 in relation to granting, suspending and revoking of licences to self-insure and financial management and viability. Term of reference 5 in relation to gaps in coverage arising from employees and employers transitioning between Commonwealth and state or territory schemes, employer insolvency, or winding up of a self-insurer.  </w:t>
            </w:r>
          </w:p>
        </w:tc>
      </w:tr>
      <w:tr w:rsidR="00630C60" w:rsidRPr="005E4A52" w14:paraId="29EEE410" w14:textId="77777777" w:rsidTr="00C7717A">
        <w:tblPrEx>
          <w:jc w:val="left"/>
        </w:tblPrEx>
        <w:trPr>
          <w:trHeight w:val="1084"/>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27E5BF03" w14:textId="77777777" w:rsidR="00345387" w:rsidRPr="005E4A52" w:rsidRDefault="00345387" w:rsidP="006F2BBB">
            <w:pPr>
              <w:spacing w:before="120" w:after="120"/>
            </w:pPr>
            <w:r w:rsidRPr="005E4A52">
              <w:rPr>
                <w:color w:val="auto"/>
              </w:rPr>
              <w:t xml:space="preserve">Questions </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3DD8FB6" w14:textId="7464EA7E" w:rsidR="00345387" w:rsidRPr="005E4A52" w:rsidRDefault="00345387" w:rsidP="0057609F">
            <w:pPr>
              <w:pStyle w:val="ListParagraph"/>
              <w:numPr>
                <w:ilvl w:val="0"/>
                <w:numId w:val="11"/>
              </w:numPr>
              <w:spacing w:before="120"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7125E4F1">
              <w:rPr>
                <w:rStyle w:val="normaltextrun"/>
                <w:rFonts w:eastAsiaTheme="majorEastAsia"/>
              </w:rPr>
              <w:t xml:space="preserve">What are the risks and issues that arise from current coverage of the Comcare scheme? </w:t>
            </w:r>
          </w:p>
          <w:p w14:paraId="55DF06BE" w14:textId="58C7F0F6" w:rsidR="00345387" w:rsidRPr="005E4A52" w:rsidRDefault="5DE908A1" w:rsidP="0057609F">
            <w:pPr>
              <w:pStyle w:val="ListParagraph"/>
              <w:numPr>
                <w:ilvl w:val="0"/>
                <w:numId w:val="11"/>
              </w:numPr>
              <w:spacing w:before="120"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0BE13C3">
              <w:rPr>
                <w:rStyle w:val="normaltextrun"/>
                <w:rFonts w:eastAsiaTheme="majorEastAsia"/>
              </w:rPr>
              <w:t xml:space="preserve">Is it still </w:t>
            </w:r>
            <w:proofErr w:type="gramStart"/>
            <w:r w:rsidRPr="00BE13C3">
              <w:rPr>
                <w:rStyle w:val="normaltextrun"/>
                <w:rFonts w:eastAsiaTheme="majorEastAsia"/>
              </w:rPr>
              <w:t>appropriate</w:t>
            </w:r>
            <w:proofErr w:type="gramEnd"/>
            <w:r w:rsidRPr="00BE13C3">
              <w:rPr>
                <w:rStyle w:val="normaltextrun"/>
                <w:rFonts w:eastAsiaTheme="majorEastAsia"/>
              </w:rPr>
              <w:t xml:space="preserve"> for the Comcare scheme to be the pathway to a national scheme for private multi-state employers? </w:t>
            </w:r>
            <w:r w:rsidR="00345387" w:rsidRPr="7125E4F1">
              <w:rPr>
                <w:rStyle w:val="normaltextrun"/>
                <w:rFonts w:eastAsiaTheme="majorEastAsia"/>
              </w:rPr>
              <w:t>Apart from Australian Government entities and companies who should have access to the Comcare scheme? Give reasons.</w:t>
            </w:r>
          </w:p>
          <w:p w14:paraId="681287C1" w14:textId="25DD6AD2" w:rsidR="006F2BBB" w:rsidRPr="005E4A52" w:rsidRDefault="00345387" w:rsidP="0057609F">
            <w:pPr>
              <w:pStyle w:val="ListParagraph"/>
              <w:numPr>
                <w:ilvl w:val="0"/>
                <w:numId w:val="11"/>
              </w:numPr>
              <w:spacing w:before="120" w:after="240" w:line="240" w:lineRule="auto"/>
              <w:cnfStyle w:val="000000000000" w:firstRow="0" w:lastRow="0" w:firstColumn="0" w:lastColumn="0" w:oddVBand="0" w:evenVBand="0" w:oddHBand="0" w:evenHBand="0" w:firstRowFirstColumn="0" w:firstRowLastColumn="0" w:lastRowFirstColumn="0" w:lastRowLastColumn="0"/>
            </w:pPr>
            <w:r w:rsidRPr="7125E4F1">
              <w:rPr>
                <w:rStyle w:val="normaltextrun"/>
                <w:rFonts w:eastAsiaTheme="majorEastAsia"/>
              </w:rPr>
              <w:t>What criteria should apply for corporations to join the Comcare scheme?</w:t>
            </w:r>
          </w:p>
        </w:tc>
      </w:tr>
    </w:tbl>
    <w:p w14:paraId="66F0094F" w14:textId="77777777" w:rsidR="00FC10F8" w:rsidRDefault="00FC10F8" w:rsidP="006F2BBB">
      <w:pPr>
        <w:pStyle w:val="ListParagraph"/>
        <w:numPr>
          <w:ilvl w:val="0"/>
          <w:numId w:val="18"/>
        </w:numPr>
        <w:spacing w:before="120" w:after="120" w:line="240" w:lineRule="auto"/>
        <w:rPr>
          <w:b/>
          <w:bCs/>
          <w:color w:val="FFFFFF" w:themeColor="background1"/>
          <w:sz w:val="24"/>
          <w:szCs w:val="24"/>
        </w:rPr>
        <w:sectPr w:rsidR="00FC10F8" w:rsidSect="00724E79">
          <w:headerReference w:type="default" r:id="rId90"/>
          <w:pgSz w:w="11906" w:h="16838"/>
          <w:pgMar w:top="1418" w:right="1418" w:bottom="1418" w:left="1418" w:header="0" w:footer="454" w:gutter="0"/>
          <w:cols w:space="708"/>
          <w:docGrid w:linePitch="360"/>
        </w:sectPr>
      </w:pPr>
    </w:p>
    <w:tbl>
      <w:tblPr>
        <w:tblStyle w:val="GridTable5Dark-Accent3"/>
        <w:tblW w:w="9924" w:type="dxa"/>
        <w:tblLook w:val="04A0" w:firstRow="1" w:lastRow="0" w:firstColumn="1" w:lastColumn="0" w:noHBand="0" w:noVBand="1"/>
      </w:tblPr>
      <w:tblGrid>
        <w:gridCol w:w="1419"/>
        <w:gridCol w:w="8505"/>
      </w:tblGrid>
      <w:tr w:rsidR="00622DD1" w:rsidRPr="005E4A52" w14:paraId="14CA3A93" w14:textId="77777777" w:rsidTr="00FC10F8">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92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92050" w:themeFill="text1" w:themeFillShade="BF"/>
          </w:tcPr>
          <w:p w14:paraId="4CAFF155" w14:textId="2FDB86C2" w:rsidR="00345387" w:rsidRPr="005E4A52" w:rsidRDefault="00345387" w:rsidP="006F2BBB">
            <w:pPr>
              <w:pStyle w:val="ListParagraph"/>
              <w:numPr>
                <w:ilvl w:val="0"/>
                <w:numId w:val="18"/>
              </w:numPr>
              <w:spacing w:before="120" w:after="120" w:line="240" w:lineRule="auto"/>
              <w:rPr>
                <w:rStyle w:val="normaltextrun"/>
                <w:b w:val="0"/>
                <w:bCs w:val="0"/>
                <w:sz w:val="24"/>
                <w:szCs w:val="24"/>
              </w:rPr>
            </w:pPr>
            <w:r w:rsidRPr="005E4A52">
              <w:rPr>
                <w:sz w:val="24"/>
                <w:szCs w:val="24"/>
              </w:rPr>
              <w:lastRenderedPageBreak/>
              <w:t>Work health and safety coverage</w:t>
            </w:r>
          </w:p>
        </w:tc>
      </w:tr>
      <w:tr w:rsidR="00630C60" w:rsidRPr="005E4A52" w14:paraId="4F9FDCD0" w14:textId="77777777" w:rsidTr="00FC10F8">
        <w:tblPrEx>
          <w:jc w:val="left"/>
        </w:tblPrEx>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4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2D35D413" w14:textId="77777777" w:rsidR="00345387" w:rsidRPr="005E4A52" w:rsidRDefault="00345387" w:rsidP="006F2BBB">
            <w:pPr>
              <w:spacing w:before="120" w:after="120"/>
            </w:pPr>
            <w:r w:rsidRPr="005E4A52">
              <w:rPr>
                <w:color w:val="auto"/>
              </w:rPr>
              <w:t>Why important</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5159900" w14:textId="77777777" w:rsidR="00345387" w:rsidRPr="005E4A52" w:rsidRDefault="00345387" w:rsidP="006F2BBB">
            <w:pPr>
              <w:spacing w:before="120" w:after="120"/>
              <w:cnfStyle w:val="000000100000" w:firstRow="0" w:lastRow="0" w:firstColumn="0" w:lastColumn="0" w:oddVBand="0" w:evenVBand="0" w:oddHBand="1" w:evenHBand="0" w:firstRowFirstColumn="0" w:firstRowLastColumn="0" w:lastRowFirstColumn="0" w:lastRowLastColumn="0"/>
            </w:pPr>
            <w:r w:rsidRPr="005E4A52">
              <w:t xml:space="preserve">In 2004 the Productivity Commission recommended that corporations licensed under the Comcare scheme would also be able to be covered by the Commonwealth’s </w:t>
            </w:r>
            <w:r w:rsidRPr="005E4A52">
              <w:rPr>
                <w:i/>
                <w:iCs/>
              </w:rPr>
              <w:t>Occupational Health and Safety Act 1991</w:t>
            </w:r>
            <w:r w:rsidRPr="005E4A52">
              <w:t xml:space="preserve"> (OHS Act). This was to avoid having to comply also with multiple state and territory Acts.</w:t>
            </w:r>
          </w:p>
          <w:p w14:paraId="289B3C0A" w14:textId="77777777" w:rsidR="00345387" w:rsidRPr="005E4A52" w:rsidRDefault="00345387" w:rsidP="006F2BBB">
            <w:pPr>
              <w:spacing w:before="120" w:after="120"/>
              <w:cnfStyle w:val="000000100000" w:firstRow="0" w:lastRow="0" w:firstColumn="0" w:lastColumn="0" w:oddVBand="0" w:evenVBand="0" w:oddHBand="1" w:evenHBand="0" w:firstRowFirstColumn="0" w:firstRowLastColumn="0" w:lastRowFirstColumn="0" w:lastRowLastColumn="0"/>
            </w:pPr>
            <w:r w:rsidRPr="005E4A52">
              <w:t>Harmonisation of the then OHS laws was to transfer OHS coverage for licensees to the states and territories. When the Commonwealth’s Work Health and Safety Act (WHS Act) began in 2012, automatic WHS coverage with the SRC Act coverage ceased.  However, ‘non-Commonwealth licensees’ (i.e. self-insured licensees previously covered by the OHS Act) could continue to be covered under the new WHS Act for a ‘transitional period.’ The transitional period was intended to operate until implementation of harmonised WHS laws across Australia.</w:t>
            </w:r>
            <w:r w:rsidRPr="005E4A52" w:rsidDel="00D65271">
              <w:t xml:space="preserve"> </w:t>
            </w:r>
          </w:p>
          <w:p w14:paraId="665B1775" w14:textId="77777777" w:rsidR="00345387" w:rsidRPr="005E4A52" w:rsidRDefault="00345387" w:rsidP="006F2BBB">
            <w:pPr>
              <w:spacing w:before="120" w:after="120"/>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t>The transitional period remains in effect even though the model WHS laws have been implemented in every jurisdiction</w:t>
            </w:r>
            <w:r w:rsidRPr="005E4A52" w:rsidDel="00D65271">
              <w:t xml:space="preserve"> </w:t>
            </w:r>
            <w:r w:rsidRPr="005E4A52">
              <w:t xml:space="preserve">except </w:t>
            </w:r>
            <w:r w:rsidRPr="005E4A52" w:rsidDel="00D65271">
              <w:t>Victoria</w:t>
            </w:r>
            <w:r w:rsidRPr="005E4A52">
              <w:t>. Victoria</w:t>
            </w:r>
            <w:r w:rsidRPr="005E4A52" w:rsidDel="00D65271">
              <w:t xml:space="preserve"> </w:t>
            </w:r>
            <w:r w:rsidRPr="005E4A52">
              <w:t xml:space="preserve">has </w:t>
            </w:r>
            <w:r w:rsidRPr="005E4A52" w:rsidDel="00D65271">
              <w:t xml:space="preserve">similar duties and responsibilities under its </w:t>
            </w:r>
            <w:r w:rsidRPr="005E4A52" w:rsidDel="00D65271">
              <w:rPr>
                <w:i/>
                <w:iCs/>
              </w:rPr>
              <w:t>Occupational Health and Safety Act 2004</w:t>
            </w:r>
            <w:r w:rsidRPr="005E4A52" w:rsidDel="00D65271">
              <w:t xml:space="preserve"> </w:t>
            </w:r>
            <w:r w:rsidRPr="005E4A52">
              <w:t xml:space="preserve">(Vic) </w:t>
            </w:r>
            <w:r w:rsidRPr="005E4A52" w:rsidDel="00D65271">
              <w:t xml:space="preserve">and </w:t>
            </w:r>
            <w:r w:rsidRPr="00F92F7D" w:rsidDel="00D65271">
              <w:rPr>
                <w:iCs/>
              </w:rPr>
              <w:t>Occupational Health and Safety Regulations 2017</w:t>
            </w:r>
            <w:r w:rsidRPr="005E4A52">
              <w:t xml:space="preserve"> (Vic).</w:t>
            </w:r>
            <w:r w:rsidRPr="005E4A52" w:rsidDel="00D65271">
              <w:t xml:space="preserve"> </w:t>
            </w:r>
            <w:r w:rsidRPr="005E4A52">
              <w:t>There are 29 licensees with transitional coverage under the WHS Act.</w:t>
            </w:r>
            <w:r w:rsidRPr="005E4A52">
              <w:rPr>
                <w:rStyle w:val="FootnoteReference"/>
              </w:rPr>
              <w:footnoteReference w:id="26"/>
            </w:r>
          </w:p>
        </w:tc>
      </w:tr>
      <w:tr w:rsidR="00630C60" w:rsidRPr="005E4A52" w14:paraId="34E0A42E" w14:textId="77777777" w:rsidTr="00FC10F8">
        <w:tblPrEx>
          <w:jc w:val="left"/>
        </w:tblPrEx>
        <w:trPr>
          <w:trHeight w:val="60"/>
        </w:trPr>
        <w:tc>
          <w:tcPr>
            <w:cnfStyle w:val="001000000000" w:firstRow="0" w:lastRow="0" w:firstColumn="1" w:lastColumn="0" w:oddVBand="0" w:evenVBand="0" w:oddHBand="0" w:evenHBand="0" w:firstRowFirstColumn="0" w:firstRowLastColumn="0" w:lastRowFirstColumn="0" w:lastRowLastColumn="0"/>
            <w:tcW w:w="14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42E6F453" w14:textId="77777777" w:rsidR="00345387" w:rsidRPr="005E4A52" w:rsidRDefault="00345387" w:rsidP="006F2BBB">
            <w:pPr>
              <w:spacing w:before="120" w:after="120"/>
            </w:pPr>
            <w:r w:rsidRPr="005E4A52">
              <w:rPr>
                <w:color w:val="auto"/>
              </w:rPr>
              <w:t>Issues to be considered</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137E90C" w14:textId="77777777" w:rsidR="00345387" w:rsidRPr="005E4A52" w:rsidRDefault="00345387" w:rsidP="006F2BBB">
            <w:pPr>
              <w:pStyle w:val="ListParagraph"/>
              <w:numPr>
                <w:ilvl w:val="0"/>
                <w:numId w:val="19"/>
              </w:numPr>
              <w:spacing w:before="120" w:after="120" w:line="240" w:lineRule="auto"/>
              <w:cnfStyle w:val="000000000000" w:firstRow="0" w:lastRow="0" w:firstColumn="0" w:lastColumn="0" w:oddVBand="0" w:evenVBand="0" w:oddHBand="0" w:evenHBand="0" w:firstRowFirstColumn="0" w:firstRowLastColumn="0" w:lastRowFirstColumn="0" w:lastRowLastColumn="0"/>
            </w:pPr>
            <w:r w:rsidRPr="005E4A52">
              <w:t xml:space="preserve">The advantages and disadvantages of the link between Commonwealth work health and safety (WHS), and workers’ compensation arrangements </w:t>
            </w:r>
          </w:p>
          <w:p w14:paraId="48F4437B" w14:textId="77777777" w:rsidR="00345387" w:rsidRPr="005E4A52" w:rsidRDefault="00345387" w:rsidP="006F2BBB">
            <w:pPr>
              <w:pStyle w:val="ListParagraph"/>
              <w:numPr>
                <w:ilvl w:val="0"/>
                <w:numId w:val="19"/>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heme="majorEastAsia" w:cstheme="minorHAnsi"/>
              </w:rPr>
            </w:pPr>
            <w:r w:rsidRPr="005E4A52">
              <w:t xml:space="preserve">The interaction between persons conducting a business or undertaking in the public sector and private sector. </w:t>
            </w:r>
          </w:p>
          <w:p w14:paraId="5DCDA285" w14:textId="77777777" w:rsidR="00345387" w:rsidRPr="005E4A52" w:rsidRDefault="00345387" w:rsidP="006F2BBB">
            <w:pPr>
              <w:pStyle w:val="ListParagraph"/>
              <w:numPr>
                <w:ilvl w:val="0"/>
                <w:numId w:val="19"/>
              </w:num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t>The regulatory resource implications associated with non-Commonwealth licensees continuing to be covered by the Commonwealth’s WHS Act.</w:t>
            </w:r>
          </w:p>
        </w:tc>
      </w:tr>
      <w:tr w:rsidR="00630C60" w:rsidRPr="005E4A52" w14:paraId="3D441BDB" w14:textId="77777777" w:rsidTr="00FC10F8">
        <w:tblPrEx>
          <w:jc w:val="left"/>
        </w:tblPrEx>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4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290746B7" w14:textId="77777777" w:rsidR="00345387" w:rsidRPr="005E4A52" w:rsidRDefault="00345387" w:rsidP="006F2BBB">
            <w:pPr>
              <w:spacing w:before="120" w:after="120"/>
            </w:pPr>
            <w:r w:rsidRPr="005E4A52">
              <w:rPr>
                <w:color w:val="auto"/>
              </w:rPr>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7309155" w14:textId="621EE73F" w:rsidR="00A31596" w:rsidRPr="005E4A52" w:rsidRDefault="00345387" w:rsidP="006F2BBB">
            <w:pPr>
              <w:spacing w:before="120" w:after="120"/>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Term of reference 4 in relation to the oversight of the WHS performance of self-insured licensees.</w:t>
            </w:r>
          </w:p>
        </w:tc>
      </w:tr>
      <w:tr w:rsidR="00630C60" w:rsidRPr="005E4A52" w14:paraId="6911EF7B" w14:textId="77777777" w:rsidTr="00FC10F8">
        <w:tblPrEx>
          <w:jc w:val="left"/>
        </w:tblPrEx>
        <w:trPr>
          <w:trHeight w:val="1346"/>
        </w:trPr>
        <w:tc>
          <w:tcPr>
            <w:cnfStyle w:val="001000000000" w:firstRow="0" w:lastRow="0" w:firstColumn="1" w:lastColumn="0" w:oddVBand="0" w:evenVBand="0" w:oddHBand="0" w:evenHBand="0" w:firstRowFirstColumn="0" w:firstRowLastColumn="0" w:lastRowFirstColumn="0" w:lastRowLastColumn="0"/>
            <w:tcW w:w="14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78ED8050" w14:textId="77777777" w:rsidR="00345387" w:rsidRPr="005E4A52" w:rsidRDefault="00345387" w:rsidP="006F2BBB">
            <w:pPr>
              <w:spacing w:before="120" w:after="120"/>
            </w:pPr>
            <w:r w:rsidRPr="005E4A52">
              <w:rPr>
                <w:color w:val="auto"/>
              </w:rPr>
              <w:t>Questions</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A608282" w14:textId="77777777" w:rsidR="00345387" w:rsidRPr="005E4A52" w:rsidRDefault="00345387" w:rsidP="006F2BBB">
            <w:pPr>
              <w:pStyle w:val="ListParagraph"/>
              <w:numPr>
                <w:ilvl w:val="0"/>
                <w:numId w:val="11"/>
              </w:num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What are the implications for non-Commonwealth licensees in maintaining or ending the transitional period for their coverage under the WHS Act?</w:t>
            </w:r>
          </w:p>
          <w:p w14:paraId="737BA265" w14:textId="2507B13E" w:rsidR="003E1960" w:rsidRPr="005E4A52" w:rsidRDefault="008473FC" w:rsidP="006F2BBB">
            <w:pPr>
              <w:pStyle w:val="ListParagraph"/>
              <w:numPr>
                <w:ilvl w:val="0"/>
                <w:numId w:val="11"/>
              </w:num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Should </w:t>
            </w:r>
            <w:r w:rsidR="005E4A52">
              <w:rPr>
                <w:rStyle w:val="normaltextrun"/>
                <w:rFonts w:eastAsiaTheme="majorEastAsia" w:cstheme="minorHAnsi"/>
              </w:rPr>
              <w:t>self-insured</w:t>
            </w:r>
            <w:r w:rsidRPr="005E4A52">
              <w:rPr>
                <w:rStyle w:val="normaltextrun"/>
                <w:rFonts w:eastAsiaTheme="majorEastAsia" w:cstheme="minorHAnsi"/>
              </w:rPr>
              <w:t xml:space="preserve"> licensees be regulated by Comcare under Commonwealth WHS laws, or state and territory </w:t>
            </w:r>
            <w:r w:rsidR="00E77532">
              <w:rPr>
                <w:rStyle w:val="normaltextrun"/>
                <w:rFonts w:eastAsiaTheme="majorEastAsia" w:cstheme="minorHAnsi"/>
              </w:rPr>
              <w:t xml:space="preserve">WHS laws and </w:t>
            </w:r>
            <w:r w:rsidRPr="005E4A52">
              <w:rPr>
                <w:rStyle w:val="normaltextrun"/>
                <w:rFonts w:eastAsiaTheme="majorEastAsia" w:cstheme="minorHAnsi"/>
              </w:rPr>
              <w:t>regulators?</w:t>
            </w:r>
            <w:r w:rsidR="00ED195B">
              <w:rPr>
                <w:rStyle w:val="normaltextrun"/>
                <w:rFonts w:eastAsiaTheme="majorEastAsia" w:cstheme="minorHAnsi"/>
              </w:rPr>
              <w:t xml:space="preserve"> Please give reasons</w:t>
            </w:r>
            <w:r w:rsidR="00E36E93">
              <w:rPr>
                <w:rStyle w:val="normaltextrun"/>
                <w:rFonts w:eastAsiaTheme="majorEastAsia" w:cstheme="minorHAnsi"/>
              </w:rPr>
              <w:t>.</w:t>
            </w:r>
          </w:p>
        </w:tc>
      </w:tr>
    </w:tbl>
    <w:p w14:paraId="255EEAA3" w14:textId="0D8E5A0F" w:rsidR="00FA62E0" w:rsidRDefault="00FA62E0" w:rsidP="00FA62E0">
      <w:pPr>
        <w:rPr>
          <w:rStyle w:val="Heading2Char"/>
          <w:color w:val="009B9F" w:themeColor="background2"/>
          <w:sz w:val="32"/>
          <w:szCs w:val="24"/>
        </w:rPr>
      </w:pPr>
      <w:bookmarkStart w:id="36" w:name="_Toc177409620"/>
      <w:r>
        <w:rPr>
          <w:rStyle w:val="Heading2Char"/>
          <w:b w:val="0"/>
          <w:color w:val="009B9F" w:themeColor="background2"/>
          <w:sz w:val="32"/>
          <w:szCs w:val="24"/>
        </w:rPr>
        <w:br w:type="page"/>
      </w:r>
    </w:p>
    <w:p w14:paraId="352B4804" w14:textId="07F32A6E" w:rsidR="009042DA" w:rsidRPr="001740E1" w:rsidRDefault="009042DA" w:rsidP="0015289B">
      <w:pPr>
        <w:pStyle w:val="Heading3"/>
      </w:pPr>
      <w:bookmarkStart w:id="37" w:name="_Toc180174614"/>
      <w:r w:rsidRPr="001740E1">
        <w:rPr>
          <w:rStyle w:val="Heading2Char"/>
          <w:b/>
          <w:color w:val="009B9F" w:themeColor="background2"/>
          <w:sz w:val="32"/>
          <w:szCs w:val="24"/>
        </w:rPr>
        <w:lastRenderedPageBreak/>
        <w:t>3.4</w:t>
      </w:r>
      <w:r w:rsidRPr="001740E1">
        <w:tab/>
      </w:r>
      <w:r w:rsidRPr="001740E1">
        <w:rPr>
          <w:rStyle w:val="Heading2Char"/>
          <w:b/>
          <w:color w:val="009B9F" w:themeColor="background2"/>
          <w:sz w:val="32"/>
          <w:szCs w:val="24"/>
        </w:rPr>
        <w:t>Governance arrangements (Term of reference</w:t>
      </w:r>
      <w:r w:rsidRPr="001740E1">
        <w:t xml:space="preserve"> 4)</w:t>
      </w:r>
      <w:bookmarkEnd w:id="36"/>
      <w:bookmarkEnd w:id="37"/>
    </w:p>
    <w:p w14:paraId="5876A003" w14:textId="3541F226" w:rsidR="009042DA" w:rsidRPr="005E4A52" w:rsidRDefault="009042DA" w:rsidP="009042DA">
      <w:r w:rsidRPr="005E4A52">
        <w:t>Term of reference 4 is focused:</w:t>
      </w:r>
    </w:p>
    <w:p w14:paraId="59E575C5" w14:textId="3CED7580" w:rsidR="009042DA" w:rsidRPr="005E4A52" w:rsidRDefault="009042DA" w:rsidP="009042DA">
      <w:pPr>
        <w:pStyle w:val="ListParagraph"/>
        <w:numPr>
          <w:ilvl w:val="0"/>
          <w:numId w:val="22"/>
        </w:numPr>
        <w:spacing w:after="0" w:line="240" w:lineRule="atLeast"/>
        <w:contextualSpacing w:val="0"/>
        <w:rPr>
          <w:rFonts w:eastAsia="Times New Roman" w:cstheme="minorHAnsi"/>
        </w:rPr>
      </w:pPr>
      <w:r w:rsidRPr="005E4A52">
        <w:rPr>
          <w:rFonts w:eastAsia="Times New Roman" w:cstheme="minorHAnsi"/>
        </w:rPr>
        <w:t>best practice governance, regulation and oversight arrangements</w:t>
      </w:r>
      <w:r w:rsidR="00FC10F8">
        <w:rPr>
          <w:rFonts w:eastAsia="Times New Roman" w:cstheme="minorHAnsi"/>
        </w:rPr>
        <w:t>,</w:t>
      </w:r>
    </w:p>
    <w:p w14:paraId="52E3E8DF" w14:textId="21D2113B" w:rsidR="009042DA" w:rsidRPr="005E4A52" w:rsidRDefault="009042DA" w:rsidP="009042DA">
      <w:pPr>
        <w:pStyle w:val="ListParagraph"/>
        <w:numPr>
          <w:ilvl w:val="0"/>
          <w:numId w:val="22"/>
        </w:numPr>
        <w:spacing w:after="0" w:line="240" w:lineRule="atLeast"/>
        <w:contextualSpacing w:val="0"/>
        <w:rPr>
          <w:rFonts w:eastAsia="Times New Roman" w:cstheme="minorHAnsi"/>
        </w:rPr>
      </w:pPr>
      <w:r w:rsidRPr="005E4A52">
        <w:rPr>
          <w:rFonts w:eastAsia="Times New Roman" w:cstheme="minorHAnsi"/>
        </w:rPr>
        <w:t>financial management and viability</w:t>
      </w:r>
      <w:r w:rsidR="00FC10F8">
        <w:rPr>
          <w:rFonts w:eastAsia="Times New Roman" w:cstheme="minorHAnsi"/>
        </w:rPr>
        <w:t xml:space="preserve">, </w:t>
      </w:r>
      <w:r w:rsidRPr="005E4A52">
        <w:rPr>
          <w:rFonts w:eastAsia="Times New Roman" w:cstheme="minorHAnsi"/>
        </w:rPr>
        <w:t>and</w:t>
      </w:r>
    </w:p>
    <w:p w14:paraId="0C6998D8" w14:textId="7D819E05" w:rsidR="009042DA" w:rsidRPr="005E4A52" w:rsidRDefault="009042DA" w:rsidP="009042DA">
      <w:pPr>
        <w:pStyle w:val="ListParagraph"/>
        <w:numPr>
          <w:ilvl w:val="0"/>
          <w:numId w:val="22"/>
        </w:numPr>
        <w:spacing w:after="0" w:line="240" w:lineRule="atLeast"/>
        <w:contextualSpacing w:val="0"/>
        <w:rPr>
          <w:rFonts w:eastAsia="Times New Roman" w:cstheme="minorHAnsi"/>
        </w:rPr>
      </w:pPr>
      <w:r w:rsidRPr="005E4A52">
        <w:rPr>
          <w:rFonts w:eastAsia="Times New Roman"/>
        </w:rPr>
        <w:t>social partner involvement and tripartism.</w:t>
      </w:r>
    </w:p>
    <w:p w14:paraId="4A19442D" w14:textId="171BC8EF" w:rsidR="009042DA" w:rsidRPr="005E4A52" w:rsidRDefault="009042DA" w:rsidP="009042DA">
      <w:pPr>
        <w:spacing w:after="0" w:line="240" w:lineRule="atLeast"/>
        <w:rPr>
          <w:rFonts w:eastAsia="Times New Roman" w:cstheme="minorHAnsi"/>
        </w:rPr>
      </w:pPr>
    </w:p>
    <w:tbl>
      <w:tblPr>
        <w:tblStyle w:val="GridTable5Dark-Accent3"/>
        <w:tblW w:w="9923" w:type="dxa"/>
        <w:tblLook w:val="04A0" w:firstRow="1" w:lastRow="0" w:firstColumn="1" w:lastColumn="0" w:noHBand="0" w:noVBand="1"/>
      </w:tblPr>
      <w:tblGrid>
        <w:gridCol w:w="1489"/>
        <w:gridCol w:w="8434"/>
      </w:tblGrid>
      <w:tr w:rsidR="009042DA" w:rsidRPr="005E4A52" w14:paraId="69A76C4C" w14:textId="77777777" w:rsidTr="006F2B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659448B" w14:textId="69A08480" w:rsidR="009042DA" w:rsidRPr="005E4A52" w:rsidRDefault="009042DA" w:rsidP="0057609F">
            <w:pPr>
              <w:pStyle w:val="ListParagraph"/>
              <w:numPr>
                <w:ilvl w:val="0"/>
                <w:numId w:val="8"/>
              </w:numPr>
              <w:spacing w:before="120" w:after="120" w:line="240" w:lineRule="auto"/>
              <w:ind w:left="714" w:hanging="357"/>
            </w:pPr>
            <w:r w:rsidRPr="005E4A52">
              <w:rPr>
                <w:sz w:val="24"/>
                <w:szCs w:val="24"/>
              </w:rPr>
              <w:t>Best practice governance, regulation and oversight</w:t>
            </w:r>
          </w:p>
        </w:tc>
      </w:tr>
      <w:tr w:rsidR="009042DA" w:rsidRPr="005E4A52" w14:paraId="4F5F7FED" w14:textId="77777777" w:rsidTr="00A31596">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56F29DB6" w14:textId="77391875" w:rsidR="009042DA" w:rsidRPr="005E4A52" w:rsidRDefault="009042DA">
            <w:pPr>
              <w:spacing w:after="120"/>
              <w:rPr>
                <w:rFonts w:cstheme="minorHAnsi"/>
              </w:rPr>
            </w:pPr>
            <w:r w:rsidRPr="005E4A52">
              <w:rPr>
                <w:color w:val="auto"/>
              </w:rPr>
              <w:t>Why important</w:t>
            </w:r>
          </w:p>
        </w:tc>
        <w:tc>
          <w:tcPr>
            <w:tcW w:w="84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49943DB" w14:textId="149862F4" w:rsidR="009042DA" w:rsidRPr="005E4A52" w:rsidRDefault="009042DA" w:rsidP="0057609F">
            <w:pPr>
              <w:cnfStyle w:val="000000100000" w:firstRow="0" w:lastRow="0" w:firstColumn="0" w:lastColumn="0" w:oddVBand="0" w:evenVBand="0" w:oddHBand="1" w:evenHBand="0" w:firstRowFirstColumn="0" w:firstRowLastColumn="0" w:lastRowFirstColumn="0" w:lastRowLastColumn="0"/>
              <w:rPr>
                <w:rFonts w:cstheme="minorHAnsi"/>
              </w:rPr>
            </w:pPr>
            <w:r w:rsidRPr="005E4A52">
              <w:rPr>
                <w:rFonts w:cstheme="minorHAnsi"/>
              </w:rPr>
              <w:t xml:space="preserve">The combined Comcare WHS scheme and Comcare scheme is complex. There are </w:t>
            </w:r>
            <w:r w:rsidR="00C50464">
              <w:rPr>
                <w:rFonts w:cstheme="minorHAnsi"/>
              </w:rPr>
              <w:t>2</w:t>
            </w:r>
            <w:r w:rsidR="00C50464" w:rsidRPr="005E4A52">
              <w:rPr>
                <w:rFonts w:cstheme="minorHAnsi"/>
              </w:rPr>
              <w:t xml:space="preserve"> </w:t>
            </w:r>
            <w:r w:rsidRPr="005E4A52">
              <w:rPr>
                <w:rFonts w:cstheme="minorHAnsi"/>
              </w:rPr>
              <w:t>regulators:</w:t>
            </w:r>
          </w:p>
          <w:p w14:paraId="76CD023F" w14:textId="77777777" w:rsidR="009042DA" w:rsidRPr="005E4A52" w:rsidRDefault="009042DA" w:rsidP="0057609F">
            <w:pPr>
              <w:pStyle w:val="ListParagraph"/>
              <w:numPr>
                <w:ilvl w:val="0"/>
                <w:numId w:val="23"/>
              </w:numPr>
              <w:spacing w:after="240" w:line="240" w:lineRule="auto"/>
              <w:ind w:left="403" w:hanging="403"/>
              <w:cnfStyle w:val="000000100000" w:firstRow="0" w:lastRow="0" w:firstColumn="0" w:lastColumn="0" w:oddVBand="0" w:evenVBand="0" w:oddHBand="1" w:evenHBand="0" w:firstRowFirstColumn="0" w:firstRowLastColumn="0" w:lastRowFirstColumn="0" w:lastRowLastColumn="0"/>
              <w:rPr>
                <w:rFonts w:cstheme="minorHAnsi"/>
              </w:rPr>
            </w:pPr>
            <w:r w:rsidRPr="005E4A52">
              <w:rPr>
                <w:rFonts w:cstheme="minorHAnsi"/>
                <w:b/>
              </w:rPr>
              <w:t xml:space="preserve">Comcare </w:t>
            </w:r>
            <w:r w:rsidRPr="005E4A52" w:rsidDel="001C2A47">
              <w:rPr>
                <w:rFonts w:cstheme="minorHAnsi"/>
              </w:rPr>
              <w:t>has a role</w:t>
            </w:r>
            <w:r w:rsidRPr="005E4A52">
              <w:rPr>
                <w:rFonts w:cstheme="minorHAnsi"/>
              </w:rPr>
              <w:t xml:space="preserve"> as regulator under the WHS Act and </w:t>
            </w:r>
            <w:r w:rsidRPr="005E4A52" w:rsidDel="00E205C1">
              <w:rPr>
                <w:rFonts w:cstheme="minorHAnsi"/>
              </w:rPr>
              <w:t xml:space="preserve">is the regulator </w:t>
            </w:r>
            <w:r w:rsidRPr="005E4A52">
              <w:rPr>
                <w:rFonts w:cstheme="minorHAnsi"/>
              </w:rPr>
              <w:t>or</w:t>
            </w:r>
            <w:r w:rsidRPr="005E4A52" w:rsidDel="00E205C1">
              <w:rPr>
                <w:rFonts w:cstheme="minorHAnsi"/>
              </w:rPr>
              <w:t xml:space="preserve"> scheme administrator under the </w:t>
            </w:r>
            <w:r w:rsidRPr="005E4A52">
              <w:rPr>
                <w:rFonts w:cstheme="minorHAnsi"/>
              </w:rPr>
              <w:t xml:space="preserve">SRC Act. </w:t>
            </w:r>
            <w:r w:rsidRPr="005E4A52" w:rsidDel="00642DFF">
              <w:rPr>
                <w:rFonts w:cstheme="minorHAnsi"/>
              </w:rPr>
              <w:t xml:space="preserve">It is also </w:t>
            </w:r>
            <w:r w:rsidRPr="005E4A52">
              <w:rPr>
                <w:rFonts w:cstheme="minorHAnsi"/>
              </w:rPr>
              <w:t xml:space="preserve">the claims’ manager for many but not all employees covered by the Scheme. </w:t>
            </w:r>
          </w:p>
          <w:p w14:paraId="31DC14FD" w14:textId="332753D8" w:rsidR="009042DA" w:rsidRPr="005E4A52" w:rsidRDefault="009042DA" w:rsidP="0057609F">
            <w:pPr>
              <w:pStyle w:val="ListParagraph"/>
              <w:numPr>
                <w:ilvl w:val="0"/>
                <w:numId w:val="23"/>
              </w:numPr>
              <w:spacing w:after="240" w:line="240" w:lineRule="auto"/>
              <w:cnfStyle w:val="000000100000" w:firstRow="0" w:lastRow="0" w:firstColumn="0" w:lastColumn="0" w:oddVBand="0" w:evenVBand="0" w:oddHBand="1" w:evenHBand="0" w:firstRowFirstColumn="0" w:firstRowLastColumn="0" w:lastRowFirstColumn="0" w:lastRowLastColumn="0"/>
            </w:pPr>
            <w:r w:rsidRPr="005E4A52">
              <w:rPr>
                <w:rFonts w:cstheme="minorHAnsi"/>
              </w:rPr>
              <w:t xml:space="preserve">The </w:t>
            </w:r>
            <w:r w:rsidRPr="005E4A52">
              <w:rPr>
                <w:rFonts w:cstheme="minorHAnsi"/>
                <w:b/>
                <w:bCs/>
              </w:rPr>
              <w:t>SRCC</w:t>
            </w:r>
            <w:r w:rsidRPr="005E4A52">
              <w:rPr>
                <w:rFonts w:cstheme="minorHAnsi"/>
              </w:rPr>
              <w:t xml:space="preserve"> has broad oversight functions and powers under the SRC Act and the WHS Act. The SRCC is the issuing authority and regulator of self-insurance licences under the SRC Act. </w:t>
            </w:r>
            <w:r w:rsidR="00661123">
              <w:rPr>
                <w:rFonts w:cstheme="minorHAnsi"/>
              </w:rPr>
              <w:t>I</w:t>
            </w:r>
            <w:r w:rsidR="00661123">
              <w:t xml:space="preserve">t has </w:t>
            </w:r>
            <w:r w:rsidR="00661123" w:rsidRPr="00661123">
              <w:t xml:space="preserve">no staff and Comcare is required under the </w:t>
            </w:r>
            <w:r w:rsidR="007F2124">
              <w:t xml:space="preserve">SRC </w:t>
            </w:r>
            <w:r w:rsidR="00661123" w:rsidRPr="00661123">
              <w:t xml:space="preserve">Act to provide secretariat and </w:t>
            </w:r>
            <w:r w:rsidR="007F2124">
              <w:t>administrative</w:t>
            </w:r>
            <w:r w:rsidR="00661123" w:rsidRPr="00661123">
              <w:t xml:space="preserve"> support to the SRCC to enable it to fulfil its functions.</w:t>
            </w:r>
          </w:p>
          <w:p w14:paraId="631DE92D" w14:textId="4B3E1481" w:rsidR="009042DA" w:rsidRPr="005E4A52" w:rsidRDefault="009042DA" w:rsidP="0057609F">
            <w:pPr>
              <w:pStyle w:val="ListParagraph"/>
              <w:numPr>
                <w:ilvl w:val="0"/>
                <w:numId w:val="23"/>
              </w:numPr>
              <w:spacing w:after="240" w:line="240" w:lineRule="auto"/>
              <w:ind w:left="403" w:hanging="403"/>
              <w:cnfStyle w:val="000000100000" w:firstRow="0" w:lastRow="0" w:firstColumn="0" w:lastColumn="0" w:oddVBand="0" w:evenVBand="0" w:oddHBand="1" w:evenHBand="0" w:firstRowFirstColumn="0" w:firstRowLastColumn="0" w:lastRowFirstColumn="0" w:lastRowLastColumn="0"/>
              <w:rPr>
                <w:rFonts w:cstheme="minorHAnsi"/>
              </w:rPr>
            </w:pPr>
            <w:r w:rsidRPr="005E4A52">
              <w:rPr>
                <w:rFonts w:cstheme="minorHAnsi"/>
              </w:rPr>
              <w:t>The SRCC has a role in overseeing Comcare</w:t>
            </w:r>
            <w:r w:rsidR="002F7D2D">
              <w:rPr>
                <w:rFonts w:cstheme="minorHAnsi"/>
              </w:rPr>
              <w:t>,</w:t>
            </w:r>
            <w:r w:rsidR="002F7D2D">
              <w:t xml:space="preserve"> </w:t>
            </w:r>
            <w:r w:rsidR="00A16749">
              <w:t>however</w:t>
            </w:r>
            <w:r w:rsidRPr="005E4A52">
              <w:t xml:space="preserve"> </w:t>
            </w:r>
            <w:r w:rsidRPr="005E4A52">
              <w:rPr>
                <w:rFonts w:cstheme="minorHAnsi"/>
              </w:rPr>
              <w:t xml:space="preserve">the scope of </w:t>
            </w:r>
            <w:r w:rsidR="00CA22BD">
              <w:rPr>
                <w:rFonts w:cstheme="minorHAnsi"/>
              </w:rPr>
              <w:t>t</w:t>
            </w:r>
            <w:r w:rsidR="00CA22BD">
              <w:t>his role is unclear</w:t>
            </w:r>
            <w:r w:rsidRPr="005E4A52">
              <w:rPr>
                <w:rFonts w:cstheme="minorHAnsi"/>
              </w:rPr>
              <w:t>. The SRCC can grant licen</w:t>
            </w:r>
            <w:r w:rsidR="0001439C">
              <w:rPr>
                <w:rFonts w:cstheme="minorHAnsi"/>
              </w:rPr>
              <w:t>c</w:t>
            </w:r>
            <w:r w:rsidRPr="005E4A52">
              <w:rPr>
                <w:rFonts w:cstheme="minorHAnsi"/>
              </w:rPr>
              <w:t>es or suspend or revoke s</w:t>
            </w:r>
            <w:r w:rsidRPr="005E4A52">
              <w:t xml:space="preserve">elf-insurance </w:t>
            </w:r>
            <w:r w:rsidRPr="005E4A52">
              <w:rPr>
                <w:rFonts w:cstheme="minorHAnsi"/>
              </w:rPr>
              <w:t xml:space="preserve">licences for breaches of licence conditions. However, </w:t>
            </w:r>
            <w:r w:rsidR="00CA22BD" w:rsidRPr="00CA22BD">
              <w:rPr>
                <w:rFonts w:cstheme="minorHAnsi"/>
              </w:rPr>
              <w:t>as the SRCC has no staff or resources of its own, Comcare monitors and reports to the SRCC on licensee performance including compliance with licence conditions</w:t>
            </w:r>
            <w:r w:rsidR="00CA22BD">
              <w:rPr>
                <w:rFonts w:cstheme="minorHAnsi"/>
              </w:rPr>
              <w:t>.</w:t>
            </w:r>
            <w:r w:rsidR="00FC10F8">
              <w:rPr>
                <w:rFonts w:cstheme="minorHAnsi"/>
              </w:rPr>
              <w:t xml:space="preserve"> </w:t>
            </w:r>
            <w:r w:rsidRPr="005E4A52">
              <w:rPr>
                <w:rFonts w:cstheme="minorHAnsi"/>
              </w:rPr>
              <w:t xml:space="preserve">Apart from the power to vary, suspend or revoke licences, the SRC Act does not </w:t>
            </w:r>
            <w:r w:rsidR="00386113">
              <w:rPr>
                <w:rFonts w:cstheme="minorHAnsi"/>
              </w:rPr>
              <w:t>o</w:t>
            </w:r>
            <w:r w:rsidR="00386113">
              <w:t xml:space="preserve">therwise </w:t>
            </w:r>
            <w:r w:rsidRPr="005E4A52">
              <w:rPr>
                <w:rFonts w:cstheme="minorHAnsi"/>
              </w:rPr>
              <w:t xml:space="preserve">authorise the SRCC to regulate licensees </w:t>
            </w:r>
            <w:r w:rsidR="001E19AF">
              <w:rPr>
                <w:rFonts w:cstheme="minorHAnsi"/>
              </w:rPr>
              <w:t>a</w:t>
            </w:r>
            <w:r w:rsidR="001E19AF">
              <w:t xml:space="preserve">nd does not provide enforcement powers </w:t>
            </w:r>
            <w:r w:rsidR="00325114">
              <w:t xml:space="preserve">or for the imposing of </w:t>
            </w:r>
            <w:r w:rsidR="001E19AF">
              <w:t xml:space="preserve">sanctions. </w:t>
            </w:r>
          </w:p>
          <w:p w14:paraId="0D875731" w14:textId="77777777" w:rsidR="009042DA" w:rsidRPr="005E4A52" w:rsidRDefault="009042DA" w:rsidP="0057609F">
            <w:pPr>
              <w:cnfStyle w:val="000000100000" w:firstRow="0" w:lastRow="0" w:firstColumn="0" w:lastColumn="0" w:oddVBand="0" w:evenVBand="0" w:oddHBand="1" w:evenHBand="0" w:firstRowFirstColumn="0" w:firstRowLastColumn="0" w:lastRowFirstColumn="0" w:lastRowLastColumn="0"/>
              <w:rPr>
                <w:rFonts w:cstheme="minorHAnsi"/>
              </w:rPr>
            </w:pPr>
            <w:r w:rsidRPr="005E4A52">
              <w:rPr>
                <w:rFonts w:cstheme="minorHAnsi"/>
              </w:rPr>
              <w:t xml:space="preserve">Previous reviews have raised the concern that the governance arrangements of the scheme are not efficient, effective and suitable for current workplace conditions. For example: </w:t>
            </w:r>
          </w:p>
          <w:p w14:paraId="1C289F3C" w14:textId="77777777" w:rsidR="009042DA" w:rsidRPr="005E4A52" w:rsidRDefault="009042DA" w:rsidP="0057609F">
            <w:pPr>
              <w:pStyle w:val="ListParagraph"/>
              <w:numPr>
                <w:ilvl w:val="0"/>
                <w:numId w:val="23"/>
              </w:numPr>
              <w:spacing w:after="240" w:line="240" w:lineRule="auto"/>
              <w:ind w:left="403" w:hanging="403"/>
              <w:cnfStyle w:val="000000100000" w:firstRow="0" w:lastRow="0" w:firstColumn="0" w:lastColumn="0" w:oddVBand="0" w:evenVBand="0" w:oddHBand="1" w:evenHBand="0" w:firstRowFirstColumn="0" w:firstRowLastColumn="0" w:lastRowFirstColumn="0" w:lastRowLastColumn="0"/>
              <w:rPr>
                <w:rFonts w:cstheme="minorHAnsi"/>
              </w:rPr>
            </w:pPr>
            <w:r w:rsidRPr="12FB29C6">
              <w:t>In 2004, the Productivity Commission recommended that the SRCC be established as a stand-alone regulator, separating regulatory and service functions through a clear separation of the SRCC and Comcare.</w:t>
            </w:r>
            <w:r w:rsidRPr="005E4A52">
              <w:rPr>
                <w:rStyle w:val="FootnoteReference"/>
                <w:rFonts w:eastAsia="Calibri" w:cs="Calibri"/>
              </w:rPr>
              <w:footnoteReference w:id="27"/>
            </w:r>
            <w:r w:rsidRPr="12FB29C6">
              <w:t xml:space="preserve"> </w:t>
            </w:r>
          </w:p>
          <w:p w14:paraId="5D718F9F" w14:textId="77777777" w:rsidR="009042DA" w:rsidRPr="005E4A52" w:rsidRDefault="009042DA" w:rsidP="0057609F">
            <w:pPr>
              <w:pStyle w:val="ListParagraph"/>
              <w:numPr>
                <w:ilvl w:val="0"/>
                <w:numId w:val="23"/>
              </w:numPr>
              <w:spacing w:after="240" w:line="240" w:lineRule="auto"/>
              <w:ind w:left="403" w:hanging="403"/>
              <w:cnfStyle w:val="000000100000" w:firstRow="0" w:lastRow="0" w:firstColumn="0" w:lastColumn="0" w:oddVBand="0" w:evenVBand="0" w:oddHBand="1" w:evenHBand="0" w:firstRowFirstColumn="0" w:firstRowLastColumn="0" w:lastRowFirstColumn="0" w:lastRowLastColumn="0"/>
            </w:pPr>
            <w:r w:rsidRPr="005E4A52">
              <w:t>The Hawke Review recommended enhancing the transparency of the role of Comcare and the SRCC and establishing an advisory board to support Comcare’s CEO meet responsibilities. Concerns were also expressed about Comcare being a determining authority and having regulatory functions, and not being regulated by the Australian Prudential Regulation Authority.</w:t>
            </w:r>
            <w:r w:rsidRPr="005E4A52">
              <w:rPr>
                <w:rStyle w:val="FootnoteReference"/>
                <w:rFonts w:eastAsia="Calibri" w:cs="Calibri"/>
              </w:rPr>
              <w:footnoteReference w:id="28"/>
            </w:r>
            <w:r w:rsidRPr="005E4A52">
              <w:rPr>
                <w:rStyle w:val="FootnoteReference"/>
                <w:rFonts w:eastAsia="Calibri" w:cs="Calibri"/>
              </w:rPr>
              <w:t xml:space="preserve"> </w:t>
            </w:r>
            <w:r w:rsidRPr="005E4A52">
              <w:t xml:space="preserve"> </w:t>
            </w:r>
          </w:p>
          <w:p w14:paraId="689FA3E5" w14:textId="5BB8CFB4" w:rsidR="009042DA" w:rsidRPr="005E4A52" w:rsidRDefault="009042DA" w:rsidP="0057609F">
            <w:pPr>
              <w:cnfStyle w:val="000000100000" w:firstRow="0" w:lastRow="0" w:firstColumn="0" w:lastColumn="0" w:oddVBand="0" w:evenVBand="0" w:oddHBand="1" w:evenHBand="0" w:firstRowFirstColumn="0" w:firstRowLastColumn="0" w:lastRowFirstColumn="0" w:lastRowLastColumn="0"/>
              <w:rPr>
                <w:b/>
              </w:rPr>
            </w:pPr>
            <w:r w:rsidRPr="005E4A52">
              <w:t>Adding to the complexity of the Comcare scheme is the number of other participants and scheme providers. Maintaining scheme sustainability requires scheme regulators to have sufficient functions and powers to interact effectively with scheme participants to maximise scheme performance.</w:t>
            </w:r>
          </w:p>
        </w:tc>
      </w:tr>
      <w:tr w:rsidR="009042DA" w:rsidRPr="005E4A52" w14:paraId="7A97D191" w14:textId="77777777" w:rsidTr="00A31596">
        <w:tblPrEx>
          <w:jc w:val="left"/>
        </w:tblPrEx>
        <w:tc>
          <w:tcPr>
            <w:cnfStyle w:val="001000000000" w:firstRow="0" w:lastRow="0" w:firstColumn="1" w:lastColumn="0" w:oddVBand="0" w:evenVBand="0" w:oddHBand="0" w:evenHBand="0" w:firstRowFirstColumn="0" w:firstRowLastColumn="0" w:lastRowFirstColumn="0" w:lastRowLastColumn="0"/>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1DBB8AFB" w14:textId="709E377C" w:rsidR="009042DA" w:rsidRPr="005E4A52" w:rsidRDefault="009042DA" w:rsidP="0057609F">
            <w:pPr>
              <w:spacing w:after="120"/>
              <w:rPr>
                <w:color w:val="auto"/>
              </w:rPr>
            </w:pPr>
            <w:r w:rsidRPr="005E4A52">
              <w:rPr>
                <w:color w:val="auto"/>
              </w:rPr>
              <w:lastRenderedPageBreak/>
              <w:t>Issues to be considered</w:t>
            </w:r>
          </w:p>
        </w:tc>
        <w:tc>
          <w:tcPr>
            <w:tcW w:w="84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ECF7788" w14:textId="77777777" w:rsidR="009042DA" w:rsidRPr="005E4A52" w:rsidRDefault="009042DA" w:rsidP="0057609F">
            <w:pPr>
              <w:pStyle w:val="ListParagraph"/>
              <w:numPr>
                <w:ilvl w:val="0"/>
                <w:numId w:val="23"/>
              </w:numPr>
              <w:spacing w:after="240" w:line="240" w:lineRule="auto"/>
              <w:cnfStyle w:val="000000000000" w:firstRow="0" w:lastRow="0" w:firstColumn="0" w:lastColumn="0" w:oddVBand="0" w:evenVBand="0" w:oddHBand="0" w:evenHBand="0" w:firstRowFirstColumn="0" w:firstRowLastColumn="0" w:lastRowFirstColumn="0" w:lastRowLastColumn="0"/>
            </w:pPr>
            <w:r w:rsidRPr="005E4A52">
              <w:t>The effectiveness of the interaction between the functions and powers of Comcare and the SRCC.</w:t>
            </w:r>
          </w:p>
          <w:p w14:paraId="382966A9" w14:textId="77777777" w:rsidR="009042DA" w:rsidRPr="005E4A52" w:rsidRDefault="009042DA" w:rsidP="0057609F">
            <w:pPr>
              <w:pStyle w:val="ListParagraph"/>
              <w:numPr>
                <w:ilvl w:val="0"/>
                <w:numId w:val="23"/>
              </w:numPr>
              <w:spacing w:after="240" w:line="240" w:lineRule="auto"/>
              <w:cnfStyle w:val="000000000000" w:firstRow="0" w:lastRow="0" w:firstColumn="0" w:lastColumn="0" w:oddVBand="0" w:evenVBand="0" w:oddHBand="0" w:evenHBand="0" w:firstRowFirstColumn="0" w:firstRowLastColumn="0" w:lastRowFirstColumn="0" w:lastRowLastColumn="0"/>
            </w:pPr>
            <w:r w:rsidRPr="005E4A52">
              <w:t>The appropriate governance framework for oversight of Comcare and the SRCC.</w:t>
            </w:r>
          </w:p>
          <w:p w14:paraId="27543B76" w14:textId="159BA9DA" w:rsidR="009042DA" w:rsidRPr="005E4A52" w:rsidRDefault="009042DA" w:rsidP="0057609F">
            <w:pPr>
              <w:pStyle w:val="ListParagraph"/>
              <w:numPr>
                <w:ilvl w:val="0"/>
                <w:numId w:val="23"/>
              </w:numPr>
              <w:spacing w:after="240" w:line="240" w:lineRule="auto"/>
              <w:cnfStyle w:val="000000000000" w:firstRow="0" w:lastRow="0" w:firstColumn="0" w:lastColumn="0" w:oddVBand="0" w:evenVBand="0" w:oddHBand="0" w:evenHBand="0" w:firstRowFirstColumn="0" w:firstRowLastColumn="0" w:lastRowFirstColumn="0" w:lastRowLastColumn="0"/>
            </w:pPr>
            <w:r w:rsidRPr="005E4A52">
              <w:t xml:space="preserve">The composition of the SRCC and its regulatory powers in relation to self-insurance licences </w:t>
            </w:r>
            <w:r w:rsidR="5EA20C58">
              <w:t xml:space="preserve">and premium payers </w:t>
            </w:r>
            <w:r w:rsidRPr="005E4A52">
              <w:t xml:space="preserve">under the SRC Act. The SRCC comprises up to 11 Commissioners. Membership includes representatives from unions (3 members); one self-insured licensee; the CEO of Safe Work Australia (SWA); one member each for the Commonwealth and Commonwealth authorities, the ACT Government, the Defence Force; 2 members with expertise relevant to the SRCC functions; and a chair. </w:t>
            </w:r>
          </w:p>
          <w:p w14:paraId="6579DE14" w14:textId="75A847BF" w:rsidR="009042DA" w:rsidRPr="005E4A52" w:rsidRDefault="009042DA" w:rsidP="0057609F">
            <w:pPr>
              <w:pStyle w:val="ListParagraph"/>
              <w:numPr>
                <w:ilvl w:val="0"/>
                <w:numId w:val="23"/>
              </w:numPr>
              <w:spacing w:after="240" w:line="240" w:lineRule="auto"/>
              <w:ind w:left="403"/>
              <w:cnfStyle w:val="000000000000" w:firstRow="0" w:lastRow="0" w:firstColumn="0" w:lastColumn="0" w:oddVBand="0" w:evenVBand="0" w:oddHBand="0" w:evenHBand="0" w:firstRowFirstColumn="0" w:firstRowLastColumn="0" w:lastRowFirstColumn="0" w:lastRowLastColumn="0"/>
              <w:rPr>
                <w:rFonts w:cstheme="minorHAnsi"/>
              </w:rPr>
            </w:pPr>
            <w:r w:rsidRPr="005E4A52">
              <w:t xml:space="preserve">How best to regulate scheme </w:t>
            </w:r>
            <w:r w:rsidR="00A7355B">
              <w:t xml:space="preserve">participants and </w:t>
            </w:r>
            <w:r w:rsidRPr="005E4A52">
              <w:t xml:space="preserve">providers including: </w:t>
            </w:r>
          </w:p>
          <w:p w14:paraId="0F4998A9" w14:textId="77777777" w:rsidR="009042DA" w:rsidRPr="005E4A52" w:rsidRDefault="009042DA" w:rsidP="0057609F">
            <w:pPr>
              <w:pStyle w:val="ListParagraph"/>
              <w:numPr>
                <w:ilvl w:val="0"/>
                <w:numId w:val="24"/>
              </w:numPr>
              <w:spacing w:after="240"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5E4A52">
              <w:rPr>
                <w:rFonts w:eastAsia="Calibri" w:cs="Calibri"/>
              </w:rPr>
              <w:t>Self-insured licensees.</w:t>
            </w:r>
          </w:p>
          <w:p w14:paraId="15723462" w14:textId="4A72BC23" w:rsidR="009042DA" w:rsidRPr="005E4A52" w:rsidRDefault="009042DA" w:rsidP="0057609F">
            <w:pPr>
              <w:pStyle w:val="ListParagraph"/>
              <w:numPr>
                <w:ilvl w:val="0"/>
                <w:numId w:val="24"/>
              </w:numPr>
              <w:spacing w:after="240"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5E4A52">
              <w:rPr>
                <w:rFonts w:eastAsia="Calibri" w:cs="Calibri"/>
              </w:rPr>
              <w:t xml:space="preserve">Rehabilitation authorities. </w:t>
            </w:r>
          </w:p>
          <w:p w14:paraId="595054CA" w14:textId="77777777" w:rsidR="009042DA" w:rsidRPr="005E4A52" w:rsidRDefault="009042DA" w:rsidP="0057609F">
            <w:pPr>
              <w:pStyle w:val="ListParagraph"/>
              <w:numPr>
                <w:ilvl w:val="0"/>
                <w:numId w:val="24"/>
              </w:numPr>
              <w:spacing w:after="240"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5E4A52">
              <w:rPr>
                <w:rFonts w:eastAsia="Calibri" w:cs="Calibri"/>
              </w:rPr>
              <w:t xml:space="preserve">Workplace rehabilitation providers. </w:t>
            </w:r>
          </w:p>
          <w:p w14:paraId="79D1A445" w14:textId="77777777" w:rsidR="009042DA" w:rsidRPr="005E4A52" w:rsidRDefault="009042DA" w:rsidP="0057609F">
            <w:pPr>
              <w:pStyle w:val="ListParagraph"/>
              <w:numPr>
                <w:ilvl w:val="0"/>
                <w:numId w:val="24"/>
              </w:numPr>
              <w:spacing w:after="240" w:line="240" w:lineRule="auto"/>
              <w:cnfStyle w:val="000000000000" w:firstRow="0" w:lastRow="0" w:firstColumn="0" w:lastColumn="0" w:oddVBand="0" w:evenVBand="0" w:oddHBand="0" w:evenHBand="0" w:firstRowFirstColumn="0" w:firstRowLastColumn="0" w:lastRowFirstColumn="0" w:lastRowLastColumn="0"/>
            </w:pPr>
            <w:r w:rsidRPr="005E4A52">
              <w:rPr>
                <w:rFonts w:eastAsia="Calibri" w:cs="Calibri"/>
              </w:rPr>
              <w:t xml:space="preserve">Other provider groups including medical practitioners, allied health professionals, attendant care and household service providers and pharmacists. </w:t>
            </w:r>
          </w:p>
        </w:tc>
      </w:tr>
      <w:tr w:rsidR="009042DA" w:rsidRPr="005E4A52" w14:paraId="25952646" w14:textId="77777777" w:rsidTr="48DACCFA">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9F6"/>
          </w:tcPr>
          <w:p w14:paraId="2D4F9419" w14:textId="77777777" w:rsidR="009042DA" w:rsidRPr="005E4A52" w:rsidRDefault="009042DA" w:rsidP="0057609F">
            <w:pPr>
              <w:spacing w:after="120"/>
              <w:rPr>
                <w:color w:val="auto"/>
              </w:rPr>
            </w:pPr>
            <w:r w:rsidRPr="005E4A52">
              <w:rPr>
                <w:color w:val="auto"/>
              </w:rPr>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4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0F156A0" w14:textId="67E1975C" w:rsidR="009042DA" w:rsidRPr="005E4A52" w:rsidRDefault="009042DA" w:rsidP="0057609F">
            <w:pPr>
              <w:cnfStyle w:val="000000100000" w:firstRow="0" w:lastRow="0" w:firstColumn="0" w:lastColumn="0" w:oddVBand="0" w:evenVBand="0" w:oddHBand="1" w:evenHBand="0" w:firstRowFirstColumn="0" w:firstRowLastColumn="0" w:lastRowFirstColumn="0" w:lastRowLastColumn="0"/>
            </w:pPr>
            <w:r w:rsidRPr="005E4A52">
              <w:t xml:space="preserve">Term of reference 3 in relation to the coverage of self-insured licensees. </w:t>
            </w:r>
          </w:p>
        </w:tc>
      </w:tr>
      <w:tr w:rsidR="009042DA" w:rsidRPr="005E4A52" w14:paraId="56142458" w14:textId="77777777" w:rsidTr="48DACCFA">
        <w:tblPrEx>
          <w:jc w:val="left"/>
        </w:tblPrEx>
        <w:tc>
          <w:tcPr>
            <w:cnfStyle w:val="001000000000" w:firstRow="0" w:lastRow="0" w:firstColumn="1" w:lastColumn="0" w:oddVBand="0" w:evenVBand="0" w:oddHBand="0" w:evenHBand="0" w:firstRowFirstColumn="0" w:firstRowLastColumn="0" w:lastRowFirstColumn="0" w:lastRowLastColumn="0"/>
            <w:tcW w:w="148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9F6"/>
          </w:tcPr>
          <w:p w14:paraId="65E9FF5A" w14:textId="77777777" w:rsidR="009042DA" w:rsidRPr="005E4A52" w:rsidRDefault="009042DA" w:rsidP="0057609F">
            <w:pPr>
              <w:spacing w:after="120"/>
              <w:rPr>
                <w:color w:val="auto"/>
              </w:rPr>
            </w:pPr>
            <w:r w:rsidRPr="005E4A52">
              <w:rPr>
                <w:color w:val="auto"/>
              </w:rPr>
              <w:t xml:space="preserve">Questions </w:t>
            </w:r>
          </w:p>
        </w:tc>
        <w:tc>
          <w:tcPr>
            <w:tcW w:w="84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5CF61B2D" w14:textId="33882ABA" w:rsidR="009042DA" w:rsidRPr="005E4A52" w:rsidRDefault="009042DA" w:rsidP="0057609F">
            <w:pPr>
              <w:pStyle w:val="ListParagraph"/>
              <w:numPr>
                <w:ilvl w:val="0"/>
                <w:numId w:val="11"/>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Does the SRC Act suitably define the roles and responsibilities of: </w:t>
            </w:r>
          </w:p>
          <w:p w14:paraId="687D745F" w14:textId="77777777" w:rsidR="009042DA" w:rsidRPr="005E4A52" w:rsidRDefault="009042DA" w:rsidP="0057609F">
            <w:pPr>
              <w:pStyle w:val="ListParagraph"/>
              <w:numPr>
                <w:ilvl w:val="0"/>
                <w:numId w:val="32"/>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Comcare? </w:t>
            </w:r>
          </w:p>
          <w:p w14:paraId="2FE65759" w14:textId="024A65F8" w:rsidR="009042DA" w:rsidRPr="005E4A52" w:rsidRDefault="009042DA" w:rsidP="0057609F">
            <w:pPr>
              <w:pStyle w:val="ListParagraph"/>
              <w:numPr>
                <w:ilvl w:val="0"/>
                <w:numId w:val="32"/>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SRCC? </w:t>
            </w:r>
          </w:p>
          <w:p w14:paraId="32B1CE52" w14:textId="5A846212" w:rsidR="009042DA" w:rsidRPr="005E4A52" w:rsidRDefault="009042DA" w:rsidP="0057609F">
            <w:pPr>
              <w:pStyle w:val="ListParagraph"/>
              <w:numPr>
                <w:ilvl w:val="0"/>
                <w:numId w:val="11"/>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What governance framework is needed to provide high-level oversight of Comcare? </w:t>
            </w:r>
            <w:r w:rsidRPr="005E4A52" w:rsidDel="00422DB5">
              <w:rPr>
                <w:rStyle w:val="normaltextrun"/>
                <w:rFonts w:eastAsiaTheme="majorEastAsia" w:cstheme="minorHAnsi"/>
              </w:rPr>
              <w:t xml:space="preserve"> </w:t>
            </w:r>
            <w:r w:rsidRPr="005E4A52">
              <w:rPr>
                <w:rStyle w:val="normaltextrun"/>
                <w:rFonts w:eastAsiaTheme="majorEastAsia" w:cstheme="minorHAnsi"/>
              </w:rPr>
              <w:t>For example, a governing or advisory board</w:t>
            </w:r>
            <w:r w:rsidR="00C7717A" w:rsidRPr="005E4A52">
              <w:rPr>
                <w:rStyle w:val="normaltextrun"/>
                <w:rFonts w:eastAsiaTheme="majorEastAsia" w:cstheme="minorHAnsi"/>
              </w:rPr>
              <w:t>?</w:t>
            </w:r>
            <w:r w:rsidRPr="005E4A52">
              <w:rPr>
                <w:rStyle w:val="normaltextrun"/>
                <w:rFonts w:eastAsiaTheme="majorEastAsia" w:cstheme="minorHAnsi"/>
              </w:rPr>
              <w:t xml:space="preserve"> What requirements should apply to any members of such a group, for example relevant expertise or representation or both</w:t>
            </w:r>
            <w:r w:rsidR="00C7717A" w:rsidRPr="005E4A52">
              <w:rPr>
                <w:rStyle w:val="normaltextrun"/>
                <w:rFonts w:eastAsiaTheme="majorEastAsia" w:cstheme="minorHAnsi"/>
              </w:rPr>
              <w:t>?</w:t>
            </w:r>
          </w:p>
          <w:p w14:paraId="6A44E339" w14:textId="77777777" w:rsidR="009042DA" w:rsidRPr="005E4A52" w:rsidRDefault="009042DA" w:rsidP="0057609F">
            <w:pPr>
              <w:pStyle w:val="ListParagraph"/>
              <w:numPr>
                <w:ilvl w:val="0"/>
                <w:numId w:val="11"/>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What changes are required to ensure the SRCC has the powers and responsibilities to effectively regulate self-insurance licensees and the public sector?  </w:t>
            </w:r>
          </w:p>
          <w:p w14:paraId="6FCDEDD3" w14:textId="3E1C1894" w:rsidR="009042DA" w:rsidRPr="005E4A52" w:rsidRDefault="009042DA" w:rsidP="0057609F">
            <w:pPr>
              <w:pStyle w:val="ListParagraph"/>
              <w:numPr>
                <w:ilvl w:val="0"/>
                <w:numId w:val="11"/>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Does the existing framework provide appropriate oversight and monitoring, compliance and reporting arrangements for: </w:t>
            </w:r>
          </w:p>
          <w:p w14:paraId="4A29BBFA" w14:textId="77777777" w:rsidR="009042DA" w:rsidRDefault="009042DA" w:rsidP="0057609F">
            <w:pPr>
              <w:pStyle w:val="ListParagraph"/>
              <w:numPr>
                <w:ilvl w:val="0"/>
                <w:numId w:val="33"/>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Comcare?</w:t>
            </w:r>
          </w:p>
          <w:p w14:paraId="63093DBA" w14:textId="412EBD98" w:rsidR="00252CD8" w:rsidRPr="005E4A52" w:rsidRDefault="00C02A37" w:rsidP="0057609F">
            <w:pPr>
              <w:pStyle w:val="ListParagraph"/>
              <w:numPr>
                <w:ilvl w:val="0"/>
                <w:numId w:val="33"/>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Pr>
                <w:rStyle w:val="normaltextrun"/>
                <w:rFonts w:eastAsiaTheme="majorEastAsia" w:cstheme="minorHAnsi"/>
              </w:rPr>
              <w:t xml:space="preserve">Self-insured licensees </w:t>
            </w:r>
          </w:p>
          <w:p w14:paraId="3E1D3745" w14:textId="5539087E" w:rsidR="009042DA" w:rsidRPr="005E4A52" w:rsidRDefault="009042DA" w:rsidP="0057609F">
            <w:pPr>
              <w:pStyle w:val="ListParagraph"/>
              <w:numPr>
                <w:ilvl w:val="0"/>
                <w:numId w:val="33"/>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Delegated claims management arrangements</w:t>
            </w:r>
            <w:r w:rsidR="00DF7DE0">
              <w:rPr>
                <w:rStyle w:val="normaltextrun"/>
                <w:rFonts w:eastAsiaTheme="majorEastAsia" w:cstheme="minorHAnsi"/>
              </w:rPr>
              <w:t xml:space="preserve"> (see 3.7)</w:t>
            </w:r>
            <w:r w:rsidRPr="005E4A52">
              <w:rPr>
                <w:rStyle w:val="normaltextrun"/>
                <w:rFonts w:eastAsiaTheme="majorEastAsia" w:cstheme="minorHAnsi"/>
              </w:rPr>
              <w:t>?</w:t>
            </w:r>
          </w:p>
          <w:p w14:paraId="01DE168E" w14:textId="77777777" w:rsidR="009042DA" w:rsidRPr="005E4A52" w:rsidRDefault="009042DA" w:rsidP="0057609F">
            <w:pPr>
              <w:pStyle w:val="ListParagraph"/>
              <w:numPr>
                <w:ilvl w:val="0"/>
                <w:numId w:val="33"/>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Rehabilitation authorities?</w:t>
            </w:r>
          </w:p>
          <w:p w14:paraId="4013F9D0" w14:textId="77777777" w:rsidR="009042DA" w:rsidRPr="005E4A52" w:rsidRDefault="009042DA" w:rsidP="0057609F">
            <w:pPr>
              <w:pStyle w:val="ListParagraph"/>
              <w:numPr>
                <w:ilvl w:val="0"/>
                <w:numId w:val="33"/>
              </w:numPr>
              <w:spacing w:after="24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Workplace rehabilitation and other service providers?</w:t>
            </w:r>
          </w:p>
          <w:p w14:paraId="59636B31" w14:textId="07067334" w:rsidR="003A00EC" w:rsidRPr="005E4A52" w:rsidRDefault="009042DA" w:rsidP="003A00EC">
            <w:pPr>
              <w:pStyle w:val="ListParagraph"/>
              <w:numPr>
                <w:ilvl w:val="0"/>
                <w:numId w:val="11"/>
              </w:numPr>
              <w:spacing w:after="240" w:line="240" w:lineRule="auto"/>
              <w:cnfStyle w:val="000000000000" w:firstRow="0" w:lastRow="0" w:firstColumn="0" w:lastColumn="0" w:oddVBand="0" w:evenVBand="0" w:oddHBand="0" w:evenHBand="0" w:firstRowFirstColumn="0" w:firstRowLastColumn="0" w:lastRowFirstColumn="0" w:lastRowLastColumn="0"/>
            </w:pPr>
            <w:r w:rsidRPr="003A00EC">
              <w:rPr>
                <w:rStyle w:val="normaltextrun"/>
                <w:rFonts w:eastAsiaTheme="majorEastAsia" w:cstheme="minorHAnsi"/>
              </w:rPr>
              <w:t>Are the Hawke and Hanks Review recommendations still relevant for rehabilitation governance including introducing an auditing program for rehabilitation authorities; creating a return-to-work inspectorate; penalties for failures to meet rehabilitation responsibilities under the scheme; and the ability to approve or accredit all providers operating in the scheme?</w:t>
            </w:r>
          </w:p>
        </w:tc>
      </w:tr>
    </w:tbl>
    <w:p w14:paraId="1D7E4777" w14:textId="77777777" w:rsidR="00FC10F8" w:rsidRDefault="00FC10F8" w:rsidP="0015289B">
      <w:pPr>
        <w:pStyle w:val="ListParagraph"/>
        <w:numPr>
          <w:ilvl w:val="0"/>
          <w:numId w:val="8"/>
        </w:numPr>
        <w:spacing w:before="120" w:after="120" w:line="240" w:lineRule="auto"/>
        <w:ind w:left="714" w:hanging="357"/>
        <w:rPr>
          <w:b/>
          <w:bCs/>
          <w:color w:val="FFFFFF" w:themeColor="background1"/>
          <w:sz w:val="24"/>
          <w:szCs w:val="24"/>
        </w:rPr>
        <w:sectPr w:rsidR="00FC10F8" w:rsidSect="00724E79">
          <w:pgSz w:w="11906" w:h="16838"/>
          <w:pgMar w:top="1418" w:right="1418" w:bottom="1418" w:left="1418" w:header="0" w:footer="454" w:gutter="0"/>
          <w:cols w:space="708"/>
          <w:docGrid w:linePitch="360"/>
        </w:sectPr>
      </w:pPr>
    </w:p>
    <w:tbl>
      <w:tblPr>
        <w:tblStyle w:val="GridTable5Dark-Accent3"/>
        <w:tblW w:w="10359" w:type="dxa"/>
        <w:tblLook w:val="04A0" w:firstRow="1" w:lastRow="0" w:firstColumn="1" w:lastColumn="0" w:noHBand="0" w:noVBand="1"/>
      </w:tblPr>
      <w:tblGrid>
        <w:gridCol w:w="1560"/>
        <w:gridCol w:w="8799"/>
      </w:tblGrid>
      <w:tr w:rsidR="009042DA" w:rsidRPr="005E4A52" w14:paraId="24917AE3" w14:textId="77777777" w:rsidTr="00FC10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92050" w:themeFill="text1" w:themeFillShade="BF"/>
          </w:tcPr>
          <w:p w14:paraId="5DC3333C" w14:textId="5241863F" w:rsidR="0015289B" w:rsidRPr="0015289B" w:rsidRDefault="009042DA" w:rsidP="0015289B">
            <w:pPr>
              <w:pStyle w:val="ListParagraph"/>
              <w:numPr>
                <w:ilvl w:val="0"/>
                <w:numId w:val="8"/>
              </w:numPr>
              <w:spacing w:before="120" w:after="120" w:line="240" w:lineRule="auto"/>
              <w:ind w:left="714" w:hanging="357"/>
              <w:rPr>
                <w:rStyle w:val="normaltextrun"/>
                <w:rFonts w:eastAsiaTheme="majorEastAsia" w:cstheme="minorHAnsi"/>
              </w:rPr>
            </w:pPr>
            <w:r w:rsidRPr="005E4A52">
              <w:rPr>
                <w:sz w:val="24"/>
                <w:szCs w:val="24"/>
              </w:rPr>
              <w:lastRenderedPageBreak/>
              <w:t>Financial management and viability</w:t>
            </w:r>
          </w:p>
        </w:tc>
      </w:tr>
      <w:tr w:rsidR="009042DA" w:rsidRPr="005E4A52" w14:paraId="69CCE248" w14:textId="77777777" w:rsidTr="00FC10F8">
        <w:tblPrEx>
          <w:jc w:val="left"/>
        </w:tblPrEx>
        <w:trPr>
          <w:cnfStyle w:val="000000100000" w:firstRow="0" w:lastRow="0" w:firstColumn="0" w:lastColumn="0" w:oddVBand="0" w:evenVBand="0" w:oddHBand="1" w:evenHBand="0" w:firstRowFirstColumn="0" w:firstRowLastColumn="0" w:lastRowFirstColumn="0" w:lastRowLastColumn="0"/>
          <w:trHeight w:val="6360"/>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7C241421" w14:textId="77777777" w:rsidR="009042DA" w:rsidRPr="005E4A52" w:rsidRDefault="009042DA" w:rsidP="0057609F">
            <w:pPr>
              <w:spacing w:after="120"/>
            </w:pPr>
            <w:r w:rsidRPr="005E4A52">
              <w:rPr>
                <w:color w:val="auto"/>
              </w:rPr>
              <w:t>Why important</w:t>
            </w:r>
          </w:p>
        </w:tc>
        <w:tc>
          <w:tcPr>
            <w:tcW w:w="87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F2522A3" w14:textId="77777777" w:rsidR="009042DA" w:rsidRPr="005E4A52" w:rsidRDefault="009042DA" w:rsidP="0057609F">
            <w:pPr>
              <w:spacing w:after="120"/>
              <w:cnfStyle w:val="000000100000" w:firstRow="0" w:lastRow="0" w:firstColumn="0" w:lastColumn="0" w:oddVBand="0" w:evenVBand="0" w:oddHBand="1" w:evenHBand="0" w:firstRowFirstColumn="0" w:firstRowLastColumn="0" w:lastRowFirstColumn="0" w:lastRowLastColumn="0"/>
            </w:pPr>
            <w:r w:rsidRPr="005E4A52">
              <w:t>A key objective of a best practice scheme is to ensure that premiums charged to employers are affordable, reflect risk and can fully fund the liabilities in the scheme.</w:t>
            </w:r>
          </w:p>
          <w:p w14:paraId="1EAE8961" w14:textId="77777777" w:rsidR="009042DA" w:rsidRPr="005E4A52" w:rsidRDefault="009042DA" w:rsidP="0057609F">
            <w:pPr>
              <w:spacing w:after="120"/>
              <w:cnfStyle w:val="000000100000" w:firstRow="0" w:lastRow="0" w:firstColumn="0" w:lastColumn="0" w:oddVBand="0" w:evenVBand="0" w:oddHBand="1" w:evenHBand="0" w:firstRowFirstColumn="0" w:firstRowLastColumn="0" w:lastRowFirstColumn="0" w:lastRowLastColumn="0"/>
            </w:pPr>
            <w:r w:rsidRPr="005E4A52">
              <w:t>As a corporate Commonwealth entity under the</w:t>
            </w:r>
            <w:r w:rsidRPr="005E4A52">
              <w:rPr>
                <w:i/>
                <w:iCs/>
              </w:rPr>
              <w:t xml:space="preserve"> Public Governance, Performance and Accountability Act 2013 </w:t>
            </w:r>
            <w:r w:rsidRPr="005E4A52">
              <w:t>Comcare is financially separate from the Commonwealth. The SRC Act authorises Comcare to manage the Comcare scheme so that the scheme is financially viable and sustainable.</w:t>
            </w:r>
          </w:p>
          <w:p w14:paraId="28D910A0" w14:textId="77777777" w:rsidR="009042DA" w:rsidRDefault="009042DA" w:rsidP="0057609F">
            <w:pPr>
              <w:spacing w:after="120"/>
              <w:cnfStyle w:val="000000100000" w:firstRow="0" w:lastRow="0" w:firstColumn="0" w:lastColumn="0" w:oddVBand="0" w:evenVBand="0" w:oddHBand="1" w:evenHBand="0" w:firstRowFirstColumn="0" w:firstRowLastColumn="0" w:lastRowFirstColumn="0" w:lastRowLastColumn="0"/>
            </w:pPr>
            <w:r w:rsidRPr="005E4A52">
              <w:t xml:space="preserve">The Comcare scheme generally operates on a user-funded model, through the charging of premiums to Australian Government agencies, by regulatory contributions, licence fees, provider approval fees and through charging for other services, such as training courses. </w:t>
            </w:r>
          </w:p>
          <w:p w14:paraId="31C050CD" w14:textId="4FC39143" w:rsidR="009042DA" w:rsidRPr="005E4A52" w:rsidRDefault="007745ED" w:rsidP="00F00396">
            <w:pPr>
              <w:spacing w:after="80"/>
              <w:cnfStyle w:val="000000100000" w:firstRow="0" w:lastRow="0" w:firstColumn="0" w:lastColumn="0" w:oddVBand="0" w:evenVBand="0" w:oddHBand="1" w:evenHBand="0" w:firstRowFirstColumn="0" w:firstRowLastColumn="0" w:lastRowFirstColumn="0" w:lastRowLastColumn="0"/>
            </w:pPr>
            <w:r w:rsidRPr="005E4A52">
              <w:rPr>
                <w:rStyle w:val="normaltextrun"/>
                <w:rFonts w:eastAsiaTheme="majorEastAsia"/>
              </w:rPr>
              <w:t>Comcare is responsible for the claims liabilities and claims administration costs of Australian Government agencies.</w:t>
            </w:r>
            <w:r w:rsidRPr="005E4A52">
              <w:rPr>
                <w:rStyle w:val="FootnoteReference"/>
                <w:rFonts w:eastAsiaTheme="majorEastAsia"/>
              </w:rPr>
              <w:footnoteReference w:id="29"/>
            </w:r>
            <w:r w:rsidRPr="005E4A52">
              <w:rPr>
                <w:rStyle w:val="normaltextrun"/>
                <w:rFonts w:eastAsiaTheme="majorEastAsia"/>
              </w:rPr>
              <w:t xml:space="preserve"> Comcare must pay </w:t>
            </w:r>
            <w:r w:rsidRPr="005E4A52">
              <w:t>all compensation liabilities, damages and expenses from Comcare</w:t>
            </w:r>
            <w:r>
              <w:t xml:space="preserve"> </w:t>
            </w:r>
            <w:r w:rsidRPr="005E4A52">
              <w:t>retained</w:t>
            </w:r>
            <w:r w:rsidRPr="005E4A52">
              <w:noBreakHyphen/>
              <w:t xml:space="preserve"> funds.</w:t>
            </w:r>
            <w:r w:rsidRPr="005E4A52">
              <w:rPr>
                <w:rStyle w:val="FootnoteReference"/>
              </w:rPr>
              <w:footnoteReference w:id="30"/>
            </w:r>
            <w:r w:rsidRPr="005E4A52">
              <w:t xml:space="preserve"> If there are insufficient Comcare-retained funds, costs can be met by appropriation from a Consolidated Revenue Fund up to a prescribed maximum amount.</w:t>
            </w:r>
            <w:r w:rsidR="00F00396">
              <w:t xml:space="preserve"> </w:t>
            </w:r>
            <w:r w:rsidR="009042DA" w:rsidRPr="005E4A52">
              <w:t>Since the Hawke Review in 2013 the financial performance of the Comcare scheme has shown significant improvement:</w:t>
            </w:r>
          </w:p>
          <w:p w14:paraId="39E89487" w14:textId="77777777" w:rsidR="009042DA" w:rsidRPr="005E4A52" w:rsidRDefault="009042DA" w:rsidP="0068224E">
            <w:pPr>
              <w:pStyle w:val="ListParagraph"/>
              <w:numPr>
                <w:ilvl w:val="0"/>
                <w:numId w:val="25"/>
              </w:numPr>
              <w:spacing w:after="80" w:line="240" w:lineRule="auto"/>
              <w:ind w:left="239" w:hanging="239"/>
              <w:cnfStyle w:val="000000100000" w:firstRow="0" w:lastRow="0" w:firstColumn="0" w:lastColumn="0" w:oddVBand="0" w:evenVBand="0" w:oddHBand="1" w:evenHBand="0" w:firstRowFirstColumn="0" w:firstRowLastColumn="0" w:lastRowFirstColumn="0" w:lastRowLastColumn="0"/>
            </w:pPr>
            <w:r w:rsidRPr="005E4A52">
              <w:t>The standardised premium rate for 2021-22 was 0.76% of payroll - the lowest of any Australian jurisdiction with the average being 1.30%.</w:t>
            </w:r>
            <w:r w:rsidRPr="005E4A52">
              <w:rPr>
                <w:rStyle w:val="FootnoteReference"/>
              </w:rPr>
              <w:footnoteReference w:id="31"/>
            </w:r>
            <w:r w:rsidRPr="005E4A52">
              <w:t xml:space="preserve">  </w:t>
            </w:r>
          </w:p>
          <w:p w14:paraId="2A96C088" w14:textId="77777777" w:rsidR="009042DA" w:rsidRPr="005E4A52" w:rsidRDefault="009042DA" w:rsidP="0068224E">
            <w:pPr>
              <w:pStyle w:val="ListParagraph"/>
              <w:numPr>
                <w:ilvl w:val="0"/>
                <w:numId w:val="25"/>
              </w:numPr>
              <w:spacing w:after="80" w:line="240" w:lineRule="auto"/>
              <w:ind w:left="239" w:hanging="239"/>
              <w:cnfStyle w:val="000000100000" w:firstRow="0" w:lastRow="0" w:firstColumn="0" w:lastColumn="0" w:oddVBand="0" w:evenVBand="0" w:oddHBand="1" w:evenHBand="0" w:firstRowFirstColumn="0" w:firstRowLastColumn="0" w:lastRowFirstColumn="0" w:lastRowLastColumn="0"/>
            </w:pPr>
            <w:r w:rsidRPr="005E4A52">
              <w:t>On 30 June 2023, the scheme had liabilities of $1,698 million and a funding ratio of 117%</w:t>
            </w:r>
            <w:r w:rsidRPr="005E4A52">
              <w:rPr>
                <w:rStyle w:val="FootnoteReference"/>
              </w:rPr>
              <w:footnoteReference w:id="32"/>
            </w:r>
            <w:r w:rsidRPr="005E4A52">
              <w:t xml:space="preserve"> - compared to 65% as </w:t>
            </w:r>
            <w:proofErr w:type="gramStart"/>
            <w:r w:rsidRPr="005E4A52">
              <w:t>at</w:t>
            </w:r>
            <w:proofErr w:type="gramEnd"/>
            <w:r w:rsidRPr="005E4A52">
              <w:t xml:space="preserve"> 30 June 2012.</w:t>
            </w:r>
          </w:p>
          <w:p w14:paraId="7464F1CD" w14:textId="3331E0D5" w:rsidR="009042DA" w:rsidRPr="005E4A52" w:rsidRDefault="009042DA" w:rsidP="0057609F">
            <w:pPr>
              <w:spacing w:after="120"/>
              <w:cnfStyle w:val="000000100000" w:firstRow="0" w:lastRow="0" w:firstColumn="0" w:lastColumn="0" w:oddVBand="0" w:evenVBand="0" w:oddHBand="1" w:evenHBand="0" w:firstRowFirstColumn="0" w:firstRowLastColumn="0" w:lastRowFirstColumn="0" w:lastRowLastColumn="0"/>
            </w:pPr>
            <w:r w:rsidRPr="005E4A52">
              <w:t xml:space="preserve">The Comcare scheme was the only workers’ compensation jurisdiction to experience a decrease in scheme costs between 2016-17 to 2020-21 (down 18%). </w:t>
            </w:r>
            <w:r w:rsidR="001E61AF" w:rsidRPr="005E4A52">
              <w:t>During these 5 years, the Comcare scheme recorded a decrease in all the scheme expenditure categories except for Other Administration.</w:t>
            </w:r>
            <w:r w:rsidR="001E61AF" w:rsidRPr="005E4A52">
              <w:rPr>
                <w:rStyle w:val="FootnoteReference"/>
              </w:rPr>
              <w:footnoteReference w:id="33"/>
            </w:r>
          </w:p>
          <w:p w14:paraId="4C3D8B3F" w14:textId="77777777" w:rsidR="009042DA" w:rsidRDefault="009042DA" w:rsidP="0057609F">
            <w:pPr>
              <w:spacing w:after="120"/>
              <w:cnfStyle w:val="000000100000" w:firstRow="0" w:lastRow="0" w:firstColumn="0" w:lastColumn="0" w:oddVBand="0" w:evenVBand="0" w:oddHBand="1" w:evenHBand="0" w:firstRowFirstColumn="0" w:firstRowLastColumn="0" w:lastRowFirstColumn="0" w:lastRowLastColumn="0"/>
            </w:pPr>
            <w:r w:rsidRPr="005E4A52">
              <w:t>In 2024, the total claims cost for the scheme was $416.2 million. Total claims costs have increased in recent years due to the time that ill and injured employees are away from work and the costs of psychological injury.</w:t>
            </w:r>
            <w:r w:rsidRPr="005E4A52">
              <w:rPr>
                <w:rStyle w:val="FootnoteReference"/>
              </w:rPr>
              <w:footnoteReference w:id="34"/>
            </w:r>
          </w:p>
          <w:p w14:paraId="2EF4361E" w14:textId="02F8339B" w:rsidR="00DD5BCB" w:rsidRPr="005E4A52" w:rsidRDefault="00DD5BCB" w:rsidP="0057609F">
            <w:pPr>
              <w:spacing w:after="120"/>
              <w:cnfStyle w:val="000000100000" w:firstRow="0" w:lastRow="0" w:firstColumn="0" w:lastColumn="0" w:oddVBand="0" w:evenVBand="0" w:oddHBand="1" w:evenHBand="0" w:firstRowFirstColumn="0" w:firstRowLastColumn="0" w:lastRowFirstColumn="0" w:lastRowLastColumn="0"/>
            </w:pPr>
            <w:r w:rsidRPr="005E4A52">
              <w:t>Self-insured licensees under the SRC Act are subject to annual licence fees.</w:t>
            </w:r>
          </w:p>
        </w:tc>
      </w:tr>
      <w:tr w:rsidR="009042DA" w:rsidRPr="005E4A52" w14:paraId="5FAD55E7" w14:textId="77777777" w:rsidTr="00FC10F8">
        <w:tblPrEx>
          <w:jc w:val="left"/>
        </w:tblPrEx>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7411C5A3" w14:textId="77777777" w:rsidR="009042DA" w:rsidRPr="005E4A52" w:rsidRDefault="009042DA" w:rsidP="0057609F">
            <w:pPr>
              <w:spacing w:after="120"/>
              <w:rPr>
                <w:color w:val="auto"/>
              </w:rPr>
            </w:pPr>
            <w:r w:rsidRPr="005E4A52">
              <w:rPr>
                <w:color w:val="auto"/>
              </w:rPr>
              <w:t>Issues to be considered</w:t>
            </w:r>
          </w:p>
        </w:tc>
        <w:tc>
          <w:tcPr>
            <w:tcW w:w="87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8D7E41D" w14:textId="77777777" w:rsidR="009042DA" w:rsidRPr="005E4A52" w:rsidRDefault="009042DA" w:rsidP="0068224E">
            <w:pPr>
              <w:pStyle w:val="ListParagraph"/>
              <w:numPr>
                <w:ilvl w:val="0"/>
                <w:numId w:val="25"/>
              </w:numPr>
              <w:spacing w:after="120" w:line="240" w:lineRule="auto"/>
              <w:ind w:left="239" w:hanging="239"/>
              <w:cnfStyle w:val="000000000000" w:firstRow="0" w:lastRow="0" w:firstColumn="0" w:lastColumn="0" w:oddVBand="0" w:evenVBand="0" w:oddHBand="0" w:evenHBand="0" w:firstRowFirstColumn="0" w:firstRowLastColumn="0" w:lastRowFirstColumn="0" w:lastRowLastColumn="0"/>
            </w:pPr>
            <w:r w:rsidRPr="005E4A52">
              <w:t xml:space="preserve">How best to ensure the Comcare scheme can meet its projected claims liability. </w:t>
            </w:r>
          </w:p>
          <w:p w14:paraId="3D572DF0" w14:textId="77777777" w:rsidR="009042DA" w:rsidRPr="005E4A52" w:rsidRDefault="009042DA" w:rsidP="0068224E">
            <w:pPr>
              <w:pStyle w:val="ListParagraph"/>
              <w:numPr>
                <w:ilvl w:val="0"/>
                <w:numId w:val="25"/>
              </w:numPr>
              <w:spacing w:after="120" w:line="240" w:lineRule="auto"/>
              <w:ind w:left="239" w:hanging="239"/>
              <w:cnfStyle w:val="000000000000" w:firstRow="0" w:lastRow="0" w:firstColumn="0" w:lastColumn="0" w:oddVBand="0" w:evenVBand="0" w:oddHBand="0" w:evenHBand="0" w:firstRowFirstColumn="0" w:firstRowLastColumn="0" w:lastRowFirstColumn="0" w:lastRowLastColumn="0"/>
            </w:pPr>
            <w:r w:rsidRPr="005E4A52">
              <w:t xml:space="preserve">The reasons for the Comcare scheme’s financial improvements since the Hanks and Hawkes reviews. </w:t>
            </w:r>
          </w:p>
          <w:p w14:paraId="548A1E43" w14:textId="77777777" w:rsidR="009042DA" w:rsidRPr="005E4A52" w:rsidRDefault="009042DA" w:rsidP="0068224E">
            <w:pPr>
              <w:pStyle w:val="ListParagraph"/>
              <w:numPr>
                <w:ilvl w:val="0"/>
                <w:numId w:val="25"/>
              </w:numPr>
              <w:spacing w:after="120" w:line="240" w:lineRule="auto"/>
              <w:ind w:left="239" w:hanging="239"/>
              <w:cnfStyle w:val="000000000000" w:firstRow="0" w:lastRow="0" w:firstColumn="0" w:lastColumn="0" w:oddVBand="0" w:evenVBand="0" w:oddHBand="0" w:evenHBand="0" w:firstRowFirstColumn="0" w:firstRowLastColumn="0" w:lastRowFirstColumn="0" w:lastRowLastColumn="0"/>
            </w:pPr>
            <w:r w:rsidRPr="005E4A52">
              <w:t>The adequacy of the provisions in the SRC Act for the supervision of Comcare’s prudential management of premium payers (i.e. focus on financial stability and managing risks).</w:t>
            </w:r>
          </w:p>
          <w:p w14:paraId="51B7D485" w14:textId="3AF78600" w:rsidR="009042DA" w:rsidRPr="005E4A52" w:rsidRDefault="009042DA" w:rsidP="0068224E">
            <w:pPr>
              <w:pStyle w:val="ListParagraph"/>
              <w:numPr>
                <w:ilvl w:val="0"/>
                <w:numId w:val="25"/>
              </w:numPr>
              <w:spacing w:after="120" w:line="240" w:lineRule="auto"/>
              <w:ind w:left="239" w:hanging="239"/>
              <w:cnfStyle w:val="000000000000" w:firstRow="0" w:lastRow="0" w:firstColumn="0" w:lastColumn="0" w:oddVBand="0" w:evenVBand="0" w:oddHBand="0" w:evenHBand="0" w:firstRowFirstColumn="0" w:firstRowLastColumn="0" w:lastRowFirstColumn="0" w:lastRowLastColumn="0"/>
              <w:rPr>
                <w:rFonts w:eastAsiaTheme="majorEastAsia"/>
              </w:rPr>
            </w:pPr>
            <w:r w:rsidRPr="005E4A52">
              <w:t xml:space="preserve">How to ensure Comcare can fund proactive activities aimed at prevention to reduce </w:t>
            </w:r>
            <w:r w:rsidR="1E42B759">
              <w:t xml:space="preserve">injuries. </w:t>
            </w:r>
          </w:p>
          <w:p w14:paraId="1460C68A" w14:textId="0C1C96DE" w:rsidR="009042DA" w:rsidRPr="005E4A52" w:rsidRDefault="009042DA" w:rsidP="0057609F">
            <w:pPr>
              <w:pStyle w:val="ListParagraph"/>
              <w:numPr>
                <w:ilvl w:val="0"/>
                <w:numId w:val="25"/>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The transparency of the licence fee setting provision.</w:t>
            </w:r>
          </w:p>
        </w:tc>
      </w:tr>
      <w:tr w:rsidR="009042DA" w:rsidRPr="005E4A52" w14:paraId="1D5FFAAF" w14:textId="77777777" w:rsidTr="00FC10F8">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17C55A7C" w14:textId="77777777" w:rsidR="009042DA" w:rsidRPr="005E4A52" w:rsidRDefault="009042DA" w:rsidP="0057609F">
            <w:pPr>
              <w:spacing w:after="120"/>
              <w:rPr>
                <w:color w:val="auto"/>
              </w:rPr>
            </w:pPr>
            <w:r w:rsidRPr="005E4A52">
              <w:rPr>
                <w:color w:val="auto"/>
              </w:rPr>
              <w:lastRenderedPageBreak/>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7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92CF92D" w14:textId="184C3966" w:rsidR="009042DA" w:rsidRPr="005E4A52" w:rsidRDefault="009042DA" w:rsidP="00F00396">
            <w:pPr>
              <w:pStyle w:val="ListParagraph"/>
              <w:spacing w:after="80" w:line="240" w:lineRule="auto"/>
              <w:ind w:left="0"/>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t>Reducing the length of time ill and injured workers are off work and better management of psychological injury claims are dealt with under terms of reference 1 and 5.</w:t>
            </w:r>
          </w:p>
        </w:tc>
      </w:tr>
      <w:tr w:rsidR="009042DA" w:rsidRPr="005E4A52" w14:paraId="6DD5EBC8" w14:textId="77777777" w:rsidTr="00FC10F8">
        <w:tblPrEx>
          <w:jc w:val="left"/>
        </w:tblPrEx>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0620BC0F" w14:textId="77777777" w:rsidR="009042DA" w:rsidRPr="005E4A52" w:rsidRDefault="009042DA" w:rsidP="0057609F">
            <w:pPr>
              <w:spacing w:after="120"/>
              <w:rPr>
                <w:color w:val="auto"/>
              </w:rPr>
            </w:pPr>
            <w:r w:rsidRPr="005E4A52">
              <w:rPr>
                <w:color w:val="auto"/>
              </w:rPr>
              <w:t>Questions</w:t>
            </w:r>
          </w:p>
        </w:tc>
        <w:tc>
          <w:tcPr>
            <w:tcW w:w="87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0DB2C92" w14:textId="697E1B47" w:rsidR="009042DA" w:rsidRPr="005E4A52" w:rsidRDefault="009042DA" w:rsidP="00F00396">
            <w:pPr>
              <w:pStyle w:val="ListParagraph"/>
              <w:numPr>
                <w:ilvl w:val="0"/>
                <w:numId w:val="11"/>
              </w:numPr>
              <w:spacing w:after="8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What changes are required to the Comcare scheme to ensure future scheme financial sustainability? </w:t>
            </w:r>
          </w:p>
          <w:p w14:paraId="63499B74" w14:textId="663D2522" w:rsidR="009042DA" w:rsidRPr="005E4A52" w:rsidRDefault="009042DA" w:rsidP="00F00396">
            <w:pPr>
              <w:pStyle w:val="ListParagraph"/>
              <w:numPr>
                <w:ilvl w:val="0"/>
                <w:numId w:val="11"/>
              </w:numPr>
              <w:spacing w:after="8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Is the scheme’s approach to prudential management adequate for Comcare’s compensation liabilities? If not, what alternatives do you suggest?</w:t>
            </w:r>
          </w:p>
          <w:p w14:paraId="19DD96BF" w14:textId="77777777" w:rsidR="009042DA" w:rsidRPr="005E4A52" w:rsidRDefault="009042DA" w:rsidP="00F00396">
            <w:pPr>
              <w:pStyle w:val="ListParagraph"/>
              <w:numPr>
                <w:ilvl w:val="0"/>
                <w:numId w:val="11"/>
              </w:numPr>
              <w:spacing w:after="8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Should Comcare be able to access, invest and use money from premiums to fund proactive activities?</w:t>
            </w:r>
          </w:p>
          <w:p w14:paraId="64ECDC8D" w14:textId="77777777" w:rsidR="009042DA" w:rsidRPr="005E4A52" w:rsidRDefault="009042DA" w:rsidP="00F00396">
            <w:pPr>
              <w:pStyle w:val="ListParagraph"/>
              <w:numPr>
                <w:ilvl w:val="0"/>
                <w:numId w:val="11"/>
              </w:numPr>
              <w:spacing w:after="8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Are changes required to the licence fee setting provisions under the SRC Act to allow for effective and efficient cost recovery? </w:t>
            </w:r>
          </w:p>
        </w:tc>
      </w:tr>
      <w:tr w:rsidR="009042DA" w:rsidRPr="005E4A52" w14:paraId="56A1D79F" w14:textId="77777777" w:rsidTr="00FC10F8">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9"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92050" w:themeFill="text1" w:themeFillShade="BF"/>
          </w:tcPr>
          <w:p w14:paraId="42C33A56" w14:textId="6535267F" w:rsidR="009042DA" w:rsidRPr="005E4A52" w:rsidRDefault="009042DA" w:rsidP="0057609F">
            <w:pPr>
              <w:pStyle w:val="ListParagraph"/>
              <w:numPr>
                <w:ilvl w:val="0"/>
                <w:numId w:val="8"/>
              </w:numPr>
              <w:spacing w:before="120" w:after="120" w:line="240" w:lineRule="auto"/>
              <w:ind w:left="714" w:hanging="357"/>
              <w:rPr>
                <w:rStyle w:val="normaltextrun"/>
                <w:rFonts w:eastAsiaTheme="majorEastAsia" w:cstheme="minorHAnsi"/>
              </w:rPr>
            </w:pPr>
            <w:r w:rsidRPr="005E4A52">
              <w:rPr>
                <w:sz w:val="24"/>
                <w:szCs w:val="24"/>
              </w:rPr>
              <w:t>Social partner involvement and tripartism</w:t>
            </w:r>
          </w:p>
        </w:tc>
      </w:tr>
      <w:tr w:rsidR="009042DA" w:rsidRPr="005E4A52" w14:paraId="3B07E2E8" w14:textId="77777777" w:rsidTr="00FC10F8">
        <w:tblPrEx>
          <w:jc w:val="left"/>
        </w:tblPrEx>
        <w:trPr>
          <w:trHeight w:val="5023"/>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19D9DB8F" w14:textId="77777777" w:rsidR="009042DA" w:rsidRPr="005E4A52" w:rsidRDefault="009042DA" w:rsidP="0057609F">
            <w:pPr>
              <w:spacing w:after="120"/>
            </w:pPr>
            <w:r w:rsidRPr="005E4A52">
              <w:rPr>
                <w:color w:val="auto"/>
              </w:rPr>
              <w:t>Why important</w:t>
            </w:r>
          </w:p>
        </w:tc>
        <w:tc>
          <w:tcPr>
            <w:tcW w:w="87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55C8CCE6" w14:textId="77777777" w:rsidR="009042DA" w:rsidRPr="005E4A52" w:rsidRDefault="009042DA" w:rsidP="00B2641B">
            <w:pPr>
              <w:spacing w:after="80"/>
              <w:cnfStyle w:val="000000000000" w:firstRow="0" w:lastRow="0" w:firstColumn="0" w:lastColumn="0" w:oddVBand="0" w:evenVBand="0" w:oddHBand="0" w:evenHBand="0" w:firstRowFirstColumn="0" w:firstRowLastColumn="0" w:lastRowFirstColumn="0" w:lastRowLastColumn="0"/>
              <w:rPr>
                <w:rFonts w:cstheme="minorHAnsi"/>
              </w:rPr>
            </w:pPr>
            <w:r w:rsidRPr="005E4A52">
              <w:rPr>
                <w:rFonts w:cstheme="minorHAnsi"/>
              </w:rPr>
              <w:t xml:space="preserve">Tripartism has been a feature of the Comcare scheme since its inception. When the Commission for the Safety, Rehabilitation and Compensation of Commonwealth Employees (known as ‘Comcare’) was first established it consisted of 3 members; the CEO and 2 commissioners – one representing </w:t>
            </w:r>
            <w:proofErr w:type="gramStart"/>
            <w:r w:rsidRPr="005E4A52">
              <w:rPr>
                <w:rFonts w:cstheme="minorHAnsi"/>
              </w:rPr>
              <w:t>employees</w:t>
            </w:r>
            <w:proofErr w:type="gramEnd"/>
            <w:r w:rsidRPr="005E4A52">
              <w:rPr>
                <w:rFonts w:cstheme="minorHAnsi"/>
              </w:rPr>
              <w:t xml:space="preserve"> and one the Commonwealth (i.e. employers). </w:t>
            </w:r>
          </w:p>
          <w:p w14:paraId="13696621" w14:textId="77777777" w:rsidR="009042DA" w:rsidRPr="005E4A52" w:rsidRDefault="009042DA" w:rsidP="00B2641B">
            <w:pPr>
              <w:spacing w:after="80"/>
              <w:cnfStyle w:val="000000000000" w:firstRow="0" w:lastRow="0" w:firstColumn="0" w:lastColumn="0" w:oddVBand="0" w:evenVBand="0" w:oddHBand="0" w:evenHBand="0" w:firstRowFirstColumn="0" w:firstRowLastColumn="0" w:lastRowFirstColumn="0" w:lastRowLastColumn="0"/>
              <w:rPr>
                <w:rFonts w:cstheme="minorHAnsi"/>
              </w:rPr>
            </w:pPr>
            <w:r w:rsidRPr="005E4A52">
              <w:rPr>
                <w:rFonts w:cstheme="minorHAnsi"/>
              </w:rPr>
              <w:t>Administrative restructuring of the Comcare scheme resulted i</w:t>
            </w:r>
            <w:r w:rsidRPr="005E4A52">
              <w:t xml:space="preserve">n </w:t>
            </w:r>
            <w:r w:rsidRPr="005E4A52">
              <w:rPr>
                <w:rFonts w:cstheme="minorHAnsi"/>
              </w:rPr>
              <w:t>Comcare b</w:t>
            </w:r>
            <w:r w:rsidRPr="005E4A52">
              <w:t xml:space="preserve">ecoming </w:t>
            </w:r>
            <w:r w:rsidRPr="005E4A52">
              <w:rPr>
                <w:rFonts w:cstheme="minorHAnsi"/>
              </w:rPr>
              <w:t>responsible f</w:t>
            </w:r>
            <w:r w:rsidRPr="005E4A52">
              <w:t xml:space="preserve">or </w:t>
            </w:r>
            <w:r w:rsidRPr="005E4A52">
              <w:rPr>
                <w:rFonts w:cstheme="minorHAnsi"/>
              </w:rPr>
              <w:t xml:space="preserve">claims management and the ‘Commission’ (which became known as the SRCC) was given a regulatory role in relation to Comcare and other relevant authorities. </w:t>
            </w:r>
          </w:p>
          <w:p w14:paraId="4D7FB9E8" w14:textId="5F5C4950" w:rsidR="009042DA" w:rsidRPr="005E4A52" w:rsidRDefault="009042DA" w:rsidP="00B2641B">
            <w:pPr>
              <w:spacing w:after="80"/>
              <w:cnfStyle w:val="000000000000" w:firstRow="0" w:lastRow="0" w:firstColumn="0" w:lastColumn="0" w:oddVBand="0" w:evenVBand="0" w:oddHBand="0" w:evenHBand="0" w:firstRowFirstColumn="0" w:firstRowLastColumn="0" w:lastRowFirstColumn="0" w:lastRowLastColumn="0"/>
              <w:rPr>
                <w:rFonts w:cstheme="minorHAnsi"/>
              </w:rPr>
            </w:pPr>
            <w:r w:rsidRPr="005E4A52">
              <w:t xml:space="preserve">As outlined above, the SRCC comprises up to 11 Commissioners. Membership includes representatives from unions (3 members); one self-insured licensee; the CEO of Safe Work Australia (SWA); one member each for the Commonwealth and Commonwealth authorities, the ACT Government, the Defence Force; 2 members with expertise relevant to the SRCC functions; and a chair. </w:t>
            </w:r>
            <w:r w:rsidRPr="005E4A52">
              <w:rPr>
                <w:rFonts w:cstheme="minorHAnsi"/>
              </w:rPr>
              <w:t>There are concerns about the effectiveness and appropriateness of the SRCC as a tripartite forum.</w:t>
            </w:r>
            <w:r w:rsidRPr="005E4A52">
              <w:t xml:space="preserve"> This is because</w:t>
            </w:r>
            <w:r w:rsidRPr="005E4A52">
              <w:rPr>
                <w:rFonts w:cstheme="minorHAnsi"/>
              </w:rPr>
              <w:t xml:space="preserve"> its powers and functions have increasingly become limited and </w:t>
            </w:r>
            <w:proofErr w:type="gramStart"/>
            <w:r w:rsidRPr="005E4A52">
              <w:rPr>
                <w:rFonts w:cstheme="minorHAnsi"/>
              </w:rPr>
              <w:t>obscure</w:t>
            </w:r>
            <w:proofErr w:type="gramEnd"/>
            <w:r w:rsidRPr="005E4A52">
              <w:rPr>
                <w:rFonts w:cstheme="minorHAnsi"/>
              </w:rPr>
              <w:t xml:space="preserve"> and it</w:t>
            </w:r>
            <w:r w:rsidR="00621E65">
              <w:rPr>
                <w:rFonts w:cstheme="minorHAnsi"/>
              </w:rPr>
              <w:t xml:space="preserve"> has</w:t>
            </w:r>
            <w:r w:rsidRPr="005E4A52">
              <w:rPr>
                <w:rFonts w:cstheme="minorHAnsi"/>
              </w:rPr>
              <w:t xml:space="preserve"> increased reliance on Comcare (a body it oversees) to provide advice and secretariat support. </w:t>
            </w:r>
          </w:p>
          <w:p w14:paraId="380BE2C8" w14:textId="6FC0DD5C" w:rsidR="009042DA" w:rsidRPr="005E4A52" w:rsidRDefault="0011115E" w:rsidP="00B2641B">
            <w:pPr>
              <w:spacing w:after="8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Also</w:t>
            </w:r>
            <w:r w:rsidR="009042DA" w:rsidRPr="005E4A52">
              <w:rPr>
                <w:rFonts w:cstheme="minorHAnsi"/>
              </w:rPr>
              <w:t xml:space="preserve">, the only legislative reference to the SRCC’s function as a tripartite consultative forum appears in Schedule 2 of the WHS Act which provides that the SRCC is a forum for consultation between the regulator (Comcare) and relevant </w:t>
            </w:r>
            <w:r w:rsidR="00131A26">
              <w:rPr>
                <w:rFonts w:cstheme="minorHAnsi"/>
              </w:rPr>
              <w:t>parties</w:t>
            </w:r>
            <w:r w:rsidR="0024395B">
              <w:rPr>
                <w:rFonts w:cstheme="minorHAnsi"/>
              </w:rPr>
              <w:t>.</w:t>
            </w:r>
          </w:p>
        </w:tc>
      </w:tr>
      <w:tr w:rsidR="009042DA" w:rsidRPr="005E4A52" w14:paraId="1F8FB68F" w14:textId="77777777" w:rsidTr="00FC10F8">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3898A65D" w14:textId="77777777" w:rsidR="009042DA" w:rsidRPr="005E4A52" w:rsidRDefault="009042DA" w:rsidP="0057609F">
            <w:pPr>
              <w:spacing w:after="120"/>
              <w:rPr>
                <w:color w:val="auto"/>
              </w:rPr>
            </w:pPr>
            <w:r w:rsidRPr="005E4A52">
              <w:rPr>
                <w:color w:val="auto"/>
              </w:rPr>
              <w:t>Issues to be considered</w:t>
            </w:r>
          </w:p>
        </w:tc>
        <w:tc>
          <w:tcPr>
            <w:tcW w:w="87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53330D95" w14:textId="10AEC53C" w:rsidR="009042DA" w:rsidRPr="005E4A52" w:rsidRDefault="009042DA" w:rsidP="0068224E">
            <w:pPr>
              <w:pStyle w:val="ListParagraph"/>
              <w:numPr>
                <w:ilvl w:val="0"/>
                <w:numId w:val="34"/>
              </w:numPr>
              <w:spacing w:after="80" w:line="240" w:lineRule="auto"/>
              <w:ind w:left="239" w:hanging="239"/>
              <w:cnfStyle w:val="000000100000" w:firstRow="0" w:lastRow="0" w:firstColumn="0" w:lastColumn="0" w:oddVBand="0" w:evenVBand="0" w:oddHBand="1" w:evenHBand="0" w:firstRowFirstColumn="0" w:firstRowLastColumn="0" w:lastRowFirstColumn="0" w:lastRowLastColumn="0"/>
            </w:pPr>
            <w:r w:rsidRPr="005E4A52">
              <w:t>How best to promote tripartism within the Comcare scheme</w:t>
            </w:r>
            <w:r w:rsidR="0802427C">
              <w:t xml:space="preserve"> </w:t>
            </w:r>
            <w:r w:rsidR="0802427C" w:rsidRPr="48DACCFA">
              <w:rPr>
                <w:rFonts w:ascii="Aptos" w:eastAsia="Aptos" w:hAnsi="Aptos" w:cs="Aptos"/>
              </w:rPr>
              <w:t xml:space="preserve">across the continuum of WHS and workers’ compensation. </w:t>
            </w:r>
          </w:p>
          <w:p w14:paraId="689CF820" w14:textId="037AB666" w:rsidR="009042DA" w:rsidRPr="005E4A52" w:rsidRDefault="009042DA" w:rsidP="0068224E">
            <w:pPr>
              <w:pStyle w:val="ListParagraph"/>
              <w:numPr>
                <w:ilvl w:val="0"/>
                <w:numId w:val="34"/>
              </w:numPr>
              <w:spacing w:after="80" w:line="240" w:lineRule="auto"/>
              <w:ind w:left="239" w:hanging="239"/>
              <w:cnfStyle w:val="000000100000" w:firstRow="0" w:lastRow="0" w:firstColumn="0" w:lastColumn="0" w:oddVBand="0" w:evenVBand="0" w:oddHBand="1" w:evenHBand="0" w:firstRowFirstColumn="0" w:firstRowLastColumn="0" w:lastRowFirstColumn="0" w:lastRowLastColumn="0"/>
            </w:pPr>
            <w:r w:rsidRPr="005E4A52">
              <w:t>How best to ensure genuine social partner involvement within the Comcare scheme.</w:t>
            </w:r>
          </w:p>
          <w:p w14:paraId="68E7CC26" w14:textId="0F7C3D75" w:rsidR="009042DA" w:rsidRPr="005E4A52" w:rsidRDefault="3E5C290C" w:rsidP="0068224E">
            <w:pPr>
              <w:pStyle w:val="ListParagraph"/>
              <w:numPr>
                <w:ilvl w:val="0"/>
                <w:numId w:val="34"/>
              </w:numPr>
              <w:spacing w:after="80" w:line="240" w:lineRule="auto"/>
              <w:ind w:left="239" w:hanging="239"/>
              <w:cnfStyle w:val="000000100000" w:firstRow="0" w:lastRow="0" w:firstColumn="0" w:lastColumn="0" w:oddVBand="0" w:evenVBand="0" w:oddHBand="1" w:evenHBand="0" w:firstRowFirstColumn="0" w:firstRowLastColumn="0" w:lastRowFirstColumn="0" w:lastRowLastColumn="0"/>
              <w:rPr>
                <w:rStyle w:val="normaltextrun"/>
                <w:rFonts w:eastAsiaTheme="majorEastAsia"/>
              </w:rPr>
            </w:pPr>
            <w:r w:rsidRPr="7ECCEF6D">
              <w:rPr>
                <w:rFonts w:ascii="Aptos" w:eastAsia="Aptos" w:hAnsi="Aptos" w:cs="Aptos"/>
              </w:rPr>
              <w:t xml:space="preserve">How the </w:t>
            </w:r>
            <w:r w:rsidR="00133947">
              <w:rPr>
                <w:rFonts w:ascii="Aptos" w:eastAsia="Aptos" w:hAnsi="Aptos" w:cs="Aptos"/>
              </w:rPr>
              <w:t>workers</w:t>
            </w:r>
            <w:r w:rsidR="00E51131">
              <w:rPr>
                <w:rFonts w:ascii="Aptos" w:eastAsia="Aptos" w:hAnsi="Aptos" w:cs="Aptos"/>
              </w:rPr>
              <w:t>’</w:t>
            </w:r>
            <w:r w:rsidR="00133947">
              <w:rPr>
                <w:rFonts w:ascii="Aptos" w:eastAsia="Aptos" w:hAnsi="Aptos" w:cs="Aptos"/>
              </w:rPr>
              <w:t xml:space="preserve"> compensation and </w:t>
            </w:r>
            <w:r w:rsidRPr="7ECCEF6D">
              <w:rPr>
                <w:rFonts w:ascii="Aptos" w:eastAsia="Aptos" w:hAnsi="Aptos" w:cs="Aptos"/>
              </w:rPr>
              <w:t xml:space="preserve">WHS performance of self-insured </w:t>
            </w:r>
            <w:r w:rsidR="002968E0" w:rsidRPr="7ECCEF6D">
              <w:rPr>
                <w:rFonts w:ascii="Aptos" w:eastAsia="Aptos" w:hAnsi="Aptos" w:cs="Aptos"/>
              </w:rPr>
              <w:t>license</w:t>
            </w:r>
            <w:r w:rsidR="002968E0">
              <w:rPr>
                <w:rFonts w:ascii="Aptos" w:eastAsia="Aptos" w:hAnsi="Aptos" w:cs="Aptos"/>
              </w:rPr>
              <w:t>e</w:t>
            </w:r>
            <w:r w:rsidR="002968E0" w:rsidRPr="7ECCEF6D">
              <w:rPr>
                <w:rFonts w:ascii="Aptos" w:eastAsia="Aptos" w:hAnsi="Aptos" w:cs="Aptos"/>
              </w:rPr>
              <w:t>s</w:t>
            </w:r>
            <w:r w:rsidRPr="7ECCEF6D">
              <w:rPr>
                <w:rFonts w:ascii="Aptos" w:eastAsia="Aptos" w:hAnsi="Aptos" w:cs="Aptos"/>
              </w:rPr>
              <w:t xml:space="preserve"> and premium payers can be improved by more effective </w:t>
            </w:r>
            <w:r w:rsidR="009042DA">
              <w:t xml:space="preserve">tripartite consultation arrangements.   </w:t>
            </w:r>
          </w:p>
        </w:tc>
      </w:tr>
      <w:tr w:rsidR="009042DA" w:rsidRPr="005E4A52" w14:paraId="2845C22D" w14:textId="77777777" w:rsidTr="00FC10F8">
        <w:tblPrEx>
          <w:jc w:val="left"/>
        </w:tblPrEx>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675B3CE0" w14:textId="77777777" w:rsidR="009042DA" w:rsidRPr="005E4A52" w:rsidRDefault="009042DA" w:rsidP="0057609F">
            <w:pPr>
              <w:spacing w:after="120"/>
              <w:rPr>
                <w:color w:val="auto"/>
              </w:rPr>
            </w:pPr>
            <w:r w:rsidRPr="005E4A52">
              <w:rPr>
                <w:color w:val="auto"/>
              </w:rPr>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7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23B4EAB" w14:textId="41BC4579" w:rsidR="009042DA" w:rsidRPr="005E4A52" w:rsidRDefault="009042DA" w:rsidP="00F00396">
            <w:pPr>
              <w:spacing w:after="8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T</w:t>
            </w:r>
            <w:r w:rsidRPr="005E4A52">
              <w:rPr>
                <w:rStyle w:val="normaltextrun"/>
                <w:rFonts w:eastAsiaTheme="majorEastAsia"/>
              </w:rPr>
              <w:t xml:space="preserve">erm of reference </w:t>
            </w:r>
            <w:r w:rsidRPr="005E4A52">
              <w:rPr>
                <w:rStyle w:val="normaltextrun"/>
                <w:rFonts w:eastAsiaTheme="majorEastAsia" w:cstheme="minorHAnsi"/>
              </w:rPr>
              <w:t>1 in relation to best practice.</w:t>
            </w:r>
          </w:p>
        </w:tc>
      </w:tr>
      <w:tr w:rsidR="009042DA" w:rsidRPr="005E4A52" w14:paraId="306A0CF7" w14:textId="77777777" w:rsidTr="00FC10F8">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1736F9D6" w14:textId="77777777" w:rsidR="009042DA" w:rsidRPr="005E4A52" w:rsidRDefault="009042DA" w:rsidP="0057609F">
            <w:pPr>
              <w:spacing w:after="120"/>
              <w:rPr>
                <w:color w:val="auto"/>
              </w:rPr>
            </w:pPr>
            <w:r w:rsidRPr="005E4A52">
              <w:rPr>
                <w:color w:val="auto"/>
              </w:rPr>
              <w:t>Questions</w:t>
            </w:r>
          </w:p>
        </w:tc>
        <w:tc>
          <w:tcPr>
            <w:tcW w:w="87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31B5724" w14:textId="77777777" w:rsidR="009042DA" w:rsidRPr="005E4A52" w:rsidRDefault="009042DA" w:rsidP="0057609F">
            <w:pPr>
              <w:pStyle w:val="ListParagraph"/>
              <w:numPr>
                <w:ilvl w:val="0"/>
                <w:numId w:val="11"/>
              </w:numPr>
              <w:spacing w:after="120" w:line="240"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Are the requirements under the SRC Act for membership of the SRCC appropriate? </w:t>
            </w:r>
          </w:p>
          <w:p w14:paraId="3AEAD619" w14:textId="57132EDE" w:rsidR="009042DA" w:rsidRPr="005E4A52" w:rsidRDefault="009042DA" w:rsidP="0057609F">
            <w:pPr>
              <w:pStyle w:val="ListParagraph"/>
              <w:numPr>
                <w:ilvl w:val="0"/>
                <w:numId w:val="11"/>
              </w:numPr>
              <w:spacing w:after="120" w:line="240"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Are the arrangements for tripartite involvement under the WHS Act and SRC Act adequate? If not, what additional arrangements are required under the SRC Act?</w:t>
            </w:r>
          </w:p>
          <w:p w14:paraId="5E2444A3" w14:textId="77777777" w:rsidR="009042DA" w:rsidRPr="005E4A52" w:rsidRDefault="009042DA" w:rsidP="0057609F">
            <w:pPr>
              <w:pStyle w:val="ListParagraph"/>
              <w:numPr>
                <w:ilvl w:val="0"/>
                <w:numId w:val="11"/>
              </w:numPr>
              <w:spacing w:after="120" w:line="240"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Do you have suggestions for improvements to facilitate tripartism within the Comcare scheme?</w:t>
            </w:r>
            <w:r w:rsidRPr="005E4A52">
              <w:t xml:space="preserve"> If so, what are they?</w:t>
            </w:r>
          </w:p>
        </w:tc>
      </w:tr>
    </w:tbl>
    <w:p w14:paraId="0FE0FFF3" w14:textId="77777777" w:rsidR="00FC10F8" w:rsidRDefault="00FC10F8" w:rsidP="001740E1">
      <w:pPr>
        <w:pStyle w:val="Heading3"/>
        <w:sectPr w:rsidR="00FC10F8" w:rsidSect="00724E79">
          <w:pgSz w:w="11906" w:h="16838"/>
          <w:pgMar w:top="1418" w:right="1418" w:bottom="1418" w:left="1418" w:header="0" w:footer="454" w:gutter="0"/>
          <w:cols w:space="708"/>
          <w:docGrid w:linePitch="360"/>
        </w:sectPr>
      </w:pPr>
      <w:bookmarkStart w:id="38" w:name="_Toc177409621"/>
      <w:bookmarkStart w:id="39" w:name="_Toc180174615"/>
    </w:p>
    <w:p w14:paraId="3D2AF356" w14:textId="7BE3ABC8" w:rsidR="009042DA" w:rsidRPr="005E4A52" w:rsidRDefault="009042DA" w:rsidP="001740E1">
      <w:pPr>
        <w:pStyle w:val="Heading3"/>
      </w:pPr>
      <w:r w:rsidRPr="005E4A52">
        <w:lastRenderedPageBreak/>
        <w:t xml:space="preserve">3.5 </w:t>
      </w:r>
      <w:r w:rsidRPr="005E4A52">
        <w:tab/>
        <w:t>Scheme entitlements (Terms of reference 3 and 5)</w:t>
      </w:r>
      <w:bookmarkEnd w:id="38"/>
      <w:bookmarkEnd w:id="39"/>
    </w:p>
    <w:p w14:paraId="33C5F852" w14:textId="4EA51EC1" w:rsidR="009042DA" w:rsidRPr="005E4A52" w:rsidRDefault="009042DA" w:rsidP="009042DA">
      <w:pPr>
        <w:spacing w:line="240" w:lineRule="auto"/>
      </w:pPr>
      <w:r w:rsidRPr="005E4A52">
        <w:t>Terms of reference 3 and 5 are focused on:</w:t>
      </w:r>
    </w:p>
    <w:p w14:paraId="4CD41F9B" w14:textId="2E4EA019" w:rsidR="009042DA" w:rsidRPr="005E4A52" w:rsidRDefault="009042DA" w:rsidP="00BF1F48">
      <w:pPr>
        <w:numPr>
          <w:ilvl w:val="0"/>
          <w:numId w:val="41"/>
        </w:numPr>
        <w:spacing w:after="0" w:line="240" w:lineRule="auto"/>
        <w:ind w:left="714" w:hanging="357"/>
      </w:pPr>
      <w:r w:rsidRPr="005E4A52">
        <w:t>eligibility for compensation</w:t>
      </w:r>
      <w:r w:rsidR="00FC10F8">
        <w:t>,</w:t>
      </w:r>
    </w:p>
    <w:p w14:paraId="00CD5188" w14:textId="2D72551E" w:rsidR="009042DA" w:rsidRPr="005E4A52" w:rsidRDefault="009042DA" w:rsidP="00BF1F48">
      <w:pPr>
        <w:numPr>
          <w:ilvl w:val="0"/>
          <w:numId w:val="41"/>
        </w:numPr>
        <w:spacing w:after="0" w:line="240" w:lineRule="auto"/>
        <w:ind w:left="714" w:hanging="357"/>
      </w:pPr>
      <w:r w:rsidRPr="005E4A52">
        <w:t>structure of entitlements</w:t>
      </w:r>
      <w:r w:rsidR="00FC10F8">
        <w:t>,</w:t>
      </w:r>
    </w:p>
    <w:p w14:paraId="5FBD882D" w14:textId="68895DEC" w:rsidR="009042DA" w:rsidRPr="005E4A52" w:rsidRDefault="009042DA" w:rsidP="00BF1F48">
      <w:pPr>
        <w:numPr>
          <w:ilvl w:val="0"/>
          <w:numId w:val="41"/>
        </w:numPr>
        <w:spacing w:after="0" w:line="240" w:lineRule="auto"/>
        <w:ind w:left="714" w:hanging="357"/>
      </w:pPr>
      <w:r w:rsidRPr="005E4A52">
        <w:t>interaction between workers’ compensation payments and common law, statutory claims and other sources of income</w:t>
      </w:r>
      <w:r w:rsidR="00FC10F8">
        <w:t xml:space="preserve">, </w:t>
      </w:r>
      <w:r w:rsidRPr="005E4A52">
        <w:t xml:space="preserve">and  </w:t>
      </w:r>
    </w:p>
    <w:p w14:paraId="051E01EA" w14:textId="5214C58D" w:rsidR="009042DA" w:rsidRPr="005E4A52" w:rsidRDefault="009042DA" w:rsidP="00BF1F48">
      <w:pPr>
        <w:numPr>
          <w:ilvl w:val="0"/>
          <w:numId w:val="41"/>
        </w:numPr>
        <w:spacing w:after="0" w:line="240" w:lineRule="auto"/>
        <w:ind w:left="714" w:hanging="357"/>
      </w:pPr>
      <w:r w:rsidRPr="005E4A52">
        <w:t>rehabilitation and return to work including provisional payments.</w:t>
      </w:r>
    </w:p>
    <w:p w14:paraId="6B3C2B99" w14:textId="579BB785" w:rsidR="009042DA" w:rsidRPr="005E4A52" w:rsidRDefault="009042DA" w:rsidP="009042DA">
      <w:pPr>
        <w:spacing w:line="240" w:lineRule="auto"/>
      </w:pPr>
      <w:r w:rsidRPr="005E4A52">
        <w:t>The term of reference 5 is also focused on gaps in coverage that may arise from employees and employers transitioning between Commonwealth and state or territory schemes, employer insolvency, or winding up of a self-insurer dealt with earlier.</w:t>
      </w:r>
    </w:p>
    <w:tbl>
      <w:tblPr>
        <w:tblStyle w:val="TableGrid"/>
        <w:tblW w:w="9924" w:type="dxa"/>
        <w:tblInd w:w="-43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347"/>
        <w:gridCol w:w="8577"/>
      </w:tblGrid>
      <w:tr w:rsidR="009042DA" w:rsidRPr="005E4A52" w14:paraId="7B693A8B" w14:textId="77777777" w:rsidTr="00D25DA0">
        <w:trPr>
          <w:cnfStyle w:val="100000000000" w:firstRow="1" w:lastRow="0" w:firstColumn="0" w:lastColumn="0" w:oddVBand="0" w:evenVBand="0" w:oddHBand="0" w:evenHBand="0" w:firstRowFirstColumn="0" w:firstRowLastColumn="0" w:lastRowFirstColumn="0" w:lastRowLastColumn="0"/>
        </w:trPr>
        <w:tc>
          <w:tcPr>
            <w:tcW w:w="9924" w:type="dxa"/>
            <w:gridSpan w:val="2"/>
            <w:shd w:val="clear" w:color="auto" w:fill="092050" w:themeFill="text1" w:themeFillShade="BF"/>
          </w:tcPr>
          <w:p w14:paraId="7E617242" w14:textId="0D79FE47" w:rsidR="009042DA" w:rsidRPr="005E4A52" w:rsidRDefault="009042DA" w:rsidP="0015289B">
            <w:pPr>
              <w:pStyle w:val="ListParagraph"/>
              <w:numPr>
                <w:ilvl w:val="1"/>
                <w:numId w:val="11"/>
              </w:numPr>
              <w:spacing w:before="120" w:after="120" w:line="240" w:lineRule="auto"/>
              <w:ind w:left="1077" w:hanging="357"/>
              <w:rPr>
                <w:b/>
                <w:bCs/>
              </w:rPr>
            </w:pPr>
            <w:r w:rsidRPr="005E4A52">
              <w:rPr>
                <w:b/>
                <w:bCs/>
                <w:color w:val="FFFFFF" w:themeColor="background1"/>
                <w:sz w:val="24"/>
                <w:szCs w:val="24"/>
              </w:rPr>
              <w:t>Eligibility for compensation</w:t>
            </w:r>
          </w:p>
        </w:tc>
      </w:tr>
      <w:tr w:rsidR="009042DA" w:rsidRPr="005E4A52" w14:paraId="66517C8B" w14:textId="77777777" w:rsidTr="00A31596">
        <w:tc>
          <w:tcPr>
            <w:tcW w:w="1347" w:type="dxa"/>
            <w:shd w:val="clear" w:color="auto" w:fill="E0E1ED" w:themeFill="accent2" w:themeFillTint="33"/>
          </w:tcPr>
          <w:p w14:paraId="0EF7EE58" w14:textId="77777777" w:rsidR="009042DA" w:rsidRPr="005E4A52" w:rsidRDefault="009042DA">
            <w:pPr>
              <w:rPr>
                <w:b/>
                <w:bCs/>
              </w:rPr>
            </w:pPr>
            <w:r w:rsidRPr="005E4A52">
              <w:rPr>
                <w:b/>
                <w:bCs/>
              </w:rPr>
              <w:t xml:space="preserve">Why important </w:t>
            </w:r>
          </w:p>
        </w:tc>
        <w:tc>
          <w:tcPr>
            <w:tcW w:w="8577" w:type="dxa"/>
            <w:shd w:val="clear" w:color="auto" w:fill="F2F2F2" w:themeFill="background1" w:themeFillShade="F2"/>
          </w:tcPr>
          <w:p w14:paraId="587F6595" w14:textId="77777777" w:rsidR="009042DA" w:rsidRPr="005E4A52" w:rsidRDefault="009042DA">
            <w:r w:rsidRPr="005E4A52">
              <w:t>An objective of the review is to make recommendations relating to the legislative framework to ensure gaps in coverage and eligibility are filled so no injured worker is denied benefits.</w:t>
            </w:r>
          </w:p>
          <w:p w14:paraId="2A68E723" w14:textId="77777777" w:rsidR="009042DA" w:rsidRPr="005E4A52" w:rsidRDefault="009042DA">
            <w:r w:rsidRPr="005E4A52">
              <w:t>There have been significant changes in the workforce and the nature of the work since the Comcare scheme’s inception in 1988. The SRC Act has failed to keep pace with these changes resulting in the possibility of workers who should be covered falling outside coverage.</w:t>
            </w:r>
          </w:p>
          <w:p w14:paraId="1577F3AC" w14:textId="77777777" w:rsidR="009042DA" w:rsidRPr="005E4A52" w:rsidRDefault="009042DA">
            <w:r w:rsidRPr="005E4A52">
              <w:t xml:space="preserve">The COVID-19 pandemic has accelerated the uptake of work-from-home arrangements which employers had previously been reluctant to embrace in part due to perceived concerns about increase in workers’ compensation liabilities. </w:t>
            </w:r>
          </w:p>
          <w:p w14:paraId="35CBCBAD" w14:textId="77777777" w:rsidR="009042DA" w:rsidRPr="005E4A52" w:rsidRDefault="009042DA">
            <w:r w:rsidRPr="005E4A52">
              <w:t>These developments raise questions as to the clarity, adequacy and adaptability of the current legislative coverage of the scheme.</w:t>
            </w:r>
          </w:p>
        </w:tc>
      </w:tr>
      <w:tr w:rsidR="009042DA" w:rsidRPr="005E4A52" w14:paraId="20624C74" w14:textId="77777777" w:rsidTr="00A31596">
        <w:trPr>
          <w:trHeight w:val="967"/>
        </w:trPr>
        <w:tc>
          <w:tcPr>
            <w:tcW w:w="1347" w:type="dxa"/>
            <w:shd w:val="clear" w:color="auto" w:fill="E0E1ED" w:themeFill="accent2" w:themeFillTint="33"/>
          </w:tcPr>
          <w:p w14:paraId="5F23D263" w14:textId="77777777" w:rsidR="009042DA" w:rsidRPr="005E4A52" w:rsidRDefault="009042DA">
            <w:pPr>
              <w:rPr>
                <w:b/>
                <w:bCs/>
              </w:rPr>
            </w:pPr>
            <w:r w:rsidRPr="005E4A52">
              <w:rPr>
                <w:b/>
                <w:bCs/>
              </w:rPr>
              <w:t>Issues to be considered</w:t>
            </w:r>
          </w:p>
        </w:tc>
        <w:tc>
          <w:tcPr>
            <w:tcW w:w="8577" w:type="dxa"/>
            <w:shd w:val="clear" w:color="auto" w:fill="F2F2F2" w:themeFill="background1" w:themeFillShade="F2"/>
          </w:tcPr>
          <w:p w14:paraId="7C4AFD66" w14:textId="77777777" w:rsidR="009042DA" w:rsidRPr="005E4A52" w:rsidRDefault="009042DA" w:rsidP="009042DA">
            <w:pPr>
              <w:pStyle w:val="ListParagraph"/>
              <w:numPr>
                <w:ilvl w:val="0"/>
                <w:numId w:val="27"/>
              </w:numPr>
              <w:spacing w:line="240" w:lineRule="auto"/>
            </w:pPr>
            <w:r w:rsidRPr="005E4A52">
              <w:t xml:space="preserve">Who is covered by the scheme – types of employees covered. </w:t>
            </w:r>
          </w:p>
          <w:p w14:paraId="63E81F4C" w14:textId="77777777" w:rsidR="009042DA" w:rsidRPr="005E4A52" w:rsidRDefault="009042DA" w:rsidP="009042DA">
            <w:pPr>
              <w:pStyle w:val="ListParagraph"/>
              <w:numPr>
                <w:ilvl w:val="0"/>
                <w:numId w:val="27"/>
              </w:numPr>
              <w:spacing w:line="240" w:lineRule="auto"/>
            </w:pPr>
            <w:r w:rsidRPr="005E4A52">
              <w:t xml:space="preserve">What injuries or conditions are covered by the scheme – are the 2 main categories of liability appropriate: </w:t>
            </w:r>
          </w:p>
          <w:p w14:paraId="5B05A084" w14:textId="77777777" w:rsidR="009042DA" w:rsidRPr="005E4A52" w:rsidRDefault="009042DA" w:rsidP="009042DA">
            <w:pPr>
              <w:pStyle w:val="ListParagraph"/>
              <w:numPr>
                <w:ilvl w:val="1"/>
                <w:numId w:val="27"/>
              </w:numPr>
              <w:spacing w:line="240" w:lineRule="auto"/>
            </w:pPr>
            <w:r w:rsidRPr="005E4A52">
              <w:t xml:space="preserve">Liability for an </w:t>
            </w:r>
            <w:r w:rsidRPr="005E4A52">
              <w:rPr>
                <w:b/>
              </w:rPr>
              <w:t>‘ailment’ (or a disease</w:t>
            </w:r>
            <w:r w:rsidRPr="005E4A52">
              <w:t>).</w:t>
            </w:r>
          </w:p>
          <w:p w14:paraId="01EBD61A" w14:textId="77777777" w:rsidR="009042DA" w:rsidRPr="005E4A52" w:rsidRDefault="009042DA" w:rsidP="009042DA">
            <w:pPr>
              <w:pStyle w:val="ListParagraph"/>
              <w:numPr>
                <w:ilvl w:val="1"/>
                <w:numId w:val="27"/>
              </w:numPr>
              <w:spacing w:line="240" w:lineRule="auto"/>
            </w:pPr>
            <w:r w:rsidRPr="005E4A52">
              <w:t>Liability for an ‘</w:t>
            </w:r>
            <w:r w:rsidRPr="005E4A52">
              <w:rPr>
                <w:b/>
              </w:rPr>
              <w:t>injury</w:t>
            </w:r>
            <w:r w:rsidRPr="005E4A52">
              <w:t xml:space="preserve"> (other than disease),’ otherwise commonly referred to as a ‘frank injury’ or ‘injury simpliciter.’</w:t>
            </w:r>
          </w:p>
          <w:p w14:paraId="4F81575F" w14:textId="77777777" w:rsidR="009042DA" w:rsidRPr="005E4A52" w:rsidRDefault="009042DA" w:rsidP="009042DA">
            <w:pPr>
              <w:pStyle w:val="ListParagraph"/>
              <w:numPr>
                <w:ilvl w:val="1"/>
                <w:numId w:val="27"/>
              </w:numPr>
              <w:spacing w:line="240" w:lineRule="auto"/>
            </w:pPr>
            <w:r w:rsidRPr="005E4A52">
              <w:t>An aggravation of either limb above.</w:t>
            </w:r>
          </w:p>
          <w:p w14:paraId="3001ACA2" w14:textId="77777777" w:rsidR="009042DA" w:rsidRPr="005E4A52" w:rsidRDefault="009042DA" w:rsidP="009042DA">
            <w:pPr>
              <w:pStyle w:val="ListParagraph"/>
              <w:numPr>
                <w:ilvl w:val="0"/>
                <w:numId w:val="27"/>
              </w:numPr>
              <w:spacing w:line="240" w:lineRule="auto"/>
            </w:pPr>
            <w:r w:rsidRPr="005E4A52">
              <w:t xml:space="preserve">The current approach to linking injury or illnesses to employment: </w:t>
            </w:r>
          </w:p>
          <w:p w14:paraId="4B489A84" w14:textId="77777777" w:rsidR="009042DA" w:rsidRPr="005E4A52" w:rsidRDefault="009042DA" w:rsidP="009042DA">
            <w:pPr>
              <w:pStyle w:val="ListParagraph"/>
              <w:numPr>
                <w:ilvl w:val="1"/>
                <w:numId w:val="27"/>
              </w:numPr>
              <w:spacing w:line="240" w:lineRule="auto"/>
            </w:pPr>
            <w:r w:rsidRPr="005E4A52">
              <w:t>Ailments must be ‘contributed to, to a significant degree, by the employee’s employment.’</w:t>
            </w:r>
          </w:p>
          <w:p w14:paraId="3B5CA7B9" w14:textId="77777777" w:rsidR="009042DA" w:rsidRPr="005E4A52" w:rsidRDefault="009042DA" w:rsidP="009042DA">
            <w:pPr>
              <w:pStyle w:val="ListParagraph"/>
              <w:numPr>
                <w:ilvl w:val="1"/>
                <w:numId w:val="27"/>
              </w:numPr>
              <w:spacing w:line="240" w:lineRule="auto"/>
            </w:pPr>
            <w:r w:rsidRPr="005E4A52">
              <w:t>Injury must be one which ‘arose out of, or in the course of, the employee’s employment.’</w:t>
            </w:r>
          </w:p>
          <w:p w14:paraId="6C9B4204" w14:textId="77777777" w:rsidR="009042DA" w:rsidRPr="005E4A52" w:rsidRDefault="009042DA" w:rsidP="009042DA">
            <w:pPr>
              <w:pStyle w:val="ListParagraph"/>
              <w:numPr>
                <w:ilvl w:val="0"/>
                <w:numId w:val="27"/>
              </w:numPr>
              <w:spacing w:line="240" w:lineRule="auto"/>
            </w:pPr>
            <w:r w:rsidRPr="005E4A52">
              <w:t>The appropriateness of deeming provisions (injuries deemed to have arisen out of or in the course of employment), and the diseases that are presumed to have been caused by employment.</w:t>
            </w:r>
          </w:p>
          <w:p w14:paraId="1B407D2E" w14:textId="50B7027C" w:rsidR="009042DA" w:rsidRPr="005E4A52" w:rsidRDefault="009042DA" w:rsidP="009042DA">
            <w:pPr>
              <w:pStyle w:val="ListParagraph"/>
              <w:numPr>
                <w:ilvl w:val="0"/>
                <w:numId w:val="27"/>
              </w:numPr>
              <w:spacing w:line="240" w:lineRule="auto"/>
            </w:pPr>
            <w:r w:rsidRPr="005E4A52">
              <w:t>The appropriateness of the exclusions (injuries deemed not to have arisen out of or in the course of employment for example, reasonable administrative action, wilful and false representations of prior health, self-infl</w:t>
            </w:r>
            <w:r w:rsidR="00B76B6E">
              <w:t>i</w:t>
            </w:r>
            <w:r w:rsidRPr="005E4A52">
              <w:t>cted injuries).</w:t>
            </w:r>
          </w:p>
          <w:p w14:paraId="140F0C94" w14:textId="10AC645C" w:rsidR="009042DA" w:rsidRPr="005E4A52" w:rsidRDefault="009042DA" w:rsidP="009042DA">
            <w:pPr>
              <w:pStyle w:val="ListParagraph"/>
              <w:numPr>
                <w:ilvl w:val="0"/>
                <w:numId w:val="27"/>
              </w:numPr>
              <w:spacing w:after="120" w:line="240" w:lineRule="auto"/>
            </w:pPr>
            <w:r w:rsidRPr="005E4A52">
              <w:lastRenderedPageBreak/>
              <w:t xml:space="preserve">The description of what is a ‘place of work’ given the move to working from home, the issues arising from injuries occurring during </w:t>
            </w:r>
            <w:r w:rsidR="4ABB2BD3">
              <w:t xml:space="preserve">journeys and breaks. </w:t>
            </w:r>
          </w:p>
        </w:tc>
      </w:tr>
      <w:tr w:rsidR="009042DA" w:rsidRPr="005E4A52" w14:paraId="378E76F9" w14:textId="77777777" w:rsidTr="00A31596">
        <w:tc>
          <w:tcPr>
            <w:tcW w:w="1347" w:type="dxa"/>
            <w:shd w:val="clear" w:color="auto" w:fill="E0E1ED" w:themeFill="accent2" w:themeFillTint="33"/>
          </w:tcPr>
          <w:p w14:paraId="761BCAF0" w14:textId="77777777" w:rsidR="009042DA" w:rsidRPr="005E4A52" w:rsidRDefault="009042DA">
            <w:pPr>
              <w:rPr>
                <w:b/>
                <w:bCs/>
              </w:rPr>
            </w:pPr>
            <w:r w:rsidRPr="005E4A52">
              <w:rPr>
                <w:b/>
                <w:bCs/>
              </w:rPr>
              <w:lastRenderedPageBreak/>
              <w:t xml:space="preserve">Links to </w:t>
            </w:r>
            <w:proofErr w:type="gramStart"/>
            <w:r w:rsidRPr="005E4A52">
              <w:rPr>
                <w:b/>
                <w:bCs/>
              </w:rPr>
              <w:t>other</w:t>
            </w:r>
            <w:proofErr w:type="gramEnd"/>
            <w:r w:rsidRPr="005E4A52">
              <w:rPr>
                <w:b/>
                <w:bCs/>
              </w:rPr>
              <w:t xml:space="preserve"> </w:t>
            </w:r>
            <w:proofErr w:type="spellStart"/>
            <w:r w:rsidRPr="005E4A52">
              <w:rPr>
                <w:b/>
                <w:bCs/>
              </w:rPr>
              <w:t>ToR</w:t>
            </w:r>
            <w:proofErr w:type="spellEnd"/>
          </w:p>
        </w:tc>
        <w:tc>
          <w:tcPr>
            <w:tcW w:w="8577" w:type="dxa"/>
            <w:shd w:val="clear" w:color="auto" w:fill="F2F2F2" w:themeFill="background1" w:themeFillShade="F2"/>
          </w:tcPr>
          <w:p w14:paraId="2345605C" w14:textId="49E96AFA" w:rsidR="009042DA" w:rsidRPr="005E4A52" w:rsidRDefault="009042DA">
            <w:r w:rsidRPr="005E4A52">
              <w:t xml:space="preserve">Term of reference 3 coverage for liability including for remote and flexible work. </w:t>
            </w:r>
            <w:r w:rsidRPr="005E4A52">
              <w:rPr>
                <w:rStyle w:val="normaltextrun"/>
                <w:rFonts w:eastAsiaTheme="majorEastAsia" w:cstheme="minorHAnsi"/>
              </w:rPr>
              <w:t>T</w:t>
            </w:r>
            <w:r w:rsidRPr="005E4A52">
              <w:rPr>
                <w:rStyle w:val="normaltextrun"/>
                <w:rFonts w:eastAsiaTheme="majorEastAsia"/>
              </w:rPr>
              <w:t>erm of reference</w:t>
            </w:r>
            <w:r w:rsidRPr="005E4A52">
              <w:rPr>
                <w:rStyle w:val="normaltextrun"/>
                <w:rFonts w:eastAsiaTheme="majorEastAsia" w:cstheme="minorHAnsi"/>
              </w:rPr>
              <w:t xml:space="preserve"> 1 in relation to best practice.</w:t>
            </w:r>
          </w:p>
        </w:tc>
      </w:tr>
      <w:tr w:rsidR="009042DA" w:rsidRPr="005E4A52" w14:paraId="3038AEE2" w14:textId="77777777" w:rsidTr="00A31596">
        <w:tc>
          <w:tcPr>
            <w:tcW w:w="1347" w:type="dxa"/>
            <w:shd w:val="clear" w:color="auto" w:fill="E0E1ED" w:themeFill="accent2" w:themeFillTint="33"/>
          </w:tcPr>
          <w:p w14:paraId="6F770838" w14:textId="77777777" w:rsidR="009042DA" w:rsidRPr="005E4A52" w:rsidRDefault="009042DA">
            <w:pPr>
              <w:rPr>
                <w:b/>
                <w:bCs/>
              </w:rPr>
            </w:pPr>
            <w:r w:rsidRPr="005E4A52">
              <w:rPr>
                <w:b/>
                <w:bCs/>
              </w:rPr>
              <w:t xml:space="preserve">Questions </w:t>
            </w:r>
          </w:p>
        </w:tc>
        <w:tc>
          <w:tcPr>
            <w:tcW w:w="8577" w:type="dxa"/>
            <w:shd w:val="clear" w:color="auto" w:fill="F2F2F2" w:themeFill="background1" w:themeFillShade="F2"/>
          </w:tcPr>
          <w:p w14:paraId="44833D69" w14:textId="5592E1F1"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Does the definition of ‘employee’ in the SRC Act reflect contemporary working arrangements?  Are the deeming provisions adequate?</w:t>
            </w:r>
          </w:p>
          <w:p w14:paraId="79D7C2BA" w14:textId="629A9859"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What is best practice for determining injuries and diseases? For example, is it still appropriate to separate</w:t>
            </w:r>
            <w:r w:rsidR="0030514C">
              <w:rPr>
                <w:rStyle w:val="normaltextrun"/>
                <w:rFonts w:eastAsiaTheme="majorEastAsia" w:cstheme="minorHAnsi"/>
              </w:rPr>
              <w:t xml:space="preserve"> these conditions</w:t>
            </w:r>
            <w:r w:rsidRPr="005E4A52">
              <w:rPr>
                <w:rStyle w:val="normaltextrun"/>
                <w:rFonts w:eastAsiaTheme="majorEastAsia" w:cstheme="minorHAnsi"/>
              </w:rPr>
              <w:t xml:space="preserve">? Is there a different approach needed for certain injuries, for example psychological injuries? </w:t>
            </w:r>
          </w:p>
          <w:p w14:paraId="655654C0" w14:textId="77777777"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Is there sufficient clarity as to when an employee sustains an injury ‘in the course of their employment’ if they are away from their usual place of employment or injured during an interval within their usual period of employment?   </w:t>
            </w:r>
          </w:p>
          <w:p w14:paraId="3BFE3B44" w14:textId="77777777"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Is the current threshold for liability for diseases (significant contribution) appropriate?</w:t>
            </w:r>
          </w:p>
          <w:p w14:paraId="233480AA" w14:textId="7D255248" w:rsidR="009042DA" w:rsidRPr="005E4A52" w:rsidRDefault="009042DA" w:rsidP="009042DA">
            <w:pPr>
              <w:pStyle w:val="ListParagraph"/>
              <w:numPr>
                <w:ilvl w:val="0"/>
                <w:numId w:val="11"/>
              </w:numPr>
              <w:spacing w:line="240" w:lineRule="auto"/>
            </w:pPr>
            <w:r w:rsidRPr="005E4A52">
              <w:rPr>
                <w:rStyle w:val="normaltextrun"/>
                <w:rFonts w:eastAsiaTheme="majorEastAsia" w:cstheme="minorHAnsi"/>
              </w:rPr>
              <w:t xml:space="preserve">Are the current exclusions under the SRC </w:t>
            </w:r>
            <w:r w:rsidR="00C50464">
              <w:rPr>
                <w:rStyle w:val="normaltextrun"/>
                <w:rFonts w:eastAsiaTheme="majorEastAsia" w:cstheme="minorHAnsi"/>
              </w:rPr>
              <w:t xml:space="preserve">Act </w:t>
            </w:r>
            <w:r w:rsidRPr="005E4A52">
              <w:rPr>
                <w:rStyle w:val="normaltextrun"/>
                <w:rFonts w:eastAsiaTheme="majorEastAsia" w:cstheme="minorHAnsi"/>
              </w:rPr>
              <w:t xml:space="preserve">appropriate?  </w:t>
            </w:r>
          </w:p>
        </w:tc>
      </w:tr>
      <w:tr w:rsidR="009042DA" w:rsidRPr="005E4A52" w14:paraId="700AF693" w14:textId="77777777" w:rsidTr="00D25DA0">
        <w:trPr>
          <w:trHeight w:val="418"/>
        </w:trPr>
        <w:tc>
          <w:tcPr>
            <w:tcW w:w="9924" w:type="dxa"/>
            <w:gridSpan w:val="2"/>
            <w:shd w:val="clear" w:color="auto" w:fill="092050" w:themeFill="text1" w:themeFillShade="BF"/>
          </w:tcPr>
          <w:p w14:paraId="0999E5A1" w14:textId="296159BD" w:rsidR="009042DA" w:rsidRPr="005E4A52" w:rsidRDefault="008253D2" w:rsidP="0015289B">
            <w:pPr>
              <w:spacing w:before="120" w:after="120"/>
              <w:ind w:left="720"/>
              <w:rPr>
                <w:b/>
                <w:bCs/>
              </w:rPr>
            </w:pPr>
            <w:r w:rsidRPr="005E4A52">
              <w:rPr>
                <w:b/>
                <w:bCs/>
                <w:color w:val="FFFFFF" w:themeColor="background1"/>
                <w:sz w:val="24"/>
                <w:szCs w:val="24"/>
              </w:rPr>
              <w:t xml:space="preserve">b. </w:t>
            </w:r>
            <w:r w:rsidR="009042DA" w:rsidRPr="005E4A52">
              <w:rPr>
                <w:b/>
                <w:bCs/>
                <w:color w:val="FFFFFF" w:themeColor="background1"/>
                <w:sz w:val="24"/>
                <w:szCs w:val="24"/>
              </w:rPr>
              <w:t>Scheme entitlements</w:t>
            </w:r>
          </w:p>
        </w:tc>
      </w:tr>
      <w:tr w:rsidR="009042DA" w:rsidRPr="005E4A52" w14:paraId="69C6F1E1" w14:textId="77777777" w:rsidTr="00A31596">
        <w:tc>
          <w:tcPr>
            <w:tcW w:w="1347" w:type="dxa"/>
            <w:shd w:val="clear" w:color="auto" w:fill="E0E1ED" w:themeFill="accent2" w:themeFillTint="33"/>
          </w:tcPr>
          <w:p w14:paraId="6FA2623B" w14:textId="77777777" w:rsidR="009042DA" w:rsidRPr="005E4A52" w:rsidRDefault="009042DA">
            <w:pPr>
              <w:rPr>
                <w:b/>
                <w:bCs/>
              </w:rPr>
            </w:pPr>
            <w:r w:rsidRPr="005E4A52">
              <w:rPr>
                <w:b/>
                <w:bCs/>
              </w:rPr>
              <w:t xml:space="preserve">Why important </w:t>
            </w:r>
          </w:p>
        </w:tc>
        <w:tc>
          <w:tcPr>
            <w:tcW w:w="8577" w:type="dxa"/>
            <w:shd w:val="clear" w:color="auto" w:fill="F2F2F2" w:themeFill="background1" w:themeFillShade="F2"/>
          </w:tcPr>
          <w:p w14:paraId="439F62F3" w14:textId="77777777" w:rsidR="009042DA" w:rsidRPr="005E4A52" w:rsidRDefault="009042DA">
            <w:pPr>
              <w:spacing w:after="120"/>
            </w:pPr>
            <w:r w:rsidRPr="005E4A52">
              <w:t>The Comcare scheme is described as a ‘long tail’ rather than a ‘short tail’ workers’ compensation system. This means compensation is paid for injuries for the duration of a worker’s incapacity until retirement.</w:t>
            </w:r>
          </w:p>
          <w:p w14:paraId="54A3E54F" w14:textId="77777777" w:rsidR="009042DA" w:rsidRPr="005E4A52" w:rsidRDefault="009042DA">
            <w:pPr>
              <w:spacing w:after="120"/>
            </w:pPr>
            <w:r w:rsidRPr="005E4A52">
              <w:t xml:space="preserve">The failure of the SRC Act to keep pace with change means that several categories of entitlements require fundamental updates to reflect contemporary settings to ensure fairness, provide best practice and proper support. </w:t>
            </w:r>
          </w:p>
          <w:p w14:paraId="2EA0EA28" w14:textId="77777777" w:rsidR="009042DA" w:rsidRPr="005E4A52" w:rsidRDefault="009042DA">
            <w:pPr>
              <w:spacing w:after="120"/>
            </w:pPr>
            <w:r w:rsidRPr="005E4A52">
              <w:t xml:space="preserve">Entitlements that may be payable are: </w:t>
            </w:r>
          </w:p>
          <w:p w14:paraId="6E43CDEE" w14:textId="77777777" w:rsidR="009042DA" w:rsidRPr="005E4A52" w:rsidRDefault="009042DA" w:rsidP="009042DA">
            <w:pPr>
              <w:pStyle w:val="ListParagraph"/>
              <w:numPr>
                <w:ilvl w:val="0"/>
                <w:numId w:val="36"/>
              </w:numPr>
              <w:spacing w:line="240" w:lineRule="auto"/>
              <w:rPr>
                <w:rFonts w:eastAsia="Calibri" w:cs="Calibri"/>
              </w:rPr>
            </w:pPr>
            <w:r w:rsidRPr="005E4A52">
              <w:rPr>
                <w:rFonts w:eastAsia="Calibri" w:cs="Calibri"/>
              </w:rPr>
              <w:t>Incapacity payments (income replacement).</w:t>
            </w:r>
          </w:p>
          <w:p w14:paraId="3A4015A7" w14:textId="77777777" w:rsidR="009042DA" w:rsidRPr="005E4A52" w:rsidRDefault="009042DA" w:rsidP="009042DA">
            <w:pPr>
              <w:pStyle w:val="ListParagraph"/>
              <w:numPr>
                <w:ilvl w:val="0"/>
                <w:numId w:val="36"/>
              </w:numPr>
              <w:spacing w:line="240" w:lineRule="auto"/>
              <w:rPr>
                <w:rFonts w:eastAsia="Calibri" w:cs="Calibri"/>
              </w:rPr>
            </w:pPr>
            <w:r w:rsidRPr="005E4A52">
              <w:rPr>
                <w:rFonts w:eastAsia="Calibri" w:cs="Calibri"/>
              </w:rPr>
              <w:t>Medical expenses, including the provision of aids or appliances.</w:t>
            </w:r>
          </w:p>
          <w:p w14:paraId="478B7A9D" w14:textId="77777777" w:rsidR="009042DA" w:rsidRPr="005E4A52" w:rsidRDefault="009042DA" w:rsidP="009042DA">
            <w:pPr>
              <w:pStyle w:val="ListParagraph"/>
              <w:numPr>
                <w:ilvl w:val="0"/>
                <w:numId w:val="36"/>
              </w:numPr>
              <w:spacing w:line="240" w:lineRule="auto"/>
              <w:rPr>
                <w:rFonts w:eastAsia="Calibri" w:cs="Calibri"/>
              </w:rPr>
            </w:pPr>
            <w:r w:rsidRPr="005E4A52">
              <w:rPr>
                <w:rFonts w:eastAsia="Calibri" w:cs="Calibri"/>
              </w:rPr>
              <w:t>Permanent impairment and non-economic loss lump sum payments.</w:t>
            </w:r>
          </w:p>
          <w:p w14:paraId="4CEBB5CC" w14:textId="77777777" w:rsidR="009042DA" w:rsidRPr="005E4A52" w:rsidRDefault="009042DA" w:rsidP="009042DA">
            <w:pPr>
              <w:pStyle w:val="ListParagraph"/>
              <w:numPr>
                <w:ilvl w:val="0"/>
                <w:numId w:val="36"/>
              </w:numPr>
              <w:spacing w:line="240" w:lineRule="auto"/>
              <w:rPr>
                <w:rFonts w:eastAsia="Calibri" w:cs="Calibri"/>
              </w:rPr>
            </w:pPr>
            <w:r w:rsidRPr="005E4A52">
              <w:rPr>
                <w:rFonts w:eastAsia="Calibri" w:cs="Calibri"/>
              </w:rPr>
              <w:t>Household and attendant care services.</w:t>
            </w:r>
          </w:p>
          <w:p w14:paraId="09AA2802" w14:textId="77777777" w:rsidR="009042DA" w:rsidRPr="005E4A52" w:rsidRDefault="009042DA" w:rsidP="009042DA">
            <w:pPr>
              <w:pStyle w:val="ListParagraph"/>
              <w:numPr>
                <w:ilvl w:val="0"/>
                <w:numId w:val="36"/>
              </w:numPr>
              <w:spacing w:line="240" w:lineRule="auto"/>
              <w:rPr>
                <w:rFonts w:eastAsia="Calibri" w:cs="Calibri"/>
              </w:rPr>
            </w:pPr>
            <w:r w:rsidRPr="005E4A52">
              <w:rPr>
                <w:rFonts w:eastAsia="Calibri" w:cs="Calibri"/>
              </w:rPr>
              <w:t>Rehabilitation costs, including certain alterations.</w:t>
            </w:r>
          </w:p>
          <w:p w14:paraId="5FCD807C" w14:textId="77777777" w:rsidR="009042DA" w:rsidRPr="005E4A52" w:rsidRDefault="009042DA" w:rsidP="009042DA">
            <w:pPr>
              <w:pStyle w:val="ListParagraph"/>
              <w:numPr>
                <w:ilvl w:val="0"/>
                <w:numId w:val="36"/>
              </w:numPr>
              <w:spacing w:line="240" w:lineRule="auto"/>
            </w:pPr>
            <w:r w:rsidRPr="005E4A52">
              <w:rPr>
                <w:rFonts w:eastAsia="Calibri" w:cs="Calibri"/>
              </w:rPr>
              <w:t>Death payments and funeral expenses.</w:t>
            </w:r>
          </w:p>
        </w:tc>
      </w:tr>
      <w:tr w:rsidR="009042DA" w:rsidRPr="005E4A52" w14:paraId="2625711A" w14:textId="77777777" w:rsidTr="00A31596">
        <w:tc>
          <w:tcPr>
            <w:tcW w:w="1347" w:type="dxa"/>
            <w:shd w:val="clear" w:color="auto" w:fill="E0E1ED" w:themeFill="accent2" w:themeFillTint="33"/>
          </w:tcPr>
          <w:p w14:paraId="103A46F8" w14:textId="77777777" w:rsidR="009042DA" w:rsidRPr="005E4A52" w:rsidRDefault="009042DA">
            <w:pPr>
              <w:rPr>
                <w:b/>
                <w:bCs/>
              </w:rPr>
            </w:pPr>
            <w:r w:rsidRPr="005E4A52">
              <w:rPr>
                <w:b/>
                <w:bCs/>
              </w:rPr>
              <w:t>Issues to be considered</w:t>
            </w:r>
          </w:p>
        </w:tc>
        <w:tc>
          <w:tcPr>
            <w:tcW w:w="8577" w:type="dxa"/>
            <w:shd w:val="clear" w:color="auto" w:fill="F2F2F2" w:themeFill="background1" w:themeFillShade="F2"/>
          </w:tcPr>
          <w:p w14:paraId="57CB4D9B" w14:textId="77777777" w:rsidR="00FC10F8" w:rsidRPr="005E4A52" w:rsidRDefault="00FC10F8" w:rsidP="00FC10F8">
            <w:pPr>
              <w:pStyle w:val="ListParagraph"/>
              <w:numPr>
                <w:ilvl w:val="0"/>
                <w:numId w:val="27"/>
              </w:numPr>
              <w:spacing w:after="120" w:line="240" w:lineRule="auto"/>
            </w:pPr>
            <w:r w:rsidRPr="005E4A52">
              <w:t xml:space="preserve">How incapacity entitlements </w:t>
            </w:r>
            <w:r>
              <w:t xml:space="preserve">can </w:t>
            </w:r>
            <w:r w:rsidRPr="005E4A52">
              <w:t>be better structured to ensure fair compensation for injured employees</w:t>
            </w:r>
            <w:r>
              <w:t>.</w:t>
            </w:r>
            <w:r w:rsidRPr="005E4A52">
              <w:t xml:space="preserve"> For example, are there any age</w:t>
            </w:r>
            <w:r w:rsidRPr="005E4A52">
              <w:noBreakHyphen/>
              <w:t xml:space="preserve">related barriers that need to be removed to better support employees recover and plan for retirement? </w:t>
            </w:r>
          </w:p>
          <w:p w14:paraId="5EB6C625" w14:textId="77777777" w:rsidR="009042DA" w:rsidRPr="005E4A52" w:rsidRDefault="009042DA" w:rsidP="009042DA">
            <w:pPr>
              <w:pStyle w:val="ListParagraph"/>
              <w:numPr>
                <w:ilvl w:val="0"/>
                <w:numId w:val="27"/>
              </w:numPr>
              <w:spacing w:after="120" w:line="240" w:lineRule="auto"/>
            </w:pPr>
            <w:r w:rsidRPr="005E4A52">
              <w:t>How to improve compensation for families following the death of an employee, including how to attribute the lump sum between dependants and funeral expenses.</w:t>
            </w:r>
          </w:p>
          <w:p w14:paraId="24DC51C9" w14:textId="77777777" w:rsidR="009042DA" w:rsidRPr="005E4A52" w:rsidRDefault="009042DA" w:rsidP="009042DA">
            <w:pPr>
              <w:pStyle w:val="ListParagraph"/>
              <w:numPr>
                <w:ilvl w:val="0"/>
                <w:numId w:val="27"/>
              </w:numPr>
              <w:spacing w:after="120" w:line="240" w:lineRule="auto"/>
            </w:pPr>
            <w:r w:rsidRPr="005E4A52">
              <w:t xml:space="preserve">How to ensure best practice for managing multiple impairments. For example, by combining impairments or treating them separately to meet a threshold for a compensable injury.  </w:t>
            </w:r>
          </w:p>
          <w:p w14:paraId="333A456A" w14:textId="71F490DC" w:rsidR="009042DA" w:rsidRPr="005E4A52" w:rsidRDefault="009042DA" w:rsidP="009042DA">
            <w:pPr>
              <w:pStyle w:val="ListParagraph"/>
              <w:numPr>
                <w:ilvl w:val="0"/>
                <w:numId w:val="27"/>
              </w:numPr>
              <w:spacing w:after="120" w:line="240" w:lineRule="auto"/>
            </w:pPr>
            <w:r w:rsidRPr="005E4A52">
              <w:t xml:space="preserve">How to ensure best practice in determining appropriate levels of compensation for medical treatment and rehabilitation for example, by examining the meaning of ‘treatment that was reasonable to obtain’ and compensation payable in respect of alterations and other matters ‘reasonably required.’  </w:t>
            </w:r>
          </w:p>
          <w:p w14:paraId="5D85D297" w14:textId="083875CC" w:rsidR="009042DA" w:rsidRPr="005E4A52" w:rsidRDefault="009042DA" w:rsidP="009042DA">
            <w:pPr>
              <w:pStyle w:val="ListParagraph"/>
              <w:numPr>
                <w:ilvl w:val="0"/>
                <w:numId w:val="27"/>
              </w:numPr>
              <w:spacing w:after="120" w:line="240" w:lineRule="auto"/>
            </w:pPr>
            <w:r w:rsidRPr="005E4A52">
              <w:t xml:space="preserve">How to improve the framework and eligibility for compensation for household and attendant care services for non-catastrophic injuries. </w:t>
            </w:r>
          </w:p>
          <w:p w14:paraId="71ECD7F3" w14:textId="77777777" w:rsidR="009042DA" w:rsidRPr="005E4A52" w:rsidRDefault="009042DA" w:rsidP="009042DA">
            <w:pPr>
              <w:pStyle w:val="ListParagraph"/>
              <w:numPr>
                <w:ilvl w:val="0"/>
                <w:numId w:val="27"/>
              </w:numPr>
              <w:spacing w:after="120" w:line="240" w:lineRule="auto"/>
            </w:pPr>
            <w:r w:rsidRPr="005E4A52">
              <w:lastRenderedPageBreak/>
              <w:t xml:space="preserve">How payments can best support an employee’s recovery. For example, by providing an option for lump sum payments instead of ongoing weekly payments (redemption of entitlement), in cases where the ongoing link to employment has an adverse impact and potentially hinders the employee’s recovery.   </w:t>
            </w:r>
          </w:p>
        </w:tc>
      </w:tr>
      <w:tr w:rsidR="009042DA" w:rsidRPr="005E4A52" w14:paraId="1AC321BE" w14:textId="77777777" w:rsidTr="00A31596">
        <w:tc>
          <w:tcPr>
            <w:tcW w:w="1347" w:type="dxa"/>
            <w:shd w:val="clear" w:color="auto" w:fill="E0E1ED" w:themeFill="accent2" w:themeFillTint="33"/>
          </w:tcPr>
          <w:p w14:paraId="0570B49C" w14:textId="77777777" w:rsidR="009042DA" w:rsidRPr="005E4A52" w:rsidRDefault="009042DA">
            <w:pPr>
              <w:rPr>
                <w:b/>
                <w:bCs/>
              </w:rPr>
            </w:pPr>
            <w:r w:rsidRPr="005E4A52">
              <w:rPr>
                <w:b/>
                <w:bCs/>
              </w:rPr>
              <w:lastRenderedPageBreak/>
              <w:t xml:space="preserve">Links to </w:t>
            </w:r>
            <w:proofErr w:type="gramStart"/>
            <w:r w:rsidRPr="005E4A52">
              <w:rPr>
                <w:b/>
                <w:bCs/>
              </w:rPr>
              <w:t>other</w:t>
            </w:r>
            <w:proofErr w:type="gramEnd"/>
            <w:r w:rsidRPr="005E4A52">
              <w:rPr>
                <w:b/>
                <w:bCs/>
              </w:rPr>
              <w:t xml:space="preserve"> </w:t>
            </w:r>
            <w:proofErr w:type="spellStart"/>
            <w:r w:rsidRPr="005E4A52">
              <w:rPr>
                <w:b/>
                <w:bCs/>
              </w:rPr>
              <w:t>ToR</w:t>
            </w:r>
            <w:proofErr w:type="spellEnd"/>
          </w:p>
        </w:tc>
        <w:tc>
          <w:tcPr>
            <w:tcW w:w="8577" w:type="dxa"/>
            <w:shd w:val="clear" w:color="auto" w:fill="F2F2F2" w:themeFill="background1" w:themeFillShade="F2"/>
          </w:tcPr>
          <w:p w14:paraId="4FCD870F" w14:textId="60B7E2B7" w:rsidR="009042DA" w:rsidRPr="00AF61D8" w:rsidRDefault="009042DA">
            <w:pPr>
              <w:spacing w:after="120"/>
              <w:rPr>
                <w:rFonts w:eastAsiaTheme="majorEastAsia" w:cstheme="minorHAnsi"/>
              </w:rPr>
            </w:pPr>
            <w:r w:rsidRPr="005E4A52">
              <w:rPr>
                <w:rStyle w:val="normaltextrun"/>
                <w:rFonts w:eastAsiaTheme="majorEastAsia" w:cstheme="minorHAnsi"/>
              </w:rPr>
              <w:t>Term of reference 1 in relation to best practice.</w:t>
            </w:r>
          </w:p>
        </w:tc>
      </w:tr>
      <w:tr w:rsidR="009042DA" w:rsidRPr="005E4A52" w14:paraId="4B100617" w14:textId="77777777" w:rsidTr="00A31596">
        <w:tc>
          <w:tcPr>
            <w:tcW w:w="1347" w:type="dxa"/>
            <w:shd w:val="clear" w:color="auto" w:fill="E0E1ED" w:themeFill="accent2" w:themeFillTint="33"/>
          </w:tcPr>
          <w:p w14:paraId="4AF240F4" w14:textId="77777777" w:rsidR="009042DA" w:rsidRPr="005E4A52" w:rsidRDefault="009042DA">
            <w:pPr>
              <w:rPr>
                <w:b/>
                <w:bCs/>
              </w:rPr>
            </w:pPr>
            <w:r w:rsidRPr="005E4A52">
              <w:rPr>
                <w:b/>
                <w:bCs/>
              </w:rPr>
              <w:t>Questions</w:t>
            </w:r>
          </w:p>
        </w:tc>
        <w:tc>
          <w:tcPr>
            <w:tcW w:w="8577" w:type="dxa"/>
            <w:shd w:val="clear" w:color="auto" w:fill="F2F2F2" w:themeFill="background1" w:themeFillShade="F2"/>
          </w:tcPr>
          <w:p w14:paraId="4AB29CB1" w14:textId="77777777"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How can entitlements be structured to improve outcomes for employees and their families? What changes can balance fair support while ensuring the financial viability of the Comcare scheme? For example, should changes be made to the step-down provisions or the duration of payments?</w:t>
            </w:r>
          </w:p>
          <w:p w14:paraId="41321A27" w14:textId="6ED4D631"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What changes are needed to best determine fair compensation for </w:t>
            </w:r>
            <w:r w:rsidRPr="005E4A52">
              <w:t xml:space="preserve">medical treatment and rehabilitation and </w:t>
            </w:r>
            <w:r w:rsidRPr="005E4A52">
              <w:rPr>
                <w:rStyle w:val="normaltextrun"/>
                <w:rFonts w:eastAsiaTheme="majorEastAsia" w:cstheme="minorHAnsi"/>
              </w:rPr>
              <w:t xml:space="preserve">household and attendant care services? </w:t>
            </w:r>
          </w:p>
          <w:p w14:paraId="3A221A91" w14:textId="6469BB2D"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How should the permanent impairment provisions be improved?</w:t>
            </w:r>
          </w:p>
          <w:p w14:paraId="496202B1" w14:textId="6949656D"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Does the Comcare scheme sufficiently support injured employees with no potential to return to work?</w:t>
            </w:r>
          </w:p>
          <w:p w14:paraId="500E2E38" w14:textId="77EF199D" w:rsidR="009042DA" w:rsidRPr="005E4A52" w:rsidRDefault="009042DA" w:rsidP="009042DA">
            <w:pPr>
              <w:pStyle w:val="ListParagraph"/>
              <w:numPr>
                <w:ilvl w:val="0"/>
                <w:numId w:val="11"/>
              </w:numPr>
              <w:spacing w:after="120" w:line="240" w:lineRule="auto"/>
              <w:rPr>
                <w:rFonts w:eastAsiaTheme="majorEastAsia" w:cstheme="minorHAnsi"/>
              </w:rPr>
            </w:pPr>
            <w:r w:rsidRPr="005E4A52">
              <w:rPr>
                <w:rStyle w:val="normaltextrun"/>
                <w:rFonts w:eastAsiaTheme="majorEastAsia" w:cstheme="minorHAnsi"/>
              </w:rPr>
              <w:t xml:space="preserve">Should the scheme allow more options to finalise claims, including lump sum payments? What safeguards should be in place? </w:t>
            </w:r>
          </w:p>
        </w:tc>
      </w:tr>
      <w:tr w:rsidR="009042DA" w:rsidRPr="005E4A52" w14:paraId="1A6FD4A6" w14:textId="77777777" w:rsidTr="00D25DA0">
        <w:tc>
          <w:tcPr>
            <w:tcW w:w="9924" w:type="dxa"/>
            <w:gridSpan w:val="2"/>
            <w:shd w:val="clear" w:color="auto" w:fill="092050" w:themeFill="text1" w:themeFillShade="BF"/>
          </w:tcPr>
          <w:p w14:paraId="40C681D6" w14:textId="40920FDE" w:rsidR="009042DA" w:rsidRPr="005E4A52" w:rsidRDefault="008253D2" w:rsidP="0015289B">
            <w:pPr>
              <w:spacing w:before="120" w:after="120"/>
              <w:ind w:left="720"/>
              <w:rPr>
                <w:b/>
                <w:bCs/>
              </w:rPr>
            </w:pPr>
            <w:r w:rsidRPr="005E4A52">
              <w:rPr>
                <w:b/>
                <w:bCs/>
                <w:color w:val="FFFFFF" w:themeColor="background1"/>
                <w:sz w:val="24"/>
                <w:szCs w:val="24"/>
              </w:rPr>
              <w:t xml:space="preserve">c. </w:t>
            </w:r>
            <w:r w:rsidR="009042DA" w:rsidRPr="005E4A52">
              <w:rPr>
                <w:b/>
                <w:bCs/>
                <w:color w:val="FFFFFF" w:themeColor="background1"/>
                <w:sz w:val="24"/>
                <w:szCs w:val="24"/>
              </w:rPr>
              <w:t>Interactions with other schemes and sources of income</w:t>
            </w:r>
          </w:p>
        </w:tc>
      </w:tr>
      <w:tr w:rsidR="009042DA" w:rsidRPr="005E4A52" w14:paraId="6D2C87A9" w14:textId="77777777" w:rsidTr="00A31596">
        <w:tc>
          <w:tcPr>
            <w:tcW w:w="1347" w:type="dxa"/>
            <w:shd w:val="clear" w:color="auto" w:fill="E0E1ED" w:themeFill="accent2" w:themeFillTint="33"/>
          </w:tcPr>
          <w:p w14:paraId="4F3D98FB" w14:textId="6391B858" w:rsidR="009042DA" w:rsidRPr="005E4A52" w:rsidRDefault="009042DA">
            <w:pPr>
              <w:rPr>
                <w:b/>
                <w:bCs/>
              </w:rPr>
            </w:pPr>
            <w:r w:rsidRPr="005E4A52">
              <w:rPr>
                <w:b/>
                <w:bCs/>
              </w:rPr>
              <w:t>Why important</w:t>
            </w:r>
          </w:p>
        </w:tc>
        <w:tc>
          <w:tcPr>
            <w:tcW w:w="8577" w:type="dxa"/>
            <w:shd w:val="clear" w:color="auto" w:fill="F2F2F2" w:themeFill="background1" w:themeFillShade="F2"/>
          </w:tcPr>
          <w:p w14:paraId="0922A343" w14:textId="555CBEA7" w:rsidR="009042DA" w:rsidRPr="005E4A52" w:rsidRDefault="2D1E61DB">
            <w:pPr>
              <w:spacing w:after="120"/>
              <w:rPr>
                <w:rFonts w:ascii="Aptos" w:eastAsia="Aptos" w:hAnsi="Aptos" w:cs="Aptos"/>
              </w:rPr>
            </w:pPr>
            <w:r w:rsidRPr="0701600D">
              <w:rPr>
                <w:rFonts w:ascii="Aptos" w:eastAsia="Aptos" w:hAnsi="Aptos" w:cs="Aptos"/>
              </w:rPr>
              <w:t>The 1988 Act established the Comcare scheme as a long-tail scheme</w:t>
            </w:r>
            <w:r w:rsidR="006C7933">
              <w:rPr>
                <w:rFonts w:ascii="Aptos" w:eastAsia="Aptos" w:hAnsi="Aptos" w:cs="Aptos"/>
              </w:rPr>
              <w:t>. This means</w:t>
            </w:r>
            <w:r w:rsidRPr="0701600D">
              <w:rPr>
                <w:rFonts w:ascii="Aptos" w:eastAsia="Aptos" w:hAnsi="Aptos" w:cs="Aptos"/>
              </w:rPr>
              <w:t xml:space="preserve"> payment</w:t>
            </w:r>
            <w:r w:rsidR="006C7933">
              <w:rPr>
                <w:rFonts w:ascii="Aptos" w:eastAsia="Aptos" w:hAnsi="Aptos" w:cs="Aptos"/>
              </w:rPr>
              <w:t>s</w:t>
            </w:r>
            <w:r w:rsidRPr="0701600D">
              <w:rPr>
                <w:rFonts w:ascii="Aptos" w:eastAsia="Aptos" w:hAnsi="Aptos" w:cs="Aptos"/>
              </w:rPr>
              <w:t xml:space="preserve"> of compensation and benefits </w:t>
            </w:r>
            <w:r w:rsidR="006C7933">
              <w:rPr>
                <w:rFonts w:ascii="Aptos" w:eastAsia="Aptos" w:hAnsi="Aptos" w:cs="Aptos"/>
              </w:rPr>
              <w:t xml:space="preserve">are </w:t>
            </w:r>
            <w:r w:rsidRPr="0701600D">
              <w:rPr>
                <w:rFonts w:ascii="Aptos" w:eastAsia="Aptos" w:hAnsi="Aptos" w:cs="Aptos"/>
              </w:rPr>
              <w:t>for the life of the injury or disease</w:t>
            </w:r>
            <w:r w:rsidR="006C7933">
              <w:rPr>
                <w:rFonts w:ascii="Aptos" w:eastAsia="Aptos" w:hAnsi="Aptos" w:cs="Aptos"/>
              </w:rPr>
              <w:t>.</w:t>
            </w:r>
            <w:r w:rsidRPr="0701600D">
              <w:rPr>
                <w:rFonts w:ascii="Aptos" w:eastAsia="Aptos" w:hAnsi="Aptos" w:cs="Aptos"/>
              </w:rPr>
              <w:t xml:space="preserve"> </w:t>
            </w:r>
            <w:r w:rsidR="00661EDB">
              <w:t>T</w:t>
            </w:r>
            <w:r w:rsidR="009042DA">
              <w:t>he</w:t>
            </w:r>
            <w:r w:rsidR="009042DA" w:rsidRPr="005E4A52">
              <w:t xml:space="preserve"> introduction of the 1988 Act all but extinguished the </w:t>
            </w:r>
            <w:r w:rsidR="0A06679A">
              <w:t>right</w:t>
            </w:r>
            <w:r w:rsidR="000F5497">
              <w:t xml:space="preserve"> </w:t>
            </w:r>
            <w:r w:rsidR="009042DA">
              <w:t>of</w:t>
            </w:r>
            <w:r w:rsidR="009042DA" w:rsidRPr="005E4A52">
              <w:t xml:space="preserve"> an employee to bring a common law negligence claim against the Commonwealth as an alternative to making a workers’ compensation claim.  </w:t>
            </w:r>
            <w:r w:rsidR="74F6CF82" w:rsidRPr="78E0FA71">
              <w:rPr>
                <w:rFonts w:ascii="Aptos" w:eastAsia="Aptos" w:hAnsi="Aptos" w:cs="Aptos"/>
              </w:rPr>
              <w:t>This bar does not prevent action against a liable third party, however if the employee recovers damages through such an action (in respect of the same injury) they must repay an amount to Comcare.</w:t>
            </w:r>
          </w:p>
          <w:p w14:paraId="21798FEF" w14:textId="0D01676B" w:rsidR="00721265" w:rsidRPr="005E4A52" w:rsidRDefault="00721265">
            <w:pPr>
              <w:spacing w:after="120"/>
              <w:rPr>
                <w:rFonts w:ascii="Aptos" w:eastAsia="Aptos" w:hAnsi="Aptos" w:cs="Aptos"/>
              </w:rPr>
            </w:pPr>
            <w:r>
              <w:rPr>
                <w:rFonts w:ascii="Aptos" w:eastAsia="Aptos" w:hAnsi="Aptos" w:cs="Aptos"/>
              </w:rPr>
              <w:t xml:space="preserve">The Hanks Review recommended maintaining the restrictions </w:t>
            </w:r>
            <w:r w:rsidR="00B405A6">
              <w:rPr>
                <w:rFonts w:ascii="Aptos" w:eastAsia="Aptos" w:hAnsi="Aptos" w:cs="Aptos"/>
              </w:rPr>
              <w:t>on</w:t>
            </w:r>
            <w:r>
              <w:rPr>
                <w:rFonts w:ascii="Aptos" w:eastAsia="Aptos" w:hAnsi="Aptos" w:cs="Aptos"/>
              </w:rPr>
              <w:t xml:space="preserve"> the access to common law, however recommended </w:t>
            </w:r>
            <w:r w:rsidR="00672358">
              <w:rPr>
                <w:rFonts w:ascii="Aptos" w:eastAsia="Aptos" w:hAnsi="Aptos" w:cs="Aptos"/>
              </w:rPr>
              <w:t>the introduction of</w:t>
            </w:r>
            <w:r>
              <w:rPr>
                <w:rFonts w:ascii="Aptos" w:eastAsia="Aptos" w:hAnsi="Aptos" w:cs="Aptos"/>
              </w:rPr>
              <w:t xml:space="preserve"> </w:t>
            </w:r>
            <w:r w:rsidR="0066315D">
              <w:rPr>
                <w:rFonts w:ascii="Aptos" w:eastAsia="Aptos" w:hAnsi="Aptos" w:cs="Aptos"/>
              </w:rPr>
              <w:t xml:space="preserve">a broader </w:t>
            </w:r>
            <w:r w:rsidR="00E15176">
              <w:rPr>
                <w:rFonts w:ascii="Aptos" w:eastAsia="Aptos" w:hAnsi="Aptos" w:cs="Aptos"/>
              </w:rPr>
              <w:t xml:space="preserve">ability to voluntarily redeem future entitlements </w:t>
            </w:r>
            <w:r w:rsidR="001F2942">
              <w:rPr>
                <w:rFonts w:ascii="Aptos" w:eastAsia="Aptos" w:hAnsi="Aptos" w:cs="Aptos"/>
              </w:rPr>
              <w:t xml:space="preserve">to offset some of the </w:t>
            </w:r>
            <w:r w:rsidR="00436230">
              <w:rPr>
                <w:rFonts w:ascii="Aptos" w:eastAsia="Aptos" w:hAnsi="Aptos" w:cs="Aptos"/>
              </w:rPr>
              <w:t xml:space="preserve">concerns about the lack of common law access.  Presently, </w:t>
            </w:r>
            <w:r w:rsidR="00FA6B14">
              <w:rPr>
                <w:rFonts w:ascii="Aptos" w:eastAsia="Aptos" w:hAnsi="Aptos" w:cs="Aptos"/>
              </w:rPr>
              <w:t xml:space="preserve">the SRC Act only provides for compulsory redemption for those with a permanent incapacity </w:t>
            </w:r>
            <w:r w:rsidR="009427C9">
              <w:rPr>
                <w:rFonts w:ascii="Aptos" w:eastAsia="Aptos" w:hAnsi="Aptos" w:cs="Aptos"/>
              </w:rPr>
              <w:t xml:space="preserve">with an entitlement below </w:t>
            </w:r>
            <w:r w:rsidR="00FC2DAC">
              <w:rPr>
                <w:rFonts w:ascii="Aptos" w:eastAsia="Aptos" w:hAnsi="Aptos" w:cs="Aptos"/>
              </w:rPr>
              <w:t>$143.75 per week</w:t>
            </w:r>
            <w:r w:rsidR="00612176">
              <w:rPr>
                <w:rFonts w:ascii="Aptos" w:eastAsia="Aptos" w:hAnsi="Aptos" w:cs="Aptos"/>
              </w:rPr>
              <w:t>, resulting in a very small number of redemptions</w:t>
            </w:r>
            <w:r w:rsidR="00FC2DAC">
              <w:rPr>
                <w:rFonts w:ascii="Aptos" w:eastAsia="Aptos" w:hAnsi="Aptos" w:cs="Aptos"/>
              </w:rPr>
              <w:t>.</w:t>
            </w:r>
          </w:p>
          <w:p w14:paraId="10DDFF29" w14:textId="40E7A5FC" w:rsidR="009042DA" w:rsidRPr="005E4A52" w:rsidRDefault="009042DA">
            <w:pPr>
              <w:spacing w:after="120"/>
            </w:pPr>
            <w:r w:rsidRPr="005E4A52">
              <w:t xml:space="preserve">Since </w:t>
            </w:r>
            <w:r w:rsidR="00797CA7">
              <w:t xml:space="preserve">the commencement of the SRC Act </w:t>
            </w:r>
            <w:r w:rsidRPr="005E4A52">
              <w:t xml:space="preserve">laws have developed, such as those relating to anti-discrimination, which allow for the awarding of damages for unlawful discrimination, including in a workplace setting. The recent Federal Court case of </w:t>
            </w:r>
            <w:r w:rsidRPr="005E4A52">
              <w:rPr>
                <w:i/>
                <w:iCs/>
              </w:rPr>
              <w:t>Comcare v Friend</w:t>
            </w:r>
            <w:r w:rsidRPr="005E4A52">
              <w:t xml:space="preserve"> clarified that rights under the Comcare scheme are not impacted by the awarding of damages under discrimination laws (and potentially other similar statutory damages schemes).     </w:t>
            </w:r>
          </w:p>
          <w:p w14:paraId="2F9275C1" w14:textId="6C174AB9" w:rsidR="009042DA" w:rsidRPr="005E4A52" w:rsidRDefault="009042DA">
            <w:pPr>
              <w:spacing w:after="120"/>
            </w:pPr>
            <w:r w:rsidRPr="005E4A52">
              <w:t>Further, since the SRC Act was enacted, other schemes and sources of support have developed and changed, in particular superannuation and the National Disability Insurance Scheme.</w:t>
            </w:r>
          </w:p>
          <w:p w14:paraId="20BC26E3" w14:textId="71B88A42" w:rsidR="009042DA" w:rsidRPr="005E4A52" w:rsidRDefault="009042DA">
            <w:pPr>
              <w:spacing w:after="120"/>
            </w:pPr>
            <w:r w:rsidRPr="005E4A52">
              <w:t xml:space="preserve">Some of these schemes can be viewed as replicating or doubling up on entitlements provided under the SRC Act and raise questions about the appropriateness of </w:t>
            </w:r>
            <w:r w:rsidR="00541DEC" w:rsidRPr="00541DEC">
              <w:t>the Act’s mechanisms to</w:t>
            </w:r>
            <w:r w:rsidR="00885EDE">
              <w:t xml:space="preserve"> </w:t>
            </w:r>
            <w:r w:rsidR="00541DEC" w:rsidRPr="00541DEC">
              <w:t>deal with such issue</w:t>
            </w:r>
            <w:r w:rsidR="00885EDE">
              <w:t>s</w:t>
            </w:r>
            <w:r w:rsidR="00B318FA">
              <w:t>.</w:t>
            </w:r>
          </w:p>
        </w:tc>
      </w:tr>
      <w:tr w:rsidR="009042DA" w:rsidRPr="005E4A52" w14:paraId="39B307B4" w14:textId="77777777" w:rsidTr="00A31596">
        <w:tc>
          <w:tcPr>
            <w:tcW w:w="1347" w:type="dxa"/>
            <w:shd w:val="clear" w:color="auto" w:fill="E0E1ED" w:themeFill="accent2" w:themeFillTint="33"/>
          </w:tcPr>
          <w:p w14:paraId="605D5D3F" w14:textId="77777777" w:rsidR="009042DA" w:rsidRPr="005E4A52" w:rsidRDefault="009042DA">
            <w:pPr>
              <w:rPr>
                <w:b/>
                <w:bCs/>
              </w:rPr>
            </w:pPr>
            <w:r w:rsidRPr="005E4A52">
              <w:rPr>
                <w:b/>
                <w:bCs/>
              </w:rPr>
              <w:lastRenderedPageBreak/>
              <w:t>Issues to be considered</w:t>
            </w:r>
          </w:p>
        </w:tc>
        <w:tc>
          <w:tcPr>
            <w:tcW w:w="8577" w:type="dxa"/>
            <w:shd w:val="clear" w:color="auto" w:fill="F2F2F2" w:themeFill="background1" w:themeFillShade="F2"/>
          </w:tcPr>
          <w:p w14:paraId="22AFA219" w14:textId="28C360A9" w:rsidR="009042DA" w:rsidRPr="005E4A52" w:rsidRDefault="009042DA" w:rsidP="501B6D24">
            <w:pPr>
              <w:pStyle w:val="ListParagraph"/>
              <w:numPr>
                <w:ilvl w:val="0"/>
                <w:numId w:val="37"/>
              </w:numPr>
              <w:spacing w:after="120" w:line="240" w:lineRule="auto"/>
              <w:rPr>
                <w:rFonts w:ascii="Aptos" w:eastAsia="Aptos" w:hAnsi="Aptos" w:cs="Aptos"/>
              </w:rPr>
            </w:pPr>
            <w:r w:rsidRPr="005E4A52">
              <w:t>The limitation on seeking compensation through a common law action for non-economic loss</w:t>
            </w:r>
            <w:r w:rsidR="65FE7322">
              <w:t xml:space="preserve"> </w:t>
            </w:r>
            <w:r w:rsidR="65FE7322" w:rsidRPr="501B6D24">
              <w:rPr>
                <w:rFonts w:ascii="Aptos" w:eastAsia="Aptos" w:hAnsi="Aptos" w:cs="Aptos"/>
              </w:rPr>
              <w:t xml:space="preserve">coupled with the limited right to redeem compensation benefits. </w:t>
            </w:r>
          </w:p>
          <w:p w14:paraId="78CF27A7" w14:textId="61EE4B63" w:rsidR="009042DA" w:rsidRPr="005E4A52" w:rsidRDefault="65FE7322" w:rsidP="00204739">
            <w:pPr>
              <w:pStyle w:val="ListParagraph"/>
              <w:numPr>
                <w:ilvl w:val="0"/>
                <w:numId w:val="37"/>
              </w:numPr>
              <w:spacing w:after="0" w:line="240" w:lineRule="auto"/>
            </w:pPr>
            <w:r w:rsidRPr="501B6D24">
              <w:rPr>
                <w:rFonts w:ascii="Aptos" w:eastAsia="Aptos" w:hAnsi="Aptos" w:cs="Aptos"/>
              </w:rPr>
              <w:t>The right of recovery from other statutory scheme which provide compensation.</w:t>
            </w:r>
          </w:p>
          <w:p w14:paraId="3E3135D8" w14:textId="77777777" w:rsidR="009042DA" w:rsidRPr="005E4A52" w:rsidRDefault="009042DA" w:rsidP="009042DA">
            <w:pPr>
              <w:pStyle w:val="ListParagraph"/>
              <w:numPr>
                <w:ilvl w:val="0"/>
                <w:numId w:val="37"/>
              </w:numPr>
              <w:spacing w:after="120" w:line="240" w:lineRule="auto"/>
            </w:pPr>
            <w:r w:rsidRPr="005E4A52">
              <w:t xml:space="preserve">How to best integrate workers’ compensation payments with other schemes, for example payments from other sources such as Centrelink, Medicare, Department of Veteran Affairs and the National Disability Insurance Scheme for the same or similar injuries. </w:t>
            </w:r>
          </w:p>
          <w:p w14:paraId="00EB62D5" w14:textId="250F7297" w:rsidR="009042DA" w:rsidRPr="005E4A52" w:rsidRDefault="009042DA" w:rsidP="009042DA">
            <w:pPr>
              <w:pStyle w:val="ListParagraph"/>
              <w:numPr>
                <w:ilvl w:val="0"/>
                <w:numId w:val="37"/>
              </w:numPr>
              <w:spacing w:after="120" w:line="240" w:lineRule="auto"/>
            </w:pPr>
            <w:r w:rsidRPr="005E4A52">
              <w:t>How to enable Comcare and self-insured licensees directly to recover amounts paid by a liable third party.</w:t>
            </w:r>
          </w:p>
          <w:p w14:paraId="613B442B" w14:textId="77777777" w:rsidR="009042DA" w:rsidRPr="005E4A52" w:rsidRDefault="009042DA" w:rsidP="009042DA">
            <w:pPr>
              <w:pStyle w:val="ListParagraph"/>
              <w:numPr>
                <w:ilvl w:val="0"/>
                <w:numId w:val="37"/>
              </w:numPr>
              <w:spacing w:after="120" w:line="240" w:lineRule="auto"/>
            </w:pPr>
            <w:r w:rsidRPr="005E4A52">
              <w:t>Whether the reductions for superannuation received remains appropriate.</w:t>
            </w:r>
          </w:p>
        </w:tc>
      </w:tr>
      <w:tr w:rsidR="009042DA" w:rsidRPr="005E4A52" w14:paraId="3762287B" w14:textId="77777777" w:rsidTr="00A31596">
        <w:tc>
          <w:tcPr>
            <w:tcW w:w="1347" w:type="dxa"/>
            <w:shd w:val="clear" w:color="auto" w:fill="E0E1ED" w:themeFill="accent2" w:themeFillTint="33"/>
          </w:tcPr>
          <w:p w14:paraId="243B60C7" w14:textId="77777777" w:rsidR="009042DA" w:rsidRPr="005E4A52" w:rsidRDefault="009042DA">
            <w:pPr>
              <w:rPr>
                <w:b/>
                <w:bCs/>
              </w:rPr>
            </w:pPr>
            <w:r w:rsidRPr="005E4A52">
              <w:rPr>
                <w:b/>
                <w:bCs/>
              </w:rPr>
              <w:t xml:space="preserve">Links to </w:t>
            </w:r>
            <w:proofErr w:type="gramStart"/>
            <w:r w:rsidRPr="005E4A52">
              <w:rPr>
                <w:b/>
                <w:bCs/>
              </w:rPr>
              <w:t>other</w:t>
            </w:r>
            <w:proofErr w:type="gramEnd"/>
            <w:r w:rsidRPr="005E4A52">
              <w:rPr>
                <w:b/>
                <w:bCs/>
              </w:rPr>
              <w:t xml:space="preserve"> </w:t>
            </w:r>
            <w:proofErr w:type="spellStart"/>
            <w:r w:rsidRPr="005E4A52">
              <w:rPr>
                <w:b/>
                <w:bCs/>
              </w:rPr>
              <w:t>ToR</w:t>
            </w:r>
            <w:proofErr w:type="spellEnd"/>
          </w:p>
        </w:tc>
        <w:tc>
          <w:tcPr>
            <w:tcW w:w="8577" w:type="dxa"/>
            <w:shd w:val="clear" w:color="auto" w:fill="F2F2F2" w:themeFill="background1" w:themeFillShade="F2"/>
          </w:tcPr>
          <w:p w14:paraId="14FC8AB6" w14:textId="1959F005" w:rsidR="009042DA" w:rsidRPr="005E4A52" w:rsidRDefault="009042DA">
            <w:pPr>
              <w:spacing w:after="120"/>
              <w:rPr>
                <w:rStyle w:val="normaltextrun"/>
                <w:rFonts w:eastAsiaTheme="majorEastAsia" w:cstheme="minorHAnsi"/>
              </w:rPr>
            </w:pPr>
            <w:r w:rsidRPr="005E4A52">
              <w:rPr>
                <w:rStyle w:val="normaltextrun"/>
                <w:rFonts w:eastAsiaTheme="majorEastAsia" w:cstheme="minorHAnsi"/>
              </w:rPr>
              <w:t xml:space="preserve">Term of reference 1 in relation to best practice. </w:t>
            </w:r>
          </w:p>
        </w:tc>
      </w:tr>
      <w:tr w:rsidR="009042DA" w:rsidRPr="005E4A52" w14:paraId="2D7814A2" w14:textId="77777777" w:rsidTr="00A31596">
        <w:tc>
          <w:tcPr>
            <w:tcW w:w="1347" w:type="dxa"/>
            <w:shd w:val="clear" w:color="auto" w:fill="E0E1ED" w:themeFill="accent2" w:themeFillTint="33"/>
          </w:tcPr>
          <w:p w14:paraId="4BB7D1A5" w14:textId="77777777" w:rsidR="009042DA" w:rsidRPr="005E4A52" w:rsidRDefault="009042DA">
            <w:pPr>
              <w:rPr>
                <w:b/>
                <w:bCs/>
              </w:rPr>
            </w:pPr>
            <w:r w:rsidRPr="005E4A52">
              <w:rPr>
                <w:b/>
                <w:bCs/>
              </w:rPr>
              <w:t xml:space="preserve">Questions </w:t>
            </w:r>
          </w:p>
        </w:tc>
        <w:tc>
          <w:tcPr>
            <w:tcW w:w="8577" w:type="dxa"/>
            <w:shd w:val="clear" w:color="auto" w:fill="F2F2F2" w:themeFill="background1" w:themeFillShade="F2"/>
          </w:tcPr>
          <w:p w14:paraId="65F29469" w14:textId="10D9F246" w:rsidR="009042DA" w:rsidRPr="005E4A52" w:rsidRDefault="10139BF3" w:rsidP="009042DA">
            <w:pPr>
              <w:pStyle w:val="ListParagraph"/>
              <w:numPr>
                <w:ilvl w:val="0"/>
                <w:numId w:val="11"/>
              </w:numPr>
              <w:spacing w:after="120" w:line="240" w:lineRule="auto"/>
              <w:rPr>
                <w:rStyle w:val="normaltextrun"/>
                <w:rFonts w:eastAsiaTheme="majorEastAsia"/>
              </w:rPr>
            </w:pPr>
            <w:r w:rsidRPr="2F26C440">
              <w:rPr>
                <w:rStyle w:val="normaltextrun"/>
                <w:rFonts w:eastAsiaTheme="majorEastAsia"/>
              </w:rPr>
              <w:t>Should access to common law continue to be rest</w:t>
            </w:r>
            <w:r w:rsidR="000F6385">
              <w:rPr>
                <w:rStyle w:val="normaltextrun"/>
                <w:rFonts w:eastAsiaTheme="majorEastAsia"/>
              </w:rPr>
              <w:t>r</w:t>
            </w:r>
            <w:r w:rsidRPr="2F26C440">
              <w:rPr>
                <w:rStyle w:val="normaltextrun"/>
                <w:rFonts w:eastAsiaTheme="majorEastAsia"/>
              </w:rPr>
              <w:t>icted?</w:t>
            </w:r>
          </w:p>
          <w:p w14:paraId="0367D7C4" w14:textId="1993A83C" w:rsidR="3E53F470" w:rsidRDefault="0241D98F" w:rsidP="2F26C440">
            <w:pPr>
              <w:pStyle w:val="ListParagraph"/>
              <w:numPr>
                <w:ilvl w:val="0"/>
                <w:numId w:val="11"/>
              </w:numPr>
              <w:spacing w:after="120" w:line="240" w:lineRule="auto"/>
              <w:rPr>
                <w:rStyle w:val="normaltextrun"/>
                <w:rFonts w:eastAsiaTheme="majorEastAsia"/>
              </w:rPr>
            </w:pPr>
            <w:r w:rsidRPr="258FA431">
              <w:rPr>
                <w:rFonts w:ascii="Aptos" w:eastAsia="Aptos" w:hAnsi="Aptos" w:cs="Aptos"/>
              </w:rPr>
              <w:t>Sh</w:t>
            </w:r>
            <w:r w:rsidR="1FB5939C" w:rsidRPr="258FA431">
              <w:rPr>
                <w:rFonts w:ascii="Aptos" w:eastAsia="Aptos" w:hAnsi="Aptos" w:cs="Aptos"/>
              </w:rPr>
              <w:t>ould</w:t>
            </w:r>
            <w:r w:rsidR="3E53F470" w:rsidRPr="2F26C440">
              <w:rPr>
                <w:rFonts w:ascii="Aptos" w:eastAsia="Aptos" w:hAnsi="Aptos" w:cs="Aptos"/>
              </w:rPr>
              <w:t xml:space="preserve"> there be a greater right to redeem compensation benefits?</w:t>
            </w:r>
            <w:r w:rsidR="54FFB4FA" w:rsidRPr="258FA431">
              <w:rPr>
                <w:rFonts w:ascii="Aptos" w:eastAsia="Aptos" w:hAnsi="Aptos" w:cs="Aptos"/>
              </w:rPr>
              <w:t xml:space="preserve"> </w:t>
            </w:r>
            <w:r w:rsidR="54FFB4FA" w:rsidRPr="43E6506C">
              <w:rPr>
                <w:rFonts w:ascii="Aptos" w:eastAsia="Aptos" w:hAnsi="Aptos" w:cs="Aptos"/>
              </w:rPr>
              <w:t xml:space="preserve"> </w:t>
            </w:r>
            <w:r w:rsidR="54FFB4FA" w:rsidRPr="6AA898AE">
              <w:rPr>
                <w:rFonts w:ascii="Aptos" w:eastAsia="Aptos" w:hAnsi="Aptos" w:cs="Aptos"/>
              </w:rPr>
              <w:t>In what circumstances should redemptions be available</w:t>
            </w:r>
            <w:r w:rsidR="54FFB4FA" w:rsidRPr="241D7D4B">
              <w:rPr>
                <w:rFonts w:ascii="Aptos" w:eastAsia="Aptos" w:hAnsi="Aptos" w:cs="Aptos"/>
              </w:rPr>
              <w:t>?</w:t>
            </w:r>
          </w:p>
          <w:p w14:paraId="26346872" w14:textId="790CDF46" w:rsidR="009042DA" w:rsidRPr="005E4A52" w:rsidRDefault="009042DA" w:rsidP="009042DA">
            <w:pPr>
              <w:pStyle w:val="ListParagraph"/>
              <w:numPr>
                <w:ilvl w:val="0"/>
                <w:numId w:val="11"/>
              </w:numPr>
              <w:spacing w:after="120" w:line="240" w:lineRule="auto"/>
              <w:rPr>
                <w:rStyle w:val="normaltextrun"/>
                <w:rFonts w:eastAsiaTheme="majorEastAsia"/>
              </w:rPr>
            </w:pPr>
            <w:r w:rsidRPr="2F26C440">
              <w:rPr>
                <w:rStyle w:val="normaltextrun"/>
                <w:rFonts w:eastAsiaTheme="majorEastAsia"/>
              </w:rPr>
              <w:t xml:space="preserve">Do the provisions in the SRC Act aimed at preventing double-dipping in relation to like-remedies need </w:t>
            </w:r>
            <w:r w:rsidR="2D7E3F22" w:rsidRPr="2F26C440">
              <w:rPr>
                <w:rStyle w:val="normaltextrun"/>
                <w:rFonts w:eastAsiaTheme="majorEastAsia"/>
              </w:rPr>
              <w:t xml:space="preserve">changing </w:t>
            </w:r>
            <w:r w:rsidRPr="2F26C440">
              <w:rPr>
                <w:rStyle w:val="normaltextrun"/>
                <w:rFonts w:eastAsiaTheme="majorEastAsia"/>
              </w:rPr>
              <w:t xml:space="preserve">following </w:t>
            </w:r>
            <w:r w:rsidRPr="2F26C440">
              <w:rPr>
                <w:rStyle w:val="normaltextrun"/>
                <w:rFonts w:eastAsiaTheme="majorEastAsia"/>
                <w:i/>
              </w:rPr>
              <w:t>Comcare v Friend</w:t>
            </w:r>
            <w:r w:rsidRPr="2F26C440">
              <w:rPr>
                <w:rStyle w:val="normaltextrun"/>
                <w:rFonts w:eastAsiaTheme="majorEastAsia"/>
              </w:rPr>
              <w:t xml:space="preserve">?  </w:t>
            </w:r>
          </w:p>
          <w:p w14:paraId="4397B142" w14:textId="75CCBEFD"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Should there be any adjustments to workers’ compensation payments for compensation or support from other sources? </w:t>
            </w:r>
            <w:r w:rsidR="00BD3EA9" w:rsidRPr="005E4A52">
              <w:rPr>
                <w:rStyle w:val="normaltextrun"/>
                <w:rFonts w:eastAsiaTheme="majorEastAsia" w:cstheme="minorHAnsi"/>
              </w:rPr>
              <w:t xml:space="preserve">For example, </w:t>
            </w:r>
            <w:r w:rsidR="00BD3EA9" w:rsidRPr="005E4A52">
              <w:rPr>
                <w:rFonts w:eastAsiaTheme="majorEastAsia" w:cstheme="minorHAnsi"/>
              </w:rPr>
              <w:t>what impact should the receipt of statutory entitlements and other income have on the entitlement to, and calculation of, compensation?</w:t>
            </w:r>
          </w:p>
        </w:tc>
      </w:tr>
      <w:tr w:rsidR="009042DA" w:rsidRPr="005E4A52" w14:paraId="3E0887A6" w14:textId="77777777" w:rsidTr="00D25DA0">
        <w:tc>
          <w:tcPr>
            <w:tcW w:w="9924" w:type="dxa"/>
            <w:gridSpan w:val="2"/>
            <w:shd w:val="clear" w:color="auto" w:fill="092050" w:themeFill="text1" w:themeFillShade="BF"/>
          </w:tcPr>
          <w:p w14:paraId="72BC54A7" w14:textId="60B7FD0C" w:rsidR="009042DA" w:rsidRPr="005E4A52" w:rsidRDefault="008253D2" w:rsidP="0015289B">
            <w:pPr>
              <w:spacing w:before="120" w:after="120"/>
              <w:ind w:left="720"/>
              <w:rPr>
                <w:b/>
                <w:bCs/>
              </w:rPr>
            </w:pPr>
            <w:r w:rsidRPr="005E4A52">
              <w:rPr>
                <w:b/>
                <w:bCs/>
                <w:color w:val="FFFFFF" w:themeColor="background1"/>
                <w:sz w:val="24"/>
                <w:szCs w:val="24"/>
              </w:rPr>
              <w:t xml:space="preserve">d. </w:t>
            </w:r>
            <w:r w:rsidR="009042DA" w:rsidRPr="005E4A52">
              <w:rPr>
                <w:b/>
                <w:bCs/>
                <w:color w:val="FFFFFF" w:themeColor="background1"/>
                <w:sz w:val="24"/>
                <w:szCs w:val="24"/>
              </w:rPr>
              <w:t>Rehabilitation, return to work and early intervention</w:t>
            </w:r>
          </w:p>
        </w:tc>
      </w:tr>
      <w:tr w:rsidR="009042DA" w:rsidRPr="005E4A52" w14:paraId="5782A95D" w14:textId="77777777" w:rsidTr="00A31596">
        <w:tc>
          <w:tcPr>
            <w:tcW w:w="1347" w:type="dxa"/>
            <w:shd w:val="clear" w:color="auto" w:fill="E0E1ED" w:themeFill="accent2" w:themeFillTint="33"/>
          </w:tcPr>
          <w:p w14:paraId="6848C43E" w14:textId="77777777" w:rsidR="009042DA" w:rsidRPr="005E4A52" w:rsidRDefault="009042DA">
            <w:pPr>
              <w:rPr>
                <w:b/>
                <w:bCs/>
              </w:rPr>
            </w:pPr>
            <w:r w:rsidRPr="005E4A52">
              <w:rPr>
                <w:b/>
                <w:bCs/>
              </w:rPr>
              <w:t>Why important</w:t>
            </w:r>
          </w:p>
        </w:tc>
        <w:tc>
          <w:tcPr>
            <w:tcW w:w="8577" w:type="dxa"/>
            <w:shd w:val="clear" w:color="auto" w:fill="F2F2F2" w:themeFill="background1" w:themeFillShade="F2"/>
          </w:tcPr>
          <w:p w14:paraId="4A9D6FAA" w14:textId="017B2957" w:rsidR="009042DA" w:rsidRPr="005E4A52" w:rsidRDefault="009042DA">
            <w:pPr>
              <w:spacing w:after="120"/>
              <w:rPr>
                <w:rFonts w:cs="Calibri"/>
              </w:rPr>
            </w:pPr>
            <w:r w:rsidRPr="005E4A52">
              <w:rPr>
                <w:rFonts w:cs="Calibri"/>
              </w:rPr>
              <w:t>Early intervention aims to reduce work disability by putting supports in place as early as possible after symptoms of an illness or injury are experienced. Examples of early intervention support that employers can offer (regardless of the employee’s intention to lodge a claim) may include access to a rehabilitation case manager, treatment, allied health services or workplace rehabilitation services.</w:t>
            </w:r>
            <w:r w:rsidRPr="005E4A52">
              <w:rPr>
                <w:rStyle w:val="FootnoteReference"/>
                <w:rFonts w:cs="Calibri"/>
              </w:rPr>
              <w:footnoteReference w:id="35"/>
            </w:r>
            <w:r w:rsidRPr="005E4A52">
              <w:rPr>
                <w:rFonts w:cs="Calibri"/>
              </w:rPr>
              <w:t xml:space="preserve"> </w:t>
            </w:r>
          </w:p>
          <w:p w14:paraId="14D1B13D" w14:textId="593F2E7A" w:rsidR="009042DA" w:rsidRPr="005E4A52" w:rsidRDefault="009042DA">
            <w:pPr>
              <w:spacing w:after="120"/>
              <w:rPr>
                <w:rFonts w:cs="Calibri"/>
              </w:rPr>
            </w:pPr>
            <w:r w:rsidRPr="005E4A52">
              <w:t>Early intervention is not specifically provided for under the SRC Act. However, a significant number of employers covered by the Comcare scheme do provide early intervention support.</w:t>
            </w:r>
            <w:r w:rsidRPr="005E4A52">
              <w:rPr>
                <w:rStyle w:val="FootnoteReference"/>
              </w:rPr>
              <w:footnoteReference w:id="36"/>
            </w:r>
            <w:r w:rsidRPr="005E4A52">
              <w:t xml:space="preserve"> Early intervention initiatives can also include provisional liability payments. Unlike many state and territory schemes, the Comcare scheme does not provide for provisional liability payments.</w:t>
            </w:r>
          </w:p>
          <w:p w14:paraId="4B893AE4" w14:textId="715317EC" w:rsidR="009042DA" w:rsidRPr="005E4A52" w:rsidRDefault="009042DA">
            <w:pPr>
              <w:spacing w:after="120"/>
            </w:pPr>
            <w:r w:rsidRPr="005E4A52">
              <w:t xml:space="preserve">Return to work is about both helping workers to get back to work or to stay at work while they recover from work-related injury or illness.  As outlined in SWA’s National Return to Work Strategy the objective is to minimise the impact of work-related injury and illness and enable workers to have a timely, safe, and durable return to work. The </w:t>
            </w:r>
            <w:proofErr w:type="gramStart"/>
            <w:r w:rsidRPr="005E4A52">
              <w:t>return to work</w:t>
            </w:r>
            <w:proofErr w:type="gramEnd"/>
            <w:r w:rsidRPr="005E4A52">
              <w:t xml:space="preserve"> rates under the Comcare scheme are high compared with other state and territory workers’ compensation schemes.</w:t>
            </w:r>
            <w:r w:rsidRPr="005E4A52">
              <w:rPr>
                <w:rStyle w:val="FootnoteReference"/>
              </w:rPr>
              <w:footnoteReference w:id="37"/>
            </w:r>
            <w:r w:rsidRPr="005E4A52">
              <w:t xml:space="preserve"> </w:t>
            </w:r>
          </w:p>
          <w:p w14:paraId="6AA50C7A" w14:textId="2BE045BB" w:rsidR="009042DA" w:rsidRPr="005E4A52" w:rsidRDefault="009042DA">
            <w:pPr>
              <w:spacing w:after="120"/>
            </w:pPr>
            <w:r w:rsidRPr="005E4A52">
              <w:t xml:space="preserve">Self-insured licensees typically outperform Australian Government agencies in key return to work measures. Research has shown that employees from self-insurers are </w:t>
            </w:r>
            <w:r w:rsidRPr="005E4A52">
              <w:lastRenderedPageBreak/>
              <w:t>more likely to have returned to work and to have a shorter duration of compensated time loss.</w:t>
            </w:r>
            <w:r w:rsidRPr="005E4A52">
              <w:rPr>
                <w:rStyle w:val="FootnoteReference"/>
              </w:rPr>
              <w:footnoteReference w:id="38"/>
            </w:r>
            <w:r w:rsidRPr="005E4A52">
              <w:t xml:space="preserve"> </w:t>
            </w:r>
          </w:p>
          <w:p w14:paraId="58DC8161" w14:textId="77777777" w:rsidR="009042DA" w:rsidRPr="005E4A52" w:rsidRDefault="009042DA">
            <w:pPr>
              <w:spacing w:after="120"/>
            </w:pPr>
            <w:r w:rsidRPr="005E4A52">
              <w:t xml:space="preserve">Significant differences also exist in </w:t>
            </w:r>
            <w:proofErr w:type="gramStart"/>
            <w:r w:rsidRPr="005E4A52">
              <w:t>return to work</w:t>
            </w:r>
            <w:proofErr w:type="gramEnd"/>
            <w:r w:rsidRPr="005E4A52">
              <w:t xml:space="preserve"> experiences across all Australian workers’ compensation schemes for those with physical and psychological injury. Employees under the Comcare scheme with a mental illness claim were more likely to require additional time off (44.5%), to return to different duties (27.8%) and to work fewer hours when returning to work (55.3%).</w:t>
            </w:r>
            <w:r w:rsidRPr="005E4A52">
              <w:rPr>
                <w:rStyle w:val="FootnoteReference"/>
              </w:rPr>
              <w:footnoteReference w:id="39"/>
            </w:r>
            <w:r w:rsidRPr="005E4A52">
              <w:t xml:space="preserve"> They were also significantly more likely to have found interactions stressful with their rehabilitation case manager (23.8%).</w:t>
            </w:r>
            <w:r w:rsidRPr="005E4A52">
              <w:rPr>
                <w:rStyle w:val="FootnoteReference"/>
              </w:rPr>
              <w:footnoteReference w:id="40"/>
            </w:r>
          </w:p>
          <w:p w14:paraId="1E5C5702" w14:textId="77777777" w:rsidR="009042DA" w:rsidRPr="005E4A52" w:rsidRDefault="009042DA">
            <w:pPr>
              <w:spacing w:after="120"/>
            </w:pPr>
            <w:r w:rsidRPr="005E4A52">
              <w:t>The Hanks Review made several recommendations to improve rehabilitation and return to work under the SRC Act. These include requiring rehabilitation case managers to undertake appropriate training, improving clarity on the employer responsible for rehabilitation and mandating injury management plans and case reviews at certain timeframes.</w:t>
            </w:r>
            <w:r w:rsidRPr="005E4A52">
              <w:rPr>
                <w:rStyle w:val="FootnoteReference"/>
              </w:rPr>
              <w:footnoteReference w:id="41"/>
            </w:r>
          </w:p>
        </w:tc>
      </w:tr>
      <w:tr w:rsidR="009042DA" w:rsidRPr="005E4A52" w14:paraId="46044D84" w14:textId="77777777" w:rsidTr="00A31596">
        <w:tc>
          <w:tcPr>
            <w:tcW w:w="1347" w:type="dxa"/>
            <w:shd w:val="clear" w:color="auto" w:fill="E0E1ED" w:themeFill="accent2" w:themeFillTint="33"/>
          </w:tcPr>
          <w:p w14:paraId="4AA8331F" w14:textId="77777777" w:rsidR="009042DA" w:rsidRPr="005E4A52" w:rsidRDefault="009042DA">
            <w:pPr>
              <w:rPr>
                <w:b/>
                <w:bCs/>
              </w:rPr>
            </w:pPr>
            <w:r w:rsidRPr="005E4A52">
              <w:rPr>
                <w:b/>
                <w:bCs/>
              </w:rPr>
              <w:lastRenderedPageBreak/>
              <w:t>Issues to be considered</w:t>
            </w:r>
          </w:p>
        </w:tc>
        <w:tc>
          <w:tcPr>
            <w:tcW w:w="8577" w:type="dxa"/>
            <w:shd w:val="clear" w:color="auto" w:fill="F2F2F2" w:themeFill="background1" w:themeFillShade="F2"/>
          </w:tcPr>
          <w:p w14:paraId="31BDFA0A" w14:textId="471C25E6" w:rsidR="009042DA" w:rsidRPr="005E4A52" w:rsidRDefault="009042DA" w:rsidP="009042DA">
            <w:pPr>
              <w:pStyle w:val="ListParagraph"/>
              <w:numPr>
                <w:ilvl w:val="0"/>
                <w:numId w:val="37"/>
              </w:numPr>
              <w:spacing w:after="120" w:line="240" w:lineRule="auto"/>
              <w:rPr>
                <w:rStyle w:val="normaltextrun"/>
                <w:rFonts w:eastAsiaTheme="majorEastAsia"/>
              </w:rPr>
            </w:pPr>
            <w:r w:rsidRPr="2F26C440">
              <w:rPr>
                <w:rStyle w:val="normaltextrun"/>
                <w:rFonts w:eastAsiaTheme="majorEastAsia"/>
              </w:rPr>
              <w:t>The advantages and disadvantages of establishing a framework for early intervention includ</w:t>
            </w:r>
            <w:r w:rsidR="0057291A">
              <w:rPr>
                <w:rStyle w:val="normaltextrun"/>
                <w:rFonts w:eastAsiaTheme="majorEastAsia"/>
              </w:rPr>
              <w:t>e</w:t>
            </w:r>
            <w:r w:rsidRPr="2F26C440">
              <w:rPr>
                <w:rStyle w:val="normaltextrun"/>
                <w:rFonts w:eastAsiaTheme="majorEastAsia"/>
              </w:rPr>
              <w:t xml:space="preserve"> </w:t>
            </w:r>
            <w:r w:rsidR="64DFFB4C" w:rsidRPr="2F26C440">
              <w:rPr>
                <w:rFonts w:ascii="Aptos" w:eastAsia="Aptos" w:hAnsi="Aptos" w:cs="Aptos"/>
              </w:rPr>
              <w:t xml:space="preserve">ensuring early intervention does not act to dissuade workers from making a future claim and </w:t>
            </w:r>
            <w:r w:rsidRPr="2F26C440">
              <w:rPr>
                <w:rStyle w:val="normaltextrun"/>
                <w:rFonts w:eastAsiaTheme="majorEastAsia"/>
              </w:rPr>
              <w:t>th</w:t>
            </w:r>
            <w:r w:rsidR="0057291A">
              <w:rPr>
                <w:rStyle w:val="normaltextrun"/>
                <w:rFonts w:eastAsiaTheme="majorEastAsia"/>
              </w:rPr>
              <w:t>at</w:t>
            </w:r>
            <w:r w:rsidRPr="2F26C440">
              <w:rPr>
                <w:rStyle w:val="normaltextrun"/>
                <w:rFonts w:eastAsiaTheme="majorEastAsia"/>
              </w:rPr>
              <w:t xml:space="preserve"> initiatives </w:t>
            </w:r>
            <w:r w:rsidR="0057291A">
              <w:rPr>
                <w:rStyle w:val="normaltextrun"/>
                <w:rFonts w:eastAsiaTheme="majorEastAsia"/>
              </w:rPr>
              <w:t xml:space="preserve">continue </w:t>
            </w:r>
            <w:r w:rsidRPr="2F26C440">
              <w:rPr>
                <w:rStyle w:val="normaltextrun"/>
                <w:rFonts w:eastAsiaTheme="majorEastAsia"/>
              </w:rPr>
              <w:t>once a claim for compensation has been lodged.</w:t>
            </w:r>
          </w:p>
          <w:p w14:paraId="6C5DEED9" w14:textId="746BDB36" w:rsidR="009042DA" w:rsidRPr="005E4A52" w:rsidRDefault="009042DA" w:rsidP="2F26C440">
            <w:pPr>
              <w:pStyle w:val="ListParagraph"/>
              <w:numPr>
                <w:ilvl w:val="0"/>
                <w:numId w:val="37"/>
              </w:numPr>
              <w:spacing w:after="120" w:line="240" w:lineRule="auto"/>
              <w:rPr>
                <w:rStyle w:val="normaltextrun"/>
                <w:rFonts w:eastAsiaTheme="majorEastAsia"/>
              </w:rPr>
            </w:pPr>
            <w:r w:rsidRPr="2F26C440">
              <w:rPr>
                <w:rStyle w:val="normaltextrun"/>
                <w:rFonts w:eastAsiaTheme="majorEastAsia"/>
              </w:rPr>
              <w:t xml:space="preserve">How to strengthen employer obligations to facilitate an injured employee’s return to suitable and meaningful employment. </w:t>
            </w:r>
          </w:p>
          <w:p w14:paraId="602E19F0" w14:textId="3826F517" w:rsidR="009042DA" w:rsidRPr="005E4A52" w:rsidRDefault="1B22F902" w:rsidP="009042DA">
            <w:pPr>
              <w:pStyle w:val="ListParagraph"/>
              <w:numPr>
                <w:ilvl w:val="0"/>
                <w:numId w:val="37"/>
              </w:numPr>
              <w:spacing w:after="120" w:line="240" w:lineRule="auto"/>
              <w:rPr>
                <w:rStyle w:val="normaltextrun"/>
                <w:rFonts w:eastAsiaTheme="majorEastAsia"/>
              </w:rPr>
            </w:pPr>
            <w:r w:rsidRPr="2F26C440">
              <w:rPr>
                <w:rFonts w:ascii="Aptos" w:eastAsia="Aptos" w:hAnsi="Aptos" w:cs="Aptos"/>
              </w:rPr>
              <w:t xml:space="preserve">How to provide workers with </w:t>
            </w:r>
            <w:r w:rsidR="00035EED">
              <w:rPr>
                <w:rFonts w:ascii="Aptos" w:eastAsia="Aptos" w:hAnsi="Aptos" w:cs="Aptos"/>
              </w:rPr>
              <w:t xml:space="preserve">an increased ability to </w:t>
            </w:r>
            <w:proofErr w:type="gramStart"/>
            <w:r w:rsidR="00035EED">
              <w:rPr>
                <w:rFonts w:ascii="Aptos" w:eastAsia="Aptos" w:hAnsi="Aptos" w:cs="Aptos"/>
              </w:rPr>
              <w:t xml:space="preserve">participate  </w:t>
            </w:r>
            <w:r w:rsidRPr="2F26C440">
              <w:rPr>
                <w:rFonts w:ascii="Aptos" w:eastAsia="Aptos" w:hAnsi="Aptos" w:cs="Aptos"/>
              </w:rPr>
              <w:t>in</w:t>
            </w:r>
            <w:proofErr w:type="gramEnd"/>
            <w:r w:rsidRPr="2F26C440">
              <w:rPr>
                <w:rFonts w:ascii="Aptos" w:eastAsia="Aptos" w:hAnsi="Aptos" w:cs="Aptos"/>
              </w:rPr>
              <w:t xml:space="preserve"> their recover</w:t>
            </w:r>
            <w:r w:rsidR="00D603C5" w:rsidRPr="000E6B33">
              <w:rPr>
                <w:rFonts w:ascii="Aptos" w:eastAsia="Aptos" w:hAnsi="Aptos" w:cs="Aptos"/>
              </w:rPr>
              <w:t>y</w:t>
            </w:r>
            <w:r w:rsidRPr="000E6B33">
              <w:rPr>
                <w:rFonts w:ascii="Aptos" w:eastAsia="Aptos" w:hAnsi="Aptos" w:cs="Aptos"/>
              </w:rPr>
              <w:t xml:space="preserve"> </w:t>
            </w:r>
            <w:r w:rsidRPr="2F26C440">
              <w:rPr>
                <w:rFonts w:ascii="Aptos" w:eastAsia="Aptos" w:hAnsi="Aptos" w:cs="Aptos"/>
              </w:rPr>
              <w:t>and return of work including in their interaction with rehabilitation providers.</w:t>
            </w:r>
            <w:r w:rsidR="009042DA" w:rsidRPr="2F26C440">
              <w:rPr>
                <w:rStyle w:val="normaltextrun"/>
                <w:rFonts w:eastAsiaTheme="majorEastAsia"/>
              </w:rPr>
              <w:t xml:space="preserve"> </w:t>
            </w:r>
          </w:p>
          <w:p w14:paraId="63A5F0E4" w14:textId="77777777" w:rsidR="009042DA" w:rsidRPr="005E4A52" w:rsidRDefault="009042DA" w:rsidP="009042DA">
            <w:pPr>
              <w:pStyle w:val="ListParagraph"/>
              <w:numPr>
                <w:ilvl w:val="0"/>
                <w:numId w:val="37"/>
              </w:numPr>
              <w:spacing w:after="120" w:line="240" w:lineRule="auto"/>
              <w:rPr>
                <w:rStyle w:val="normaltextrun"/>
                <w:rFonts w:eastAsiaTheme="majorEastAsia" w:cstheme="minorHAnsi"/>
              </w:rPr>
            </w:pPr>
            <w:r w:rsidRPr="005E4A52">
              <w:rPr>
                <w:rStyle w:val="normaltextrun"/>
                <w:rFonts w:eastAsiaTheme="majorEastAsia" w:cstheme="minorHAnsi"/>
              </w:rPr>
              <w:t>The advantages and disadvantages of establishing a system of provisional liability.</w:t>
            </w:r>
          </w:p>
          <w:p w14:paraId="70173976" w14:textId="77777777" w:rsidR="009042DA" w:rsidRPr="005E4A52" w:rsidRDefault="009042DA" w:rsidP="009042DA">
            <w:pPr>
              <w:pStyle w:val="ListParagraph"/>
              <w:numPr>
                <w:ilvl w:val="0"/>
                <w:numId w:val="37"/>
              </w:numPr>
              <w:spacing w:after="120" w:line="240" w:lineRule="auto"/>
              <w:rPr>
                <w:rFonts w:cs="Calibri"/>
              </w:rPr>
            </w:pPr>
            <w:r w:rsidRPr="005E4A52">
              <w:rPr>
                <w:rStyle w:val="normaltextrun"/>
                <w:rFonts w:eastAsiaTheme="majorEastAsia" w:cstheme="minorHAnsi"/>
              </w:rPr>
              <w:t>How to improve the rehabilitation framework to support return to work and workers with long term incapacity.</w:t>
            </w:r>
          </w:p>
        </w:tc>
      </w:tr>
      <w:tr w:rsidR="009042DA" w:rsidRPr="005E4A52" w14:paraId="7119C6B3" w14:textId="77777777" w:rsidTr="00A31596">
        <w:tc>
          <w:tcPr>
            <w:tcW w:w="1347" w:type="dxa"/>
            <w:shd w:val="clear" w:color="auto" w:fill="E0E1ED" w:themeFill="accent2" w:themeFillTint="33"/>
          </w:tcPr>
          <w:p w14:paraId="2E1E9F4A" w14:textId="77777777" w:rsidR="009042DA" w:rsidRPr="005E4A52" w:rsidRDefault="009042DA">
            <w:pPr>
              <w:rPr>
                <w:b/>
                <w:bCs/>
              </w:rPr>
            </w:pPr>
            <w:r w:rsidRPr="005E4A52">
              <w:rPr>
                <w:b/>
                <w:bCs/>
              </w:rPr>
              <w:t xml:space="preserve">Links to </w:t>
            </w:r>
            <w:proofErr w:type="gramStart"/>
            <w:r w:rsidRPr="005E4A52">
              <w:rPr>
                <w:b/>
                <w:bCs/>
              </w:rPr>
              <w:t>other</w:t>
            </w:r>
            <w:proofErr w:type="gramEnd"/>
            <w:r w:rsidRPr="005E4A52">
              <w:rPr>
                <w:b/>
                <w:bCs/>
              </w:rPr>
              <w:t xml:space="preserve"> </w:t>
            </w:r>
            <w:proofErr w:type="spellStart"/>
            <w:r w:rsidRPr="005E4A52">
              <w:rPr>
                <w:b/>
                <w:bCs/>
              </w:rPr>
              <w:t>ToR</w:t>
            </w:r>
            <w:proofErr w:type="spellEnd"/>
          </w:p>
        </w:tc>
        <w:tc>
          <w:tcPr>
            <w:tcW w:w="8577" w:type="dxa"/>
            <w:shd w:val="clear" w:color="auto" w:fill="F2F2F2" w:themeFill="background1" w:themeFillShade="F2"/>
          </w:tcPr>
          <w:p w14:paraId="67D1A7A8" w14:textId="6D7D0E77" w:rsidR="009042DA" w:rsidRPr="005E4A52" w:rsidRDefault="009042DA">
            <w:pPr>
              <w:spacing w:after="120"/>
              <w:rPr>
                <w:rStyle w:val="normaltextrun"/>
                <w:rFonts w:eastAsiaTheme="majorEastAsia" w:cstheme="minorHAnsi"/>
              </w:rPr>
            </w:pPr>
            <w:r w:rsidRPr="005E4A52">
              <w:rPr>
                <w:rStyle w:val="normaltextrun"/>
                <w:rFonts w:eastAsiaTheme="majorEastAsia" w:cstheme="minorHAnsi"/>
              </w:rPr>
              <w:t xml:space="preserve">Term of reference 1 in relation to best practice. </w:t>
            </w:r>
          </w:p>
        </w:tc>
      </w:tr>
      <w:tr w:rsidR="009042DA" w:rsidRPr="005E4A52" w14:paraId="16F20435" w14:textId="77777777" w:rsidTr="00A31596">
        <w:tc>
          <w:tcPr>
            <w:tcW w:w="1347" w:type="dxa"/>
            <w:shd w:val="clear" w:color="auto" w:fill="E0E1ED" w:themeFill="accent2" w:themeFillTint="33"/>
          </w:tcPr>
          <w:p w14:paraId="04E8A5BC" w14:textId="1518617A" w:rsidR="009042DA" w:rsidRPr="005E4A52" w:rsidRDefault="009042DA">
            <w:pPr>
              <w:rPr>
                <w:b/>
                <w:bCs/>
              </w:rPr>
            </w:pPr>
            <w:r w:rsidRPr="005E4A52">
              <w:rPr>
                <w:b/>
                <w:bCs/>
              </w:rPr>
              <w:t xml:space="preserve">Questions </w:t>
            </w:r>
          </w:p>
        </w:tc>
        <w:tc>
          <w:tcPr>
            <w:tcW w:w="8577" w:type="dxa"/>
            <w:shd w:val="clear" w:color="auto" w:fill="F2F2F2" w:themeFill="background1" w:themeFillShade="F2"/>
          </w:tcPr>
          <w:p w14:paraId="6C2AD591" w14:textId="77777777"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Does the Comcare scheme provide suitable criteria and arrangements to support:</w:t>
            </w:r>
          </w:p>
          <w:p w14:paraId="42500553" w14:textId="77777777" w:rsidR="009042DA" w:rsidRPr="005E4A52" w:rsidRDefault="009042DA" w:rsidP="009042DA">
            <w:pPr>
              <w:pStyle w:val="ListParagraph"/>
              <w:numPr>
                <w:ilvl w:val="1"/>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Early intervention? </w:t>
            </w:r>
          </w:p>
          <w:p w14:paraId="12E91F7D" w14:textId="77777777" w:rsidR="009042DA" w:rsidRPr="005E4A52" w:rsidRDefault="009042DA" w:rsidP="009042DA">
            <w:pPr>
              <w:pStyle w:val="ListParagraph"/>
              <w:numPr>
                <w:ilvl w:val="1"/>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Return to work? </w:t>
            </w:r>
          </w:p>
          <w:p w14:paraId="1469CC30" w14:textId="6945EE89"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Should the Comcare scheme provide for provisional payments? If so, what should be the length and amount of any such payments, and how/whether to recover payments if ultimately the injury is not due to wor</w:t>
            </w:r>
            <w:r w:rsidR="00E07CC5" w:rsidRPr="005E4A52">
              <w:rPr>
                <w:rStyle w:val="normaltextrun"/>
                <w:rFonts w:eastAsiaTheme="majorEastAsia" w:cstheme="minorHAnsi"/>
              </w:rPr>
              <w:t>k?</w:t>
            </w:r>
          </w:p>
          <w:p w14:paraId="39CB15BE" w14:textId="2DE9B0E0" w:rsidR="009042DA" w:rsidRPr="005E4A52" w:rsidRDefault="002D4937" w:rsidP="009042DA">
            <w:pPr>
              <w:pStyle w:val="ListParagraph"/>
              <w:numPr>
                <w:ilvl w:val="0"/>
                <w:numId w:val="11"/>
              </w:numPr>
              <w:spacing w:after="120" w:line="240" w:lineRule="auto"/>
              <w:rPr>
                <w:rStyle w:val="normaltextrun"/>
                <w:rFonts w:eastAsiaTheme="majorEastAsia" w:cstheme="minorHAnsi"/>
              </w:rPr>
            </w:pPr>
            <w:r>
              <w:rPr>
                <w:rStyle w:val="normaltextrun"/>
                <w:rFonts w:eastAsiaTheme="majorEastAsia" w:cstheme="minorHAnsi"/>
              </w:rPr>
              <w:t xml:space="preserve">What changes are needed to the SRC Act regarding </w:t>
            </w:r>
            <w:r w:rsidR="009042DA" w:rsidRPr="005E4A52">
              <w:rPr>
                <w:rStyle w:val="normaltextrun"/>
                <w:rFonts w:eastAsiaTheme="majorEastAsia" w:cstheme="minorHAnsi"/>
              </w:rPr>
              <w:t>oversight o</w:t>
            </w:r>
            <w:r w:rsidR="00BB3B59">
              <w:rPr>
                <w:rStyle w:val="normaltextrun"/>
                <w:rFonts w:eastAsiaTheme="majorEastAsia" w:cstheme="minorHAnsi"/>
              </w:rPr>
              <w:t>f</w:t>
            </w:r>
            <w:r w:rsidR="009042DA" w:rsidRPr="005E4A52">
              <w:rPr>
                <w:rStyle w:val="normaltextrun"/>
                <w:rFonts w:eastAsiaTheme="majorEastAsia" w:cstheme="minorHAnsi"/>
              </w:rPr>
              <w:t xml:space="preserve"> rehabilitation authorities and rehabilitation providers? </w:t>
            </w:r>
          </w:p>
          <w:p w14:paraId="3F0DFEBA" w14:textId="0162A438" w:rsidR="00A31596" w:rsidRPr="005E4A52" w:rsidRDefault="009042DA" w:rsidP="00A31596">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Should </w:t>
            </w:r>
            <w:r w:rsidR="000C72B3">
              <w:rPr>
                <w:rStyle w:val="normaltextrun"/>
                <w:rFonts w:eastAsiaTheme="majorEastAsia" w:cstheme="minorHAnsi"/>
              </w:rPr>
              <w:t>the SRC Act</w:t>
            </w:r>
            <w:r w:rsidRPr="005E4A52">
              <w:rPr>
                <w:rStyle w:val="normaltextrun"/>
                <w:rFonts w:eastAsiaTheme="majorEastAsia" w:cstheme="minorHAnsi"/>
              </w:rPr>
              <w:t xml:space="preserve"> </w:t>
            </w:r>
            <w:r w:rsidR="009056CC">
              <w:rPr>
                <w:rStyle w:val="normaltextrun"/>
                <w:rFonts w:eastAsiaTheme="majorEastAsia" w:cstheme="minorHAnsi"/>
              </w:rPr>
              <w:t>provide</w:t>
            </w:r>
            <w:r w:rsidRPr="005E4A52">
              <w:rPr>
                <w:rStyle w:val="normaltextrun"/>
                <w:rFonts w:eastAsiaTheme="majorEastAsia" w:cstheme="minorHAnsi"/>
              </w:rPr>
              <w:t xml:space="preserve"> </w:t>
            </w:r>
            <w:r w:rsidR="00A86966">
              <w:rPr>
                <w:rStyle w:val="normaltextrun"/>
                <w:rFonts w:eastAsiaTheme="majorEastAsia" w:cstheme="minorHAnsi"/>
              </w:rPr>
              <w:t>Comcare with</w:t>
            </w:r>
            <w:r w:rsidRPr="005E4A52">
              <w:rPr>
                <w:rStyle w:val="normaltextrun"/>
                <w:rFonts w:eastAsiaTheme="majorEastAsia" w:cstheme="minorHAnsi"/>
              </w:rPr>
              <w:t xml:space="preserve"> greater regulatory powers in relation to rehabilitation?  </w:t>
            </w:r>
          </w:p>
        </w:tc>
      </w:tr>
    </w:tbl>
    <w:p w14:paraId="5D98288A" w14:textId="21F6E69E" w:rsidR="009042DA" w:rsidRPr="005E4A52" w:rsidRDefault="009042DA" w:rsidP="009042DA"/>
    <w:p w14:paraId="4E06ACE6" w14:textId="77777777" w:rsidR="0011115E" w:rsidRDefault="0011115E">
      <w:pPr>
        <w:spacing w:after="160"/>
        <w:rPr>
          <w:rFonts w:asciiTheme="majorHAnsi" w:eastAsiaTheme="majorEastAsia" w:hAnsiTheme="majorHAnsi" w:cstheme="majorBidi"/>
          <w:b/>
          <w:color w:val="009B9F" w:themeColor="background2"/>
          <w:sz w:val="32"/>
          <w:szCs w:val="24"/>
        </w:rPr>
      </w:pPr>
      <w:bookmarkStart w:id="40" w:name="_Ref173320643"/>
      <w:bookmarkStart w:id="41" w:name="_Ref173320666"/>
      <w:bookmarkStart w:id="42" w:name="_Toc177409622"/>
      <w:r>
        <w:br w:type="page"/>
      </w:r>
    </w:p>
    <w:p w14:paraId="31581452" w14:textId="32E10753" w:rsidR="009042DA" w:rsidRPr="005E4A52" w:rsidRDefault="00D43B0F" w:rsidP="00D43B0F">
      <w:pPr>
        <w:pStyle w:val="Heading3"/>
      </w:pPr>
      <w:bookmarkStart w:id="43" w:name="_Toc180174616"/>
      <w:r>
        <w:lastRenderedPageBreak/>
        <w:t>3.6</w:t>
      </w:r>
      <w:r w:rsidR="00FA2986">
        <w:tab/>
      </w:r>
      <w:r w:rsidR="009042DA" w:rsidRPr="005E4A52">
        <w:t>Resolving disputes in the scheme (Term of reference 6)</w:t>
      </w:r>
      <w:bookmarkEnd w:id="40"/>
      <w:bookmarkEnd w:id="41"/>
      <w:bookmarkEnd w:id="42"/>
      <w:bookmarkEnd w:id="43"/>
    </w:p>
    <w:p w14:paraId="740C432D" w14:textId="3D0C4AC8" w:rsidR="00266911" w:rsidRPr="005E4A52" w:rsidRDefault="009042DA" w:rsidP="009042DA">
      <w:pPr>
        <w:spacing w:after="120" w:line="240" w:lineRule="auto"/>
      </w:pPr>
      <w:r w:rsidRPr="005E4A52">
        <w:t>Term of reference 6 is focused on</w:t>
      </w:r>
      <w:r w:rsidR="00266911" w:rsidRPr="005E4A52">
        <w:t>:</w:t>
      </w:r>
    </w:p>
    <w:p w14:paraId="64A3E4F4" w14:textId="77777777" w:rsidR="00266911" w:rsidRPr="005E4A52" w:rsidRDefault="009042DA" w:rsidP="009042DA">
      <w:pPr>
        <w:pStyle w:val="ListParagraph"/>
        <w:numPr>
          <w:ilvl w:val="1"/>
          <w:numId w:val="11"/>
        </w:numPr>
        <w:spacing w:after="120" w:line="240" w:lineRule="auto"/>
      </w:pPr>
      <w:r w:rsidRPr="005E4A52">
        <w:t xml:space="preserve">how arrangements for internal and administrative review can ensure disputes are resolved as quickly, efficiently, and </w:t>
      </w:r>
      <w:proofErr w:type="gramStart"/>
      <w:r w:rsidRPr="005E4A52">
        <w:t>fairly as</w:t>
      </w:r>
      <w:proofErr w:type="gramEnd"/>
      <w:r w:rsidRPr="005E4A52">
        <w:t xml:space="preserve"> possible, taking into account the impact of disputes on claimants. </w:t>
      </w:r>
    </w:p>
    <w:p w14:paraId="5B7EEA09" w14:textId="4947C120" w:rsidR="009042DA" w:rsidRPr="005E4A52" w:rsidRDefault="009042DA" w:rsidP="00266911">
      <w:pPr>
        <w:spacing w:after="120" w:line="240" w:lineRule="auto"/>
      </w:pPr>
      <w:r w:rsidRPr="005E4A52">
        <w:t xml:space="preserve">It is also focused on whether terms in the legislation which have been the subject of significant litigation can be clarified. </w:t>
      </w:r>
      <w:r w:rsidRPr="005E4A52">
        <w:rPr>
          <w:rFonts w:eastAsia="Times New Roman" w:cstheme="minorHAnsi"/>
        </w:rPr>
        <w:t xml:space="preserve">These matters will not be considered in isolation but within the context in which they arise. </w:t>
      </w:r>
    </w:p>
    <w:tbl>
      <w:tblPr>
        <w:tblStyle w:val="TableGrid"/>
        <w:tblW w:w="9924" w:type="dxa"/>
        <w:tblInd w:w="-43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419"/>
        <w:gridCol w:w="8505"/>
      </w:tblGrid>
      <w:tr w:rsidR="009042DA" w:rsidRPr="005E4A52" w14:paraId="2BB75363" w14:textId="77777777" w:rsidTr="00A31596">
        <w:trPr>
          <w:cnfStyle w:val="100000000000" w:firstRow="1" w:lastRow="0" w:firstColumn="0" w:lastColumn="0" w:oddVBand="0" w:evenVBand="0" w:oddHBand="0" w:evenHBand="0" w:firstRowFirstColumn="0" w:firstRowLastColumn="0" w:lastRowFirstColumn="0" w:lastRowLastColumn="0"/>
        </w:trPr>
        <w:tc>
          <w:tcPr>
            <w:tcW w:w="9924" w:type="dxa"/>
            <w:gridSpan w:val="2"/>
            <w:shd w:val="clear" w:color="auto" w:fill="092050" w:themeFill="text1" w:themeFillShade="BF"/>
          </w:tcPr>
          <w:p w14:paraId="2EE53F3A" w14:textId="20490ADC" w:rsidR="009042DA" w:rsidRPr="005E4A52" w:rsidRDefault="009042DA" w:rsidP="0015289B">
            <w:pPr>
              <w:pStyle w:val="ListParagraph"/>
              <w:numPr>
                <w:ilvl w:val="0"/>
                <w:numId w:val="47"/>
              </w:numPr>
              <w:spacing w:before="120" w:after="120" w:line="240" w:lineRule="auto"/>
              <w:ind w:left="714" w:hanging="357"/>
              <w:rPr>
                <w:rFonts w:eastAsia="Times New Roman" w:cstheme="minorHAnsi"/>
                <w:b/>
                <w:bCs/>
              </w:rPr>
            </w:pPr>
            <w:r w:rsidRPr="005E4A52">
              <w:rPr>
                <w:rStyle w:val="normaltextrun"/>
                <w:rFonts w:eastAsiaTheme="majorEastAsia" w:cstheme="minorHAnsi"/>
                <w:b/>
                <w:bCs/>
                <w:sz w:val="24"/>
                <w:szCs w:val="24"/>
              </w:rPr>
              <w:t>Resolving disputes in the scheme</w:t>
            </w:r>
            <w:r w:rsidRPr="005E4A52">
              <w:rPr>
                <w:b/>
                <w:bCs/>
                <w:color w:val="FFFFFF" w:themeColor="background1"/>
              </w:rPr>
              <w:t xml:space="preserve"> </w:t>
            </w:r>
          </w:p>
        </w:tc>
      </w:tr>
      <w:tr w:rsidR="009042DA" w:rsidRPr="005E4A52" w14:paraId="6CB0BECB" w14:textId="77777777" w:rsidTr="00A31596">
        <w:tc>
          <w:tcPr>
            <w:tcW w:w="1419" w:type="dxa"/>
            <w:shd w:val="clear" w:color="auto" w:fill="E0E1ED" w:themeFill="accent2" w:themeFillTint="33"/>
          </w:tcPr>
          <w:p w14:paraId="3306C319" w14:textId="77777777" w:rsidR="009042DA" w:rsidRPr="005E4A52" w:rsidRDefault="009042DA">
            <w:pPr>
              <w:spacing w:after="120"/>
              <w:rPr>
                <w:rFonts w:eastAsia="Times New Roman" w:cstheme="minorHAnsi"/>
                <w:b/>
                <w:bCs/>
              </w:rPr>
            </w:pPr>
            <w:r w:rsidRPr="005E4A52">
              <w:rPr>
                <w:b/>
                <w:bCs/>
              </w:rPr>
              <w:t xml:space="preserve">Why important </w:t>
            </w:r>
          </w:p>
        </w:tc>
        <w:tc>
          <w:tcPr>
            <w:tcW w:w="8505" w:type="dxa"/>
            <w:shd w:val="clear" w:color="auto" w:fill="F2F2F2" w:themeFill="background1" w:themeFillShade="F2"/>
          </w:tcPr>
          <w:p w14:paraId="25777086" w14:textId="77777777" w:rsidR="009042DA" w:rsidRPr="005E4A52" w:rsidRDefault="009042DA">
            <w:r w:rsidRPr="005E4A52">
              <w:t xml:space="preserve">The objective is to make recommendations to ensure the process for resolving disputes results in a fair and affordable outcome for those suffering injury, returns the worker to employment as quickly as possible and does not exacerbate the impact of the injury. Achievement of these objectives would reduce the volume and costs of litigation. </w:t>
            </w:r>
          </w:p>
          <w:p w14:paraId="7224815E" w14:textId="77777777" w:rsidR="009042DA" w:rsidRPr="005E4A52" w:rsidRDefault="009042DA">
            <w:r w:rsidRPr="005E4A52">
              <w:t>In 2020-21, the Comcare scheme had a higher average disputation rate (6%) than other</w:t>
            </w:r>
            <w:r w:rsidRPr="005E4A52">
              <w:rPr>
                <w:rFonts w:eastAsia="Calibri" w:cs="Calibri"/>
              </w:rPr>
              <w:t xml:space="preserve"> Australian workers’ compensation schemes (4.2%).</w:t>
            </w:r>
            <w:r w:rsidRPr="005E4A52">
              <w:rPr>
                <w:rStyle w:val="FootnoteReference"/>
                <w:rFonts w:eastAsia="Calibri" w:cs="Calibri"/>
              </w:rPr>
              <w:footnoteReference w:id="42"/>
            </w:r>
            <w:r w:rsidRPr="005E4A52">
              <w:rPr>
                <w:rFonts w:eastAsia="Calibri" w:cs="Calibri"/>
              </w:rPr>
              <w:t xml:space="preserve"> While there is a need for caution when </w:t>
            </w:r>
            <w:r w:rsidRPr="005E4A52">
              <w:t>comparison are made between jurisdictions,</w:t>
            </w:r>
            <w:r w:rsidRPr="005E4A52">
              <w:rPr>
                <w:rStyle w:val="FootnoteReference"/>
              </w:rPr>
              <w:footnoteReference w:id="43"/>
            </w:r>
            <w:r w:rsidRPr="005E4A52">
              <w:t xml:space="preserve"> the disputation rate for the Comcare scheme may be due to legislative design.</w:t>
            </w:r>
          </w:p>
          <w:p w14:paraId="7D83F84B" w14:textId="77777777" w:rsidR="009042DA" w:rsidRPr="005E4A52" w:rsidRDefault="009042DA">
            <w:r w:rsidRPr="005E4A52">
              <w:t>Comcare disputes generally take more time to resolve than disputes in other jurisdictions.</w:t>
            </w:r>
            <w:r w:rsidRPr="005E4A52">
              <w:rPr>
                <w:rStyle w:val="FootnoteReference"/>
              </w:rPr>
              <w:footnoteReference w:id="44"/>
            </w:r>
            <w:r w:rsidRPr="005E4A52">
              <w:t xml:space="preserve"> The resolution of disputes involves internal review by Comcare and external review by the Tribunal. Internal review can be </w:t>
            </w:r>
            <w:proofErr w:type="gramStart"/>
            <w:r w:rsidRPr="005E4A52">
              <w:t>valuable</w:t>
            </w:r>
            <w:proofErr w:type="gramEnd"/>
            <w:r w:rsidRPr="005E4A52">
              <w:t xml:space="preserve"> but the timeliness of decision-making can result in perceptions of delayed justice. </w:t>
            </w:r>
          </w:p>
          <w:p w14:paraId="4AD94CE8" w14:textId="77777777" w:rsidR="009042DA" w:rsidRPr="005E4A52" w:rsidRDefault="009042DA">
            <w:r w:rsidRPr="005E4A52">
              <w:t xml:space="preserve">The resolution of disputes is influenced by several factors including restrictions on options for pre-litigation dispute resolution. Pre-litigation (alternative) dispute resolution processes are available under some state and territory </w:t>
            </w:r>
            <w:proofErr w:type="gramStart"/>
            <w:r w:rsidRPr="005E4A52">
              <w:t>schemes, but</w:t>
            </w:r>
            <w:proofErr w:type="gramEnd"/>
            <w:r w:rsidRPr="005E4A52">
              <w:t xml:space="preserve"> is only available under the SRC Act in proceedings before the AAT. Most self-insured licensees have pre-litigation dispute resolution processes including mediation or conciliation.</w:t>
            </w:r>
          </w:p>
          <w:p w14:paraId="0D683D45" w14:textId="77777777" w:rsidR="009042DA" w:rsidRPr="005E4A52" w:rsidRDefault="009042DA">
            <w:r w:rsidRPr="005E4A52">
              <w:t xml:space="preserve">Factors that impact the timeliness of settling disputes include lack of clarity of key terms in the SRC Act, delays due to the need to obtain medical and other expert evidence and absence of guidance for claims managers due to </w:t>
            </w:r>
            <w:r w:rsidRPr="005E4A52" w:rsidDel="00F505A2">
              <w:t xml:space="preserve">inconsistent </w:t>
            </w:r>
            <w:r w:rsidRPr="005E4A52">
              <w:t xml:space="preserve">tribunal and court decisions.  </w:t>
            </w:r>
          </w:p>
          <w:p w14:paraId="73034380" w14:textId="77777777" w:rsidR="009042DA" w:rsidRPr="005E4A52" w:rsidRDefault="009042DA">
            <w:r w:rsidRPr="005E4A52">
              <w:t xml:space="preserve">A common complaint about the dispute resolution process for Comcare appeals is the processing time for the appeals to be finalised by the AAT. In 2022-23, 54% of the 1,175 reviews (Comcare and </w:t>
            </w:r>
            <w:proofErr w:type="spellStart"/>
            <w:r w:rsidRPr="005E4A52">
              <w:t>Seacare</w:t>
            </w:r>
            <w:proofErr w:type="spellEnd"/>
            <w:r w:rsidRPr="005E4A52">
              <w:t>) were finalised within 12 months, the median time being 49 weeks.</w:t>
            </w:r>
            <w:r w:rsidRPr="005E4A52">
              <w:rPr>
                <w:rStyle w:val="FootnoteReference"/>
              </w:rPr>
              <w:footnoteReference w:id="45"/>
            </w:r>
            <w:r w:rsidRPr="005E4A52">
              <w:t xml:space="preserve"> </w:t>
            </w:r>
          </w:p>
          <w:p w14:paraId="5F41719F" w14:textId="6D470D80" w:rsidR="009042DA" w:rsidRPr="005E4A52" w:rsidRDefault="009042DA">
            <w:pPr>
              <w:spacing w:after="120"/>
              <w:rPr>
                <w:rFonts w:eastAsia="Times New Roman"/>
                <w:b/>
              </w:rPr>
            </w:pPr>
            <w:r w:rsidRPr="005E4A52">
              <w:lastRenderedPageBreak/>
              <w:t xml:space="preserve">A further common complaint about the Comcare scheme is that innovation and flexibility in the alternative dispute resolution is restricted under the SRC Act, potentially preventing parties from settling claims. </w:t>
            </w:r>
          </w:p>
        </w:tc>
      </w:tr>
      <w:tr w:rsidR="009042DA" w:rsidRPr="005E4A52" w14:paraId="2F43C34A" w14:textId="77777777" w:rsidTr="00A31596">
        <w:trPr>
          <w:trHeight w:val="3922"/>
        </w:trPr>
        <w:tc>
          <w:tcPr>
            <w:tcW w:w="1419" w:type="dxa"/>
            <w:shd w:val="clear" w:color="auto" w:fill="E0E1ED" w:themeFill="accent2" w:themeFillTint="33"/>
          </w:tcPr>
          <w:p w14:paraId="53947060" w14:textId="77777777" w:rsidR="009042DA" w:rsidRPr="005E4A52" w:rsidRDefault="009042DA">
            <w:pPr>
              <w:spacing w:after="120"/>
              <w:rPr>
                <w:rFonts w:eastAsia="Times New Roman" w:cstheme="minorHAnsi"/>
                <w:b/>
                <w:bCs/>
              </w:rPr>
            </w:pPr>
            <w:r w:rsidRPr="005E4A52">
              <w:rPr>
                <w:b/>
                <w:bCs/>
              </w:rPr>
              <w:lastRenderedPageBreak/>
              <w:t>Issues to be considered</w:t>
            </w:r>
          </w:p>
        </w:tc>
        <w:tc>
          <w:tcPr>
            <w:tcW w:w="8505" w:type="dxa"/>
            <w:shd w:val="clear" w:color="auto" w:fill="F2F2F2" w:themeFill="background1" w:themeFillShade="F2"/>
          </w:tcPr>
          <w:p w14:paraId="00A7EBD2" w14:textId="77777777" w:rsidR="009042DA" w:rsidRPr="005E4A52" w:rsidRDefault="009042DA" w:rsidP="009042DA">
            <w:pPr>
              <w:pStyle w:val="ListParagraph"/>
              <w:numPr>
                <w:ilvl w:val="0"/>
                <w:numId w:val="27"/>
              </w:numPr>
              <w:spacing w:line="240" w:lineRule="auto"/>
            </w:pPr>
            <w:r w:rsidRPr="005E4A52">
              <w:t xml:space="preserve">How changes to system design (including the appeals structure) can assist with resolving dispute at all stages of the process.  </w:t>
            </w:r>
          </w:p>
          <w:p w14:paraId="128343B3" w14:textId="4F4ECCA2" w:rsidR="00912416" w:rsidRPr="005E4A52" w:rsidRDefault="003A07B9" w:rsidP="009042DA">
            <w:pPr>
              <w:pStyle w:val="ListParagraph"/>
              <w:numPr>
                <w:ilvl w:val="0"/>
                <w:numId w:val="27"/>
              </w:numPr>
              <w:spacing w:line="240" w:lineRule="auto"/>
            </w:pPr>
            <w:r>
              <w:t xml:space="preserve">Whether there is a </w:t>
            </w:r>
            <w:r w:rsidR="00981340">
              <w:t>rol</w:t>
            </w:r>
            <w:r w:rsidR="00770A73">
              <w:t>e</w:t>
            </w:r>
            <w:r>
              <w:t xml:space="preserve"> for medical panels </w:t>
            </w:r>
            <w:r w:rsidR="00473D1B">
              <w:t>in the decision-making process.</w:t>
            </w:r>
          </w:p>
          <w:p w14:paraId="450E7BB4" w14:textId="0CB797A6" w:rsidR="009042DA" w:rsidRPr="005E4A52" w:rsidRDefault="009042DA" w:rsidP="009042DA">
            <w:pPr>
              <w:pStyle w:val="ListParagraph"/>
              <w:numPr>
                <w:ilvl w:val="0"/>
                <w:numId w:val="27"/>
              </w:numPr>
              <w:spacing w:line="240" w:lineRule="auto"/>
            </w:pPr>
            <w:r w:rsidRPr="005E4A52">
              <w:t>Whether the structure requires supplementation, for example by more effective use of pre-litigation dispute resolution</w:t>
            </w:r>
            <w:r w:rsidR="509D3E00">
              <w:t xml:space="preserve"> during which ‘all in’ settlements could be negotiated</w:t>
            </w:r>
            <w:r w:rsidRPr="005E4A52">
              <w:t xml:space="preserve">.  </w:t>
            </w:r>
          </w:p>
          <w:p w14:paraId="57AC8CDF" w14:textId="77777777" w:rsidR="009042DA" w:rsidRPr="005E4A52" w:rsidRDefault="009042DA" w:rsidP="009042DA">
            <w:pPr>
              <w:pStyle w:val="ListParagraph"/>
              <w:numPr>
                <w:ilvl w:val="0"/>
                <w:numId w:val="27"/>
              </w:numPr>
              <w:spacing w:line="240" w:lineRule="auto"/>
            </w:pPr>
            <w:r w:rsidRPr="005E4A52">
              <w:t>Exploring the causes for the higher average disputation rates for Comcare (6%) than for other Australian schemes (4.2%).</w:t>
            </w:r>
          </w:p>
          <w:p w14:paraId="11A51C35" w14:textId="6CE01D3F" w:rsidR="009042DA" w:rsidRPr="005E4A52" w:rsidRDefault="009042DA" w:rsidP="009042DA">
            <w:pPr>
              <w:pStyle w:val="ListParagraph"/>
              <w:numPr>
                <w:ilvl w:val="0"/>
                <w:numId w:val="27"/>
              </w:numPr>
              <w:spacing w:line="240" w:lineRule="auto"/>
            </w:pPr>
            <w:r w:rsidRPr="005E4A52">
              <w:t xml:space="preserve">Exploring </w:t>
            </w:r>
            <w:proofErr w:type="gramStart"/>
            <w:r w:rsidRPr="005E4A52">
              <w:t>why</w:t>
            </w:r>
            <w:proofErr w:type="gramEnd"/>
            <w:r w:rsidRPr="005E4A52">
              <w:t xml:space="preserve"> resolving disputes takes more time for Comcare, than for claims managed through delegated claims management arrangements</w:t>
            </w:r>
            <w:r w:rsidR="009F0922">
              <w:t xml:space="preserve"> (see 3.7)</w:t>
            </w:r>
            <w:r w:rsidRPr="005E4A52">
              <w:t xml:space="preserve"> and by licensees. </w:t>
            </w:r>
          </w:p>
          <w:p w14:paraId="0637E4E4" w14:textId="77777777" w:rsidR="009042DA" w:rsidRPr="005E4A52" w:rsidRDefault="009042DA" w:rsidP="009042DA">
            <w:pPr>
              <w:pStyle w:val="ListParagraph"/>
              <w:numPr>
                <w:ilvl w:val="0"/>
                <w:numId w:val="27"/>
              </w:numPr>
              <w:spacing w:line="240" w:lineRule="auto"/>
              <w:rPr>
                <w:rFonts w:eastAsia="Times New Roman"/>
              </w:rPr>
            </w:pPr>
            <w:r w:rsidRPr="005E4A52">
              <w:t xml:space="preserve">Considering how to reduce the time it takes to settle dispute about psychological claims. </w:t>
            </w:r>
          </w:p>
          <w:p w14:paraId="34642814" w14:textId="43465240" w:rsidR="1D6AAC76" w:rsidRDefault="1D6AAC76" w:rsidP="5F9707DF">
            <w:pPr>
              <w:pStyle w:val="ListParagraph"/>
              <w:numPr>
                <w:ilvl w:val="0"/>
                <w:numId w:val="27"/>
              </w:numPr>
              <w:spacing w:line="240" w:lineRule="auto"/>
              <w:rPr>
                <w:rFonts w:ascii="Aptos" w:eastAsia="Aptos" w:hAnsi="Aptos" w:cs="Aptos"/>
              </w:rPr>
            </w:pPr>
            <w:r w:rsidRPr="5F9707DF">
              <w:rPr>
                <w:rFonts w:ascii="Aptos" w:eastAsia="Aptos" w:hAnsi="Aptos" w:cs="Aptos"/>
              </w:rPr>
              <w:t>Exploring how legal costs act as a barrier to dispute settlement.</w:t>
            </w:r>
          </w:p>
          <w:p w14:paraId="2954A4D2" w14:textId="77777777" w:rsidR="009042DA" w:rsidRPr="005E4A52" w:rsidRDefault="009042DA" w:rsidP="009042DA">
            <w:pPr>
              <w:pStyle w:val="ListParagraph"/>
              <w:numPr>
                <w:ilvl w:val="0"/>
                <w:numId w:val="27"/>
              </w:numPr>
              <w:spacing w:line="240" w:lineRule="auto"/>
              <w:rPr>
                <w:rFonts w:eastAsia="Times New Roman" w:cstheme="minorHAnsi"/>
              </w:rPr>
            </w:pPr>
            <w:r w:rsidRPr="005E4A52">
              <w:t xml:space="preserve">Considering whether a provisional payment system with restrictions on amounts and length of time would deal with the adverse economic consequences for employees due to the original decision on a claim operating until the dispute is resolved. </w:t>
            </w:r>
          </w:p>
        </w:tc>
      </w:tr>
      <w:tr w:rsidR="009042DA" w:rsidRPr="005E4A52" w14:paraId="09DFD3F6" w14:textId="77777777" w:rsidTr="00A31596">
        <w:tc>
          <w:tcPr>
            <w:tcW w:w="1419" w:type="dxa"/>
            <w:shd w:val="clear" w:color="auto" w:fill="E0E1ED" w:themeFill="accent2" w:themeFillTint="33"/>
          </w:tcPr>
          <w:p w14:paraId="55A7ADCC" w14:textId="77777777" w:rsidR="009042DA" w:rsidRPr="005E4A52" w:rsidRDefault="009042DA">
            <w:pPr>
              <w:spacing w:after="120"/>
              <w:rPr>
                <w:rFonts w:eastAsia="Times New Roman" w:cstheme="minorHAnsi"/>
                <w:b/>
                <w:bCs/>
              </w:rPr>
            </w:pPr>
            <w:r w:rsidRPr="005E4A52">
              <w:rPr>
                <w:b/>
                <w:bCs/>
              </w:rPr>
              <w:t xml:space="preserve">Links to </w:t>
            </w:r>
            <w:proofErr w:type="gramStart"/>
            <w:r w:rsidRPr="005E4A52">
              <w:rPr>
                <w:b/>
                <w:bCs/>
              </w:rPr>
              <w:t>other</w:t>
            </w:r>
            <w:proofErr w:type="gramEnd"/>
            <w:r w:rsidRPr="005E4A52">
              <w:rPr>
                <w:b/>
                <w:bCs/>
              </w:rPr>
              <w:t xml:space="preserve"> </w:t>
            </w:r>
            <w:proofErr w:type="spellStart"/>
            <w:r w:rsidRPr="005E4A52">
              <w:rPr>
                <w:b/>
                <w:bCs/>
              </w:rPr>
              <w:t>ToR</w:t>
            </w:r>
            <w:proofErr w:type="spellEnd"/>
          </w:p>
        </w:tc>
        <w:tc>
          <w:tcPr>
            <w:tcW w:w="8505" w:type="dxa"/>
            <w:shd w:val="clear" w:color="auto" w:fill="F2F2F2" w:themeFill="background1" w:themeFillShade="F2"/>
          </w:tcPr>
          <w:p w14:paraId="1CC342A1" w14:textId="2C5D1C60" w:rsidR="009042DA" w:rsidRPr="005E4A52" w:rsidRDefault="009042DA">
            <w:pPr>
              <w:spacing w:after="120"/>
              <w:rPr>
                <w:rFonts w:eastAsia="Times New Roman" w:cstheme="minorHAnsi"/>
              </w:rPr>
            </w:pPr>
            <w:r w:rsidRPr="005E4A52">
              <w:t xml:space="preserve">Term of reference 5 in relation to lump sum payments, provisional payments, and the restrictions on redemption. </w:t>
            </w:r>
            <w:r w:rsidRPr="005E4A52">
              <w:rPr>
                <w:rStyle w:val="normaltextrun"/>
                <w:rFonts w:eastAsiaTheme="majorEastAsia" w:cstheme="minorHAnsi"/>
              </w:rPr>
              <w:t xml:space="preserve"> Terms of reference 1</w:t>
            </w:r>
            <w:r w:rsidR="000373BA">
              <w:rPr>
                <w:rStyle w:val="normaltextrun"/>
                <w:rFonts w:eastAsiaTheme="majorEastAsia" w:cstheme="minorHAnsi"/>
              </w:rPr>
              <w:t xml:space="preserve"> and 4</w:t>
            </w:r>
            <w:r w:rsidRPr="005E4A52">
              <w:rPr>
                <w:rStyle w:val="normaltextrun"/>
                <w:rFonts w:eastAsiaTheme="majorEastAsia" w:cstheme="minorHAnsi"/>
              </w:rPr>
              <w:t xml:space="preserve"> in relation to best practice.</w:t>
            </w:r>
          </w:p>
        </w:tc>
      </w:tr>
      <w:tr w:rsidR="009042DA" w:rsidRPr="005E4A52" w14:paraId="3FE22CE3" w14:textId="77777777" w:rsidTr="00A31596">
        <w:tc>
          <w:tcPr>
            <w:tcW w:w="1419" w:type="dxa"/>
            <w:shd w:val="clear" w:color="auto" w:fill="E0E1ED" w:themeFill="accent2" w:themeFillTint="33"/>
          </w:tcPr>
          <w:p w14:paraId="6AD3440E" w14:textId="77777777" w:rsidR="009042DA" w:rsidRPr="005E4A52" w:rsidRDefault="009042DA">
            <w:pPr>
              <w:spacing w:after="120"/>
              <w:rPr>
                <w:rFonts w:eastAsia="Times New Roman" w:cstheme="minorHAnsi"/>
                <w:b/>
                <w:bCs/>
              </w:rPr>
            </w:pPr>
            <w:r w:rsidRPr="005E4A52">
              <w:rPr>
                <w:b/>
                <w:bCs/>
              </w:rPr>
              <w:t xml:space="preserve">Questions </w:t>
            </w:r>
          </w:p>
        </w:tc>
        <w:tc>
          <w:tcPr>
            <w:tcW w:w="8505" w:type="dxa"/>
            <w:shd w:val="clear" w:color="auto" w:fill="F2F2F2" w:themeFill="background1" w:themeFillShade="F2"/>
          </w:tcPr>
          <w:p w14:paraId="45E6B60F" w14:textId="77777777"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What is your experience of dispute resolution in the scheme? What improvements would you suggest arising from that experience? </w:t>
            </w:r>
          </w:p>
          <w:p w14:paraId="3EE349B9" w14:textId="77777777"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Should the legislative framework provide for pre-litigation dispute resolution processes prior to external review by the Tribunal? If so, at what point in the process and by whom? </w:t>
            </w:r>
          </w:p>
          <w:p w14:paraId="309003BE" w14:textId="77777777"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Should the legislative framework be changed to adopt best practice in dispute resolution from other schemes?  If so, please specify.</w:t>
            </w:r>
          </w:p>
          <w:p w14:paraId="3074DE20" w14:textId="29958159" w:rsidR="00770A73" w:rsidRPr="005E4A52" w:rsidRDefault="00595439" w:rsidP="009042DA">
            <w:pPr>
              <w:pStyle w:val="ListParagraph"/>
              <w:numPr>
                <w:ilvl w:val="0"/>
                <w:numId w:val="11"/>
              </w:numPr>
              <w:spacing w:after="120" w:line="240" w:lineRule="auto"/>
              <w:rPr>
                <w:rStyle w:val="normaltextrun"/>
                <w:rFonts w:eastAsiaTheme="majorEastAsia" w:cstheme="minorHAnsi"/>
              </w:rPr>
            </w:pPr>
            <w:r>
              <w:rPr>
                <w:rStyle w:val="normaltextrun"/>
                <w:rFonts w:eastAsiaTheme="majorEastAsia" w:cstheme="minorHAnsi"/>
              </w:rPr>
              <w:t xml:space="preserve">Is there a role for medical panels to </w:t>
            </w:r>
            <w:r w:rsidR="00543063">
              <w:rPr>
                <w:rStyle w:val="normaltextrun"/>
                <w:rFonts w:eastAsiaTheme="majorEastAsia" w:cstheme="minorHAnsi"/>
              </w:rPr>
              <w:t>contribute to the disput</w:t>
            </w:r>
            <w:r w:rsidR="00E56A9C">
              <w:rPr>
                <w:rStyle w:val="normaltextrun"/>
                <w:rFonts w:eastAsiaTheme="majorEastAsia" w:cstheme="minorHAnsi"/>
              </w:rPr>
              <w:t>e resolution</w:t>
            </w:r>
            <w:r w:rsidR="00543063">
              <w:rPr>
                <w:rStyle w:val="normaltextrun"/>
                <w:rFonts w:eastAsiaTheme="majorEastAsia" w:cstheme="minorHAnsi"/>
              </w:rPr>
              <w:t xml:space="preserve"> process, and if so, </w:t>
            </w:r>
            <w:r w:rsidR="00BC4DC8">
              <w:rPr>
                <w:rStyle w:val="normaltextrun"/>
                <w:rFonts w:eastAsiaTheme="majorEastAsia" w:cstheme="minorHAnsi"/>
              </w:rPr>
              <w:t xml:space="preserve">how should such a panel be </w:t>
            </w:r>
            <w:proofErr w:type="gramStart"/>
            <w:r w:rsidR="00BC4DC8">
              <w:rPr>
                <w:rStyle w:val="normaltextrun"/>
                <w:rFonts w:eastAsiaTheme="majorEastAsia" w:cstheme="minorHAnsi"/>
              </w:rPr>
              <w:t>constituted</w:t>
            </w:r>
            <w:proofErr w:type="gramEnd"/>
            <w:r w:rsidR="00BC4DC8">
              <w:rPr>
                <w:rStyle w:val="normaltextrun"/>
                <w:rFonts w:eastAsiaTheme="majorEastAsia" w:cstheme="minorHAnsi"/>
              </w:rPr>
              <w:t xml:space="preserve"> and </w:t>
            </w:r>
            <w:r w:rsidR="00543063">
              <w:rPr>
                <w:rStyle w:val="normaltextrun"/>
                <w:rFonts w:eastAsiaTheme="majorEastAsia" w:cstheme="minorHAnsi"/>
              </w:rPr>
              <w:t xml:space="preserve">should </w:t>
            </w:r>
            <w:r w:rsidR="00E86BBF">
              <w:rPr>
                <w:rStyle w:val="normaltextrun"/>
                <w:rFonts w:eastAsiaTheme="majorEastAsia" w:cstheme="minorHAnsi"/>
              </w:rPr>
              <w:t>the panel</w:t>
            </w:r>
            <w:r w:rsidR="00F476DB">
              <w:rPr>
                <w:rStyle w:val="normaltextrun"/>
                <w:rFonts w:eastAsiaTheme="majorEastAsia" w:cstheme="minorHAnsi"/>
              </w:rPr>
              <w:t>’</w:t>
            </w:r>
            <w:r w:rsidR="00E86BBF">
              <w:rPr>
                <w:rStyle w:val="normaltextrun"/>
                <w:rFonts w:eastAsiaTheme="majorEastAsia" w:cstheme="minorHAnsi"/>
              </w:rPr>
              <w:t>s</w:t>
            </w:r>
            <w:r w:rsidR="007872D7">
              <w:rPr>
                <w:rStyle w:val="normaltextrun"/>
                <w:rFonts w:eastAsiaTheme="majorEastAsia" w:cstheme="minorHAnsi"/>
              </w:rPr>
              <w:t xml:space="preserve"> opinion</w:t>
            </w:r>
            <w:r w:rsidR="00E86BBF">
              <w:rPr>
                <w:rStyle w:val="normaltextrun"/>
                <w:rFonts w:eastAsiaTheme="majorEastAsia" w:cstheme="minorHAnsi"/>
              </w:rPr>
              <w:t xml:space="preserve"> be binding?</w:t>
            </w:r>
            <w:r w:rsidR="00543063">
              <w:rPr>
                <w:rStyle w:val="normaltextrun"/>
                <w:rFonts w:eastAsiaTheme="majorEastAsia" w:cstheme="minorHAnsi"/>
              </w:rPr>
              <w:t xml:space="preserve"> </w:t>
            </w:r>
          </w:p>
          <w:p w14:paraId="1FEC5915" w14:textId="61F554F4" w:rsidR="009042DA" w:rsidRPr="005E4A52" w:rsidRDefault="009042DA" w:rsidP="009042DA">
            <w:pPr>
              <w:pStyle w:val="ListParagraph"/>
              <w:numPr>
                <w:ilvl w:val="0"/>
                <w:numId w:val="11"/>
              </w:numPr>
              <w:spacing w:after="120" w:line="240" w:lineRule="auto"/>
              <w:rPr>
                <w:rStyle w:val="normaltextrun"/>
                <w:rFonts w:eastAsiaTheme="majorEastAsia" w:cstheme="minorHAnsi"/>
              </w:rPr>
            </w:pPr>
            <w:r w:rsidRPr="005E4A52">
              <w:rPr>
                <w:rStyle w:val="normaltextrun"/>
                <w:rFonts w:eastAsiaTheme="majorEastAsia" w:cstheme="minorHAnsi"/>
              </w:rPr>
              <w:t xml:space="preserve">How can dispute resolution processes be structured to limit further harm to claimants? For example, should there be dispute resolution at the reconsideration stage? Who should pay legal costs associated with the reconsideration? </w:t>
            </w:r>
          </w:p>
          <w:p w14:paraId="492231ED" w14:textId="74DFDD90" w:rsidR="009042DA" w:rsidRPr="005E4A52" w:rsidRDefault="009042DA" w:rsidP="009042DA">
            <w:pPr>
              <w:pStyle w:val="ListParagraph"/>
              <w:numPr>
                <w:ilvl w:val="0"/>
                <w:numId w:val="11"/>
              </w:numPr>
              <w:spacing w:after="120" w:line="240" w:lineRule="auto"/>
              <w:rPr>
                <w:rFonts w:eastAsia="Times New Roman" w:cstheme="minorHAnsi"/>
              </w:rPr>
            </w:pPr>
            <w:r w:rsidRPr="005E4A52">
              <w:rPr>
                <w:rStyle w:val="normaltextrun"/>
                <w:rFonts w:eastAsiaTheme="majorEastAsia" w:cstheme="minorHAnsi"/>
              </w:rPr>
              <w:t>Do you have other suggestions for improvements to the processes for resolution of disputes? For example, other avenues for the resolving of disputes or providing for ‘all in’ settlements</w:t>
            </w:r>
            <w:r w:rsidR="00832798" w:rsidRPr="005E4A52">
              <w:rPr>
                <w:rStyle w:val="normaltextrun"/>
                <w:rFonts w:eastAsiaTheme="majorEastAsia" w:cstheme="minorHAnsi"/>
              </w:rPr>
              <w:t>?</w:t>
            </w:r>
          </w:p>
        </w:tc>
      </w:tr>
    </w:tbl>
    <w:p w14:paraId="62E0C77F" w14:textId="0B47ACCB" w:rsidR="009042DA" w:rsidRPr="005E4A52" w:rsidRDefault="009042DA" w:rsidP="009042DA">
      <w:pPr>
        <w:sectPr w:rsidR="009042DA" w:rsidRPr="005E4A52" w:rsidSect="00724E79">
          <w:pgSz w:w="11906" w:h="16838"/>
          <w:pgMar w:top="1418" w:right="1418" w:bottom="1418" w:left="1418" w:header="0" w:footer="454" w:gutter="0"/>
          <w:cols w:space="708"/>
          <w:docGrid w:linePitch="360"/>
        </w:sectPr>
      </w:pPr>
    </w:p>
    <w:p w14:paraId="64523477" w14:textId="47937997" w:rsidR="009042DA" w:rsidRPr="005E4A52" w:rsidRDefault="00D43B0F" w:rsidP="0015289B">
      <w:pPr>
        <w:pStyle w:val="Heading3"/>
      </w:pPr>
      <w:bookmarkStart w:id="44" w:name="_Toc177409623"/>
      <w:bookmarkStart w:id="45" w:name="_Toc180174617"/>
      <w:r>
        <w:lastRenderedPageBreak/>
        <w:t>3.7</w:t>
      </w:r>
      <w:r w:rsidR="00FA2986">
        <w:tab/>
      </w:r>
      <w:r w:rsidR="009042DA" w:rsidRPr="005E4A52">
        <w:t>Scheme administration (Term of reference 7)</w:t>
      </w:r>
      <w:bookmarkEnd w:id="44"/>
      <w:bookmarkEnd w:id="45"/>
    </w:p>
    <w:p w14:paraId="40B3B78F" w14:textId="38CEB876" w:rsidR="009042DA" w:rsidRPr="005E4A52" w:rsidRDefault="009042DA" w:rsidP="007066B0">
      <w:pPr>
        <w:spacing w:after="160" w:line="240" w:lineRule="auto"/>
        <w:rPr>
          <w:rFonts w:eastAsia="Times New Roman" w:cstheme="minorHAnsi"/>
        </w:rPr>
      </w:pPr>
      <w:bookmarkStart w:id="46" w:name="_Ref173175855"/>
      <w:r w:rsidRPr="005E4A52">
        <w:rPr>
          <w:rFonts w:eastAsia="Times New Roman" w:cstheme="minorHAnsi"/>
        </w:rPr>
        <w:t xml:space="preserve">Term of reference 7 is focused on improving claims administration to achieve better outcomes for injured </w:t>
      </w:r>
      <w:r w:rsidR="00BF1F48" w:rsidRPr="005E4A52">
        <w:rPr>
          <w:rFonts w:eastAsia="Times New Roman" w:cstheme="minorHAnsi"/>
        </w:rPr>
        <w:t>worker and</w:t>
      </w:r>
      <w:r w:rsidRPr="005E4A52">
        <w:rPr>
          <w:rFonts w:eastAsia="Times New Roman" w:cstheme="minorHAnsi"/>
        </w:rPr>
        <w:t xml:space="preserve"> other Comcare scheme participants. It requires the panel to consider: </w:t>
      </w:r>
    </w:p>
    <w:p w14:paraId="4995CC3B" w14:textId="7633AF7B" w:rsidR="009042DA" w:rsidRPr="005E4A52" w:rsidRDefault="009042DA" w:rsidP="007066B0">
      <w:pPr>
        <w:pStyle w:val="ListParagraph"/>
        <w:numPr>
          <w:ilvl w:val="1"/>
          <w:numId w:val="40"/>
        </w:numPr>
        <w:spacing w:after="160" w:line="240" w:lineRule="auto"/>
        <w:rPr>
          <w:rFonts w:eastAsia="Times New Roman" w:cstheme="minorHAnsi"/>
          <w:b/>
          <w:bCs/>
        </w:rPr>
      </w:pPr>
      <w:r w:rsidRPr="005E4A52">
        <w:rPr>
          <w:rFonts w:eastAsia="Times New Roman" w:cstheme="minorHAnsi"/>
        </w:rPr>
        <w:t>delegated claims management</w:t>
      </w:r>
      <w:r w:rsidR="00FC10F8">
        <w:rPr>
          <w:rFonts w:eastAsia="Times New Roman" w:cstheme="minorHAnsi"/>
        </w:rPr>
        <w:t>, and</w:t>
      </w:r>
    </w:p>
    <w:p w14:paraId="12C8C0C3" w14:textId="77777777" w:rsidR="009042DA" w:rsidRPr="005E4A52" w:rsidRDefault="009042DA" w:rsidP="007066B0">
      <w:pPr>
        <w:pStyle w:val="ListParagraph"/>
        <w:numPr>
          <w:ilvl w:val="1"/>
          <w:numId w:val="40"/>
        </w:numPr>
        <w:spacing w:after="160" w:line="240" w:lineRule="auto"/>
        <w:rPr>
          <w:rFonts w:eastAsia="Times New Roman" w:cstheme="minorHAnsi"/>
          <w:b/>
          <w:bCs/>
        </w:rPr>
      </w:pPr>
      <w:r w:rsidRPr="005E4A52">
        <w:rPr>
          <w:rFonts w:eastAsia="Times New Roman" w:cstheme="minorHAnsi"/>
        </w:rPr>
        <w:t xml:space="preserve">how to ensure accurate and timely decision-making on claims. </w:t>
      </w:r>
    </w:p>
    <w:p w14:paraId="3A97BDB3" w14:textId="5216CA52" w:rsidR="009042DA" w:rsidRPr="005E4A52" w:rsidRDefault="009042DA" w:rsidP="007066B0">
      <w:pPr>
        <w:spacing w:after="160" w:line="240" w:lineRule="auto"/>
        <w:rPr>
          <w:rFonts w:eastAsia="Times New Roman" w:cstheme="minorHAnsi"/>
        </w:rPr>
      </w:pPr>
      <w:r w:rsidRPr="005E4A52">
        <w:rPr>
          <w:rFonts w:eastAsia="Times New Roman" w:cstheme="minorHAnsi"/>
        </w:rPr>
        <w:t xml:space="preserve">It is also focused on funding arrangements, including the powers to set premiums, licence fees and regulatory contributions which has been dealt with under term of reference 4.  </w:t>
      </w:r>
    </w:p>
    <w:p w14:paraId="6A555317" w14:textId="1BF98C99" w:rsidR="009042DA" w:rsidRPr="005E4A52" w:rsidRDefault="009042DA" w:rsidP="007066B0">
      <w:pPr>
        <w:spacing w:after="160" w:line="240" w:lineRule="auto"/>
      </w:pPr>
      <w:r w:rsidRPr="005E4A52">
        <w:rPr>
          <w:rFonts w:eastAsia="Times New Roman" w:cstheme="minorHAnsi"/>
        </w:rPr>
        <w:t xml:space="preserve">In addition, its focus is on legislative gaps or unintended consequences arising from the current legislative framework and other technical improvements to streamline the regulatory framework of the Comcare Scheme. These matters will be considered in the context in which they arise. </w:t>
      </w:r>
      <w:bookmarkStart w:id="47" w:name="_Ref173163467"/>
      <w:bookmarkEnd w:id="46"/>
    </w:p>
    <w:tbl>
      <w:tblPr>
        <w:tblStyle w:val="GridTable5Dark-Accent3"/>
        <w:tblW w:w="9923" w:type="dxa"/>
        <w:tblLook w:val="04A0" w:firstRow="1" w:lastRow="0" w:firstColumn="1" w:lastColumn="0" w:noHBand="0" w:noVBand="1"/>
      </w:tblPr>
      <w:tblGrid>
        <w:gridCol w:w="1418"/>
        <w:gridCol w:w="8505"/>
      </w:tblGrid>
      <w:tr w:rsidR="009042DA" w:rsidRPr="005E4A52" w14:paraId="49AE9039" w14:textId="77777777" w:rsidTr="00A315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92050" w:themeFill="text1" w:themeFillShade="BF"/>
          </w:tcPr>
          <w:p w14:paraId="66619C1A" w14:textId="77777777" w:rsidR="009042DA" w:rsidRPr="005E4A52" w:rsidRDefault="009042DA" w:rsidP="0015289B">
            <w:pPr>
              <w:pStyle w:val="ListParagraph"/>
              <w:numPr>
                <w:ilvl w:val="0"/>
                <w:numId w:val="31"/>
              </w:numPr>
              <w:spacing w:before="120" w:after="120" w:line="240" w:lineRule="auto"/>
              <w:ind w:left="714" w:hanging="357"/>
            </w:pPr>
            <w:r w:rsidRPr="005E4A52">
              <w:rPr>
                <w:sz w:val="24"/>
                <w:szCs w:val="24"/>
              </w:rPr>
              <w:t xml:space="preserve">Delegated claims management </w:t>
            </w:r>
          </w:p>
        </w:tc>
      </w:tr>
      <w:tr w:rsidR="009042DA" w:rsidRPr="005E4A52" w14:paraId="1E430536" w14:textId="77777777" w:rsidTr="00A31596">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48DFC16F" w14:textId="0B90E875" w:rsidR="009042DA" w:rsidRPr="005E4A52" w:rsidRDefault="009042DA" w:rsidP="0015289B">
            <w:pPr>
              <w:spacing w:before="120" w:after="120" w:line="271" w:lineRule="auto"/>
            </w:pPr>
            <w:r w:rsidRPr="005E4A52">
              <w:rPr>
                <w:color w:val="auto"/>
              </w:rPr>
              <w:t>Why</w:t>
            </w:r>
            <w:r w:rsidR="0015289B">
              <w:rPr>
                <w:color w:val="auto"/>
              </w:rPr>
              <w:br/>
            </w:r>
            <w:r w:rsidRPr="005E4A52">
              <w:rPr>
                <w:color w:val="auto"/>
              </w:rPr>
              <w:t xml:space="preserve">important </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B0C9A49" w14:textId="7A6A5C5E" w:rsidR="009042DA" w:rsidRPr="005E4A52" w:rsidRDefault="009042DA" w:rsidP="0015289B">
            <w:pPr>
              <w:spacing w:before="120" w:after="120"/>
              <w:cnfStyle w:val="000000100000" w:firstRow="0" w:lastRow="0" w:firstColumn="0" w:lastColumn="0" w:oddVBand="0" w:evenVBand="0" w:oddHBand="1" w:evenHBand="0" w:firstRowFirstColumn="0" w:firstRowLastColumn="0" w:lastRowFirstColumn="0" w:lastRowLastColumn="0"/>
            </w:pPr>
            <w:r w:rsidRPr="005E4A52">
              <w:t>Since 2016, Comcare has delegated its decision-making powers and responsibilities in relation to claims to 2 Australian Government employers, Services Australia, and the Australian Taxation Office (ATO).</w:t>
            </w:r>
            <w:r w:rsidR="00FC10F8" w:rsidRPr="005E4A52">
              <w:rPr>
                <w:vertAlign w:val="superscript"/>
              </w:rPr>
              <w:t xml:space="preserve"> </w:t>
            </w:r>
            <w:r w:rsidR="00FC10F8" w:rsidRPr="005E4A52">
              <w:rPr>
                <w:vertAlign w:val="superscript"/>
              </w:rPr>
              <w:footnoteReference w:id="46"/>
            </w:r>
            <w:r w:rsidRPr="005E4A52">
              <w:t xml:space="preserve"> These are the 2 largest Australian Government employers by total number of employees. This means they take a greater role in managing workers compensation claims. To facilitate this arrangement, the Comcare CEO has issued instruments of delegation to Services Australia and the ATO.</w:t>
            </w:r>
            <w:r w:rsidRPr="005E4A52">
              <w:rPr>
                <w:vertAlign w:val="superscript"/>
              </w:rPr>
              <w:footnoteReference w:id="47"/>
            </w:r>
            <w:r w:rsidRPr="005E4A52">
              <w:rPr>
                <w:vertAlign w:val="superscript"/>
              </w:rPr>
              <w:t xml:space="preserve"> </w:t>
            </w:r>
            <w:r w:rsidRPr="005E4A52">
              <w:t xml:space="preserve"> Management of their own claims is restricted to certain Australian Government employers.</w:t>
            </w:r>
          </w:p>
          <w:p w14:paraId="3D87CFFE" w14:textId="77777777" w:rsidR="009042DA" w:rsidRPr="005E4A52" w:rsidRDefault="009042DA" w:rsidP="0015289B">
            <w:pPr>
              <w:spacing w:before="120" w:after="120"/>
              <w:cnfStyle w:val="000000100000" w:firstRow="0" w:lastRow="0" w:firstColumn="0" w:lastColumn="0" w:oddVBand="0" w:evenVBand="0" w:oddHBand="1" w:evenHBand="0" w:firstRowFirstColumn="0" w:firstRowLastColumn="0" w:lastRowFirstColumn="0" w:lastRowLastColumn="0"/>
            </w:pPr>
            <w:r w:rsidRPr="005E4A52">
              <w:t>The Australian National Audit Office (ANAO) performance audit of Comcare’s administration of workers’ compensation claims noted the following improved outcomes under delegated claims management arrangements: higher return to work rates, lower premiums, higher affirmation rates and improved timeframes for new claims determinations.</w:t>
            </w:r>
            <w:r w:rsidRPr="005E4A52">
              <w:rPr>
                <w:vertAlign w:val="superscript"/>
              </w:rPr>
              <w:footnoteReference w:id="48"/>
            </w:r>
          </w:p>
        </w:tc>
      </w:tr>
      <w:tr w:rsidR="009042DA" w:rsidRPr="005E4A52" w14:paraId="1B0A847D" w14:textId="77777777" w:rsidTr="00A31596">
        <w:tblPrEx>
          <w:jc w:val="left"/>
        </w:tblPrEx>
        <w:trPr>
          <w:trHeight w:val="1060"/>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0C2BBC77" w14:textId="77777777" w:rsidR="009042DA" w:rsidRPr="005E4A52" w:rsidRDefault="009042DA" w:rsidP="0015289B">
            <w:pPr>
              <w:spacing w:before="120" w:after="120" w:line="271" w:lineRule="auto"/>
            </w:pPr>
            <w:r w:rsidRPr="005E4A52">
              <w:rPr>
                <w:color w:val="auto"/>
              </w:rPr>
              <w:t>Issues to be considered</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4E9DE87" w14:textId="77777777" w:rsidR="009042DA" w:rsidRPr="005E4A52" w:rsidRDefault="009042DA" w:rsidP="0015289B">
            <w:pPr>
              <w:spacing w:before="120" w:after="120"/>
              <w:cnfStyle w:val="000000000000" w:firstRow="0" w:lastRow="0" w:firstColumn="0" w:lastColumn="0" w:oddVBand="0" w:evenVBand="0" w:oddHBand="0" w:evenHBand="0" w:firstRowFirstColumn="0" w:firstRowLastColumn="0" w:lastRowFirstColumn="0" w:lastRowLastColumn="0"/>
            </w:pPr>
            <w:r w:rsidRPr="005E4A52">
              <w:t>The ability and scope of the Comcare CEO to delegate Comcare’s claims management powers and functions, including decision making, to trained officers in Australian Government agencies (delegates).</w:t>
            </w:r>
          </w:p>
        </w:tc>
      </w:tr>
      <w:tr w:rsidR="009042DA" w:rsidRPr="005E4A52" w14:paraId="053DFEE2" w14:textId="77777777" w:rsidTr="00A31596">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7D895FA9" w14:textId="77777777" w:rsidR="009042DA" w:rsidRPr="005E4A52" w:rsidRDefault="009042DA" w:rsidP="0015289B">
            <w:pPr>
              <w:spacing w:before="120" w:after="120" w:line="271" w:lineRule="auto"/>
            </w:pPr>
            <w:r w:rsidRPr="005E4A52">
              <w:rPr>
                <w:color w:val="auto"/>
              </w:rPr>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A27D5B3" w14:textId="443F5252" w:rsidR="009042DA" w:rsidRPr="005E4A52" w:rsidRDefault="009042DA" w:rsidP="0015289B">
            <w:pPr>
              <w:spacing w:before="120" w:after="120"/>
              <w:cnfStyle w:val="000000100000" w:firstRow="0" w:lastRow="0" w:firstColumn="0" w:lastColumn="0" w:oddVBand="0" w:evenVBand="0" w:oddHBand="1" w:evenHBand="0" w:firstRowFirstColumn="0" w:firstRowLastColumn="0" w:lastRowFirstColumn="0" w:lastRowLastColumn="0"/>
            </w:pPr>
            <w:r w:rsidRPr="005E4A52">
              <w:rPr>
                <w:rStyle w:val="normaltextrun"/>
                <w:rFonts w:eastAsiaTheme="majorEastAsia" w:cstheme="minorHAnsi"/>
              </w:rPr>
              <w:t>Term of reference 1 in relation to best practice.</w:t>
            </w:r>
          </w:p>
        </w:tc>
      </w:tr>
      <w:tr w:rsidR="009042DA" w:rsidRPr="005E4A52" w14:paraId="2D944862" w14:textId="77777777" w:rsidTr="00A31596">
        <w:tblPrEx>
          <w:jc w:val="left"/>
        </w:tblPrEx>
        <w:trPr>
          <w:trHeight w:val="487"/>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3667E930" w14:textId="77777777" w:rsidR="009042DA" w:rsidRPr="005E4A52" w:rsidRDefault="009042DA" w:rsidP="0015289B">
            <w:pPr>
              <w:spacing w:before="120" w:after="120" w:line="271" w:lineRule="auto"/>
            </w:pPr>
            <w:r w:rsidRPr="005E4A52">
              <w:rPr>
                <w:color w:val="auto"/>
              </w:rPr>
              <w:t xml:space="preserve">Questions </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DC2F834" w14:textId="0373BFA8" w:rsidR="00A3649B" w:rsidRPr="00762757" w:rsidRDefault="00456B04" w:rsidP="0015289B">
            <w:pPr>
              <w:pStyle w:val="ListParagraph"/>
              <w:numPr>
                <w:ilvl w:val="0"/>
                <w:numId w:val="11"/>
              </w:num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Pr>
            </w:pPr>
            <w:r>
              <w:rPr>
                <w:rStyle w:val="normaltextrun"/>
              </w:rPr>
              <w:t xml:space="preserve">Should </w:t>
            </w:r>
            <w:r w:rsidR="00B37BE2">
              <w:rPr>
                <w:rStyle w:val="normaltextrun"/>
              </w:rPr>
              <w:t xml:space="preserve">the Comcare scheme continue to provide </w:t>
            </w:r>
            <w:r w:rsidR="00836287">
              <w:rPr>
                <w:rStyle w:val="normaltextrun"/>
              </w:rPr>
              <w:t xml:space="preserve">for </w:t>
            </w:r>
            <w:r>
              <w:rPr>
                <w:rStyle w:val="normaltextrun"/>
              </w:rPr>
              <w:t>del</w:t>
            </w:r>
            <w:r w:rsidR="00FE4913">
              <w:rPr>
                <w:rStyle w:val="normaltextrun"/>
              </w:rPr>
              <w:t>egated claims management arrangements</w:t>
            </w:r>
            <w:r w:rsidR="00836287">
              <w:rPr>
                <w:rStyle w:val="normaltextrun"/>
              </w:rPr>
              <w:t>?</w:t>
            </w:r>
          </w:p>
          <w:p w14:paraId="4B699C0C" w14:textId="501A5886" w:rsidR="009042DA" w:rsidRPr="005E4A52" w:rsidRDefault="009042DA" w:rsidP="0015289B">
            <w:pPr>
              <w:pStyle w:val="ListParagraph"/>
              <w:numPr>
                <w:ilvl w:val="0"/>
                <w:numId w:val="11"/>
              </w:numPr>
              <w:spacing w:before="120" w:after="120" w:line="240" w:lineRule="auto"/>
              <w:cnfStyle w:val="000000000000" w:firstRow="0" w:lastRow="0" w:firstColumn="0" w:lastColumn="0" w:oddVBand="0" w:evenVBand="0" w:oddHBand="0" w:evenHBand="0" w:firstRowFirstColumn="0" w:firstRowLastColumn="0" w:lastRowFirstColumn="0" w:lastRowLastColumn="0"/>
            </w:pPr>
            <w:r w:rsidRPr="005E4A52">
              <w:rPr>
                <w:rStyle w:val="normaltextrun"/>
                <w:rFonts w:eastAsiaTheme="majorEastAsia" w:cstheme="minorHAnsi"/>
              </w:rPr>
              <w:t>What aspects of the delegated claims management arrangements should remain? What changes are needed?</w:t>
            </w:r>
          </w:p>
        </w:tc>
      </w:tr>
      <w:tr w:rsidR="009042DA" w:rsidRPr="005E4A52" w14:paraId="04FD8E3E" w14:textId="77777777" w:rsidTr="00A31596">
        <w:tblPrEx>
          <w:jc w:val="left"/>
        </w:tblPrEx>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92050" w:themeFill="text1" w:themeFillShade="BF"/>
          </w:tcPr>
          <w:p w14:paraId="2CA9B124" w14:textId="41A3ECAA" w:rsidR="009042DA" w:rsidRPr="005E4A52" w:rsidRDefault="009042DA" w:rsidP="0015289B">
            <w:pPr>
              <w:pStyle w:val="ListParagraph"/>
              <w:numPr>
                <w:ilvl w:val="0"/>
                <w:numId w:val="31"/>
              </w:numPr>
              <w:spacing w:before="120" w:after="120" w:line="240" w:lineRule="auto"/>
              <w:ind w:left="714" w:hanging="357"/>
              <w:rPr>
                <w:rStyle w:val="normaltextrun"/>
                <w:rFonts w:eastAsiaTheme="majorEastAsia" w:cstheme="minorHAnsi"/>
                <w:b w:val="0"/>
                <w:bCs w:val="0"/>
                <w:color w:val="auto"/>
              </w:rPr>
            </w:pPr>
            <w:r w:rsidRPr="005E4A52">
              <w:rPr>
                <w:rStyle w:val="normaltextrun"/>
                <w:rFonts w:eastAsiaTheme="majorEastAsia" w:cstheme="minorHAnsi"/>
                <w:sz w:val="24"/>
                <w:szCs w:val="24"/>
              </w:rPr>
              <w:lastRenderedPageBreak/>
              <w:t xml:space="preserve">Ensuring fair, accurate and timely decision-making </w:t>
            </w:r>
          </w:p>
        </w:tc>
      </w:tr>
      <w:tr w:rsidR="009042DA" w:rsidRPr="005E4A52" w14:paraId="26BBAAB2" w14:textId="77777777" w:rsidTr="00A31596">
        <w:tblPrEx>
          <w:jc w:val="left"/>
        </w:tblPrEx>
        <w:trPr>
          <w:trHeight w:val="43"/>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0E46A40A" w14:textId="77777777" w:rsidR="009042DA" w:rsidRPr="005E4A52" w:rsidRDefault="009042DA">
            <w:pPr>
              <w:spacing w:after="120" w:line="271" w:lineRule="auto"/>
              <w:rPr>
                <w:rStyle w:val="normaltextrun"/>
                <w:rFonts w:eastAsiaTheme="majorEastAsia" w:cstheme="minorHAnsi"/>
              </w:rPr>
            </w:pPr>
            <w:r w:rsidRPr="005E4A52">
              <w:rPr>
                <w:rStyle w:val="normaltextrun"/>
                <w:rFonts w:eastAsiaTheme="majorEastAsia" w:cstheme="minorHAnsi"/>
                <w:color w:val="auto"/>
              </w:rPr>
              <w:t xml:space="preserve">Why important </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70FB9FF" w14:textId="77E7FE6F" w:rsidR="009042DA" w:rsidRPr="005E4A52" w:rsidRDefault="009042DA" w:rsidP="007066B0">
            <w:pPr>
              <w:spacing w:after="12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Ensuring that liability is determined accurately, and compensation paid in a timely manner is fundamental to protecting workers who are injured at work. </w:t>
            </w:r>
          </w:p>
          <w:p w14:paraId="415F457A" w14:textId="18792710" w:rsidR="009042DA" w:rsidRPr="005E4A52" w:rsidRDefault="009042DA" w:rsidP="007066B0">
            <w:pPr>
              <w:spacing w:after="12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In 2023 regulations were made to support quick decisions from 1 April 2024 by prescribing the following periods for decision-making: </w:t>
            </w:r>
          </w:p>
          <w:p w14:paraId="7EF92AFD" w14:textId="54F740B6" w:rsidR="009042DA" w:rsidRPr="005E4A52" w:rsidRDefault="009042DA" w:rsidP="007066B0">
            <w:pPr>
              <w:pStyle w:val="ListParagraph"/>
              <w:numPr>
                <w:ilvl w:val="0"/>
                <w:numId w:val="27"/>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20 calendar days for claims made in respect of an injury or an aggravation of an injury (other than a disease). </w:t>
            </w:r>
          </w:p>
          <w:p w14:paraId="37F32BAA" w14:textId="77777777" w:rsidR="009042DA" w:rsidRPr="005E4A52" w:rsidRDefault="009042DA" w:rsidP="007066B0">
            <w:pPr>
              <w:pStyle w:val="ListParagraph"/>
              <w:numPr>
                <w:ilvl w:val="0"/>
                <w:numId w:val="27"/>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60 calendar days for claims made in respect of a disease.</w:t>
            </w:r>
          </w:p>
          <w:p w14:paraId="06DEE710" w14:textId="4C849A81" w:rsidR="009042DA" w:rsidRPr="005E4A52" w:rsidRDefault="009042DA" w:rsidP="007066B0">
            <w:pPr>
              <w:pStyle w:val="ListParagraph"/>
              <w:numPr>
                <w:ilvl w:val="0"/>
                <w:numId w:val="27"/>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30 calendar days to decide a request by a claimant to reconsider </w:t>
            </w:r>
            <w:r w:rsidR="00BF1F48" w:rsidRPr="005E4A52">
              <w:rPr>
                <w:rStyle w:val="normaltextrun"/>
                <w:rFonts w:eastAsiaTheme="majorEastAsia" w:cstheme="minorHAnsi"/>
              </w:rPr>
              <w:t>a determination</w:t>
            </w:r>
            <w:r w:rsidRPr="005E4A52">
              <w:rPr>
                <w:rStyle w:val="normaltextrun"/>
                <w:rFonts w:eastAsiaTheme="majorEastAsia" w:cstheme="minorHAnsi"/>
              </w:rPr>
              <w:t>.</w:t>
            </w:r>
          </w:p>
          <w:p w14:paraId="3052FD2C" w14:textId="1C6B88AC" w:rsidR="009042DA" w:rsidRPr="005E4A52" w:rsidRDefault="009042DA" w:rsidP="007066B0">
            <w:pPr>
              <w:spacing w:after="120"/>
              <w:cnfStyle w:val="000000000000" w:firstRow="0" w:lastRow="0" w:firstColumn="0" w:lastColumn="0" w:oddVBand="0" w:evenVBand="0" w:oddHBand="0" w:evenHBand="0" w:firstRowFirstColumn="0" w:firstRowLastColumn="0" w:lastRowFirstColumn="0" w:lastRowLastColumn="0"/>
            </w:pPr>
            <w:r w:rsidRPr="005E4A52">
              <w:t xml:space="preserve">No direct sanction applies to the failure to meet the timeframes, although a failure may be non-compliance with licence conditions, a matter for the SRCC. Failure to comply with the timeframes may result in a ‘deemed decision.’  This may authorise a power to review by the Tribunal but has yet to be tested. </w:t>
            </w:r>
          </w:p>
          <w:p w14:paraId="7AC748D6" w14:textId="3564F8A5" w:rsidR="009042DA" w:rsidRPr="005E4A52" w:rsidRDefault="009042DA" w:rsidP="007066B0">
            <w:pPr>
              <w:spacing w:after="120"/>
              <w:cnfStyle w:val="000000000000" w:firstRow="0" w:lastRow="0" w:firstColumn="0" w:lastColumn="0" w:oddVBand="0" w:evenVBand="0" w:oddHBand="0" w:evenHBand="0" w:firstRowFirstColumn="0" w:firstRowLastColumn="0" w:lastRowFirstColumn="0" w:lastRowLastColumn="0"/>
            </w:pPr>
            <w:r w:rsidRPr="005E4A52">
              <w:t>In 2023-24 the average time to determine a claim for:</w:t>
            </w:r>
          </w:p>
          <w:p w14:paraId="4A42415D" w14:textId="53605138" w:rsidR="009042DA" w:rsidRPr="005E4A52" w:rsidRDefault="009042DA" w:rsidP="007066B0">
            <w:pPr>
              <w:pStyle w:val="ListParagraph"/>
              <w:numPr>
                <w:ilvl w:val="0"/>
                <w:numId w:val="28"/>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an ‘injury (other than a disease)’ was 10.5 days, with 97.5% of determinations meeting the 20-day timeframe</w:t>
            </w:r>
            <w:r w:rsidR="00C65955">
              <w:t>,</w:t>
            </w:r>
            <w:r w:rsidRPr="005E4A52">
              <w:t xml:space="preserve"> </w:t>
            </w:r>
          </w:p>
          <w:p w14:paraId="6AD25DEE" w14:textId="3937426E" w:rsidR="009042DA" w:rsidRPr="005E4A52" w:rsidRDefault="009042DA" w:rsidP="007066B0">
            <w:pPr>
              <w:pStyle w:val="ListParagraph"/>
              <w:numPr>
                <w:ilvl w:val="0"/>
                <w:numId w:val="28"/>
              </w:numPr>
              <w:spacing w:after="120" w:line="240" w:lineRule="auto"/>
              <w:cnfStyle w:val="000000000000" w:firstRow="0" w:lastRow="0" w:firstColumn="0" w:lastColumn="0" w:oddVBand="0" w:evenVBand="0" w:oddHBand="0" w:evenHBand="0" w:firstRowFirstColumn="0" w:firstRowLastColumn="0" w:lastRowFirstColumn="0" w:lastRowLastColumn="0"/>
            </w:pPr>
            <w:r w:rsidRPr="005E4A52">
              <w:t>a disease was 44.7 days, with 95% of determinations meeting the 60-day timeframe.</w:t>
            </w:r>
            <w:r w:rsidRPr="005E4A52">
              <w:rPr>
                <w:rStyle w:val="FootnoteReference"/>
              </w:rPr>
              <w:footnoteReference w:id="49"/>
            </w:r>
            <w:r w:rsidRPr="005E4A52">
              <w:t xml:space="preserve"> </w:t>
            </w:r>
          </w:p>
          <w:p w14:paraId="236A68CD" w14:textId="283EC2BB" w:rsidR="009042DA" w:rsidRPr="005E4A52" w:rsidRDefault="009042DA" w:rsidP="007066B0">
            <w:pPr>
              <w:spacing w:after="120"/>
              <w:cnfStyle w:val="000000000000" w:firstRow="0" w:lastRow="0" w:firstColumn="0" w:lastColumn="0" w:oddVBand="0" w:evenVBand="0" w:oddHBand="0" w:evenHBand="0" w:firstRowFirstColumn="0" w:firstRowLastColumn="0" w:lastRowFirstColumn="0" w:lastRowLastColumn="0"/>
            </w:pPr>
            <w:r w:rsidRPr="005E4A52">
              <w:t>In 2023-24 93.6% of reconsiderations under the scheme met the 30-calendar day timeframe.</w:t>
            </w:r>
            <w:r w:rsidRPr="005E4A52">
              <w:rPr>
                <w:rStyle w:val="FootnoteReference"/>
              </w:rPr>
              <w:footnoteReference w:id="50"/>
            </w:r>
          </w:p>
          <w:p w14:paraId="44434555" w14:textId="7BC656CE" w:rsidR="009042DA" w:rsidRPr="005E4A52" w:rsidRDefault="5D1A72A9" w:rsidP="007066B0">
            <w:pPr>
              <w:spacing w:after="120"/>
              <w:cnfStyle w:val="000000000000" w:firstRow="0" w:lastRow="0" w:firstColumn="0" w:lastColumn="0" w:oddVBand="0" w:evenVBand="0" w:oddHBand="0" w:evenHBand="0" w:firstRowFirstColumn="0" w:firstRowLastColumn="0" w:lastRowFirstColumn="0" w:lastRowLastColumn="0"/>
            </w:pPr>
            <w:r>
              <w:t>The tools available in the SRC Act to</w:t>
            </w:r>
            <w:r w:rsidR="009042DA" w:rsidRPr="005E4A52">
              <w:t xml:space="preserve"> support accurate and quick decisions</w:t>
            </w:r>
            <w:r w:rsidR="2ED0E9DC">
              <w:t xml:space="preserve"> include:</w:t>
            </w:r>
          </w:p>
          <w:p w14:paraId="63C7A4F2" w14:textId="6E03DA19" w:rsidR="009042DA" w:rsidRPr="005E4A52" w:rsidRDefault="009042DA" w:rsidP="007066B0">
            <w:pPr>
              <w:pStyle w:val="ListParagraph"/>
              <w:numPr>
                <w:ilvl w:val="0"/>
                <w:numId w:val="29"/>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Power to gather the information required to </w:t>
            </w:r>
            <w:proofErr w:type="gramStart"/>
            <w:r w:rsidRPr="005E4A52">
              <w:rPr>
                <w:rStyle w:val="normaltextrun"/>
                <w:rFonts w:eastAsiaTheme="majorEastAsia" w:cstheme="minorHAnsi"/>
              </w:rPr>
              <w:t>make a decision</w:t>
            </w:r>
            <w:proofErr w:type="gramEnd"/>
            <w:r w:rsidRPr="005E4A52">
              <w:rPr>
                <w:rStyle w:val="normaltextrun"/>
                <w:rFonts w:eastAsiaTheme="majorEastAsia" w:cstheme="minorHAnsi"/>
              </w:rPr>
              <w:t xml:space="preserve">. For decisions on initial liability, the time for gathering evidence is not counted as part of the time limit.  </w:t>
            </w:r>
          </w:p>
          <w:p w14:paraId="7D0FB44C" w14:textId="010AD325" w:rsidR="009042DA" w:rsidRPr="005E4A52" w:rsidRDefault="009042DA" w:rsidP="007066B0">
            <w:pPr>
              <w:pStyle w:val="ListParagraph"/>
              <w:numPr>
                <w:ilvl w:val="0"/>
                <w:numId w:val="29"/>
              </w:numPr>
              <w:spacing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 xml:space="preserve">Power to require a claimant to undergo an independent medical examination (IME): SRC Act s 57. </w:t>
            </w:r>
            <w:r w:rsidR="00F92E7D">
              <w:rPr>
                <w:rStyle w:val="normaltextrun"/>
                <w:rFonts w:eastAsiaTheme="majorEastAsia" w:cstheme="minorHAnsi"/>
              </w:rPr>
              <w:t>A</w:t>
            </w:r>
            <w:r w:rsidR="00F92E7D">
              <w:rPr>
                <w:rStyle w:val="normaltextrun"/>
              </w:rPr>
              <w:t xml:space="preserve"> new legislative instrument, </w:t>
            </w:r>
            <w:r w:rsidR="00315379" w:rsidRPr="004C3823">
              <w:rPr>
                <w:rFonts w:eastAsiaTheme="majorEastAsia" w:cstheme="minorHAnsi"/>
                <w:i/>
                <w:iCs/>
              </w:rPr>
              <w:t>Guide for Arranging Rehabilitation Assessments and Requiring Examinations 2024</w:t>
            </w:r>
            <w:r w:rsidR="00F92E7D">
              <w:rPr>
                <w:rFonts w:eastAsiaTheme="majorEastAsia" w:cstheme="minorHAnsi"/>
              </w:rPr>
              <w:t xml:space="preserve">, </w:t>
            </w:r>
            <w:r w:rsidR="00315379" w:rsidRPr="00315379">
              <w:rPr>
                <w:rFonts w:eastAsiaTheme="majorEastAsia" w:cstheme="minorHAnsi"/>
              </w:rPr>
              <w:t xml:space="preserve">commenced on 18 September 2024 and applies from 30 October. </w:t>
            </w:r>
            <w:r w:rsidR="00F92E7D">
              <w:rPr>
                <w:rStyle w:val="normaltextrun"/>
                <w:rFonts w:eastAsiaTheme="majorEastAsia" w:cstheme="minorHAnsi"/>
              </w:rPr>
              <w:t>T</w:t>
            </w:r>
            <w:r w:rsidRPr="005E4A52">
              <w:rPr>
                <w:rStyle w:val="normaltextrun"/>
                <w:rFonts w:eastAsiaTheme="majorEastAsia" w:cstheme="minorHAnsi"/>
              </w:rPr>
              <w:t xml:space="preserve">he object of the guide is to support ethical, transparent, and accountable decision-making relating to the exercise of the power.  </w:t>
            </w:r>
          </w:p>
          <w:p w14:paraId="5E84C663" w14:textId="77777777" w:rsidR="009042DA" w:rsidRPr="005E4A52" w:rsidRDefault="009042DA" w:rsidP="007066B0">
            <w:pPr>
              <w:spacing w:after="12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t>The process of decision making is not outlined in the SRC Act and depends on the administrative decision making of claims managers and delegates.</w:t>
            </w:r>
            <w:r w:rsidRPr="005E4A52">
              <w:rPr>
                <w:rStyle w:val="FootnoteReference"/>
              </w:rPr>
              <w:footnoteReference w:id="51"/>
            </w:r>
          </w:p>
        </w:tc>
      </w:tr>
      <w:tr w:rsidR="009042DA" w:rsidRPr="005E4A52" w14:paraId="35A948A0" w14:textId="77777777" w:rsidTr="00A31596">
        <w:tblPrEx>
          <w:jc w:val="left"/>
        </w:tblPrEx>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08902344" w14:textId="77777777" w:rsidR="009042DA" w:rsidRPr="005E4A52" w:rsidRDefault="009042DA">
            <w:pPr>
              <w:spacing w:after="120" w:line="271" w:lineRule="auto"/>
              <w:rPr>
                <w:rStyle w:val="normaltextrun"/>
                <w:rFonts w:eastAsiaTheme="majorEastAsia" w:cstheme="minorHAnsi"/>
              </w:rPr>
            </w:pPr>
            <w:r w:rsidRPr="005E4A52">
              <w:rPr>
                <w:rStyle w:val="normaltextrun"/>
                <w:rFonts w:eastAsiaTheme="majorEastAsia" w:cstheme="minorHAnsi"/>
                <w:color w:val="auto"/>
              </w:rPr>
              <w:t>Issues to be considered</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CA5AED0" w14:textId="734ED132" w:rsidR="009042DA" w:rsidRPr="005E4A52" w:rsidRDefault="009042DA" w:rsidP="007066B0">
            <w:pPr>
              <w:pStyle w:val="ListParagraph"/>
              <w:numPr>
                <w:ilvl w:val="0"/>
                <w:numId w:val="35"/>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 xml:space="preserve">Whether better legislative guidance is required for fair, accurate and quick decisions including clarification of the deemed failure to meet statutory timeframes; and clarification and any other improvements to the section 57 IME power. </w:t>
            </w:r>
          </w:p>
          <w:p w14:paraId="00E51D68" w14:textId="05BFB6FC" w:rsidR="009042DA" w:rsidRPr="005E4A52" w:rsidRDefault="009042DA" w:rsidP="007066B0">
            <w:pPr>
              <w:pStyle w:val="ListParagraph"/>
              <w:numPr>
                <w:ilvl w:val="0"/>
                <w:numId w:val="35"/>
              </w:numPr>
              <w:spacing w:after="120" w:line="240" w:lineRule="auto"/>
              <w:cnfStyle w:val="000000100000" w:firstRow="0" w:lastRow="0" w:firstColumn="0" w:lastColumn="0" w:oddVBand="0" w:evenVBand="0" w:oddHBand="1" w:evenHBand="0" w:firstRowFirstColumn="0" w:firstRowLastColumn="0" w:lastRowFirstColumn="0" w:lastRowLastColumn="0"/>
            </w:pPr>
            <w:r w:rsidRPr="005E4A52">
              <w:t xml:space="preserve">Whether steps in the process should be shorter to provide speedier outcomes for claimants. </w:t>
            </w:r>
          </w:p>
          <w:p w14:paraId="1B302381" w14:textId="23BAF10D" w:rsidR="009042DA" w:rsidRPr="005E4A52" w:rsidRDefault="00D4018E" w:rsidP="00797CA7">
            <w:pPr>
              <w:pStyle w:val="ListParagraph"/>
              <w:numPr>
                <w:ilvl w:val="0"/>
                <w:numId w:val="35"/>
              </w:numPr>
              <w:spacing w:after="120" w:line="240" w:lineRule="auto"/>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How to ensure that timeframe</w:t>
            </w:r>
            <w:r w:rsidR="00FE2082">
              <w:rPr>
                <w:rFonts w:ascii="Aptos" w:eastAsia="Aptos" w:hAnsi="Aptos" w:cs="Aptos"/>
              </w:rPr>
              <w:t>s</w:t>
            </w:r>
            <w:r>
              <w:rPr>
                <w:rFonts w:ascii="Aptos" w:eastAsia="Aptos" w:hAnsi="Aptos" w:cs="Aptos"/>
              </w:rPr>
              <w:t xml:space="preserve"> do not cause unintended consequences, such as increase</w:t>
            </w:r>
            <w:r w:rsidR="00FE2082">
              <w:rPr>
                <w:rFonts w:ascii="Aptos" w:eastAsia="Aptos" w:hAnsi="Aptos" w:cs="Aptos"/>
              </w:rPr>
              <w:t>d</w:t>
            </w:r>
            <w:r>
              <w:rPr>
                <w:rFonts w:ascii="Aptos" w:eastAsia="Aptos" w:hAnsi="Aptos" w:cs="Aptos"/>
              </w:rPr>
              <w:t xml:space="preserve"> rejection of claims and less accurate decision making</w:t>
            </w:r>
            <w:r w:rsidR="00C65955">
              <w:rPr>
                <w:rFonts w:ascii="Aptos" w:eastAsia="Aptos" w:hAnsi="Aptos" w:cs="Aptos"/>
              </w:rPr>
              <w:t>.</w:t>
            </w:r>
          </w:p>
          <w:p w14:paraId="6F1FF8AF" w14:textId="1C5A2869" w:rsidR="009042DA" w:rsidRDefault="009042DA" w:rsidP="007066B0">
            <w:pPr>
              <w:pStyle w:val="ListParagraph"/>
              <w:numPr>
                <w:ilvl w:val="0"/>
                <w:numId w:val="35"/>
              </w:numPr>
              <w:spacing w:after="120" w:line="240" w:lineRule="auto"/>
              <w:cnfStyle w:val="000000100000" w:firstRow="0" w:lastRow="0" w:firstColumn="0" w:lastColumn="0" w:oddVBand="0" w:evenVBand="0" w:oddHBand="1" w:evenHBand="0" w:firstRowFirstColumn="0" w:firstRowLastColumn="0" w:lastRowFirstColumn="0" w:lastRowLastColumn="0"/>
            </w:pPr>
            <w:r w:rsidRPr="2EF13161">
              <w:rPr>
                <w:rFonts w:ascii="Aptos" w:eastAsia="Aptos" w:hAnsi="Aptos" w:cs="Aptos"/>
              </w:rPr>
              <w:lastRenderedPageBreak/>
              <w:t xml:space="preserve"> </w:t>
            </w:r>
            <w:r w:rsidR="47430C65" w:rsidRPr="2EF13161">
              <w:rPr>
                <w:rFonts w:ascii="Aptos" w:eastAsia="Aptos" w:hAnsi="Aptos" w:cs="Aptos"/>
              </w:rPr>
              <w:t xml:space="preserve">Whether more tools </w:t>
            </w:r>
            <w:r w:rsidR="0070544B">
              <w:rPr>
                <w:rFonts w:ascii="Aptos" w:eastAsia="Aptos" w:hAnsi="Aptos" w:cs="Aptos"/>
              </w:rPr>
              <w:t xml:space="preserve">should </w:t>
            </w:r>
            <w:r w:rsidR="47430C65" w:rsidRPr="2EF13161">
              <w:rPr>
                <w:rFonts w:ascii="Aptos" w:eastAsia="Aptos" w:hAnsi="Aptos" w:cs="Aptos"/>
              </w:rPr>
              <w:t>be available to determining authorities to facilitate accurate and quick decisions such as</w:t>
            </w:r>
            <w:r>
              <w:t xml:space="preserve"> </w:t>
            </w:r>
            <w:r w:rsidRPr="005E4A52">
              <w:t>better information-gathering powers</w:t>
            </w:r>
            <w:r w:rsidR="4DF8A2DF">
              <w:t>.</w:t>
            </w:r>
            <w:r w:rsidRPr="005E4A52">
              <w:t xml:space="preserve"> </w:t>
            </w:r>
          </w:p>
          <w:p w14:paraId="20CEB959" w14:textId="27AE424E" w:rsidR="00B757D5" w:rsidRPr="005E4A52" w:rsidRDefault="00B757D5" w:rsidP="007066B0">
            <w:pPr>
              <w:pStyle w:val="ListParagraph"/>
              <w:numPr>
                <w:ilvl w:val="0"/>
                <w:numId w:val="35"/>
              </w:numPr>
              <w:spacing w:after="120" w:line="240" w:lineRule="auto"/>
              <w:cnfStyle w:val="000000100000" w:firstRow="0" w:lastRow="0" w:firstColumn="0" w:lastColumn="0" w:oddVBand="0" w:evenVBand="0" w:oddHBand="1" w:evenHBand="0" w:firstRowFirstColumn="0" w:firstRowLastColumn="0" w:lastRowFirstColumn="0" w:lastRowLastColumn="0"/>
              <w:rPr>
                <w:rStyle w:val="normaltextrun"/>
              </w:rPr>
            </w:pPr>
            <w:r w:rsidRPr="00B757D5">
              <w:t>Whether</w:t>
            </w:r>
            <w:r w:rsidR="009F2853">
              <w:t xml:space="preserve"> the</w:t>
            </w:r>
            <w:r w:rsidRPr="00B757D5">
              <w:t xml:space="preserve"> recent</w:t>
            </w:r>
            <w:r w:rsidR="009F2853">
              <w:t xml:space="preserve"> introduction</w:t>
            </w:r>
            <w:r w:rsidRPr="00B757D5">
              <w:t xml:space="preserve"> </w:t>
            </w:r>
            <w:r w:rsidR="009F2853">
              <w:t xml:space="preserve">of </w:t>
            </w:r>
            <w:r w:rsidRPr="00B757D5">
              <w:t xml:space="preserve">the IME Guide and </w:t>
            </w:r>
            <w:r w:rsidR="009F2853">
              <w:t>prescribed</w:t>
            </w:r>
            <w:r w:rsidRPr="00B757D5">
              <w:t xml:space="preserve"> claims determination timeframes are achieving their aims or whether they cause unintended consequences, including delaying decisions on claims</w:t>
            </w:r>
            <w:r w:rsidR="00C61875">
              <w:t>.</w:t>
            </w:r>
          </w:p>
        </w:tc>
      </w:tr>
      <w:tr w:rsidR="009042DA" w:rsidRPr="005E4A52" w14:paraId="44373835" w14:textId="77777777" w:rsidTr="00A31596">
        <w:tblPrEx>
          <w:jc w:val="left"/>
        </w:tblPrEx>
        <w:trPr>
          <w:trHeight w:val="705"/>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3A53EBEE" w14:textId="77777777" w:rsidR="009042DA" w:rsidRPr="005E4A52" w:rsidRDefault="009042DA">
            <w:pPr>
              <w:spacing w:after="120" w:line="271" w:lineRule="auto"/>
              <w:rPr>
                <w:rStyle w:val="normaltextrun"/>
                <w:rFonts w:eastAsiaTheme="majorEastAsia" w:cstheme="minorHAnsi"/>
              </w:rPr>
            </w:pPr>
            <w:r w:rsidRPr="005E4A52">
              <w:rPr>
                <w:color w:val="auto"/>
              </w:rPr>
              <w:lastRenderedPageBreak/>
              <w:t xml:space="preserve">Links to </w:t>
            </w:r>
            <w:proofErr w:type="gramStart"/>
            <w:r w:rsidRPr="005E4A52">
              <w:rPr>
                <w:color w:val="auto"/>
              </w:rPr>
              <w:t>other</w:t>
            </w:r>
            <w:proofErr w:type="gramEnd"/>
            <w:r w:rsidRPr="005E4A52">
              <w:rPr>
                <w:color w:val="auto"/>
              </w:rPr>
              <w:t xml:space="preserve"> </w:t>
            </w:r>
            <w:proofErr w:type="spellStart"/>
            <w:r w:rsidRPr="005E4A52">
              <w:rPr>
                <w:color w:val="auto"/>
              </w:rPr>
              <w:t>ToR</w:t>
            </w:r>
            <w:proofErr w:type="spellEnd"/>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408EE014" w14:textId="6CC7EA8D" w:rsidR="009042DA" w:rsidRPr="005E4A52" w:rsidRDefault="009042DA" w:rsidP="007066B0">
            <w:pPr>
              <w:spacing w:after="120"/>
              <w:cnfStyle w:val="000000000000" w:firstRow="0" w:lastRow="0" w:firstColumn="0" w:lastColumn="0" w:oddVBand="0" w:evenVBand="0" w:oddHBand="0" w:evenHBand="0" w:firstRowFirstColumn="0" w:firstRowLastColumn="0" w:lastRowFirstColumn="0" w:lastRowLastColumn="0"/>
            </w:pPr>
            <w:r w:rsidRPr="005E4A52">
              <w:rPr>
                <w:rStyle w:val="normaltextrun"/>
                <w:rFonts w:eastAsiaTheme="majorEastAsia" w:cstheme="minorHAnsi"/>
              </w:rPr>
              <w:t>T</w:t>
            </w:r>
            <w:r w:rsidRPr="005E4A52">
              <w:rPr>
                <w:rStyle w:val="normaltextrun"/>
                <w:rFonts w:eastAsiaTheme="majorEastAsia"/>
              </w:rPr>
              <w:t>erm of reference</w:t>
            </w:r>
            <w:r w:rsidRPr="005E4A52">
              <w:rPr>
                <w:rStyle w:val="normaltextrun"/>
                <w:rFonts w:eastAsiaTheme="majorEastAsia" w:cstheme="minorHAnsi"/>
              </w:rPr>
              <w:t xml:space="preserve"> 1 in relation to best practice.</w:t>
            </w:r>
            <w:r w:rsidRPr="005E4A52">
              <w:rPr>
                <w:rStyle w:val="normaltextrun"/>
              </w:rPr>
              <w:t xml:space="preserve"> </w:t>
            </w:r>
            <w:r w:rsidRPr="005E4A52">
              <w:rPr>
                <w:rStyle w:val="normaltextrun"/>
                <w:rFonts w:eastAsiaTheme="majorEastAsia" w:cstheme="minorHAnsi"/>
              </w:rPr>
              <w:t>T</w:t>
            </w:r>
            <w:r w:rsidRPr="005E4A52">
              <w:rPr>
                <w:rStyle w:val="normaltextrun"/>
                <w:rFonts w:eastAsiaTheme="majorEastAsia"/>
              </w:rPr>
              <w:t>erm of reference</w:t>
            </w:r>
            <w:r w:rsidRPr="005E4A52">
              <w:rPr>
                <w:rStyle w:val="normaltextrun"/>
              </w:rPr>
              <w:t xml:space="preserve"> 2 in relation to the competencies of claims managers.</w:t>
            </w:r>
          </w:p>
        </w:tc>
      </w:tr>
      <w:tr w:rsidR="009042DA" w:rsidRPr="005E4A52" w14:paraId="7D8BAEB1" w14:textId="77777777" w:rsidTr="00A31596">
        <w:tblPrEx>
          <w:jc w:val="left"/>
        </w:tblPrEx>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0E1ED" w:themeFill="accent2" w:themeFillTint="33"/>
          </w:tcPr>
          <w:p w14:paraId="15741409" w14:textId="77777777" w:rsidR="009042DA" w:rsidRPr="005E4A52" w:rsidRDefault="009042DA">
            <w:pPr>
              <w:spacing w:after="120" w:line="271" w:lineRule="auto"/>
              <w:rPr>
                <w:rStyle w:val="normaltextrun"/>
                <w:rFonts w:eastAsiaTheme="majorEastAsia" w:cstheme="minorHAnsi"/>
              </w:rPr>
            </w:pPr>
            <w:r w:rsidRPr="005E4A52">
              <w:rPr>
                <w:rStyle w:val="normaltextrun"/>
                <w:rFonts w:eastAsiaTheme="majorEastAsia" w:cstheme="minorHAnsi"/>
                <w:color w:val="auto"/>
              </w:rPr>
              <w:t>Questions</w:t>
            </w:r>
          </w:p>
        </w:tc>
        <w:tc>
          <w:tcPr>
            <w:tcW w:w="85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6140C46" w14:textId="4D71746C" w:rsidR="009042DA" w:rsidRPr="005E4A52" w:rsidRDefault="009042DA" w:rsidP="007066B0">
            <w:pPr>
              <w:pStyle w:val="ListParagraph"/>
              <w:numPr>
                <w:ilvl w:val="0"/>
                <w:numId w:val="11"/>
              </w:numPr>
              <w:spacing w:after="120" w:line="240"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b/>
                <w:bCs/>
                <w:color w:val="FFFFFF" w:themeColor="background1"/>
              </w:rPr>
            </w:pPr>
            <w:r w:rsidRPr="24A44FF2">
              <w:rPr>
                <w:rStyle w:val="normaltextrun"/>
                <w:rFonts w:eastAsiaTheme="majorEastAsia"/>
              </w:rPr>
              <w:t>Are further changes required to the claims decision-making framework to improve outcomes and ensure fair, accurate and timely decision making? If so, please specify.</w:t>
            </w:r>
            <w:r w:rsidR="002F78E4">
              <w:rPr>
                <w:rStyle w:val="normaltextrun"/>
                <w:rFonts w:eastAsiaTheme="majorEastAsia"/>
              </w:rPr>
              <w:t xml:space="preserve"> </w:t>
            </w:r>
          </w:p>
          <w:p w14:paraId="21315B63" w14:textId="5AB901A6" w:rsidR="009042DA" w:rsidRPr="00762757" w:rsidRDefault="167D3770" w:rsidP="007066B0">
            <w:pPr>
              <w:pStyle w:val="ListParagraph"/>
              <w:numPr>
                <w:ilvl w:val="0"/>
                <w:numId w:val="11"/>
              </w:numPr>
              <w:spacing w:after="120" w:line="240" w:lineRule="auto"/>
              <w:cnfStyle w:val="000000100000" w:firstRow="0" w:lastRow="0" w:firstColumn="0" w:lastColumn="0" w:oddVBand="0" w:evenVBand="0" w:oddHBand="1" w:evenHBand="0" w:firstRowFirstColumn="0" w:firstRowLastColumn="0" w:lastRowFirstColumn="0" w:lastRowLastColumn="0"/>
              <w:rPr>
                <w:rStyle w:val="normaltextrun"/>
                <w:rFonts w:eastAsiaTheme="majorEastAsia"/>
                <w:color w:val="FFFFFF" w:themeColor="background1"/>
              </w:rPr>
            </w:pPr>
            <w:r w:rsidRPr="004C3823">
              <w:rPr>
                <w:rStyle w:val="normaltextrun"/>
                <w:rFonts w:eastAsiaTheme="majorEastAsia"/>
              </w:rPr>
              <w:t>How can unintended consequences best be avoided?</w:t>
            </w:r>
          </w:p>
        </w:tc>
      </w:tr>
      <w:bookmarkEnd w:id="47"/>
    </w:tbl>
    <w:p w14:paraId="72B9B24F" w14:textId="363306DF" w:rsidR="00B37D1D" w:rsidRPr="005E4A52" w:rsidRDefault="009042DA">
      <w:pPr>
        <w:spacing w:after="160"/>
      </w:pPr>
      <w:r w:rsidRPr="005E4A52">
        <w:br w:type="page"/>
      </w:r>
    </w:p>
    <w:p w14:paraId="14CF5297" w14:textId="46D70DA5" w:rsidR="009042DA" w:rsidRPr="005E4A52" w:rsidRDefault="00B37D1D" w:rsidP="00724E79">
      <w:pPr>
        <w:pStyle w:val="Heading2"/>
        <w:spacing w:before="100" w:beforeAutospacing="1" w:line="240" w:lineRule="auto"/>
      </w:pPr>
      <w:bookmarkStart w:id="48" w:name="_Ref173321141"/>
      <w:bookmarkStart w:id="49" w:name="_Toc177409624"/>
      <w:bookmarkStart w:id="50" w:name="_Toc180174618"/>
      <w:r w:rsidRPr="005E4A52">
        <w:lastRenderedPageBreak/>
        <w:t>Appendix A –</w:t>
      </w:r>
      <w:r w:rsidR="008E6BF6">
        <w:t xml:space="preserve"> </w:t>
      </w:r>
      <w:r w:rsidRPr="005E4A52">
        <w:t>Consolidated list of discussion questions</w:t>
      </w:r>
      <w:bookmarkEnd w:id="48"/>
      <w:bookmarkEnd w:id="49"/>
      <w:bookmarkEnd w:id="50"/>
    </w:p>
    <w:tbl>
      <w:tblPr>
        <w:tblStyle w:val="EDU-Basic"/>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697"/>
        <w:gridCol w:w="8571"/>
      </w:tblGrid>
      <w:tr w:rsidR="00795D7C" w:rsidRPr="005E4A52" w14:paraId="18985495" w14:textId="77777777" w:rsidTr="00087EB5">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268" w:type="dxa"/>
            <w:gridSpan w:val="2"/>
          </w:tcPr>
          <w:p w14:paraId="6D275297" w14:textId="1C7A77CD" w:rsidR="00795D7C" w:rsidRPr="00D626D2" w:rsidRDefault="00795D7C" w:rsidP="00BC307C">
            <w:pPr>
              <w:spacing w:before="0" w:beforeAutospacing="0" w:after="120" w:afterAutospacing="0"/>
              <w:contextualSpacing/>
              <w:rPr>
                <w:rStyle w:val="normaltextrun"/>
              </w:rPr>
            </w:pPr>
            <w:r w:rsidRPr="00D626D2">
              <w:rPr>
                <w:rStyle w:val="normaltextrun"/>
              </w:rPr>
              <w:t>Best practice workers’ compensation – discussion questions</w:t>
            </w:r>
          </w:p>
        </w:tc>
      </w:tr>
      <w:tr w:rsidR="00795D7C" w:rsidRPr="005E4A52" w14:paraId="1D3A7753"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2B54AE11" w14:textId="1D78D9E1" w:rsidR="00795D7C" w:rsidRPr="005E4A52" w:rsidRDefault="00795D7C" w:rsidP="004C73D0">
            <w:pPr>
              <w:spacing w:after="120" w:afterAutospacing="0"/>
              <w:rPr>
                <w:rStyle w:val="normaltextrun"/>
                <w:rFonts w:eastAsiaTheme="majorEastAsia" w:cstheme="minorHAnsi"/>
              </w:rPr>
            </w:pPr>
            <w:r>
              <w:rPr>
                <w:rStyle w:val="normaltextrun"/>
                <w:rFonts w:eastAsiaTheme="majorEastAsia" w:cstheme="minorHAnsi"/>
              </w:rPr>
              <w:t>1</w:t>
            </w:r>
          </w:p>
        </w:tc>
        <w:tc>
          <w:tcPr>
            <w:tcW w:w="8571" w:type="dxa"/>
            <w:shd w:val="clear" w:color="auto" w:fill="F2F2F2" w:themeFill="background1" w:themeFillShade="F2"/>
            <w:vAlign w:val="top"/>
          </w:tcPr>
          <w:p w14:paraId="26F196FF" w14:textId="283376B6" w:rsidR="00795D7C" w:rsidRPr="005E4A52" w:rsidRDefault="00795D7C" w:rsidP="004C73D0">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5E4A52">
              <w:rPr>
                <w:rStyle w:val="normaltextrun"/>
                <w:rFonts w:eastAsiaTheme="majorEastAsia" w:cstheme="minorHAnsi"/>
              </w:rPr>
              <w:t xml:space="preserve">What are the primary objectives of a workers’ compensation scheme? Should those objectives be expressly stated in the Act? </w:t>
            </w:r>
          </w:p>
        </w:tc>
      </w:tr>
      <w:tr w:rsidR="00795D7C" w:rsidRPr="005E4A52" w14:paraId="1806AC73"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53AF204E" w14:textId="4F696A2A" w:rsidR="00795D7C" w:rsidRPr="005E4A52" w:rsidRDefault="00795D7C" w:rsidP="004C73D0">
            <w:pPr>
              <w:spacing w:after="120" w:afterAutospacing="0"/>
              <w:rPr>
                <w:rStyle w:val="normaltextrun"/>
                <w:rFonts w:eastAsiaTheme="majorEastAsia" w:cstheme="minorHAnsi"/>
              </w:rPr>
            </w:pPr>
            <w:r>
              <w:rPr>
                <w:rStyle w:val="normaltextrun"/>
                <w:rFonts w:eastAsiaTheme="majorEastAsia" w:cstheme="minorHAnsi"/>
              </w:rPr>
              <w:t>2</w:t>
            </w:r>
          </w:p>
        </w:tc>
        <w:tc>
          <w:tcPr>
            <w:tcW w:w="8571" w:type="dxa"/>
            <w:shd w:val="clear" w:color="auto" w:fill="F2F2F2" w:themeFill="background1" w:themeFillShade="F2"/>
            <w:vAlign w:val="top"/>
          </w:tcPr>
          <w:p w14:paraId="670077F4" w14:textId="7B7FEBD8" w:rsidR="00795D7C" w:rsidRPr="005E4A52" w:rsidRDefault="00795D7C" w:rsidP="004C73D0">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5E4A52">
              <w:rPr>
                <w:rStyle w:val="normaltextrun"/>
                <w:rFonts w:eastAsiaTheme="majorEastAsia" w:cstheme="minorHAnsi"/>
              </w:rPr>
              <w:t>What are best practice design principles for a workers’ compensation scheme? For example, can you provide examples (from other schemes) of best practice approaches to early intervention, rehabilitation (including supporting employees with psychological injuries), vocational support and return to work?</w:t>
            </w:r>
          </w:p>
        </w:tc>
      </w:tr>
      <w:tr w:rsidR="00795D7C" w:rsidRPr="005E4A52" w14:paraId="0891C149"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74327C6A" w14:textId="456DE5A3" w:rsidR="00795D7C" w:rsidRDefault="00795D7C" w:rsidP="004C73D0">
            <w:pPr>
              <w:spacing w:after="120" w:afterAutospacing="0"/>
              <w:rPr>
                <w:rStyle w:val="normaltextrun"/>
                <w:rFonts w:eastAsiaTheme="majorEastAsia"/>
              </w:rPr>
            </w:pPr>
            <w:r>
              <w:rPr>
                <w:rStyle w:val="normaltextrun"/>
                <w:rFonts w:eastAsiaTheme="majorEastAsia"/>
              </w:rPr>
              <w:t>3</w:t>
            </w:r>
          </w:p>
        </w:tc>
        <w:tc>
          <w:tcPr>
            <w:tcW w:w="8571" w:type="dxa"/>
            <w:shd w:val="clear" w:color="auto" w:fill="F2F2F2" w:themeFill="background1" w:themeFillShade="F2"/>
            <w:vAlign w:val="top"/>
          </w:tcPr>
          <w:p w14:paraId="53128554" w14:textId="7933682E" w:rsidR="00795D7C" w:rsidRPr="00561085" w:rsidRDefault="00795D7C" w:rsidP="004C73D0">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05E4A52">
              <w:rPr>
                <w:rStyle w:val="normaltextrun"/>
                <w:rFonts w:eastAsiaTheme="majorEastAsia" w:cstheme="minorHAnsi"/>
              </w:rPr>
              <w:t xml:space="preserve">Describe the areas </w:t>
            </w:r>
            <w:r>
              <w:rPr>
                <w:rStyle w:val="normaltextrun"/>
                <w:rFonts w:eastAsiaTheme="majorEastAsia" w:cstheme="minorHAnsi"/>
              </w:rPr>
              <w:t xml:space="preserve">of the scheme </w:t>
            </w:r>
            <w:r w:rsidRPr="005E4A52">
              <w:rPr>
                <w:rStyle w:val="normaltextrun"/>
                <w:rFonts w:eastAsiaTheme="majorEastAsia" w:cstheme="minorHAnsi"/>
              </w:rPr>
              <w:t>needing reform</w:t>
            </w:r>
            <w:r>
              <w:rPr>
                <w:rStyle w:val="normaltextrun"/>
                <w:rFonts w:eastAsiaTheme="majorEastAsia" w:cstheme="minorHAnsi"/>
              </w:rPr>
              <w:t xml:space="preserve"> to help workers understand and access their entitlements.</w:t>
            </w:r>
            <w:r>
              <w:t xml:space="preserve"> </w:t>
            </w:r>
            <w:r w:rsidRPr="00A66107">
              <w:rPr>
                <w:rStyle w:val="normaltextrun"/>
                <w:rFonts w:eastAsiaTheme="majorEastAsia" w:cstheme="minorHAnsi"/>
              </w:rPr>
              <w:t>What changes are needed to enable workers better</w:t>
            </w:r>
            <w:r>
              <w:rPr>
                <w:rStyle w:val="normaltextrun"/>
                <w:rFonts w:eastAsiaTheme="majorEastAsia" w:cstheme="minorHAnsi"/>
              </w:rPr>
              <w:t xml:space="preserve"> to </w:t>
            </w:r>
            <w:r w:rsidRPr="00A66107">
              <w:rPr>
                <w:rStyle w:val="normaltextrun"/>
                <w:rFonts w:eastAsiaTheme="majorEastAsia" w:cstheme="minorHAnsi"/>
              </w:rPr>
              <w:t xml:space="preserve">navigate the legislative framework? </w:t>
            </w:r>
            <w:r>
              <w:rPr>
                <w:rStyle w:val="normaltextrun"/>
                <w:rFonts w:eastAsiaTheme="majorEastAsia" w:cstheme="minorHAnsi"/>
              </w:rPr>
              <w:t xml:space="preserve"> </w:t>
            </w:r>
          </w:p>
        </w:tc>
      </w:tr>
      <w:tr w:rsidR="00795D7C" w:rsidRPr="005E4A52" w14:paraId="47A4226F" w14:textId="77777777" w:rsidTr="00087EB5">
        <w:trPr>
          <w:trHeight w:val="474"/>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5AB0B1DC" w14:textId="46548B81" w:rsidR="00795D7C" w:rsidRPr="00724E79" w:rsidRDefault="00795D7C" w:rsidP="00724E79">
            <w:pPr>
              <w:spacing w:beforeLines="60" w:before="144" w:beforeAutospacing="0" w:after="120" w:afterAutospacing="0"/>
              <w:contextualSpacing/>
              <w:rPr>
                <w:rStyle w:val="normaltextrun"/>
                <w:b/>
                <w:bCs/>
              </w:rPr>
            </w:pPr>
            <w:r w:rsidRPr="00724E79">
              <w:rPr>
                <w:rStyle w:val="normaltextrun"/>
                <w:b/>
                <w:bCs/>
              </w:rPr>
              <w:t>Workforce challenges – discussion question</w:t>
            </w:r>
          </w:p>
        </w:tc>
      </w:tr>
      <w:tr w:rsidR="00795D7C" w:rsidRPr="005E4A52" w14:paraId="1E5DEFA0"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5A41DB7" w14:textId="770C41CC" w:rsidR="00795D7C" w:rsidRPr="005E4A52" w:rsidRDefault="00795D7C" w:rsidP="00D51C0B">
            <w:pPr>
              <w:spacing w:after="120"/>
              <w:rPr>
                <w:rStyle w:val="normaltextrun"/>
                <w:rFonts w:eastAsiaTheme="majorEastAsia" w:cstheme="minorHAnsi"/>
              </w:rPr>
            </w:pPr>
            <w:r>
              <w:rPr>
                <w:rStyle w:val="normaltextrun"/>
                <w:rFonts w:eastAsiaTheme="majorEastAsia" w:cstheme="minorHAnsi"/>
              </w:rPr>
              <w:t>4</w:t>
            </w:r>
          </w:p>
        </w:tc>
        <w:tc>
          <w:tcPr>
            <w:tcW w:w="8571" w:type="dxa"/>
            <w:shd w:val="clear" w:color="auto" w:fill="F2F2F2" w:themeFill="background1" w:themeFillShade="F2"/>
            <w:vAlign w:val="top"/>
          </w:tcPr>
          <w:p w14:paraId="7EC9CA2C" w14:textId="481F6E38"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5E4A52">
              <w:rPr>
                <w:rStyle w:val="normaltextrun"/>
                <w:rFonts w:eastAsiaTheme="majorEastAsia" w:cstheme="minorHAnsi"/>
              </w:rPr>
              <w:t>What changes are required to address workforce challenges (current and emerging</w:t>
            </w:r>
            <w:r>
              <w:rPr>
                <w:rStyle w:val="normaltextrun"/>
                <w:rFonts w:eastAsiaTheme="majorEastAsia" w:cstheme="minorHAnsi"/>
              </w:rPr>
              <w:t>: see ‘Issues to be considered’ above</w:t>
            </w:r>
            <w:r w:rsidRPr="005E4A52">
              <w:rPr>
                <w:rStyle w:val="normaltextrun"/>
                <w:rFonts w:eastAsiaTheme="majorEastAsia" w:cstheme="minorHAnsi"/>
              </w:rPr>
              <w:t xml:space="preserve">) to maintain an effective and sustainable Comcare scheme? </w:t>
            </w:r>
          </w:p>
        </w:tc>
      </w:tr>
      <w:tr w:rsidR="00795D7C" w:rsidRPr="005E4A52" w14:paraId="6C60D9B7"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7ED9E99" w14:textId="35EED5B2" w:rsidR="00795D7C" w:rsidRPr="005E4A52" w:rsidRDefault="00795D7C" w:rsidP="00D51C0B">
            <w:pPr>
              <w:spacing w:after="120"/>
              <w:rPr>
                <w:rStyle w:val="normaltextrun"/>
                <w:rFonts w:eastAsiaTheme="majorEastAsia" w:cstheme="minorHAnsi"/>
              </w:rPr>
            </w:pPr>
            <w:r>
              <w:rPr>
                <w:rStyle w:val="normaltextrun"/>
                <w:rFonts w:eastAsiaTheme="majorEastAsia" w:cstheme="minorHAnsi"/>
              </w:rPr>
              <w:t>5</w:t>
            </w:r>
          </w:p>
        </w:tc>
        <w:tc>
          <w:tcPr>
            <w:tcW w:w="8571" w:type="dxa"/>
            <w:shd w:val="clear" w:color="auto" w:fill="F2F2F2" w:themeFill="background1" w:themeFillShade="F2"/>
            <w:vAlign w:val="top"/>
          </w:tcPr>
          <w:p w14:paraId="14BE877F" w14:textId="15CAADD4"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005E4A52">
              <w:rPr>
                <w:rStyle w:val="normaltextrun"/>
                <w:rFonts w:eastAsiaTheme="majorEastAsia" w:cstheme="minorHAnsi"/>
              </w:rPr>
              <w:t>What changes are required to the Comcare scheme to better accommodate remote work and working outside ‘traditional’ work hours? </w:t>
            </w:r>
          </w:p>
        </w:tc>
      </w:tr>
      <w:tr w:rsidR="00795D7C" w:rsidRPr="005E4A52" w14:paraId="78B8E156"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0765610D" w14:textId="5026756F" w:rsidR="00795D7C" w:rsidRPr="004B74A6" w:rsidRDefault="00795D7C" w:rsidP="00D51C0B">
            <w:pPr>
              <w:spacing w:after="120"/>
              <w:rPr>
                <w:rStyle w:val="normaltextrun"/>
                <w:rFonts w:eastAsiaTheme="majorEastAsia" w:cstheme="minorHAnsi"/>
              </w:rPr>
            </w:pPr>
            <w:r>
              <w:rPr>
                <w:rStyle w:val="normaltextrun"/>
                <w:rFonts w:eastAsiaTheme="majorEastAsia" w:cstheme="minorHAnsi"/>
              </w:rPr>
              <w:t>6</w:t>
            </w:r>
          </w:p>
        </w:tc>
        <w:tc>
          <w:tcPr>
            <w:tcW w:w="8571" w:type="dxa"/>
            <w:shd w:val="clear" w:color="auto" w:fill="F2F2F2" w:themeFill="background1" w:themeFillShade="F2"/>
            <w:vAlign w:val="top"/>
          </w:tcPr>
          <w:p w14:paraId="5A8D45BA" w14:textId="5540FA40" w:rsidR="00795D7C" w:rsidRPr="004C3823"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4B74A6">
              <w:rPr>
                <w:rStyle w:val="normaltextrun"/>
                <w:rFonts w:eastAsiaTheme="majorEastAsia" w:cstheme="minorHAnsi"/>
              </w:rPr>
              <w:t xml:space="preserve">What changes are required to the Comcare scheme to better manage complex psychological claims?  </w:t>
            </w:r>
          </w:p>
        </w:tc>
      </w:tr>
      <w:tr w:rsidR="00795D7C" w:rsidRPr="005E4A52" w14:paraId="4546A5E6"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7CA3F850" w14:textId="0D5FEF92" w:rsidR="00795D7C" w:rsidRDefault="004C73D0" w:rsidP="00D51C0B">
            <w:pPr>
              <w:spacing w:after="120"/>
              <w:rPr>
                <w:rStyle w:val="normaltextrun"/>
                <w:rFonts w:eastAsiaTheme="majorEastAsia" w:cstheme="minorHAnsi"/>
              </w:rPr>
            </w:pPr>
            <w:r>
              <w:rPr>
                <w:rStyle w:val="normaltextrun"/>
                <w:rFonts w:eastAsiaTheme="majorEastAsia" w:cstheme="minorHAnsi"/>
              </w:rPr>
              <w:t>7</w:t>
            </w:r>
          </w:p>
        </w:tc>
        <w:tc>
          <w:tcPr>
            <w:tcW w:w="8571" w:type="dxa"/>
            <w:shd w:val="clear" w:color="auto" w:fill="F2F2F2" w:themeFill="background1" w:themeFillShade="F2"/>
            <w:vAlign w:val="top"/>
          </w:tcPr>
          <w:p w14:paraId="16D35A94" w14:textId="4D1D4249" w:rsidR="00795D7C" w:rsidRPr="004B74A6"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4C3823">
              <w:rPr>
                <w:rStyle w:val="normaltextrun"/>
                <w:rFonts w:eastAsiaTheme="majorEastAsia" w:cstheme="minorHAnsi"/>
              </w:rPr>
              <w:t>What changes are required to the Comcare scheme to respond to climate change risks?</w:t>
            </w:r>
          </w:p>
        </w:tc>
      </w:tr>
      <w:tr w:rsidR="00F71087" w:rsidRPr="005E4A52" w14:paraId="228BA94E" w14:textId="77777777" w:rsidTr="00087EB5">
        <w:trPr>
          <w:trHeight w:val="380"/>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5B2E8405" w14:textId="191FB042" w:rsidR="00F71087" w:rsidRPr="005E4A52" w:rsidRDefault="00F71087" w:rsidP="00A33BBA">
            <w:pPr>
              <w:spacing w:before="120" w:beforeAutospacing="0" w:after="120" w:afterAutospacing="0"/>
              <w:rPr>
                <w:rStyle w:val="normaltextrun"/>
                <w:rFonts w:eastAsiaTheme="majorEastAsia" w:cstheme="minorHAnsi"/>
                <w:color w:val="FFFFFF" w:themeColor="background1"/>
              </w:rPr>
            </w:pPr>
            <w:r w:rsidRPr="005E4A52">
              <w:rPr>
                <w:b/>
                <w:color w:val="FFFFFF" w:themeColor="background1"/>
              </w:rPr>
              <w:t>Employee experience – discussion questions</w:t>
            </w:r>
          </w:p>
        </w:tc>
      </w:tr>
      <w:tr w:rsidR="00795D7C" w:rsidRPr="005E4A52" w14:paraId="68D26F6F"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0F3F995F" w14:textId="64ED614F" w:rsidR="00795D7C" w:rsidRDefault="004C73D0" w:rsidP="00D51C0B">
            <w:pPr>
              <w:spacing w:after="120"/>
              <w:rPr>
                <w:rStyle w:val="normaltextrun"/>
                <w:rFonts w:eastAsiaTheme="majorEastAsia"/>
              </w:rPr>
            </w:pPr>
            <w:r>
              <w:rPr>
                <w:rStyle w:val="normaltextrun"/>
                <w:rFonts w:eastAsiaTheme="majorEastAsia"/>
              </w:rPr>
              <w:t>8</w:t>
            </w:r>
          </w:p>
        </w:tc>
        <w:tc>
          <w:tcPr>
            <w:tcW w:w="8571" w:type="dxa"/>
            <w:shd w:val="clear" w:color="auto" w:fill="F2F2F2" w:themeFill="background1" w:themeFillShade="F2"/>
            <w:vAlign w:val="top"/>
          </w:tcPr>
          <w:p w14:paraId="62EAE7FB" w14:textId="100E928F"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1C9A8D67">
              <w:rPr>
                <w:rStyle w:val="normaltextrun"/>
                <w:rFonts w:eastAsiaTheme="majorEastAsia"/>
              </w:rPr>
              <w:t xml:space="preserve">What is your claim experience? Positive, negative or neutral? </w:t>
            </w:r>
          </w:p>
        </w:tc>
      </w:tr>
      <w:tr w:rsidR="00795D7C" w:rsidRPr="005E4A52" w14:paraId="5117FC03"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3CFEED1D" w14:textId="74C0D633" w:rsidR="00795D7C" w:rsidRDefault="004C73D0" w:rsidP="00D51C0B">
            <w:pPr>
              <w:spacing w:after="120"/>
              <w:rPr>
                <w:rStyle w:val="normaltextrun"/>
                <w:rFonts w:eastAsiaTheme="majorEastAsia"/>
              </w:rPr>
            </w:pPr>
            <w:r>
              <w:rPr>
                <w:rStyle w:val="normaltextrun"/>
                <w:rFonts w:eastAsiaTheme="majorEastAsia"/>
              </w:rPr>
              <w:t>9</w:t>
            </w:r>
          </w:p>
        </w:tc>
        <w:tc>
          <w:tcPr>
            <w:tcW w:w="8571" w:type="dxa"/>
            <w:shd w:val="clear" w:color="auto" w:fill="F2F2F2" w:themeFill="background1" w:themeFillShade="F2"/>
            <w:vAlign w:val="top"/>
          </w:tcPr>
          <w:p w14:paraId="6C09DAB3" w14:textId="4ED17FEB"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0561085">
              <w:rPr>
                <w:rStyle w:val="normaltextrun"/>
                <w:rFonts w:eastAsiaTheme="majorEastAsia"/>
              </w:rPr>
              <w:t xml:space="preserve">Explain what aspects of the Comcare scheme work well? </w:t>
            </w:r>
            <w:r w:rsidRPr="00561085">
              <w:rPr>
                <w:rFonts w:ascii="Aptos" w:eastAsia="Aptos" w:hAnsi="Aptos" w:cs="Aptos"/>
              </w:rPr>
              <w:t>For example, early intervention initiatives or the claim-making process or rehabilitation and return to work support.</w:t>
            </w:r>
          </w:p>
        </w:tc>
      </w:tr>
      <w:tr w:rsidR="00795D7C" w:rsidRPr="005E4A52" w14:paraId="3A4ABE20"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54E7614" w14:textId="657824C9" w:rsidR="00795D7C" w:rsidRDefault="004C73D0" w:rsidP="00D51C0B">
            <w:pPr>
              <w:spacing w:after="120"/>
              <w:rPr>
                <w:rStyle w:val="normaltextrun"/>
                <w:rFonts w:eastAsiaTheme="majorEastAsia" w:cstheme="minorHAnsi"/>
              </w:rPr>
            </w:pPr>
            <w:r>
              <w:rPr>
                <w:rStyle w:val="normaltextrun"/>
                <w:rFonts w:eastAsiaTheme="majorEastAsia" w:cstheme="minorHAnsi"/>
              </w:rPr>
              <w:t>10</w:t>
            </w:r>
          </w:p>
        </w:tc>
        <w:tc>
          <w:tcPr>
            <w:tcW w:w="8571" w:type="dxa"/>
            <w:shd w:val="clear" w:color="auto" w:fill="F2F2F2" w:themeFill="background1" w:themeFillShade="F2"/>
            <w:vAlign w:val="top"/>
          </w:tcPr>
          <w:p w14:paraId="47E5145B" w14:textId="5964A939"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What changes to the Comcare scheme would better support recovery and wellbeing and improve return to work outcomes?</w:t>
            </w:r>
          </w:p>
        </w:tc>
      </w:tr>
      <w:tr w:rsidR="00795D7C" w:rsidRPr="005E4A52" w14:paraId="445C8181"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78D706BD" w14:textId="0695904F" w:rsidR="00795D7C" w:rsidRPr="005E4A52" w:rsidRDefault="004C73D0" w:rsidP="00D51C0B">
            <w:pPr>
              <w:spacing w:after="120"/>
              <w:rPr>
                <w:rStyle w:val="normaltextrun"/>
                <w:rFonts w:eastAsiaTheme="majorEastAsia" w:cstheme="minorHAnsi"/>
              </w:rPr>
            </w:pPr>
            <w:r>
              <w:rPr>
                <w:rStyle w:val="normaltextrun"/>
                <w:rFonts w:eastAsiaTheme="majorEastAsia" w:cstheme="minorHAnsi"/>
              </w:rPr>
              <w:t>11</w:t>
            </w:r>
          </w:p>
        </w:tc>
        <w:tc>
          <w:tcPr>
            <w:tcW w:w="8571" w:type="dxa"/>
            <w:shd w:val="clear" w:color="auto" w:fill="F2F2F2" w:themeFill="background1" w:themeFillShade="F2"/>
            <w:vAlign w:val="top"/>
          </w:tcPr>
          <w:p w14:paraId="606CAE03" w14:textId="148C97A8"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What changes to the Comcare scheme would better support workers with life-changing injuries and illnesses?</w:t>
            </w:r>
          </w:p>
        </w:tc>
      </w:tr>
      <w:tr w:rsidR="00795D7C" w:rsidRPr="005E4A52" w14:paraId="757933D1"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BF124AA" w14:textId="597A5736" w:rsidR="00795D7C" w:rsidRPr="61549F84" w:rsidRDefault="004C73D0" w:rsidP="00D51C0B">
            <w:pPr>
              <w:spacing w:after="120"/>
              <w:rPr>
                <w:rStyle w:val="normaltextrun"/>
                <w:rFonts w:eastAsiaTheme="majorEastAsia"/>
              </w:rPr>
            </w:pPr>
            <w:r>
              <w:rPr>
                <w:rStyle w:val="normaltextrun"/>
                <w:rFonts w:eastAsiaTheme="majorEastAsia"/>
              </w:rPr>
              <w:t>12</w:t>
            </w:r>
          </w:p>
        </w:tc>
        <w:tc>
          <w:tcPr>
            <w:tcW w:w="8571" w:type="dxa"/>
            <w:shd w:val="clear" w:color="auto" w:fill="F2F2F2" w:themeFill="background1" w:themeFillShade="F2"/>
            <w:vAlign w:val="top"/>
          </w:tcPr>
          <w:p w14:paraId="2BE11897" w14:textId="3365F01E" w:rsidR="00795D7C" w:rsidRPr="005E4A52" w:rsidRDefault="005106D5"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51E46D19">
              <w:rPr>
                <w:rFonts w:ascii="Aptos" w:eastAsia="Aptos" w:hAnsi="Aptos" w:cs="Aptos"/>
              </w:rPr>
              <w:t>What changes to the Comcare scheme would better support workers with psychological injuries and illnesses</w:t>
            </w:r>
            <w:r>
              <w:rPr>
                <w:rFonts w:ascii="Aptos" w:eastAsia="Aptos" w:hAnsi="Aptos" w:cs="Aptos"/>
              </w:rPr>
              <w:t xml:space="preserve">? </w:t>
            </w:r>
          </w:p>
        </w:tc>
      </w:tr>
      <w:tr w:rsidR="00795D7C" w:rsidRPr="005E4A52" w14:paraId="4BD55216"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5699C068" w14:textId="3B5216BE" w:rsidR="00795D7C" w:rsidRPr="4E202108" w:rsidRDefault="004C73D0" w:rsidP="00D51C0B">
            <w:pPr>
              <w:spacing w:after="120"/>
              <w:rPr>
                <w:rStyle w:val="normaltextrun"/>
                <w:rFonts w:eastAsiaTheme="majorEastAsia"/>
              </w:rPr>
            </w:pPr>
            <w:r>
              <w:rPr>
                <w:rStyle w:val="normaltextrun"/>
                <w:rFonts w:eastAsiaTheme="majorEastAsia"/>
              </w:rPr>
              <w:t>13</w:t>
            </w:r>
          </w:p>
        </w:tc>
        <w:tc>
          <w:tcPr>
            <w:tcW w:w="8571" w:type="dxa"/>
            <w:shd w:val="clear" w:color="auto" w:fill="F2F2F2" w:themeFill="background1" w:themeFillShade="F2"/>
            <w:vAlign w:val="top"/>
          </w:tcPr>
          <w:p w14:paraId="69C5297B" w14:textId="279B4FDD"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4E202108">
              <w:rPr>
                <w:rStyle w:val="normaltextrun"/>
                <w:rFonts w:eastAsiaTheme="majorEastAsia"/>
              </w:rPr>
              <w:t xml:space="preserve">What changes to the Comcare scheme would better support families of workers who have suffered serious injury, illness or death? </w:t>
            </w:r>
          </w:p>
        </w:tc>
      </w:tr>
      <w:tr w:rsidR="00795D7C" w:rsidRPr="005E4A52" w14:paraId="0E0513BB"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C83B13B" w14:textId="0049CFA8" w:rsidR="00795D7C" w:rsidRPr="63D4D3B9" w:rsidRDefault="004C73D0" w:rsidP="00D51C0B">
            <w:pPr>
              <w:spacing w:after="120"/>
              <w:rPr>
                <w:rStyle w:val="normaltextrun"/>
                <w:rFonts w:eastAsiaTheme="majorEastAsia"/>
              </w:rPr>
            </w:pPr>
            <w:r>
              <w:rPr>
                <w:rStyle w:val="normaltextrun"/>
                <w:rFonts w:eastAsiaTheme="majorEastAsia"/>
              </w:rPr>
              <w:t>14</w:t>
            </w:r>
          </w:p>
        </w:tc>
        <w:tc>
          <w:tcPr>
            <w:tcW w:w="8571" w:type="dxa"/>
            <w:shd w:val="clear" w:color="auto" w:fill="F2F2F2" w:themeFill="background1" w:themeFillShade="F2"/>
            <w:vAlign w:val="top"/>
          </w:tcPr>
          <w:p w14:paraId="51BB003D" w14:textId="6061E896"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pPr>
            <w:r w:rsidRPr="63D4D3B9">
              <w:rPr>
                <w:rStyle w:val="normaltextrun"/>
                <w:rFonts w:eastAsiaTheme="majorEastAsia"/>
              </w:rPr>
              <w:t xml:space="preserve">Do you have any suggestions for improving and building the competencies of claims managers?       </w:t>
            </w:r>
          </w:p>
        </w:tc>
      </w:tr>
      <w:tr w:rsidR="00795D7C" w14:paraId="3AD2E43F" w14:textId="77777777" w:rsidTr="00F71087">
        <w:trPr>
          <w:trHeight w:val="300"/>
        </w:trPr>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33DE24D4" w14:textId="630E7973" w:rsidR="00795D7C" w:rsidRPr="0FD51AA8" w:rsidRDefault="004C73D0" w:rsidP="00D51C0B">
            <w:pPr>
              <w:spacing w:after="120"/>
              <w:rPr>
                <w:rStyle w:val="normaltextrun"/>
                <w:rFonts w:eastAsiaTheme="majorEastAsia"/>
              </w:rPr>
            </w:pPr>
            <w:r>
              <w:rPr>
                <w:rStyle w:val="normaltextrun"/>
                <w:rFonts w:eastAsiaTheme="majorEastAsia"/>
              </w:rPr>
              <w:t>15</w:t>
            </w:r>
          </w:p>
        </w:tc>
        <w:tc>
          <w:tcPr>
            <w:tcW w:w="8571" w:type="dxa"/>
            <w:shd w:val="clear" w:color="auto" w:fill="F2F2F2" w:themeFill="background1" w:themeFillShade="F2"/>
            <w:vAlign w:val="top"/>
          </w:tcPr>
          <w:p w14:paraId="685B9D11" w14:textId="3DA25BE4" w:rsidR="00795D7C"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FD51AA8">
              <w:rPr>
                <w:rStyle w:val="normaltextrun"/>
                <w:rFonts w:eastAsiaTheme="majorEastAsia"/>
              </w:rPr>
              <w:t>What is the claim experience for women, First Nations workers, older workers or other diverse worker groups?</w:t>
            </w:r>
          </w:p>
        </w:tc>
      </w:tr>
      <w:tr w:rsidR="00795D7C" w14:paraId="3C54711C" w14:textId="77777777" w:rsidTr="00F71087">
        <w:trPr>
          <w:trHeight w:val="300"/>
        </w:trPr>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299792A7" w14:textId="66F07DFB" w:rsidR="00795D7C" w:rsidRPr="64442C00" w:rsidRDefault="004C73D0" w:rsidP="00D51C0B">
            <w:pPr>
              <w:spacing w:after="120"/>
              <w:rPr>
                <w:rStyle w:val="normaltextrun"/>
                <w:rFonts w:eastAsiaTheme="majorEastAsia"/>
              </w:rPr>
            </w:pPr>
            <w:r>
              <w:rPr>
                <w:rStyle w:val="normaltextrun"/>
                <w:rFonts w:eastAsiaTheme="majorEastAsia"/>
              </w:rPr>
              <w:lastRenderedPageBreak/>
              <w:t>16</w:t>
            </w:r>
          </w:p>
        </w:tc>
        <w:tc>
          <w:tcPr>
            <w:tcW w:w="8571" w:type="dxa"/>
            <w:shd w:val="clear" w:color="auto" w:fill="F2F2F2" w:themeFill="background1" w:themeFillShade="F2"/>
            <w:vAlign w:val="top"/>
          </w:tcPr>
          <w:p w14:paraId="6469074A" w14:textId="116218EA" w:rsidR="00795D7C"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64442C00">
              <w:rPr>
                <w:rStyle w:val="normaltextrun"/>
                <w:rFonts w:eastAsiaTheme="majorEastAsia"/>
              </w:rPr>
              <w:t>What aspects of the Comcare scheme work well for diverse groups?</w:t>
            </w:r>
          </w:p>
        </w:tc>
      </w:tr>
      <w:tr w:rsidR="00795D7C" w14:paraId="4759343F" w14:textId="77777777" w:rsidTr="00F71087">
        <w:trPr>
          <w:trHeight w:val="423"/>
        </w:trPr>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3C56836" w14:textId="2C51BB9D" w:rsidR="00795D7C" w:rsidRDefault="004C73D0" w:rsidP="00D51C0B">
            <w:pPr>
              <w:spacing w:after="120"/>
            </w:pPr>
            <w:r>
              <w:t>17</w:t>
            </w:r>
          </w:p>
        </w:tc>
        <w:tc>
          <w:tcPr>
            <w:tcW w:w="8571" w:type="dxa"/>
            <w:shd w:val="clear" w:color="auto" w:fill="F2F2F2" w:themeFill="background1" w:themeFillShade="F2"/>
            <w:vAlign w:val="top"/>
          </w:tcPr>
          <w:p w14:paraId="6BBD58E8" w14:textId="39A532DD" w:rsidR="00795D7C"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2C3CC9B1">
              <w:rPr>
                <w:rStyle w:val="normaltextrun"/>
                <w:rFonts w:eastAsiaTheme="majorEastAsia"/>
              </w:rPr>
              <w:t>What changes are required to the Comcare scheme to ensure injured workers with diverse backgrounds or needs receive appropriate support?</w:t>
            </w:r>
            <w:r>
              <w:t>  </w:t>
            </w:r>
          </w:p>
        </w:tc>
      </w:tr>
      <w:tr w:rsidR="00F71087" w:rsidRPr="005E4A52" w14:paraId="7509EF2A" w14:textId="77777777" w:rsidTr="00087EB5">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73D2B22A" w14:textId="4865FCB7" w:rsidR="00F71087" w:rsidRPr="005E4A52" w:rsidRDefault="00F71087" w:rsidP="00A33BBA">
            <w:pPr>
              <w:spacing w:before="120" w:beforeAutospacing="0" w:after="120" w:afterAutospacing="0"/>
              <w:rPr>
                <w:rStyle w:val="normaltextrun"/>
                <w:rFonts w:eastAsiaTheme="majorEastAsia" w:cstheme="minorHAnsi"/>
              </w:rPr>
            </w:pPr>
            <w:r w:rsidRPr="005E4A52">
              <w:rPr>
                <w:b/>
                <w:color w:val="FFFFFF" w:themeColor="background1"/>
              </w:rPr>
              <w:t>Scheme coverage – discussion questions</w:t>
            </w:r>
          </w:p>
        </w:tc>
      </w:tr>
      <w:tr w:rsidR="00795D7C" w:rsidRPr="005E4A52" w14:paraId="56D085A7"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202442C7" w14:textId="0F406EFA" w:rsidR="00795D7C" w:rsidRPr="7F811CA6" w:rsidRDefault="004C73D0" w:rsidP="00D51C0B">
            <w:pPr>
              <w:spacing w:after="120"/>
              <w:rPr>
                <w:rStyle w:val="normaltextrun"/>
                <w:rFonts w:eastAsiaTheme="majorEastAsia"/>
              </w:rPr>
            </w:pPr>
            <w:r>
              <w:rPr>
                <w:rStyle w:val="normaltextrun"/>
                <w:rFonts w:eastAsiaTheme="majorEastAsia"/>
              </w:rPr>
              <w:t>18</w:t>
            </w:r>
          </w:p>
        </w:tc>
        <w:tc>
          <w:tcPr>
            <w:tcW w:w="8571" w:type="dxa"/>
            <w:shd w:val="clear" w:color="auto" w:fill="F2F2F2" w:themeFill="background1" w:themeFillShade="F2"/>
            <w:vAlign w:val="top"/>
          </w:tcPr>
          <w:p w14:paraId="19290C7B" w14:textId="7ACD4357"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7F811CA6">
              <w:rPr>
                <w:rStyle w:val="normaltextrun"/>
                <w:rFonts w:eastAsiaTheme="majorEastAsia"/>
              </w:rPr>
              <w:t xml:space="preserve">What are the risks and issues that arise from current coverage of </w:t>
            </w:r>
            <w:r w:rsidRPr="44FE6071">
              <w:rPr>
                <w:rStyle w:val="normaltextrun"/>
                <w:rFonts w:eastAsiaTheme="majorEastAsia"/>
              </w:rPr>
              <w:t>the Comcare scheme?</w:t>
            </w:r>
          </w:p>
        </w:tc>
      </w:tr>
      <w:tr w:rsidR="00795D7C" w:rsidRPr="005E4A52" w14:paraId="6DC43D21"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2C40F124" w14:textId="4DDE59BD" w:rsidR="00795D7C" w:rsidRPr="3E2676B1" w:rsidRDefault="004C73D0" w:rsidP="00D51C0B">
            <w:pPr>
              <w:spacing w:after="120"/>
              <w:rPr>
                <w:rStyle w:val="normaltextrun"/>
                <w:rFonts w:eastAsiaTheme="majorEastAsia"/>
              </w:rPr>
            </w:pPr>
            <w:r>
              <w:rPr>
                <w:rStyle w:val="normaltextrun"/>
                <w:rFonts w:eastAsiaTheme="majorEastAsia"/>
              </w:rPr>
              <w:t>19</w:t>
            </w:r>
          </w:p>
        </w:tc>
        <w:tc>
          <w:tcPr>
            <w:tcW w:w="8571" w:type="dxa"/>
            <w:shd w:val="clear" w:color="auto" w:fill="F2F2F2" w:themeFill="background1" w:themeFillShade="F2"/>
            <w:vAlign w:val="top"/>
          </w:tcPr>
          <w:p w14:paraId="18A42FA3" w14:textId="75D43EB6" w:rsidR="00795D7C" w:rsidRPr="005E4A52" w:rsidRDefault="004C73D0"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Pr>
                <w:rStyle w:val="normaltextrun"/>
                <w:rFonts w:eastAsiaTheme="majorEastAsia"/>
              </w:rPr>
              <w:t>I</w:t>
            </w:r>
            <w:r w:rsidR="00795D7C" w:rsidRPr="00BE13C3">
              <w:rPr>
                <w:rStyle w:val="normaltextrun"/>
                <w:rFonts w:eastAsiaTheme="majorEastAsia"/>
              </w:rPr>
              <w:t xml:space="preserve">s it still </w:t>
            </w:r>
            <w:proofErr w:type="gramStart"/>
            <w:r w:rsidR="00795D7C" w:rsidRPr="00BE13C3">
              <w:rPr>
                <w:rStyle w:val="normaltextrun"/>
                <w:rFonts w:eastAsiaTheme="majorEastAsia"/>
              </w:rPr>
              <w:t>appropriate</w:t>
            </w:r>
            <w:proofErr w:type="gramEnd"/>
            <w:r w:rsidR="00795D7C" w:rsidRPr="00BE13C3">
              <w:rPr>
                <w:rStyle w:val="normaltextrun"/>
                <w:rFonts w:eastAsiaTheme="majorEastAsia"/>
              </w:rPr>
              <w:t xml:space="preserve"> for the Comcare scheme to be the pathway to a national scheme for private multi-state employers? </w:t>
            </w:r>
            <w:r w:rsidR="00795D7C" w:rsidRPr="35E553ED">
              <w:rPr>
                <w:rStyle w:val="normaltextrun"/>
                <w:rFonts w:eastAsiaTheme="majorEastAsia"/>
              </w:rPr>
              <w:t xml:space="preserve">Apart from Australian Government </w:t>
            </w:r>
            <w:r w:rsidR="00795D7C" w:rsidRPr="10FB1A93">
              <w:rPr>
                <w:rStyle w:val="normaltextrun"/>
                <w:rFonts w:eastAsiaTheme="majorEastAsia"/>
              </w:rPr>
              <w:t>entities</w:t>
            </w:r>
            <w:r w:rsidR="00795D7C" w:rsidRPr="35E553ED">
              <w:rPr>
                <w:rStyle w:val="normaltextrun"/>
                <w:rFonts w:eastAsiaTheme="majorEastAsia"/>
              </w:rPr>
              <w:t xml:space="preserve"> and companies who should have access to the Comcare</w:t>
            </w:r>
            <w:r w:rsidR="00795D7C" w:rsidRPr="10FB1A93">
              <w:rPr>
                <w:rStyle w:val="normaltextrun"/>
                <w:rFonts w:eastAsiaTheme="majorEastAsia"/>
              </w:rPr>
              <w:t xml:space="preserve"> scheme? Give reasons. </w:t>
            </w:r>
          </w:p>
        </w:tc>
      </w:tr>
      <w:tr w:rsidR="00795D7C" w:rsidRPr="005E4A52" w14:paraId="3BC1A299"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514AE6A8" w14:textId="4A2AB558" w:rsidR="00795D7C" w:rsidRDefault="004C73D0" w:rsidP="00D51C0B">
            <w:pPr>
              <w:spacing w:after="120"/>
            </w:pPr>
            <w:r>
              <w:t>20</w:t>
            </w:r>
          </w:p>
        </w:tc>
        <w:tc>
          <w:tcPr>
            <w:tcW w:w="8571" w:type="dxa"/>
            <w:shd w:val="clear" w:color="auto" w:fill="F2F2F2" w:themeFill="background1" w:themeFillShade="F2"/>
            <w:vAlign w:val="top"/>
          </w:tcPr>
          <w:p w14:paraId="5CCCE6DD" w14:textId="62BA9463"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47E8B75B">
              <w:rPr>
                <w:rStyle w:val="normaltextrun"/>
                <w:rFonts w:eastAsiaTheme="majorEastAsia"/>
              </w:rPr>
              <w:t xml:space="preserve">What criteria should apply for corporations to join the </w:t>
            </w:r>
            <w:r w:rsidRPr="5069DC2B">
              <w:rPr>
                <w:rStyle w:val="normaltextrun"/>
                <w:rFonts w:eastAsiaTheme="majorEastAsia"/>
              </w:rPr>
              <w:t>Comcare</w:t>
            </w:r>
            <w:r w:rsidRPr="47E8B75B">
              <w:rPr>
                <w:rStyle w:val="normaltextrun"/>
                <w:rFonts w:eastAsiaTheme="majorEastAsia"/>
              </w:rPr>
              <w:t xml:space="preserve"> scheme? </w:t>
            </w:r>
          </w:p>
        </w:tc>
      </w:tr>
      <w:tr w:rsidR="00F71087" w:rsidRPr="005E4A52" w14:paraId="0F900815" w14:textId="77777777" w:rsidTr="00087EB5">
        <w:trPr>
          <w:trHeight w:val="529"/>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71095F0A" w14:textId="16B50F82" w:rsidR="00F71087" w:rsidRPr="005E4A52" w:rsidRDefault="00F71087" w:rsidP="00A33BBA">
            <w:pPr>
              <w:spacing w:before="120" w:beforeAutospacing="0" w:after="120" w:afterAutospacing="0"/>
              <w:rPr>
                <w:rStyle w:val="normaltextrun"/>
                <w:rFonts w:eastAsiaTheme="majorEastAsia" w:cstheme="minorHAnsi"/>
              </w:rPr>
            </w:pPr>
            <w:r w:rsidRPr="005E4A52">
              <w:rPr>
                <w:b/>
                <w:color w:val="FFFFFF" w:themeColor="background1"/>
              </w:rPr>
              <w:t>WHS Act coverage – discussion questions</w:t>
            </w:r>
          </w:p>
        </w:tc>
      </w:tr>
      <w:tr w:rsidR="00795D7C" w:rsidRPr="005E4A52" w14:paraId="52EC991D"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3FB63DCC" w14:textId="77DA8D2E" w:rsidR="00795D7C" w:rsidRPr="555B2BE9" w:rsidRDefault="004C73D0" w:rsidP="00D51C0B">
            <w:pPr>
              <w:spacing w:after="120"/>
              <w:contextualSpacing/>
              <w:rPr>
                <w:rStyle w:val="normaltextrun"/>
                <w:rFonts w:eastAsiaTheme="majorEastAsia"/>
              </w:rPr>
            </w:pPr>
            <w:r>
              <w:rPr>
                <w:rStyle w:val="normaltextrun"/>
                <w:rFonts w:eastAsiaTheme="majorEastAsia"/>
              </w:rPr>
              <w:t>21</w:t>
            </w:r>
          </w:p>
        </w:tc>
        <w:tc>
          <w:tcPr>
            <w:tcW w:w="8571" w:type="dxa"/>
            <w:shd w:val="clear" w:color="auto" w:fill="F2F2F2" w:themeFill="background1" w:themeFillShade="F2"/>
            <w:vAlign w:val="top"/>
          </w:tcPr>
          <w:p w14:paraId="2392D470" w14:textId="28BA4B65" w:rsidR="00795D7C" w:rsidRPr="005E4A52" w:rsidRDefault="00795D7C" w:rsidP="00D51C0B">
            <w:p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555B2BE9">
              <w:rPr>
                <w:rStyle w:val="normaltextrun"/>
                <w:rFonts w:eastAsiaTheme="majorEastAsia"/>
              </w:rPr>
              <w:t>What are the implications for non-Commonwealth licensees in maintaining or ending the transitional period for their coverage under the WHS Act?</w:t>
            </w:r>
          </w:p>
        </w:tc>
      </w:tr>
      <w:tr w:rsidR="00795D7C" w:rsidRPr="005E4A52" w14:paraId="6F11ED70"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5C01B85D" w14:textId="10B37EE6" w:rsidR="00795D7C" w:rsidRPr="725034E8" w:rsidRDefault="004C73D0" w:rsidP="00D51C0B">
            <w:pPr>
              <w:spacing w:after="120"/>
              <w:contextualSpacing/>
              <w:rPr>
                <w:rStyle w:val="normaltextrun"/>
                <w:rFonts w:eastAsiaTheme="majorEastAsia"/>
              </w:rPr>
            </w:pPr>
            <w:r>
              <w:rPr>
                <w:rStyle w:val="normaltextrun"/>
                <w:rFonts w:eastAsiaTheme="majorEastAsia"/>
              </w:rPr>
              <w:t>22</w:t>
            </w:r>
          </w:p>
        </w:tc>
        <w:tc>
          <w:tcPr>
            <w:tcW w:w="8571" w:type="dxa"/>
            <w:shd w:val="clear" w:color="auto" w:fill="F2F2F2" w:themeFill="background1" w:themeFillShade="F2"/>
            <w:vAlign w:val="top"/>
          </w:tcPr>
          <w:p w14:paraId="59BAD1DD" w14:textId="61EB4EB6" w:rsidR="00795D7C" w:rsidRPr="005E4A52" w:rsidRDefault="00795D7C" w:rsidP="00D51C0B">
            <w:pPr>
              <w:spacing w:before="0" w:beforeAutospacing="0" w:after="120" w:afterAutospacing="0"/>
              <w:contextualSpacing/>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555B2BE9">
              <w:rPr>
                <w:rFonts w:eastAsiaTheme="majorEastAsia"/>
              </w:rPr>
              <w:t xml:space="preserve">Should self-insured licensees be regulated by Comcare under Commonwealth WHS laws, or state and territory </w:t>
            </w:r>
            <w:r>
              <w:rPr>
                <w:rFonts w:eastAsiaTheme="majorEastAsia"/>
              </w:rPr>
              <w:t xml:space="preserve">WHS laws and </w:t>
            </w:r>
            <w:r w:rsidRPr="555B2BE9">
              <w:rPr>
                <w:rFonts w:eastAsiaTheme="majorEastAsia"/>
              </w:rPr>
              <w:t>regulators?</w:t>
            </w:r>
            <w:r w:rsidRPr="555B2BE9">
              <w:rPr>
                <w:rStyle w:val="normaltextrun"/>
                <w:rFonts w:eastAsiaTheme="majorEastAsia"/>
              </w:rPr>
              <w:t xml:space="preserve"> </w:t>
            </w:r>
            <w:r>
              <w:rPr>
                <w:rStyle w:val="normaltextrun"/>
                <w:rFonts w:eastAsiaTheme="majorEastAsia"/>
              </w:rPr>
              <w:t>Please give reasons.</w:t>
            </w:r>
          </w:p>
        </w:tc>
      </w:tr>
      <w:tr w:rsidR="00F71087" w:rsidRPr="005E4A52" w14:paraId="0331AA74" w14:textId="77777777" w:rsidTr="00087EB5">
        <w:trPr>
          <w:trHeight w:val="506"/>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0E879A28" w14:textId="30785117" w:rsidR="00F71087" w:rsidRPr="005E4A52" w:rsidRDefault="00F71087" w:rsidP="00BC14DB">
            <w:pPr>
              <w:spacing w:before="120" w:beforeAutospacing="0" w:after="120" w:afterAutospacing="0"/>
              <w:rPr>
                <w:rStyle w:val="normaltextrun"/>
                <w:rFonts w:eastAsiaTheme="majorEastAsia" w:cstheme="minorHAnsi"/>
              </w:rPr>
            </w:pPr>
            <w:r w:rsidRPr="005E4A52">
              <w:rPr>
                <w:b/>
                <w:color w:val="FFFFFF" w:themeColor="background1"/>
              </w:rPr>
              <w:t>Governance arrangements - discussion questions</w:t>
            </w:r>
          </w:p>
        </w:tc>
      </w:tr>
      <w:tr w:rsidR="00795D7C" w:rsidRPr="005E4A52" w14:paraId="3C962E01"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3313BF13" w14:textId="11103B40" w:rsidR="00795D7C" w:rsidRPr="1CBF8BD1" w:rsidRDefault="004C73D0" w:rsidP="00D51C0B">
            <w:pPr>
              <w:spacing w:after="120"/>
              <w:rPr>
                <w:rStyle w:val="normaltextrun"/>
                <w:rFonts w:eastAsiaTheme="majorEastAsia"/>
              </w:rPr>
            </w:pPr>
            <w:r>
              <w:rPr>
                <w:rStyle w:val="normaltextrun"/>
                <w:rFonts w:eastAsiaTheme="majorEastAsia"/>
              </w:rPr>
              <w:t>23</w:t>
            </w:r>
          </w:p>
        </w:tc>
        <w:tc>
          <w:tcPr>
            <w:tcW w:w="8571" w:type="dxa"/>
            <w:shd w:val="clear" w:color="auto" w:fill="F2F2F2" w:themeFill="background1" w:themeFillShade="F2"/>
            <w:vAlign w:val="top"/>
          </w:tcPr>
          <w:p w14:paraId="4B16AE7C" w14:textId="74D4F51E" w:rsidR="00795D7C" w:rsidRPr="005E4A52" w:rsidRDefault="00795D7C" w:rsidP="00DD2791">
            <w:pPr>
              <w:spacing w:before="120" w:beforeAutospacing="0" w:after="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1C7742AD">
              <w:rPr>
                <w:rStyle w:val="normaltextrun"/>
                <w:rFonts w:eastAsiaTheme="majorEastAsia"/>
              </w:rPr>
              <w:t xml:space="preserve">Does the SRC Act suitably define the roles and responsibilities of: </w:t>
            </w:r>
          </w:p>
          <w:p w14:paraId="40309CA5" w14:textId="77777777" w:rsidR="00795D7C" w:rsidRPr="000F3212" w:rsidRDefault="00795D7C" w:rsidP="00DD2791">
            <w:pPr>
              <w:pStyle w:val="ListParagraph"/>
              <w:spacing w:before="120" w:beforeAutospacing="0" w:after="0" w:afterAutospacing="0" w:line="240" w:lineRule="auto"/>
              <w:ind w:left="360"/>
              <w:cnfStyle w:val="000000000000" w:firstRow="0" w:lastRow="0" w:firstColumn="0" w:lastColumn="0" w:oddVBand="0" w:evenVBand="0" w:oddHBand="0" w:evenHBand="0" w:firstRowFirstColumn="0" w:firstRowLastColumn="0" w:lastRowFirstColumn="0" w:lastRowLastColumn="0"/>
            </w:pPr>
            <w:r w:rsidRPr="000F3212">
              <w:t>•</w:t>
            </w:r>
            <w:r w:rsidRPr="000F3212">
              <w:tab/>
              <w:t xml:space="preserve">Comcare? </w:t>
            </w:r>
          </w:p>
          <w:p w14:paraId="1423CDAD" w14:textId="12058DEE" w:rsidR="00795D7C" w:rsidRPr="005E4A52" w:rsidRDefault="00795D7C" w:rsidP="000F3212">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0F3212">
              <w:t>•</w:t>
            </w:r>
            <w:r w:rsidRPr="000F3212">
              <w:tab/>
              <w:t>SRCC?</w:t>
            </w:r>
          </w:p>
        </w:tc>
      </w:tr>
      <w:tr w:rsidR="00795D7C" w:rsidRPr="005E4A52" w14:paraId="2037DFDE"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711C15F" w14:textId="5BB04A8B" w:rsidR="00795D7C" w:rsidRPr="1CBF8BD1" w:rsidRDefault="004C73D0" w:rsidP="00D51C0B">
            <w:pPr>
              <w:spacing w:after="120"/>
              <w:rPr>
                <w:rStyle w:val="normaltextrun"/>
                <w:rFonts w:eastAsiaTheme="majorEastAsia"/>
              </w:rPr>
            </w:pPr>
            <w:r>
              <w:rPr>
                <w:rStyle w:val="normaltextrun"/>
                <w:rFonts w:eastAsiaTheme="majorEastAsia"/>
              </w:rPr>
              <w:t>24</w:t>
            </w:r>
          </w:p>
        </w:tc>
        <w:tc>
          <w:tcPr>
            <w:tcW w:w="8571" w:type="dxa"/>
            <w:shd w:val="clear" w:color="auto" w:fill="F2F2F2" w:themeFill="background1" w:themeFillShade="F2"/>
            <w:vAlign w:val="top"/>
          </w:tcPr>
          <w:p w14:paraId="686FB321" w14:textId="66555F6D"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1CBF8BD1">
              <w:rPr>
                <w:rStyle w:val="normaltextrun"/>
                <w:rFonts w:eastAsiaTheme="majorEastAsia"/>
              </w:rPr>
              <w:t xml:space="preserve">What governance framework is needed to provide high-level oversight of Comcare? </w:t>
            </w:r>
            <w:r w:rsidRPr="1CBF8BD1" w:rsidDel="00422DB5">
              <w:rPr>
                <w:rStyle w:val="normaltextrun"/>
                <w:rFonts w:eastAsiaTheme="majorEastAsia"/>
              </w:rPr>
              <w:t xml:space="preserve"> </w:t>
            </w:r>
            <w:r w:rsidRPr="1CBF8BD1">
              <w:rPr>
                <w:rStyle w:val="normaltextrun"/>
                <w:rFonts w:eastAsiaTheme="majorEastAsia"/>
              </w:rPr>
              <w:t>For example, a governing or advisory board? What requirements should apply to any members of such a group, for example relevant expertise or representation or both?</w:t>
            </w:r>
          </w:p>
        </w:tc>
      </w:tr>
      <w:tr w:rsidR="00795D7C" w:rsidRPr="005E4A52" w14:paraId="3C57924E"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0B6E6318" w14:textId="1587BD05" w:rsidR="00795D7C" w:rsidRPr="1D296506" w:rsidRDefault="004C73D0" w:rsidP="00D51C0B">
            <w:pPr>
              <w:spacing w:after="120"/>
              <w:rPr>
                <w:rStyle w:val="normaltextrun"/>
                <w:rFonts w:eastAsiaTheme="majorEastAsia"/>
              </w:rPr>
            </w:pPr>
            <w:r>
              <w:rPr>
                <w:rStyle w:val="normaltextrun"/>
                <w:rFonts w:eastAsiaTheme="majorEastAsia"/>
              </w:rPr>
              <w:t>25</w:t>
            </w:r>
          </w:p>
        </w:tc>
        <w:tc>
          <w:tcPr>
            <w:tcW w:w="8571" w:type="dxa"/>
            <w:shd w:val="clear" w:color="auto" w:fill="F2F2F2" w:themeFill="background1" w:themeFillShade="F2"/>
            <w:vAlign w:val="top"/>
          </w:tcPr>
          <w:p w14:paraId="1A940A30" w14:textId="71D12B8A"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6AC842A6">
              <w:rPr>
                <w:rStyle w:val="normaltextrun"/>
                <w:rFonts w:eastAsiaTheme="majorEastAsia"/>
              </w:rPr>
              <w:t xml:space="preserve">What changes are required to ensure the SRCC has the powers and responsibilities to effectively regulate self-insurance licensees and the public sector?  </w:t>
            </w:r>
          </w:p>
        </w:tc>
      </w:tr>
      <w:tr w:rsidR="00795D7C" w:rsidRPr="005E4A52" w14:paraId="07818D9B"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1475C59" w14:textId="46F6D62B" w:rsidR="00795D7C" w:rsidRPr="1D296506" w:rsidRDefault="004C73D0" w:rsidP="00D51C0B">
            <w:pPr>
              <w:spacing w:after="120"/>
              <w:rPr>
                <w:rStyle w:val="normaltextrun"/>
                <w:rFonts w:eastAsiaTheme="majorEastAsia"/>
              </w:rPr>
            </w:pPr>
            <w:r>
              <w:rPr>
                <w:rStyle w:val="normaltextrun"/>
                <w:rFonts w:eastAsiaTheme="majorEastAsia"/>
              </w:rPr>
              <w:t>26</w:t>
            </w:r>
          </w:p>
        </w:tc>
        <w:tc>
          <w:tcPr>
            <w:tcW w:w="8571" w:type="dxa"/>
            <w:shd w:val="clear" w:color="auto" w:fill="F2F2F2" w:themeFill="background1" w:themeFillShade="F2"/>
            <w:vAlign w:val="top"/>
          </w:tcPr>
          <w:p w14:paraId="1E82FA64" w14:textId="0C8A639C" w:rsidR="00795D7C" w:rsidRDefault="00795D7C" w:rsidP="00DD2791">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1D296506">
              <w:rPr>
                <w:rStyle w:val="normaltextrun"/>
                <w:rFonts w:eastAsiaTheme="majorEastAsia"/>
              </w:rPr>
              <w:t xml:space="preserve">Does the existing framework provide appropriate oversight and monitoring, compliance and reporting arrangements for: </w:t>
            </w:r>
          </w:p>
          <w:p w14:paraId="2E989A35" w14:textId="3D35ABF6" w:rsidR="00795D7C" w:rsidRPr="000F3212" w:rsidRDefault="00795D7C" w:rsidP="00DD2791">
            <w:pPr>
              <w:pStyle w:val="ListParagraph"/>
              <w:spacing w:before="0" w:beforeAutospacing="0" w:after="120" w:afterAutospacing="0" w:line="240" w:lineRule="auto"/>
              <w:ind w:left="360"/>
              <w:cnfStyle w:val="000000000000" w:firstRow="0" w:lastRow="0" w:firstColumn="0" w:lastColumn="0" w:oddVBand="0" w:evenVBand="0" w:oddHBand="0" w:evenHBand="0" w:firstRowFirstColumn="0" w:firstRowLastColumn="0" w:lastRowFirstColumn="0" w:lastRowLastColumn="0"/>
            </w:pPr>
            <w:r w:rsidRPr="000F3212">
              <w:t>•</w:t>
            </w:r>
            <w:r w:rsidRPr="000F3212">
              <w:tab/>
              <w:t>Comcare?</w:t>
            </w:r>
          </w:p>
          <w:p w14:paraId="0D487403" w14:textId="6D011EFB" w:rsidR="00795D7C" w:rsidRPr="000F3212" w:rsidRDefault="00795D7C" w:rsidP="000F3212">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pPr>
            <w:r w:rsidRPr="000F3212">
              <w:t>•</w:t>
            </w:r>
            <w:r w:rsidRPr="000F3212">
              <w:tab/>
              <w:t>Self-insured licensees?</w:t>
            </w:r>
          </w:p>
          <w:p w14:paraId="0D5E66E7" w14:textId="05DEA001" w:rsidR="00795D7C" w:rsidRPr="000F3212" w:rsidRDefault="00795D7C" w:rsidP="00DD2791">
            <w:pPr>
              <w:pStyle w:val="ListParagraph"/>
              <w:spacing w:after="100" w:line="240" w:lineRule="auto"/>
              <w:ind w:left="360"/>
              <w:cnfStyle w:val="000000000000" w:firstRow="0" w:lastRow="0" w:firstColumn="0" w:lastColumn="0" w:oddVBand="0" w:evenVBand="0" w:oddHBand="0" w:evenHBand="0" w:firstRowFirstColumn="0" w:firstRowLastColumn="0" w:lastRowFirstColumn="0" w:lastRowLastColumn="0"/>
            </w:pPr>
            <w:r w:rsidRPr="000F3212">
              <w:t>•</w:t>
            </w:r>
            <w:r w:rsidRPr="000F3212">
              <w:tab/>
              <w:t>Delegated claims management arrangements (see 3.7)?</w:t>
            </w:r>
          </w:p>
          <w:p w14:paraId="20E5CEE0" w14:textId="3E04449C" w:rsidR="00795D7C" w:rsidRPr="000F3212" w:rsidRDefault="00795D7C" w:rsidP="000F3212">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pPr>
            <w:r w:rsidRPr="000F3212">
              <w:t>•</w:t>
            </w:r>
            <w:r w:rsidRPr="000F3212">
              <w:tab/>
              <w:t>Rehabilitation authorities?</w:t>
            </w:r>
          </w:p>
          <w:p w14:paraId="51A02393" w14:textId="2BC0E999" w:rsidR="00795D7C" w:rsidRPr="005E4A52" w:rsidRDefault="00795D7C" w:rsidP="000F3212">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0F3212">
              <w:t>•</w:t>
            </w:r>
            <w:r w:rsidRPr="000F3212">
              <w:tab/>
              <w:t>Workplace rehabilitation and other service providers?</w:t>
            </w:r>
          </w:p>
        </w:tc>
      </w:tr>
      <w:tr w:rsidR="00795D7C" w:rsidRPr="005E4A52" w14:paraId="1B3B6D6B"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C501859" w14:textId="52A66874" w:rsidR="00795D7C" w:rsidRPr="65B2C94C" w:rsidRDefault="004C73D0" w:rsidP="00D51C0B">
            <w:pPr>
              <w:spacing w:after="120"/>
              <w:rPr>
                <w:rStyle w:val="normaltextrun"/>
                <w:rFonts w:eastAsiaTheme="majorEastAsia"/>
              </w:rPr>
            </w:pPr>
            <w:r>
              <w:rPr>
                <w:rStyle w:val="normaltextrun"/>
                <w:rFonts w:eastAsiaTheme="majorEastAsia"/>
              </w:rPr>
              <w:t>27</w:t>
            </w:r>
          </w:p>
        </w:tc>
        <w:tc>
          <w:tcPr>
            <w:tcW w:w="8571" w:type="dxa"/>
            <w:shd w:val="clear" w:color="auto" w:fill="F2F2F2" w:themeFill="background1" w:themeFillShade="F2"/>
            <w:vAlign w:val="top"/>
          </w:tcPr>
          <w:p w14:paraId="4CD179D3" w14:textId="3EE86F09"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3CF24100">
              <w:rPr>
                <w:rStyle w:val="normaltextrun"/>
                <w:rFonts w:eastAsiaTheme="majorEastAsia"/>
              </w:rPr>
              <w:t>Are the Hawke and Hanks Review recommendations still relevant for rehabilitation governance including introducing an auditing program for rehabilitation authorities; creating a return-to-work inspectorate; penalties for failures to meet rehabilitation responsibilities under the scheme; and the ability to approve or accredit all providers operating in the scheme?</w:t>
            </w:r>
          </w:p>
        </w:tc>
      </w:tr>
      <w:tr w:rsidR="00795D7C" w:rsidRPr="005E4A52" w14:paraId="500F20EA"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362D5520" w14:textId="098DB193" w:rsidR="00795D7C" w:rsidRPr="65B2C94C" w:rsidRDefault="004C73D0" w:rsidP="00D51C0B">
            <w:pPr>
              <w:spacing w:after="120"/>
              <w:rPr>
                <w:rStyle w:val="normaltextrun"/>
                <w:rFonts w:eastAsiaTheme="majorEastAsia"/>
              </w:rPr>
            </w:pPr>
            <w:r>
              <w:rPr>
                <w:rStyle w:val="normaltextrun"/>
                <w:rFonts w:eastAsiaTheme="majorEastAsia"/>
              </w:rPr>
              <w:t>28</w:t>
            </w:r>
          </w:p>
        </w:tc>
        <w:tc>
          <w:tcPr>
            <w:tcW w:w="8571" w:type="dxa"/>
            <w:shd w:val="clear" w:color="auto" w:fill="F2F2F2" w:themeFill="background1" w:themeFillShade="F2"/>
            <w:vAlign w:val="top"/>
          </w:tcPr>
          <w:p w14:paraId="51E16C93" w14:textId="24BBCF5D"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65B2C94C">
              <w:rPr>
                <w:rStyle w:val="normaltextrun"/>
                <w:rFonts w:eastAsiaTheme="majorEastAsia"/>
              </w:rPr>
              <w:t xml:space="preserve">What changes are required to the Comcare scheme to ensure future scheme financial sustainability? </w:t>
            </w:r>
          </w:p>
        </w:tc>
      </w:tr>
      <w:tr w:rsidR="00795D7C" w:rsidRPr="005E4A52" w14:paraId="7D058D31"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344EAA3" w14:textId="1FEC819E" w:rsidR="00795D7C" w:rsidRPr="65B2C94C" w:rsidRDefault="004C73D0" w:rsidP="00D51C0B">
            <w:pPr>
              <w:spacing w:after="120"/>
              <w:rPr>
                <w:rStyle w:val="normaltextrun"/>
                <w:rFonts w:eastAsiaTheme="majorEastAsia"/>
              </w:rPr>
            </w:pPr>
            <w:r>
              <w:rPr>
                <w:rStyle w:val="normaltextrun"/>
                <w:rFonts w:eastAsiaTheme="majorEastAsia"/>
              </w:rPr>
              <w:t>29</w:t>
            </w:r>
          </w:p>
        </w:tc>
        <w:tc>
          <w:tcPr>
            <w:tcW w:w="8571" w:type="dxa"/>
            <w:shd w:val="clear" w:color="auto" w:fill="F2F2F2" w:themeFill="background1" w:themeFillShade="F2"/>
            <w:vAlign w:val="top"/>
          </w:tcPr>
          <w:p w14:paraId="6F6E7EDB" w14:textId="6E83AA7A"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65B2C94C">
              <w:rPr>
                <w:rStyle w:val="normaltextrun"/>
                <w:rFonts w:eastAsiaTheme="majorEastAsia"/>
              </w:rPr>
              <w:t>Is the scheme’s approach to prudential management adequate for Comcare’s compensation liabilities? If not, what alternatives do you suggest?</w:t>
            </w:r>
          </w:p>
        </w:tc>
      </w:tr>
      <w:tr w:rsidR="00795D7C" w:rsidRPr="005E4A52" w14:paraId="6CFE1936"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44FF939" w14:textId="28C3FDBE" w:rsidR="00795D7C" w:rsidRDefault="004C73D0" w:rsidP="00D51C0B">
            <w:pPr>
              <w:spacing w:after="120"/>
              <w:rPr>
                <w:rStyle w:val="normaltextrun"/>
                <w:rFonts w:eastAsiaTheme="majorEastAsia"/>
              </w:rPr>
            </w:pPr>
            <w:r>
              <w:rPr>
                <w:rStyle w:val="normaltextrun"/>
                <w:rFonts w:eastAsiaTheme="majorEastAsia"/>
              </w:rPr>
              <w:lastRenderedPageBreak/>
              <w:t>30</w:t>
            </w:r>
          </w:p>
        </w:tc>
        <w:tc>
          <w:tcPr>
            <w:tcW w:w="8571" w:type="dxa"/>
            <w:shd w:val="clear" w:color="auto" w:fill="F2F2F2" w:themeFill="background1" w:themeFillShade="F2"/>
            <w:vAlign w:val="top"/>
          </w:tcPr>
          <w:p w14:paraId="590697E5" w14:textId="6CC48908"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795DDAB9">
              <w:rPr>
                <w:rStyle w:val="normaltextrun"/>
                <w:rFonts w:eastAsiaTheme="majorEastAsia"/>
              </w:rPr>
              <w:t>Should Comcare be able to access, invest and use money from premiums to fund proactive activities?</w:t>
            </w:r>
          </w:p>
        </w:tc>
      </w:tr>
      <w:tr w:rsidR="00795D7C" w:rsidRPr="005E4A52" w14:paraId="621D1550"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052A080" w14:textId="55CE48AC" w:rsidR="00795D7C" w:rsidRPr="57786CEA" w:rsidRDefault="004C73D0" w:rsidP="00D51C0B">
            <w:pPr>
              <w:spacing w:after="120"/>
              <w:rPr>
                <w:rStyle w:val="normaltextrun"/>
                <w:rFonts w:eastAsiaTheme="majorEastAsia"/>
              </w:rPr>
            </w:pPr>
            <w:r>
              <w:rPr>
                <w:rStyle w:val="normaltextrun"/>
                <w:rFonts w:eastAsiaTheme="majorEastAsia"/>
              </w:rPr>
              <w:t>31</w:t>
            </w:r>
          </w:p>
        </w:tc>
        <w:tc>
          <w:tcPr>
            <w:tcW w:w="8571" w:type="dxa"/>
            <w:shd w:val="clear" w:color="auto" w:fill="F2F2F2" w:themeFill="background1" w:themeFillShade="F2"/>
            <w:vAlign w:val="top"/>
          </w:tcPr>
          <w:p w14:paraId="6B1A1178" w14:textId="22AFBEF2"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7F9C5287">
              <w:rPr>
                <w:rStyle w:val="normaltextrun"/>
                <w:rFonts w:eastAsiaTheme="majorEastAsia"/>
              </w:rPr>
              <w:t xml:space="preserve">Are changes required to the licence fee setting provisions under the SRC Act to allow for effective and efficient cost recovery? </w:t>
            </w:r>
          </w:p>
        </w:tc>
      </w:tr>
      <w:tr w:rsidR="00795D7C" w:rsidRPr="005E4A52" w14:paraId="39ABDF6F"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1F069BA" w14:textId="13CEF29B" w:rsidR="00795D7C" w:rsidRPr="65725DCD" w:rsidRDefault="004C73D0" w:rsidP="00D51C0B">
            <w:pPr>
              <w:spacing w:after="120"/>
              <w:rPr>
                <w:rStyle w:val="normaltextrun"/>
                <w:rFonts w:eastAsiaTheme="majorEastAsia"/>
              </w:rPr>
            </w:pPr>
            <w:r>
              <w:rPr>
                <w:rStyle w:val="normaltextrun"/>
                <w:rFonts w:eastAsiaTheme="majorEastAsia"/>
              </w:rPr>
              <w:t>32</w:t>
            </w:r>
          </w:p>
        </w:tc>
        <w:tc>
          <w:tcPr>
            <w:tcW w:w="8571" w:type="dxa"/>
            <w:shd w:val="clear" w:color="auto" w:fill="F2F2F2" w:themeFill="background1" w:themeFillShade="F2"/>
            <w:vAlign w:val="top"/>
          </w:tcPr>
          <w:p w14:paraId="19F72750" w14:textId="6D91681E"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3A2EB8F0">
              <w:rPr>
                <w:rStyle w:val="normaltextrun"/>
                <w:rFonts w:eastAsiaTheme="majorEastAsia"/>
              </w:rPr>
              <w:t xml:space="preserve">Are the requirements under the SRC Act for membership of the SRCC appropriate? </w:t>
            </w:r>
          </w:p>
        </w:tc>
      </w:tr>
      <w:tr w:rsidR="00795D7C" w:rsidRPr="005E4A52" w14:paraId="631C508A"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0AB34F61" w14:textId="27000EB9" w:rsidR="00795D7C" w:rsidRPr="65725DCD" w:rsidRDefault="004C73D0" w:rsidP="00D51C0B">
            <w:pPr>
              <w:spacing w:after="120"/>
              <w:rPr>
                <w:rStyle w:val="normaltextrun"/>
                <w:rFonts w:eastAsiaTheme="majorEastAsia"/>
              </w:rPr>
            </w:pPr>
            <w:r>
              <w:rPr>
                <w:rStyle w:val="normaltextrun"/>
                <w:rFonts w:eastAsiaTheme="majorEastAsia"/>
              </w:rPr>
              <w:t>33</w:t>
            </w:r>
          </w:p>
        </w:tc>
        <w:tc>
          <w:tcPr>
            <w:tcW w:w="8571" w:type="dxa"/>
            <w:shd w:val="clear" w:color="auto" w:fill="F2F2F2" w:themeFill="background1" w:themeFillShade="F2"/>
            <w:vAlign w:val="top"/>
          </w:tcPr>
          <w:p w14:paraId="11A78815" w14:textId="73F6AFF6"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65725DCD">
              <w:rPr>
                <w:rStyle w:val="normaltextrun"/>
                <w:rFonts w:eastAsiaTheme="majorEastAsia"/>
              </w:rPr>
              <w:t>Are the arrangements for tripartite involvement under the WHS Act and SRC Act adequate? If not, what additional arrangements are required under the SRC Act?</w:t>
            </w:r>
          </w:p>
        </w:tc>
      </w:tr>
      <w:tr w:rsidR="00795D7C" w:rsidRPr="005E4A52" w14:paraId="59E2CF8C"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3A161E15" w14:textId="3E056666" w:rsidR="00795D7C" w:rsidRPr="65725DCD" w:rsidRDefault="004C73D0" w:rsidP="00D51C0B">
            <w:pPr>
              <w:spacing w:after="120"/>
              <w:rPr>
                <w:rStyle w:val="normaltextrun"/>
                <w:rFonts w:eastAsiaTheme="majorEastAsia"/>
              </w:rPr>
            </w:pPr>
            <w:r>
              <w:rPr>
                <w:rStyle w:val="normaltextrun"/>
                <w:rFonts w:eastAsiaTheme="majorEastAsia"/>
              </w:rPr>
              <w:t>34</w:t>
            </w:r>
          </w:p>
        </w:tc>
        <w:tc>
          <w:tcPr>
            <w:tcW w:w="8571" w:type="dxa"/>
            <w:shd w:val="clear" w:color="auto" w:fill="F2F2F2" w:themeFill="background1" w:themeFillShade="F2"/>
            <w:vAlign w:val="top"/>
          </w:tcPr>
          <w:p w14:paraId="504A9FD7" w14:textId="21A5A474" w:rsidR="00795D7C" w:rsidRPr="005E4A52" w:rsidRDefault="00795D7C" w:rsidP="00D51C0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65725DCD">
              <w:rPr>
                <w:rStyle w:val="normaltextrun"/>
                <w:rFonts w:eastAsiaTheme="majorEastAsia"/>
              </w:rPr>
              <w:t>Do you have suggestions for improvements to facilitate tripartism within the Comcare scheme?</w:t>
            </w:r>
            <w:r w:rsidRPr="005E4A52">
              <w:t xml:space="preserve"> If so, what are they?</w:t>
            </w:r>
          </w:p>
        </w:tc>
      </w:tr>
      <w:tr w:rsidR="00F71087" w:rsidRPr="005E4A52" w14:paraId="76E4A0C0" w14:textId="77777777" w:rsidTr="00087EB5">
        <w:trPr>
          <w:trHeight w:val="373"/>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6D4122E5" w14:textId="738C859F" w:rsidR="00F71087" w:rsidRPr="005E4A52" w:rsidRDefault="00F71087" w:rsidP="00D51C0B">
            <w:pPr>
              <w:spacing w:before="120" w:beforeAutospacing="0" w:after="120" w:afterAutospacing="0"/>
              <w:rPr>
                <w:rStyle w:val="normaltextrun"/>
                <w:rFonts w:eastAsiaTheme="majorEastAsia" w:cstheme="minorHAnsi"/>
              </w:rPr>
            </w:pPr>
            <w:r w:rsidRPr="005E4A52">
              <w:rPr>
                <w:b/>
                <w:color w:val="FFFFFF" w:themeColor="background1"/>
              </w:rPr>
              <w:t>Scheme entitlement – discussion questions</w:t>
            </w:r>
          </w:p>
        </w:tc>
      </w:tr>
      <w:tr w:rsidR="00795D7C" w:rsidRPr="005E4A52" w14:paraId="3037D3A6"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F529D9F" w14:textId="69802CF8" w:rsidR="00795D7C" w:rsidRPr="61EBE701" w:rsidRDefault="004C73D0" w:rsidP="00BC14DB">
            <w:pPr>
              <w:spacing w:after="120"/>
              <w:rPr>
                <w:rStyle w:val="normaltextrun"/>
                <w:rFonts w:eastAsiaTheme="majorEastAsia"/>
              </w:rPr>
            </w:pPr>
            <w:r>
              <w:rPr>
                <w:rStyle w:val="normaltextrun"/>
                <w:rFonts w:eastAsiaTheme="majorEastAsia"/>
              </w:rPr>
              <w:t>35</w:t>
            </w:r>
          </w:p>
        </w:tc>
        <w:tc>
          <w:tcPr>
            <w:tcW w:w="8571" w:type="dxa"/>
            <w:shd w:val="clear" w:color="auto" w:fill="F2F2F2" w:themeFill="background1" w:themeFillShade="F2"/>
            <w:vAlign w:val="top"/>
          </w:tcPr>
          <w:p w14:paraId="3BF7E5CE" w14:textId="4BF4AD6B"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2802A4E">
              <w:rPr>
                <w:rStyle w:val="normaltextrun"/>
                <w:rFonts w:eastAsiaTheme="majorEastAsia"/>
              </w:rPr>
              <w:t>Does the definition of ‘employee’ in the SRC Act reflect contemporary working arrangements?  Are the deeming provisions adequate?</w:t>
            </w:r>
          </w:p>
        </w:tc>
      </w:tr>
      <w:tr w:rsidR="00795D7C" w:rsidRPr="005E4A52" w14:paraId="0D7522DB"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260E8D68" w14:textId="6F0E1242" w:rsidR="00795D7C" w:rsidRPr="31FD2FF4" w:rsidRDefault="004C73D0" w:rsidP="00BC14DB">
            <w:pPr>
              <w:spacing w:after="120"/>
              <w:rPr>
                <w:rStyle w:val="normaltextrun"/>
                <w:rFonts w:eastAsiaTheme="majorEastAsia"/>
              </w:rPr>
            </w:pPr>
            <w:r>
              <w:rPr>
                <w:rStyle w:val="normaltextrun"/>
                <w:rFonts w:eastAsiaTheme="majorEastAsia"/>
              </w:rPr>
              <w:t>36</w:t>
            </w:r>
          </w:p>
        </w:tc>
        <w:tc>
          <w:tcPr>
            <w:tcW w:w="8571" w:type="dxa"/>
            <w:shd w:val="clear" w:color="auto" w:fill="F2F2F2" w:themeFill="background1" w:themeFillShade="F2"/>
            <w:vAlign w:val="top"/>
          </w:tcPr>
          <w:p w14:paraId="68BF498A" w14:textId="05057B7D"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31FD2FF4">
              <w:rPr>
                <w:rStyle w:val="normaltextrun"/>
                <w:rFonts w:eastAsiaTheme="majorEastAsia"/>
              </w:rPr>
              <w:t>What is best practice for determining injuries and diseases? For example, is it still appropriate to separate</w:t>
            </w:r>
            <w:r>
              <w:rPr>
                <w:rStyle w:val="normaltextrun"/>
                <w:rFonts w:eastAsiaTheme="majorEastAsia"/>
              </w:rPr>
              <w:t xml:space="preserve"> these conditions</w:t>
            </w:r>
            <w:r w:rsidRPr="31FD2FF4">
              <w:rPr>
                <w:rStyle w:val="normaltextrun"/>
                <w:rFonts w:eastAsiaTheme="majorEastAsia"/>
              </w:rPr>
              <w:t xml:space="preserve">? Is there a different approach needed for certain injuries, for example psychological? </w:t>
            </w:r>
          </w:p>
        </w:tc>
      </w:tr>
      <w:tr w:rsidR="00795D7C" w:rsidRPr="005E4A52" w14:paraId="24675974"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B0F1D65" w14:textId="15218168" w:rsidR="00795D7C" w:rsidRPr="31FD2FF4" w:rsidRDefault="004C73D0" w:rsidP="00BC14DB">
            <w:pPr>
              <w:spacing w:after="120"/>
              <w:rPr>
                <w:rStyle w:val="normaltextrun"/>
                <w:rFonts w:eastAsiaTheme="majorEastAsia"/>
              </w:rPr>
            </w:pPr>
            <w:r>
              <w:rPr>
                <w:rStyle w:val="normaltextrun"/>
                <w:rFonts w:eastAsiaTheme="majorEastAsia"/>
              </w:rPr>
              <w:t>37</w:t>
            </w:r>
          </w:p>
        </w:tc>
        <w:tc>
          <w:tcPr>
            <w:tcW w:w="8571" w:type="dxa"/>
            <w:shd w:val="clear" w:color="auto" w:fill="F2F2F2" w:themeFill="background1" w:themeFillShade="F2"/>
            <w:vAlign w:val="top"/>
          </w:tcPr>
          <w:p w14:paraId="61C6D85D" w14:textId="185B7C8A"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31FD2FF4">
              <w:rPr>
                <w:rStyle w:val="normaltextrun"/>
                <w:rFonts w:eastAsiaTheme="majorEastAsia"/>
              </w:rPr>
              <w:t xml:space="preserve">Is there sufficient clarity as to when an employee sustains an injury ‘in the course of their employment’ if they are away from their usual place of employment or injured during an interval within their usual period of employment?   </w:t>
            </w:r>
          </w:p>
        </w:tc>
      </w:tr>
      <w:tr w:rsidR="00795D7C" w:rsidRPr="005E4A52" w14:paraId="3831BCBB"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24550938" w14:textId="7BC90545" w:rsidR="00795D7C" w:rsidRPr="08585AB9" w:rsidRDefault="004C73D0" w:rsidP="00BC14DB">
            <w:pPr>
              <w:spacing w:after="120"/>
              <w:rPr>
                <w:rStyle w:val="normaltextrun"/>
                <w:rFonts w:eastAsiaTheme="majorEastAsia"/>
              </w:rPr>
            </w:pPr>
            <w:r>
              <w:rPr>
                <w:rStyle w:val="normaltextrun"/>
                <w:rFonts w:eastAsiaTheme="majorEastAsia"/>
              </w:rPr>
              <w:t>38</w:t>
            </w:r>
          </w:p>
        </w:tc>
        <w:tc>
          <w:tcPr>
            <w:tcW w:w="8571" w:type="dxa"/>
            <w:shd w:val="clear" w:color="auto" w:fill="F2F2F2" w:themeFill="background1" w:themeFillShade="F2"/>
            <w:vAlign w:val="top"/>
          </w:tcPr>
          <w:p w14:paraId="2BDF7FAC" w14:textId="7EACCA59"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sidRPr="005E4A52">
              <w:rPr>
                <w:rStyle w:val="normaltextrun"/>
                <w:rFonts w:eastAsiaTheme="majorEastAsia" w:cstheme="minorHAnsi"/>
              </w:rPr>
              <w:t>Is the current threshold for liability for diseases (significant contribution) appropriate?</w:t>
            </w:r>
          </w:p>
        </w:tc>
      </w:tr>
      <w:tr w:rsidR="00795D7C" w:rsidRPr="005E4A52" w14:paraId="794C68C7"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01C6AE1A" w14:textId="444E1388" w:rsidR="00795D7C" w:rsidRPr="0515E28E" w:rsidRDefault="004C73D0" w:rsidP="00BC14DB">
            <w:pPr>
              <w:spacing w:after="120"/>
              <w:rPr>
                <w:rStyle w:val="normaltextrun"/>
                <w:rFonts w:eastAsiaTheme="majorEastAsia"/>
              </w:rPr>
            </w:pPr>
            <w:r>
              <w:rPr>
                <w:rStyle w:val="normaltextrun"/>
                <w:rFonts w:eastAsiaTheme="majorEastAsia"/>
              </w:rPr>
              <w:t>39</w:t>
            </w:r>
          </w:p>
        </w:tc>
        <w:tc>
          <w:tcPr>
            <w:tcW w:w="8571" w:type="dxa"/>
            <w:shd w:val="clear" w:color="auto" w:fill="F2F2F2" w:themeFill="background1" w:themeFillShade="F2"/>
            <w:vAlign w:val="top"/>
          </w:tcPr>
          <w:p w14:paraId="750C70B3" w14:textId="7F8893F9"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515E28E">
              <w:rPr>
                <w:rStyle w:val="normaltextrun"/>
                <w:rFonts w:eastAsiaTheme="majorEastAsia"/>
              </w:rPr>
              <w:t xml:space="preserve">Are the current exclusions under the SRC </w:t>
            </w:r>
            <w:r w:rsidRPr="41BBC6AF">
              <w:rPr>
                <w:rStyle w:val="normaltextrun"/>
                <w:rFonts w:eastAsiaTheme="majorEastAsia"/>
              </w:rPr>
              <w:t xml:space="preserve">Act </w:t>
            </w:r>
            <w:r w:rsidRPr="0515E28E">
              <w:rPr>
                <w:rStyle w:val="normaltextrun"/>
                <w:rFonts w:eastAsiaTheme="majorEastAsia"/>
              </w:rPr>
              <w:t xml:space="preserve">appropriate?  </w:t>
            </w:r>
          </w:p>
        </w:tc>
      </w:tr>
      <w:tr w:rsidR="00795D7C" w:rsidRPr="005E4A52" w14:paraId="142C7A0A"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7F8BBAA" w14:textId="2AB88312" w:rsidR="00795D7C" w:rsidRDefault="004C73D0" w:rsidP="00BC14DB">
            <w:pPr>
              <w:spacing w:after="120"/>
              <w:rPr>
                <w:rStyle w:val="normaltextrun"/>
                <w:rFonts w:eastAsiaTheme="majorEastAsia"/>
              </w:rPr>
            </w:pPr>
            <w:r>
              <w:rPr>
                <w:rStyle w:val="normaltextrun"/>
                <w:rFonts w:eastAsiaTheme="majorEastAsia"/>
              </w:rPr>
              <w:t>40</w:t>
            </w:r>
          </w:p>
        </w:tc>
        <w:tc>
          <w:tcPr>
            <w:tcW w:w="8571" w:type="dxa"/>
            <w:shd w:val="clear" w:color="auto" w:fill="F2F2F2" w:themeFill="background1" w:themeFillShade="F2"/>
            <w:vAlign w:val="top"/>
          </w:tcPr>
          <w:p w14:paraId="035CA4D7" w14:textId="48684C8D"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3825E827">
              <w:rPr>
                <w:rStyle w:val="normaltextrun"/>
                <w:rFonts w:eastAsiaTheme="majorEastAsia"/>
              </w:rPr>
              <w:t>How can entitlements be structured to improve outcomes for employees and their families? What changes can balance fair support while ensuring the financial viability of the Comcare scheme? For example, should changes be made to the step-down provisions or the duration of payments?</w:t>
            </w:r>
          </w:p>
        </w:tc>
      </w:tr>
      <w:tr w:rsidR="00795D7C" w:rsidRPr="005E4A52" w14:paraId="3FC61DF4"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A07C244" w14:textId="2FE602AD" w:rsidR="00795D7C" w:rsidRPr="41E7FC8B" w:rsidRDefault="004C73D0" w:rsidP="00BC14DB">
            <w:pPr>
              <w:spacing w:after="120"/>
              <w:rPr>
                <w:rStyle w:val="normaltextrun"/>
                <w:rFonts w:eastAsiaTheme="majorEastAsia"/>
              </w:rPr>
            </w:pPr>
            <w:r>
              <w:rPr>
                <w:rStyle w:val="normaltextrun"/>
                <w:rFonts w:eastAsiaTheme="majorEastAsia"/>
              </w:rPr>
              <w:t>41</w:t>
            </w:r>
          </w:p>
        </w:tc>
        <w:tc>
          <w:tcPr>
            <w:tcW w:w="8571" w:type="dxa"/>
            <w:shd w:val="clear" w:color="auto" w:fill="F2F2F2" w:themeFill="background1" w:themeFillShade="F2"/>
            <w:vAlign w:val="top"/>
          </w:tcPr>
          <w:p w14:paraId="09529260" w14:textId="5D63F6BF"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41E7FC8B">
              <w:rPr>
                <w:rStyle w:val="normaltextrun"/>
                <w:rFonts w:eastAsiaTheme="majorEastAsia"/>
              </w:rPr>
              <w:t xml:space="preserve">What changes are needed to best determine fair compensation for </w:t>
            </w:r>
            <w:r w:rsidRPr="005E4A52">
              <w:t xml:space="preserve">medical treatment and rehabilitation and </w:t>
            </w:r>
            <w:r w:rsidRPr="41E7FC8B">
              <w:rPr>
                <w:rStyle w:val="normaltextrun"/>
                <w:rFonts w:eastAsiaTheme="majorEastAsia"/>
              </w:rPr>
              <w:t xml:space="preserve">household and attendant care services? </w:t>
            </w:r>
          </w:p>
        </w:tc>
      </w:tr>
      <w:tr w:rsidR="00795D7C" w:rsidRPr="005E4A52" w14:paraId="4A9F2909"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298C1EA" w14:textId="5D335122" w:rsidR="00795D7C" w:rsidRPr="0CF2D3F3" w:rsidRDefault="004C73D0" w:rsidP="00BC14DB">
            <w:pPr>
              <w:spacing w:after="120"/>
              <w:rPr>
                <w:rStyle w:val="normaltextrun"/>
                <w:rFonts w:eastAsiaTheme="majorEastAsia"/>
              </w:rPr>
            </w:pPr>
            <w:r>
              <w:rPr>
                <w:rStyle w:val="normaltextrun"/>
                <w:rFonts w:eastAsiaTheme="majorEastAsia"/>
              </w:rPr>
              <w:t>42</w:t>
            </w:r>
          </w:p>
        </w:tc>
        <w:tc>
          <w:tcPr>
            <w:tcW w:w="8571" w:type="dxa"/>
            <w:shd w:val="clear" w:color="auto" w:fill="F2F2F2" w:themeFill="background1" w:themeFillShade="F2"/>
            <w:vAlign w:val="top"/>
          </w:tcPr>
          <w:p w14:paraId="2E77F282" w14:textId="5BA6EAAF"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CF2D3F3">
              <w:rPr>
                <w:rStyle w:val="normaltextrun"/>
                <w:rFonts w:eastAsiaTheme="majorEastAsia"/>
              </w:rPr>
              <w:t>How should the permanent impairment provisions be improved?</w:t>
            </w:r>
          </w:p>
        </w:tc>
      </w:tr>
      <w:tr w:rsidR="00795D7C" w:rsidRPr="005E4A52" w14:paraId="3C3E025E"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0E99C0AB" w14:textId="783994FB" w:rsidR="00795D7C" w:rsidRPr="0CF2D3F3" w:rsidRDefault="004C73D0" w:rsidP="00BC14DB">
            <w:pPr>
              <w:spacing w:after="120"/>
              <w:rPr>
                <w:rStyle w:val="normaltextrun"/>
                <w:rFonts w:eastAsiaTheme="majorEastAsia"/>
              </w:rPr>
            </w:pPr>
            <w:r>
              <w:rPr>
                <w:rStyle w:val="normaltextrun"/>
                <w:rFonts w:eastAsiaTheme="majorEastAsia"/>
              </w:rPr>
              <w:t>43</w:t>
            </w:r>
          </w:p>
        </w:tc>
        <w:tc>
          <w:tcPr>
            <w:tcW w:w="8571" w:type="dxa"/>
            <w:shd w:val="clear" w:color="auto" w:fill="F2F2F2" w:themeFill="background1" w:themeFillShade="F2"/>
            <w:vAlign w:val="top"/>
          </w:tcPr>
          <w:p w14:paraId="56F626DE" w14:textId="3987ED80"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CF2D3F3">
              <w:rPr>
                <w:rStyle w:val="normaltextrun"/>
                <w:rFonts w:eastAsiaTheme="majorEastAsia"/>
              </w:rPr>
              <w:t>Does the Comcare scheme sufficiently support injured employees with no potential to return to work?</w:t>
            </w:r>
          </w:p>
        </w:tc>
      </w:tr>
      <w:tr w:rsidR="00795D7C" w:rsidRPr="005E4A52" w14:paraId="1A1D35A4"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C4BACDF" w14:textId="6F354491" w:rsidR="00795D7C" w:rsidRPr="0CF2D3F3" w:rsidRDefault="004C73D0" w:rsidP="00BC14DB">
            <w:pPr>
              <w:spacing w:after="120"/>
              <w:rPr>
                <w:rStyle w:val="normaltextrun"/>
                <w:rFonts w:eastAsiaTheme="majorEastAsia"/>
              </w:rPr>
            </w:pPr>
            <w:r>
              <w:rPr>
                <w:rStyle w:val="normaltextrun"/>
                <w:rFonts w:eastAsiaTheme="majorEastAsia"/>
              </w:rPr>
              <w:t>44</w:t>
            </w:r>
          </w:p>
        </w:tc>
        <w:tc>
          <w:tcPr>
            <w:tcW w:w="8571" w:type="dxa"/>
            <w:shd w:val="clear" w:color="auto" w:fill="F2F2F2" w:themeFill="background1" w:themeFillShade="F2"/>
            <w:vAlign w:val="top"/>
          </w:tcPr>
          <w:p w14:paraId="6E464DA2" w14:textId="57E123BD"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CF2D3F3">
              <w:rPr>
                <w:rStyle w:val="normaltextrun"/>
                <w:rFonts w:eastAsiaTheme="majorEastAsia"/>
              </w:rPr>
              <w:t xml:space="preserve">Should the scheme allow more options to finalise claims, including lump sum payments? What safeguards should be in place? </w:t>
            </w:r>
          </w:p>
        </w:tc>
      </w:tr>
      <w:tr w:rsidR="00795D7C" w:rsidRPr="005E4A52" w14:paraId="1F4CAF11"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5BD4477" w14:textId="39D3AEC5" w:rsidR="00795D7C" w:rsidRDefault="004C73D0" w:rsidP="00BC14DB">
            <w:pPr>
              <w:spacing w:after="120"/>
              <w:rPr>
                <w:rStyle w:val="normaltextrun"/>
                <w:rFonts w:eastAsiaTheme="majorEastAsia"/>
              </w:rPr>
            </w:pPr>
            <w:r>
              <w:rPr>
                <w:rStyle w:val="normaltextrun"/>
                <w:rFonts w:eastAsiaTheme="majorEastAsia"/>
              </w:rPr>
              <w:t>45</w:t>
            </w:r>
          </w:p>
        </w:tc>
        <w:tc>
          <w:tcPr>
            <w:tcW w:w="8571" w:type="dxa"/>
            <w:shd w:val="clear" w:color="auto" w:fill="F2F2F2" w:themeFill="background1" w:themeFillShade="F2"/>
            <w:vAlign w:val="top"/>
          </w:tcPr>
          <w:p w14:paraId="6D9F9CBB" w14:textId="20362A7D"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0561085">
              <w:rPr>
                <w:rStyle w:val="normaltextrun"/>
                <w:rFonts w:eastAsiaTheme="majorEastAsia"/>
              </w:rPr>
              <w:t>Should access to common law continue to be restricted?</w:t>
            </w:r>
          </w:p>
        </w:tc>
      </w:tr>
      <w:tr w:rsidR="00795D7C" w:rsidRPr="005E4A52" w14:paraId="766C0B93"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497B7BE" w14:textId="7386CC47" w:rsidR="00795D7C" w:rsidRDefault="004C73D0" w:rsidP="00BC14DB">
            <w:pPr>
              <w:spacing w:after="120"/>
              <w:rPr>
                <w:rFonts w:ascii="Aptos" w:eastAsia="Aptos" w:hAnsi="Aptos" w:cs="Aptos"/>
              </w:rPr>
            </w:pPr>
            <w:r>
              <w:rPr>
                <w:rFonts w:ascii="Aptos" w:eastAsia="Aptos" w:hAnsi="Aptos" w:cs="Aptos"/>
              </w:rPr>
              <w:t>46</w:t>
            </w:r>
          </w:p>
        </w:tc>
        <w:tc>
          <w:tcPr>
            <w:tcW w:w="8571" w:type="dxa"/>
            <w:shd w:val="clear" w:color="auto" w:fill="F2F2F2" w:themeFill="background1" w:themeFillShade="F2"/>
            <w:vAlign w:val="top"/>
          </w:tcPr>
          <w:p w14:paraId="5BE4DFD6" w14:textId="2F70FC7E"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0561085">
              <w:rPr>
                <w:rFonts w:ascii="Aptos" w:eastAsia="Aptos" w:hAnsi="Aptos" w:cs="Aptos"/>
              </w:rPr>
              <w:t>If access to common law continues to be restricted, should there be a greater right to redeem compensation benefits?</w:t>
            </w:r>
          </w:p>
        </w:tc>
      </w:tr>
      <w:tr w:rsidR="00795D7C" w14:paraId="040DF39B" w14:textId="77777777" w:rsidTr="00F71087">
        <w:trPr>
          <w:trHeight w:val="300"/>
        </w:trPr>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A94C6F6" w14:textId="1D234230" w:rsidR="00795D7C" w:rsidRPr="03E9B0A7" w:rsidRDefault="004C73D0" w:rsidP="00BC14DB">
            <w:pPr>
              <w:spacing w:after="120"/>
              <w:rPr>
                <w:rStyle w:val="normaltextrun"/>
                <w:rFonts w:eastAsiaTheme="majorEastAsia"/>
              </w:rPr>
            </w:pPr>
            <w:r>
              <w:rPr>
                <w:rStyle w:val="normaltextrun"/>
                <w:rFonts w:eastAsiaTheme="majorEastAsia"/>
              </w:rPr>
              <w:t>47</w:t>
            </w:r>
          </w:p>
        </w:tc>
        <w:tc>
          <w:tcPr>
            <w:tcW w:w="8571" w:type="dxa"/>
            <w:shd w:val="clear" w:color="auto" w:fill="F2F2F2" w:themeFill="background1" w:themeFillShade="F2"/>
            <w:vAlign w:val="top"/>
          </w:tcPr>
          <w:p w14:paraId="14617ADE" w14:textId="742040C5" w:rsidR="00795D7C"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3E9B0A7">
              <w:rPr>
                <w:rStyle w:val="normaltextrun"/>
                <w:rFonts w:eastAsiaTheme="majorEastAsia"/>
              </w:rPr>
              <w:t xml:space="preserve">Do the provisions in the SRC Act aimed at preventing double-dipping in relation to like-remedies need </w:t>
            </w:r>
            <w:r w:rsidRPr="7F31C495">
              <w:rPr>
                <w:rStyle w:val="normaltextrun"/>
                <w:rFonts w:eastAsiaTheme="majorEastAsia"/>
              </w:rPr>
              <w:t>changing following</w:t>
            </w:r>
            <w:r w:rsidRPr="03E9B0A7">
              <w:rPr>
                <w:rStyle w:val="normaltextrun"/>
                <w:rFonts w:eastAsiaTheme="majorEastAsia"/>
              </w:rPr>
              <w:t xml:space="preserve"> </w:t>
            </w:r>
            <w:r w:rsidRPr="03E9B0A7">
              <w:rPr>
                <w:rStyle w:val="normaltextrun"/>
                <w:rFonts w:eastAsiaTheme="majorEastAsia"/>
                <w:i/>
                <w:iCs/>
              </w:rPr>
              <w:t>Comcare v Friend</w:t>
            </w:r>
            <w:r w:rsidRPr="03E9B0A7">
              <w:rPr>
                <w:rStyle w:val="normaltextrun"/>
                <w:rFonts w:eastAsiaTheme="majorEastAsia"/>
              </w:rPr>
              <w:t>?</w:t>
            </w:r>
          </w:p>
        </w:tc>
      </w:tr>
      <w:tr w:rsidR="00795D7C" w:rsidRPr="005E4A52" w14:paraId="1E53F4A0"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C8D967C" w14:textId="4163ECB3" w:rsidR="00795D7C" w:rsidRPr="2EF79227" w:rsidRDefault="004C73D0" w:rsidP="00BC14DB">
            <w:pPr>
              <w:spacing w:after="120"/>
              <w:rPr>
                <w:rStyle w:val="normaltextrun"/>
                <w:rFonts w:eastAsiaTheme="majorEastAsia"/>
              </w:rPr>
            </w:pPr>
            <w:r>
              <w:rPr>
                <w:rStyle w:val="normaltextrun"/>
                <w:rFonts w:eastAsiaTheme="majorEastAsia"/>
              </w:rPr>
              <w:t>48</w:t>
            </w:r>
          </w:p>
        </w:tc>
        <w:tc>
          <w:tcPr>
            <w:tcW w:w="8571" w:type="dxa"/>
            <w:shd w:val="clear" w:color="auto" w:fill="F2F2F2" w:themeFill="background1" w:themeFillShade="F2"/>
            <w:vAlign w:val="top"/>
          </w:tcPr>
          <w:p w14:paraId="2A0509C1" w14:textId="6B023B60"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2EF79227">
              <w:rPr>
                <w:rStyle w:val="normaltextrun"/>
                <w:rFonts w:eastAsiaTheme="majorEastAsia"/>
              </w:rPr>
              <w:t xml:space="preserve">Should there be any adjustments to workers’ compensation payments for compensation or support from other sources?  For example, </w:t>
            </w:r>
            <w:r w:rsidRPr="2EF79227">
              <w:rPr>
                <w:rFonts w:eastAsiaTheme="majorEastAsia"/>
              </w:rPr>
              <w:t xml:space="preserve">what impact should the receipt of </w:t>
            </w:r>
            <w:r w:rsidRPr="2EF79227">
              <w:rPr>
                <w:rFonts w:eastAsiaTheme="majorEastAsia"/>
              </w:rPr>
              <w:lastRenderedPageBreak/>
              <w:t>statutory entitlements and other income have on the entitlement to, and calculation of, compensation?</w:t>
            </w:r>
          </w:p>
        </w:tc>
      </w:tr>
      <w:tr w:rsidR="00F71087" w:rsidRPr="005E4A52" w14:paraId="43FC0709" w14:textId="77777777" w:rsidTr="00087EB5">
        <w:trPr>
          <w:trHeight w:val="459"/>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15DC6ADB" w14:textId="4C5EB5F2" w:rsidR="00F71087" w:rsidRPr="005E4A52" w:rsidRDefault="00F71087" w:rsidP="00A33BBA">
            <w:pPr>
              <w:spacing w:before="120" w:beforeAutospacing="0" w:after="120" w:afterAutospacing="0"/>
              <w:rPr>
                <w:rStyle w:val="normaltextrun"/>
                <w:rFonts w:eastAsiaTheme="majorEastAsia" w:cstheme="minorHAnsi"/>
                <w:color w:val="FFFFFF" w:themeColor="background1"/>
              </w:rPr>
            </w:pPr>
            <w:r w:rsidRPr="005E4A52">
              <w:rPr>
                <w:b/>
                <w:color w:val="FFFFFF" w:themeColor="background1"/>
              </w:rPr>
              <w:lastRenderedPageBreak/>
              <w:t>Rehabilitation and return to work – discussion questions</w:t>
            </w:r>
          </w:p>
        </w:tc>
      </w:tr>
      <w:tr w:rsidR="00795D7C" w:rsidRPr="005E4A52" w14:paraId="349EB7F1"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53BB6C8D" w14:textId="2C80C615" w:rsidR="00795D7C" w:rsidRPr="7E1C0494" w:rsidRDefault="004C73D0" w:rsidP="00BC14DB">
            <w:pPr>
              <w:spacing w:after="120"/>
              <w:rPr>
                <w:rStyle w:val="normaltextrun"/>
                <w:rFonts w:eastAsiaTheme="majorEastAsia"/>
              </w:rPr>
            </w:pPr>
            <w:r>
              <w:rPr>
                <w:rStyle w:val="normaltextrun"/>
                <w:rFonts w:eastAsiaTheme="majorEastAsia"/>
              </w:rPr>
              <w:t>49</w:t>
            </w:r>
          </w:p>
        </w:tc>
        <w:tc>
          <w:tcPr>
            <w:tcW w:w="8571" w:type="dxa"/>
            <w:shd w:val="clear" w:color="auto" w:fill="F2F2F2" w:themeFill="background1" w:themeFillShade="F2"/>
            <w:vAlign w:val="top"/>
          </w:tcPr>
          <w:p w14:paraId="77B2E2DC" w14:textId="1D3A2191" w:rsidR="00795D7C"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7E1C0494">
              <w:rPr>
                <w:rStyle w:val="normaltextrun"/>
                <w:rFonts w:eastAsiaTheme="majorEastAsia"/>
              </w:rPr>
              <w:t xml:space="preserve">Does the Comcare scheme provide suitable criteria and arrangements to support: </w:t>
            </w:r>
          </w:p>
          <w:p w14:paraId="78A59E93" w14:textId="3526F42F" w:rsidR="00795D7C" w:rsidRDefault="00795D7C" w:rsidP="00BC14DB">
            <w:pPr>
              <w:spacing w:before="0" w:beforeAutospacing="0" w:after="120" w:afterAutospacing="0"/>
              <w:ind w:left="72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Pr>
                <w:rStyle w:val="normaltextrun"/>
                <w:rFonts w:eastAsiaTheme="majorEastAsia" w:cstheme="minorHAnsi"/>
              </w:rPr>
              <w:t xml:space="preserve">a. </w:t>
            </w:r>
            <w:r w:rsidRPr="005E4A52">
              <w:rPr>
                <w:rStyle w:val="normaltextrun"/>
                <w:rFonts w:eastAsiaTheme="majorEastAsia" w:cstheme="minorHAnsi"/>
              </w:rPr>
              <w:t>Early intervention?</w:t>
            </w:r>
          </w:p>
          <w:p w14:paraId="36A6B5F1" w14:textId="63F8DB78" w:rsidR="00795D7C" w:rsidRPr="005E4A52" w:rsidRDefault="00795D7C" w:rsidP="00BC14DB">
            <w:pPr>
              <w:spacing w:before="0" w:beforeAutospacing="0" w:after="120" w:afterAutospacing="0"/>
              <w:ind w:left="720"/>
              <w:cnfStyle w:val="000000000000" w:firstRow="0" w:lastRow="0" w:firstColumn="0" w:lastColumn="0" w:oddVBand="0" w:evenVBand="0" w:oddHBand="0" w:evenHBand="0" w:firstRowFirstColumn="0" w:firstRowLastColumn="0" w:lastRowFirstColumn="0" w:lastRowLastColumn="0"/>
              <w:rPr>
                <w:rStyle w:val="normaltextrun"/>
                <w:rFonts w:eastAsiaTheme="majorEastAsia" w:cstheme="minorHAnsi"/>
              </w:rPr>
            </w:pPr>
            <w:r>
              <w:rPr>
                <w:rStyle w:val="normaltextrun"/>
                <w:rFonts w:eastAsiaTheme="majorEastAsia" w:cstheme="minorHAnsi"/>
              </w:rPr>
              <w:t xml:space="preserve">b. </w:t>
            </w:r>
            <w:r w:rsidRPr="005E4A52">
              <w:rPr>
                <w:rStyle w:val="normaltextrun"/>
                <w:rFonts w:eastAsiaTheme="majorEastAsia" w:cstheme="minorHAnsi"/>
              </w:rPr>
              <w:t>Return to work?</w:t>
            </w:r>
          </w:p>
        </w:tc>
      </w:tr>
      <w:tr w:rsidR="00795D7C" w:rsidRPr="005E4A52" w14:paraId="458AAC0C"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75C4E0B7" w14:textId="64560FD8" w:rsidR="00795D7C" w:rsidRDefault="004C73D0" w:rsidP="00BC14DB">
            <w:pPr>
              <w:spacing w:after="120"/>
              <w:rPr>
                <w:rStyle w:val="normaltextrun"/>
                <w:rFonts w:eastAsiaTheme="majorEastAsia"/>
              </w:rPr>
            </w:pPr>
            <w:r>
              <w:rPr>
                <w:rStyle w:val="normaltextrun"/>
                <w:rFonts w:eastAsiaTheme="majorEastAsia"/>
              </w:rPr>
              <w:t>50</w:t>
            </w:r>
          </w:p>
        </w:tc>
        <w:tc>
          <w:tcPr>
            <w:tcW w:w="8571" w:type="dxa"/>
            <w:shd w:val="clear" w:color="auto" w:fill="F2F2F2" w:themeFill="background1" w:themeFillShade="F2"/>
            <w:vAlign w:val="top"/>
          </w:tcPr>
          <w:p w14:paraId="480366C7" w14:textId="5BF11DB4"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652BA5DF">
              <w:rPr>
                <w:rStyle w:val="normaltextrun"/>
                <w:rFonts w:eastAsiaTheme="majorEastAsia"/>
              </w:rPr>
              <w:t>Should the Comcare scheme provide for provisional payments? If so, what should be the length and amount of any such payments, and how/whether to recover payments if ultimately the injury is not due to work?</w:t>
            </w:r>
          </w:p>
        </w:tc>
      </w:tr>
      <w:tr w:rsidR="00795D7C" w:rsidRPr="005E4A52" w14:paraId="68D4081F"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682FC2FD" w14:textId="7C16728D" w:rsidR="00795D7C" w:rsidRPr="77125676" w:rsidRDefault="004C73D0" w:rsidP="00BC14DB">
            <w:pPr>
              <w:spacing w:after="120"/>
              <w:rPr>
                <w:rStyle w:val="normaltextrun"/>
                <w:rFonts w:eastAsiaTheme="majorEastAsia"/>
              </w:rPr>
            </w:pPr>
            <w:r>
              <w:rPr>
                <w:rStyle w:val="normaltextrun"/>
                <w:rFonts w:eastAsiaTheme="majorEastAsia"/>
              </w:rPr>
              <w:t>51</w:t>
            </w:r>
          </w:p>
        </w:tc>
        <w:tc>
          <w:tcPr>
            <w:tcW w:w="8571" w:type="dxa"/>
            <w:shd w:val="clear" w:color="auto" w:fill="F2F2F2" w:themeFill="background1" w:themeFillShade="F2"/>
            <w:vAlign w:val="top"/>
          </w:tcPr>
          <w:p w14:paraId="73F71455" w14:textId="7893FD36"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77125676">
              <w:rPr>
                <w:rStyle w:val="normaltextrun"/>
                <w:rFonts w:eastAsiaTheme="majorEastAsia"/>
              </w:rPr>
              <w:t xml:space="preserve">Should </w:t>
            </w:r>
            <w:r w:rsidRPr="018B898C">
              <w:rPr>
                <w:rStyle w:val="normaltextrun"/>
                <w:rFonts w:eastAsiaTheme="majorEastAsia"/>
              </w:rPr>
              <w:t>the</w:t>
            </w:r>
            <w:r w:rsidRPr="77125676">
              <w:rPr>
                <w:rStyle w:val="normaltextrun"/>
                <w:rFonts w:eastAsiaTheme="majorEastAsia"/>
              </w:rPr>
              <w:t xml:space="preserve"> </w:t>
            </w:r>
            <w:r w:rsidRPr="066159A5">
              <w:rPr>
                <w:rStyle w:val="normaltextrun"/>
                <w:rFonts w:eastAsiaTheme="majorEastAsia"/>
              </w:rPr>
              <w:t xml:space="preserve">SRC Act provide for </w:t>
            </w:r>
            <w:r w:rsidRPr="38785369">
              <w:rPr>
                <w:rStyle w:val="normaltextrun"/>
                <w:rFonts w:eastAsiaTheme="majorEastAsia"/>
              </w:rPr>
              <w:t xml:space="preserve">greater oversight </w:t>
            </w:r>
            <w:r w:rsidRPr="1A6359B9">
              <w:rPr>
                <w:rStyle w:val="normaltextrun"/>
                <w:rFonts w:eastAsiaTheme="majorEastAsia"/>
              </w:rPr>
              <w:t>of</w:t>
            </w:r>
            <w:r w:rsidRPr="77125676">
              <w:rPr>
                <w:rStyle w:val="normaltextrun"/>
                <w:rFonts w:eastAsiaTheme="majorEastAsia"/>
              </w:rPr>
              <w:t xml:space="preserve"> rehabilitation authorities and rehabilitation providers? </w:t>
            </w:r>
          </w:p>
        </w:tc>
      </w:tr>
      <w:tr w:rsidR="00795D7C" w:rsidRPr="005E4A52" w14:paraId="5E9EA8F4"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106FC9C" w14:textId="2905B995" w:rsidR="00795D7C" w:rsidRPr="5001F791" w:rsidRDefault="004C73D0" w:rsidP="00BC14DB">
            <w:pPr>
              <w:spacing w:after="120"/>
              <w:rPr>
                <w:rStyle w:val="normaltextrun"/>
                <w:rFonts w:eastAsiaTheme="majorEastAsia"/>
              </w:rPr>
            </w:pPr>
            <w:r>
              <w:rPr>
                <w:rStyle w:val="normaltextrun"/>
                <w:rFonts w:eastAsiaTheme="majorEastAsia"/>
              </w:rPr>
              <w:t>52</w:t>
            </w:r>
          </w:p>
        </w:tc>
        <w:tc>
          <w:tcPr>
            <w:tcW w:w="8571" w:type="dxa"/>
            <w:shd w:val="clear" w:color="auto" w:fill="F2F2F2" w:themeFill="background1" w:themeFillShade="F2"/>
            <w:vAlign w:val="top"/>
          </w:tcPr>
          <w:p w14:paraId="29488839" w14:textId="7B17A4B0"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5001F791">
              <w:rPr>
                <w:rStyle w:val="normaltextrun"/>
                <w:rFonts w:eastAsiaTheme="majorEastAsia"/>
              </w:rPr>
              <w:t>Should the SRC Act provide Comcare with greater regulatory powers in relation to rehabilitation?</w:t>
            </w:r>
          </w:p>
        </w:tc>
      </w:tr>
      <w:tr w:rsidR="00F71087" w:rsidRPr="005E4A52" w14:paraId="3A2873AA" w14:textId="77777777" w:rsidTr="00087EB5">
        <w:trPr>
          <w:trHeight w:val="435"/>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49A0D56C" w14:textId="503E9646" w:rsidR="00F71087" w:rsidRPr="005E4A52" w:rsidRDefault="00F71087" w:rsidP="00A33BBA">
            <w:pPr>
              <w:spacing w:before="120" w:beforeAutospacing="0" w:after="120" w:afterAutospacing="0"/>
              <w:rPr>
                <w:rStyle w:val="normaltextrun"/>
                <w:rFonts w:eastAsiaTheme="majorEastAsia" w:cstheme="minorHAnsi"/>
              </w:rPr>
            </w:pPr>
            <w:r w:rsidRPr="005E4A52">
              <w:rPr>
                <w:b/>
                <w:color w:val="FFFFFF" w:themeColor="background1"/>
              </w:rPr>
              <w:t>Dispute resolution – discussion questions</w:t>
            </w:r>
          </w:p>
        </w:tc>
      </w:tr>
      <w:tr w:rsidR="00795D7C" w:rsidRPr="005E4A52" w14:paraId="7C41CECB"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29424776" w14:textId="1B0401A6" w:rsidR="00795D7C" w:rsidRPr="2FFC9AD1" w:rsidRDefault="004C73D0" w:rsidP="00BC14DB">
            <w:pPr>
              <w:spacing w:after="120"/>
              <w:rPr>
                <w:rStyle w:val="normaltextrun"/>
                <w:rFonts w:eastAsiaTheme="majorEastAsia"/>
              </w:rPr>
            </w:pPr>
            <w:r>
              <w:rPr>
                <w:rStyle w:val="normaltextrun"/>
                <w:rFonts w:eastAsiaTheme="majorEastAsia"/>
              </w:rPr>
              <w:t>53</w:t>
            </w:r>
          </w:p>
        </w:tc>
        <w:tc>
          <w:tcPr>
            <w:tcW w:w="8571" w:type="dxa"/>
            <w:shd w:val="clear" w:color="auto" w:fill="F2F2F2" w:themeFill="background1" w:themeFillShade="F2"/>
            <w:vAlign w:val="top"/>
          </w:tcPr>
          <w:p w14:paraId="3CEA1C05" w14:textId="0188A99D"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2FFC9AD1">
              <w:rPr>
                <w:rStyle w:val="normaltextrun"/>
                <w:rFonts w:eastAsiaTheme="majorEastAsia"/>
              </w:rPr>
              <w:t xml:space="preserve">What is your experience of dispute resolution in the scheme? What improvements would you suggest arising from that experience? </w:t>
            </w:r>
          </w:p>
        </w:tc>
      </w:tr>
      <w:tr w:rsidR="00795D7C" w:rsidRPr="005E4A52" w14:paraId="424C3C71"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954C243" w14:textId="3FC0B099" w:rsidR="00795D7C" w:rsidRPr="2FFC9AD1" w:rsidRDefault="004C73D0" w:rsidP="00BC14DB">
            <w:pPr>
              <w:spacing w:after="120"/>
              <w:rPr>
                <w:rStyle w:val="normaltextrun"/>
                <w:rFonts w:eastAsiaTheme="majorEastAsia"/>
              </w:rPr>
            </w:pPr>
            <w:r>
              <w:rPr>
                <w:rStyle w:val="normaltextrun"/>
                <w:rFonts w:eastAsiaTheme="majorEastAsia"/>
              </w:rPr>
              <w:t>54</w:t>
            </w:r>
          </w:p>
        </w:tc>
        <w:tc>
          <w:tcPr>
            <w:tcW w:w="8571" w:type="dxa"/>
            <w:shd w:val="clear" w:color="auto" w:fill="F2F2F2" w:themeFill="background1" w:themeFillShade="F2"/>
            <w:vAlign w:val="top"/>
          </w:tcPr>
          <w:p w14:paraId="03A73FEE" w14:textId="244FD3A7"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2FFC9AD1">
              <w:rPr>
                <w:rStyle w:val="normaltextrun"/>
                <w:rFonts w:eastAsiaTheme="majorEastAsia"/>
              </w:rPr>
              <w:t xml:space="preserve">Should the legislative framework provide for pre-litigation dispute resolution processes prior to external review by the Tribunal? If so, at what point in the process and by whom? </w:t>
            </w:r>
          </w:p>
        </w:tc>
      </w:tr>
      <w:tr w:rsidR="00795D7C" w:rsidRPr="005E4A52" w14:paraId="7A33E7DE"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4D42FEC" w14:textId="23F63C90" w:rsidR="00795D7C" w:rsidRPr="2FFC9AD1" w:rsidRDefault="004C73D0" w:rsidP="00BC14DB">
            <w:pPr>
              <w:spacing w:after="120"/>
              <w:rPr>
                <w:rStyle w:val="normaltextrun"/>
                <w:rFonts w:eastAsiaTheme="majorEastAsia"/>
              </w:rPr>
            </w:pPr>
            <w:r>
              <w:rPr>
                <w:rStyle w:val="normaltextrun"/>
                <w:rFonts w:eastAsiaTheme="majorEastAsia"/>
              </w:rPr>
              <w:t>55</w:t>
            </w:r>
          </w:p>
        </w:tc>
        <w:tc>
          <w:tcPr>
            <w:tcW w:w="8571" w:type="dxa"/>
            <w:shd w:val="clear" w:color="auto" w:fill="F2F2F2" w:themeFill="background1" w:themeFillShade="F2"/>
            <w:vAlign w:val="top"/>
          </w:tcPr>
          <w:p w14:paraId="01B7909F" w14:textId="0693CB2F" w:rsidR="00795D7C" w:rsidRPr="004C3823"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2FFC9AD1">
              <w:rPr>
                <w:rStyle w:val="normaltextrun"/>
                <w:rFonts w:eastAsiaTheme="majorEastAsia"/>
              </w:rPr>
              <w:t>Should the legislative framework be changed to adopt best practice in dispute resolution from other schemes?  If so, please specify.</w:t>
            </w:r>
          </w:p>
        </w:tc>
      </w:tr>
      <w:tr w:rsidR="00795D7C" w:rsidRPr="005E4A52" w14:paraId="1358D82C"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59F067F4" w14:textId="07619A69" w:rsidR="00795D7C" w:rsidRDefault="004C73D0" w:rsidP="00BC14DB">
            <w:pPr>
              <w:spacing w:after="120"/>
              <w:rPr>
                <w:rStyle w:val="normaltextrun"/>
                <w:rFonts w:eastAsiaTheme="majorEastAsia" w:cstheme="minorHAnsi"/>
              </w:rPr>
            </w:pPr>
            <w:r>
              <w:rPr>
                <w:rStyle w:val="normaltextrun"/>
                <w:rFonts w:eastAsiaTheme="majorEastAsia" w:cstheme="minorHAnsi"/>
              </w:rPr>
              <w:t>56</w:t>
            </w:r>
          </w:p>
        </w:tc>
        <w:tc>
          <w:tcPr>
            <w:tcW w:w="8571" w:type="dxa"/>
            <w:shd w:val="clear" w:color="auto" w:fill="F2F2F2" w:themeFill="background1" w:themeFillShade="F2"/>
            <w:vAlign w:val="top"/>
          </w:tcPr>
          <w:p w14:paraId="66F9AC6E" w14:textId="69DEA718" w:rsidR="00795D7C" w:rsidRPr="2FFC9AD1"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008359A4">
              <w:rPr>
                <w:rStyle w:val="normaltextrun"/>
                <w:rFonts w:eastAsiaTheme="majorEastAsia" w:cstheme="minorHAnsi"/>
              </w:rPr>
              <w:t xml:space="preserve">Is there a role for medical panels to contribute to the dispute resolution process, and if so, how should such a panel be </w:t>
            </w:r>
            <w:proofErr w:type="gramStart"/>
            <w:r w:rsidRPr="008359A4">
              <w:rPr>
                <w:rStyle w:val="normaltextrun"/>
                <w:rFonts w:eastAsiaTheme="majorEastAsia" w:cstheme="minorHAnsi"/>
              </w:rPr>
              <w:t>constituted</w:t>
            </w:r>
            <w:proofErr w:type="gramEnd"/>
            <w:r w:rsidRPr="008359A4">
              <w:rPr>
                <w:rStyle w:val="normaltextrun"/>
                <w:rFonts w:eastAsiaTheme="majorEastAsia" w:cstheme="minorHAnsi"/>
              </w:rPr>
              <w:t xml:space="preserve"> and should the panel’s opinion be binding?</w:t>
            </w:r>
          </w:p>
        </w:tc>
      </w:tr>
      <w:tr w:rsidR="00795D7C" w:rsidRPr="005E4A52" w14:paraId="5C41FCF9"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3184E0CF" w14:textId="46AB00C3" w:rsidR="00795D7C" w:rsidRPr="2FFC9AD1" w:rsidRDefault="004C73D0" w:rsidP="00BC14DB">
            <w:pPr>
              <w:spacing w:after="120"/>
              <w:rPr>
                <w:rStyle w:val="normaltextrun"/>
                <w:rFonts w:eastAsiaTheme="majorEastAsia"/>
              </w:rPr>
            </w:pPr>
            <w:r>
              <w:rPr>
                <w:rStyle w:val="normaltextrun"/>
                <w:rFonts w:eastAsiaTheme="majorEastAsia"/>
              </w:rPr>
              <w:t>57</w:t>
            </w:r>
          </w:p>
        </w:tc>
        <w:tc>
          <w:tcPr>
            <w:tcW w:w="8571" w:type="dxa"/>
            <w:shd w:val="clear" w:color="auto" w:fill="F2F2F2" w:themeFill="background1" w:themeFillShade="F2"/>
            <w:vAlign w:val="top"/>
          </w:tcPr>
          <w:p w14:paraId="77037F92" w14:textId="09F205C4"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2FFC9AD1">
              <w:rPr>
                <w:rStyle w:val="normaltextrun"/>
                <w:rFonts w:eastAsiaTheme="majorEastAsia"/>
              </w:rPr>
              <w:t xml:space="preserve">How can dispute resolution processes be structured to limit further harm to claimants? For example, should there be dispute resolution at the reconsideration stage? Who should pay legal costs associated with the reconsideration? </w:t>
            </w:r>
          </w:p>
        </w:tc>
      </w:tr>
      <w:tr w:rsidR="00795D7C" w:rsidRPr="005E4A52" w14:paraId="1A6547E7"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46BCB41A" w14:textId="30D071F6" w:rsidR="00795D7C" w:rsidRPr="72642211" w:rsidRDefault="004C73D0" w:rsidP="00BC14DB">
            <w:pPr>
              <w:spacing w:after="120"/>
              <w:rPr>
                <w:rStyle w:val="normaltextrun"/>
                <w:rFonts w:eastAsiaTheme="majorEastAsia"/>
              </w:rPr>
            </w:pPr>
            <w:r>
              <w:rPr>
                <w:rStyle w:val="normaltextrun"/>
                <w:rFonts w:eastAsiaTheme="majorEastAsia"/>
              </w:rPr>
              <w:t>58</w:t>
            </w:r>
          </w:p>
        </w:tc>
        <w:tc>
          <w:tcPr>
            <w:tcW w:w="8571" w:type="dxa"/>
            <w:shd w:val="clear" w:color="auto" w:fill="F2F2F2" w:themeFill="background1" w:themeFillShade="F2"/>
            <w:vAlign w:val="top"/>
          </w:tcPr>
          <w:p w14:paraId="6A92BCE3" w14:textId="629C2244" w:rsidR="00795D7C" w:rsidRPr="005E4A52" w:rsidRDefault="00795D7C" w:rsidP="00BC14DB">
            <w:pPr>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2FFC9AD1">
              <w:rPr>
                <w:rStyle w:val="normaltextrun"/>
                <w:rFonts w:eastAsiaTheme="majorEastAsia"/>
              </w:rPr>
              <w:t>Do you have other suggestions for improvements to the processes for resolution of disputes? For example, other avenues for the resolving of disputes or providing for ‘all in’ settlements?</w:t>
            </w:r>
          </w:p>
        </w:tc>
      </w:tr>
      <w:tr w:rsidR="00F71087" w:rsidRPr="005E4A52" w14:paraId="7C55BCED" w14:textId="77777777" w:rsidTr="00087EB5">
        <w:trPr>
          <w:trHeight w:val="569"/>
        </w:trPr>
        <w:tc>
          <w:tcPr>
            <w:cnfStyle w:val="001000000000" w:firstRow="0" w:lastRow="0" w:firstColumn="1" w:lastColumn="0" w:oddVBand="0" w:evenVBand="0" w:oddHBand="0" w:evenHBand="0" w:firstRowFirstColumn="0" w:firstRowLastColumn="0" w:lastRowFirstColumn="0" w:lastRowLastColumn="0"/>
            <w:tcW w:w="9268" w:type="dxa"/>
            <w:gridSpan w:val="2"/>
            <w:shd w:val="clear" w:color="auto" w:fill="0D2C6C" w:themeFill="text1"/>
          </w:tcPr>
          <w:p w14:paraId="3A8430ED" w14:textId="63C4A88F" w:rsidR="00F71087" w:rsidRPr="005E4A52" w:rsidRDefault="00F71087" w:rsidP="00BC307C">
            <w:pPr>
              <w:spacing w:before="120" w:beforeAutospacing="0" w:after="120" w:afterAutospacing="0"/>
              <w:rPr>
                <w:rStyle w:val="normaltextrun"/>
                <w:rFonts w:eastAsiaTheme="majorEastAsia" w:cstheme="minorHAnsi"/>
              </w:rPr>
            </w:pPr>
            <w:r w:rsidRPr="005E4A52">
              <w:rPr>
                <w:b/>
                <w:color w:val="FFFFFF" w:themeColor="background1"/>
              </w:rPr>
              <w:t>Scheme administration – discussion questions</w:t>
            </w:r>
          </w:p>
        </w:tc>
      </w:tr>
      <w:tr w:rsidR="00795D7C" w14:paraId="170030AF" w14:textId="77777777" w:rsidTr="00F71087">
        <w:trPr>
          <w:trHeight w:val="300"/>
        </w:trPr>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1920DE0F" w14:textId="74FBBB51" w:rsidR="00795D7C" w:rsidRDefault="004C73D0" w:rsidP="00724E79">
            <w:pPr>
              <w:spacing w:beforeLines="60" w:before="144" w:after="120"/>
            </w:pPr>
            <w:r>
              <w:t>59</w:t>
            </w:r>
          </w:p>
        </w:tc>
        <w:tc>
          <w:tcPr>
            <w:tcW w:w="8571" w:type="dxa"/>
            <w:shd w:val="clear" w:color="auto" w:fill="F2F2F2" w:themeFill="background1" w:themeFillShade="F2"/>
          </w:tcPr>
          <w:p w14:paraId="209A4698" w14:textId="4D68EE70" w:rsidR="00795D7C" w:rsidRDefault="00795D7C" w:rsidP="00724E79">
            <w:pPr>
              <w:spacing w:beforeLines="60" w:before="144" w:beforeAutospacing="0" w:after="120" w:afterAutospacing="0"/>
              <w:cnfStyle w:val="000000000000" w:firstRow="0" w:lastRow="0" w:firstColumn="0" w:lastColumn="0" w:oddVBand="0" w:evenVBand="0" w:oddHBand="0" w:evenHBand="0" w:firstRowFirstColumn="0" w:firstRowLastColumn="0" w:lastRowFirstColumn="0" w:lastRowLastColumn="0"/>
            </w:pPr>
            <w:r>
              <w:t xml:space="preserve">Should the Comcare scheme continue to provide for delegated claims management arrangements? </w:t>
            </w:r>
          </w:p>
        </w:tc>
      </w:tr>
      <w:tr w:rsidR="00795D7C" w:rsidRPr="005E4A52" w14:paraId="5BDD8934"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551ADF70" w14:textId="655537F9" w:rsidR="00795D7C" w:rsidRDefault="004C73D0" w:rsidP="00724E79">
            <w:pPr>
              <w:spacing w:beforeLines="60" w:before="144" w:after="120"/>
              <w:contextualSpacing/>
            </w:pPr>
            <w:r>
              <w:t>60</w:t>
            </w:r>
          </w:p>
        </w:tc>
        <w:tc>
          <w:tcPr>
            <w:tcW w:w="8571" w:type="dxa"/>
            <w:shd w:val="clear" w:color="auto" w:fill="F2F2F2" w:themeFill="background1" w:themeFillShade="F2"/>
          </w:tcPr>
          <w:p w14:paraId="003DBF38" w14:textId="27E62530" w:rsidR="00795D7C" w:rsidRPr="005E4A52" w:rsidRDefault="00795D7C" w:rsidP="00724E79">
            <w:pPr>
              <w:spacing w:beforeLines="60" w:before="144" w:beforeAutospacing="0" w:after="120" w:afterAutospacing="0"/>
              <w:contextualSpacing/>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7E820B1B">
              <w:rPr>
                <w:rStyle w:val="normaltextrun"/>
                <w:rFonts w:eastAsiaTheme="majorEastAsia"/>
              </w:rPr>
              <w:t>What aspects of the delegated claims management arrangements should remain? What changes are needed?</w:t>
            </w:r>
          </w:p>
        </w:tc>
      </w:tr>
      <w:tr w:rsidR="00795D7C" w:rsidRPr="005E4A52" w14:paraId="1DC8D719" w14:textId="77777777" w:rsidTr="00F71087">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5280EC49" w14:textId="1140FFFE" w:rsidR="00795D7C" w:rsidRDefault="004C73D0" w:rsidP="00724E79">
            <w:pPr>
              <w:spacing w:beforeLines="60" w:before="144" w:after="120"/>
              <w:contextualSpacing/>
              <w:rPr>
                <w:rStyle w:val="normaltextrun"/>
                <w:rFonts w:eastAsiaTheme="majorEastAsia"/>
              </w:rPr>
            </w:pPr>
            <w:r>
              <w:rPr>
                <w:rStyle w:val="normaltextrun"/>
                <w:rFonts w:eastAsiaTheme="majorEastAsia"/>
              </w:rPr>
              <w:t>61</w:t>
            </w:r>
          </w:p>
        </w:tc>
        <w:tc>
          <w:tcPr>
            <w:tcW w:w="8571" w:type="dxa"/>
            <w:shd w:val="clear" w:color="auto" w:fill="F2F2F2" w:themeFill="background1" w:themeFillShade="F2"/>
          </w:tcPr>
          <w:p w14:paraId="37CF10EB" w14:textId="2FDC8753" w:rsidR="00795D7C" w:rsidRPr="005E4A52" w:rsidRDefault="00795D7C" w:rsidP="00724E79">
            <w:pPr>
              <w:spacing w:beforeLines="60" w:before="144" w:beforeAutospacing="0" w:after="120" w:afterAutospacing="0"/>
              <w:contextualSpacing/>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627DD3A2">
              <w:rPr>
                <w:rStyle w:val="normaltextrun"/>
                <w:rFonts w:eastAsiaTheme="majorEastAsia"/>
              </w:rPr>
              <w:t>Are further changes required to the claims decision-making framework to improve outcomes and ensure fair, accurate and timely decision making? If so, please specify.</w:t>
            </w:r>
          </w:p>
        </w:tc>
      </w:tr>
      <w:tr w:rsidR="00795D7C" w14:paraId="625E3F98" w14:textId="77777777" w:rsidTr="00F71087">
        <w:trPr>
          <w:trHeight w:val="300"/>
        </w:trPr>
        <w:tc>
          <w:tcPr>
            <w:cnfStyle w:val="001000000000" w:firstRow="0" w:lastRow="0" w:firstColumn="1" w:lastColumn="0" w:oddVBand="0" w:evenVBand="0" w:oddHBand="0" w:evenHBand="0" w:firstRowFirstColumn="0" w:firstRowLastColumn="0" w:lastRowFirstColumn="0" w:lastRowLastColumn="0"/>
            <w:tcW w:w="697" w:type="dxa"/>
            <w:shd w:val="clear" w:color="auto" w:fill="F2F2F2" w:themeFill="background1" w:themeFillShade="F2"/>
          </w:tcPr>
          <w:p w14:paraId="3F203A9B" w14:textId="1F4EE5D5" w:rsidR="00795D7C" w:rsidRPr="30FA05AF" w:rsidRDefault="004C73D0" w:rsidP="00724E79">
            <w:pPr>
              <w:spacing w:beforeLines="60" w:before="144" w:after="120"/>
              <w:rPr>
                <w:rStyle w:val="normaltextrun"/>
                <w:rFonts w:eastAsiaTheme="majorEastAsia"/>
              </w:rPr>
            </w:pPr>
            <w:r>
              <w:rPr>
                <w:rStyle w:val="normaltextrun"/>
                <w:rFonts w:eastAsiaTheme="majorEastAsia"/>
              </w:rPr>
              <w:t>62</w:t>
            </w:r>
          </w:p>
        </w:tc>
        <w:tc>
          <w:tcPr>
            <w:tcW w:w="8571" w:type="dxa"/>
            <w:shd w:val="clear" w:color="auto" w:fill="F2F2F2" w:themeFill="background1" w:themeFillShade="F2"/>
          </w:tcPr>
          <w:p w14:paraId="36C361AB" w14:textId="2D80EA0D" w:rsidR="00795D7C" w:rsidRDefault="00795D7C" w:rsidP="00724E79">
            <w:pPr>
              <w:spacing w:beforeLines="60" w:before="144" w:beforeAutospacing="0" w:after="120" w:afterAutospacing="0"/>
              <w:cnfStyle w:val="000000000000" w:firstRow="0" w:lastRow="0" w:firstColumn="0" w:lastColumn="0" w:oddVBand="0" w:evenVBand="0" w:oddHBand="0" w:evenHBand="0" w:firstRowFirstColumn="0" w:firstRowLastColumn="0" w:lastRowFirstColumn="0" w:lastRowLastColumn="0"/>
              <w:rPr>
                <w:rStyle w:val="normaltextrun"/>
                <w:rFonts w:eastAsiaTheme="majorEastAsia"/>
              </w:rPr>
            </w:pPr>
            <w:r w:rsidRPr="30FA05AF">
              <w:rPr>
                <w:rStyle w:val="normaltextrun"/>
                <w:rFonts w:eastAsiaTheme="majorEastAsia"/>
              </w:rPr>
              <w:t xml:space="preserve">How can unintended </w:t>
            </w:r>
            <w:r w:rsidRPr="486B9DC4">
              <w:rPr>
                <w:rStyle w:val="normaltextrun"/>
                <w:rFonts w:eastAsiaTheme="majorEastAsia"/>
              </w:rPr>
              <w:t>consequences best be avoided?</w:t>
            </w:r>
          </w:p>
        </w:tc>
      </w:tr>
    </w:tbl>
    <w:p w14:paraId="18686A37" w14:textId="34F9C252" w:rsidR="007532D0" w:rsidRPr="005E4A52" w:rsidRDefault="007532D0" w:rsidP="00345387">
      <w:pPr>
        <w:sectPr w:rsidR="007532D0" w:rsidRPr="005E4A52" w:rsidSect="00724E79">
          <w:headerReference w:type="default" r:id="rId91"/>
          <w:pgSz w:w="11906" w:h="16838"/>
          <w:pgMar w:top="1440" w:right="1304" w:bottom="1440" w:left="1304" w:header="0" w:footer="1020" w:gutter="0"/>
          <w:cols w:space="708"/>
          <w:docGrid w:linePitch="360"/>
        </w:sectPr>
      </w:pPr>
    </w:p>
    <w:p w14:paraId="12FB0050" w14:textId="7DD8B086" w:rsidR="007532D0" w:rsidRDefault="007532D0" w:rsidP="006D72B6">
      <w:pPr>
        <w:pStyle w:val="Heading2"/>
      </w:pPr>
      <w:bookmarkStart w:id="51" w:name="_Toc180174619"/>
      <w:r w:rsidRPr="005E4A52">
        <w:lastRenderedPageBreak/>
        <w:t xml:space="preserve">Appendix B – Terms of </w:t>
      </w:r>
      <w:r w:rsidR="00C65955">
        <w:t>R</w:t>
      </w:r>
      <w:r w:rsidRPr="005E4A52">
        <w:t>eference</w:t>
      </w:r>
      <w:bookmarkEnd w:id="51"/>
    </w:p>
    <w:p w14:paraId="222CAAD8" w14:textId="3C82E28B" w:rsidR="007532D0" w:rsidRPr="00E963D8" w:rsidRDefault="007532D0" w:rsidP="00E963D8">
      <w:pPr>
        <w:rPr>
          <w:b/>
          <w:bCs/>
          <w:color w:val="009B9F" w:themeColor="background2"/>
          <w:sz w:val="32"/>
          <w:szCs w:val="32"/>
        </w:rPr>
      </w:pPr>
      <w:bookmarkStart w:id="52" w:name="_Toc180174620"/>
      <w:r w:rsidRPr="00E963D8">
        <w:rPr>
          <w:b/>
          <w:bCs/>
          <w:color w:val="009B9F" w:themeColor="background2"/>
          <w:sz w:val="32"/>
          <w:szCs w:val="32"/>
        </w:rPr>
        <w:t xml:space="preserve">Review of the </w:t>
      </w:r>
      <w:r w:rsidRPr="00E963D8">
        <w:rPr>
          <w:b/>
          <w:bCs/>
          <w:i/>
          <w:iCs/>
          <w:color w:val="009B9F" w:themeColor="background2"/>
          <w:sz w:val="32"/>
          <w:szCs w:val="32"/>
        </w:rPr>
        <w:t>Safety, Rehabilitation and Compensation Act 1988</w:t>
      </w:r>
      <w:r w:rsidRPr="00E963D8">
        <w:rPr>
          <w:b/>
          <w:bCs/>
          <w:color w:val="009B9F" w:themeColor="background2"/>
          <w:sz w:val="32"/>
          <w:szCs w:val="32"/>
        </w:rPr>
        <w:t xml:space="preserve"> </w:t>
      </w:r>
      <w:bookmarkEnd w:id="52"/>
    </w:p>
    <w:p w14:paraId="7CA210BD" w14:textId="382DDE89" w:rsidR="007532D0" w:rsidRPr="005E4A52" w:rsidRDefault="007532D0" w:rsidP="00805849">
      <w:pPr>
        <w:spacing w:after="120" w:line="240" w:lineRule="auto"/>
        <w:rPr>
          <w:rFonts w:cs="Arial"/>
          <w:b/>
          <w:bCs/>
        </w:rPr>
      </w:pPr>
      <w:r w:rsidRPr="005E4A52">
        <w:rPr>
          <w:rFonts w:cs="Arial"/>
          <w:b/>
          <w:bCs/>
        </w:rPr>
        <w:t>Purpose of the review</w:t>
      </w:r>
    </w:p>
    <w:p w14:paraId="706928DB" w14:textId="23741822" w:rsidR="007532D0" w:rsidRPr="005E4A52" w:rsidRDefault="007532D0" w:rsidP="00805849">
      <w:pPr>
        <w:spacing w:after="120" w:line="240" w:lineRule="auto"/>
        <w:rPr>
          <w:rFonts w:eastAsia="Times New Roman" w:cs="Arial"/>
        </w:rPr>
      </w:pPr>
      <w:r w:rsidRPr="005E4A52">
        <w:rPr>
          <w:rFonts w:eastAsia="Times New Roman" w:cs="Arial"/>
        </w:rPr>
        <w:t xml:space="preserve">The nature of work and workplace injuries and illnesses has changed significantly since the introduction of the </w:t>
      </w:r>
      <w:r w:rsidRPr="005E4A52">
        <w:rPr>
          <w:rFonts w:eastAsia="Times New Roman" w:cs="Arial"/>
          <w:i/>
          <w:iCs/>
        </w:rPr>
        <w:t xml:space="preserve">Safety, Rehabilitation and Compensation Act 1988 </w:t>
      </w:r>
      <w:r w:rsidRPr="005E4A52">
        <w:rPr>
          <w:rFonts w:eastAsia="Times New Roman" w:cs="Arial"/>
        </w:rPr>
        <w:t xml:space="preserve">(SRC Act), which underpins the Commonwealth workers’ compensation scheme, known as the ‘Comcare scheme’. The SRC Act has not been reviewed since 2012, and there has been no substantial legislative reform of the scheme since its introduction. </w:t>
      </w:r>
    </w:p>
    <w:p w14:paraId="0D513FB0" w14:textId="3D5CA668" w:rsidR="007532D0" w:rsidRPr="005E4A52" w:rsidRDefault="007532D0" w:rsidP="00805849">
      <w:pPr>
        <w:spacing w:line="240" w:lineRule="auto"/>
        <w:rPr>
          <w:rFonts w:eastAsia="Times New Roman" w:cs="Arial"/>
        </w:rPr>
      </w:pPr>
      <w:r w:rsidRPr="005E4A52">
        <w:rPr>
          <w:rFonts w:eastAsia="Times New Roman" w:cs="Arial"/>
        </w:rPr>
        <w:t xml:space="preserve">The Comcare scheme was primarily designed to cover Australian Government employees, with relatively consistent employment conditions, engaged in generally similar types of work. The Comcare scheme now covers more private employees (57 per cent) than Government employees, in a wider range of specialist and high-risk industries. In addition, the scheme has seen a significant increase in claims for psychological injuries and illnesses. This review is an opportunity to identify reforms to improve outcomes for injured employees, and to ensure that the scheme has the flexibility to respond to new and emerging workplace practices, while maintaining its ongoing financial viability. The review will make recommendations to the Government to inform future legislative reform of the SRC Act. </w:t>
      </w:r>
    </w:p>
    <w:p w14:paraId="01050C99" w14:textId="1B19EB2F" w:rsidR="007532D0" w:rsidRPr="005E4A52" w:rsidRDefault="007532D0" w:rsidP="00805849">
      <w:pPr>
        <w:spacing w:after="120" w:line="240" w:lineRule="auto"/>
        <w:rPr>
          <w:rFonts w:eastAsia="Times New Roman" w:cs="Arial"/>
          <w:b/>
          <w:bCs/>
        </w:rPr>
      </w:pPr>
      <w:r w:rsidRPr="005E4A52">
        <w:rPr>
          <w:rFonts w:eastAsia="Times New Roman" w:cs="Arial"/>
          <w:b/>
          <w:bCs/>
        </w:rPr>
        <w:t>The Comcare scheme</w:t>
      </w:r>
    </w:p>
    <w:p w14:paraId="39C0EBE6" w14:textId="6CC8DD18" w:rsidR="007532D0" w:rsidRPr="005E4A52" w:rsidRDefault="007532D0" w:rsidP="00805849">
      <w:pPr>
        <w:spacing w:after="120" w:line="240" w:lineRule="auto"/>
        <w:rPr>
          <w:rFonts w:eastAsia="Times New Roman" w:cs="Arial"/>
        </w:rPr>
      </w:pPr>
      <w:r w:rsidRPr="005E4A52">
        <w:rPr>
          <w:rFonts w:eastAsia="Times New Roman" w:cs="Arial"/>
        </w:rPr>
        <w:t xml:space="preserve">The Comcare scheme provides rehabilitation and workers’ compensation arrangements to workers of the Commonwealth Government, the ACT Government, and </w:t>
      </w:r>
      <w:proofErr w:type="gramStart"/>
      <w:r w:rsidRPr="005E4A52">
        <w:rPr>
          <w:rFonts w:eastAsia="Times New Roman" w:cs="Arial"/>
        </w:rPr>
        <w:t>a number of</w:t>
      </w:r>
      <w:proofErr w:type="gramEnd"/>
      <w:r w:rsidRPr="005E4A52">
        <w:rPr>
          <w:rFonts w:eastAsia="Times New Roman" w:cs="Arial"/>
        </w:rPr>
        <w:t xml:space="preserve"> private corporations who self-insure their workers’ compensation obligations under the SRC Act. </w:t>
      </w:r>
    </w:p>
    <w:p w14:paraId="3926B7BD" w14:textId="0D1167A0" w:rsidR="007532D0" w:rsidRPr="005E4A52" w:rsidRDefault="007532D0" w:rsidP="00805849">
      <w:pPr>
        <w:spacing w:line="240" w:lineRule="auto"/>
        <w:rPr>
          <w:rFonts w:eastAsia="Times New Roman" w:cs="Arial"/>
        </w:rPr>
      </w:pPr>
      <w:r w:rsidRPr="005E4A52">
        <w:rPr>
          <w:rFonts w:eastAsia="Times New Roman" w:cs="Arial"/>
        </w:rPr>
        <w:t xml:space="preserve">Comcare acts as scheme administrator, and as an insurer and claims manager for premium-paying scheme employers (the Commonwealth and Commonwealth authorities). The Safety Rehabilitation and Compensation Commission (the Commission) administers some of the regulatory functions of the SRC Act, other than those ascribed to Comcare, and issues and regulates self-insurance licences under the SRC Act.   </w:t>
      </w:r>
    </w:p>
    <w:p w14:paraId="1D63A328" w14:textId="577BFD96" w:rsidR="007532D0" w:rsidRPr="005E4A52" w:rsidRDefault="007532D0" w:rsidP="00805849">
      <w:pPr>
        <w:spacing w:after="120" w:line="240" w:lineRule="auto"/>
        <w:rPr>
          <w:rFonts w:eastAsia="Times New Roman" w:cs="Arial"/>
          <w:b/>
          <w:bCs/>
        </w:rPr>
      </w:pPr>
      <w:r w:rsidRPr="005E4A52">
        <w:rPr>
          <w:rFonts w:eastAsia="Times New Roman" w:cs="Arial"/>
          <w:b/>
          <w:bCs/>
        </w:rPr>
        <w:t>Review process</w:t>
      </w:r>
    </w:p>
    <w:p w14:paraId="1276F2AD" w14:textId="2AA605D2" w:rsidR="007532D0" w:rsidRPr="005E4A52" w:rsidRDefault="007532D0" w:rsidP="00805849">
      <w:pPr>
        <w:spacing w:after="120" w:line="240" w:lineRule="auto"/>
        <w:rPr>
          <w:rFonts w:cs="Arial"/>
        </w:rPr>
      </w:pPr>
      <w:r w:rsidRPr="005E4A52">
        <w:rPr>
          <w:rFonts w:cs="Arial"/>
        </w:rPr>
        <w:t xml:space="preserve">The review will be led by an independent panel, appointed by the Minister for Employment and Workplace Relations, and supported by a secretariat team in the Department of Employment and Workplace Relations. The independent panel will draw on research, data, and findings from past reviews, and be supported by specialist advice in areas such as occupational medicine, user-centred design, psychological injury and illness support, and actuarial modelling. </w:t>
      </w:r>
    </w:p>
    <w:p w14:paraId="784892B6" w14:textId="24FCCB23" w:rsidR="007532D0" w:rsidRPr="005E4A52" w:rsidRDefault="007532D0" w:rsidP="00805849">
      <w:pPr>
        <w:spacing w:line="240" w:lineRule="auto"/>
        <w:rPr>
          <w:rFonts w:cs="Arial"/>
        </w:rPr>
      </w:pPr>
      <w:r w:rsidRPr="005E4A52">
        <w:rPr>
          <w:rFonts w:cs="Arial"/>
        </w:rPr>
        <w:t xml:space="preserve">The panel will consult with a tripartite reference group representing unions, employers and Government during the review. The panel will also conduct public consultations and engage with key stakeholders, including people with experience of workers’ compensation or personal injury and illness claims, such as injured workers and their unions and legal representatives, as well as advocacy groups, self-insured licensees and their representatives, and Comcare and the Safety, Rehabilitation and Compensation Commission. </w:t>
      </w:r>
    </w:p>
    <w:p w14:paraId="13315558" w14:textId="77777777" w:rsidR="007532D0" w:rsidRPr="005E4A52" w:rsidRDefault="007532D0" w:rsidP="00805849">
      <w:pPr>
        <w:keepNext/>
        <w:spacing w:after="120" w:line="240" w:lineRule="auto"/>
        <w:rPr>
          <w:rFonts w:cs="Arial"/>
          <w:b/>
          <w:bCs/>
        </w:rPr>
      </w:pPr>
      <w:r w:rsidRPr="005E4A52">
        <w:rPr>
          <w:rFonts w:cs="Arial"/>
          <w:b/>
          <w:bCs/>
        </w:rPr>
        <w:lastRenderedPageBreak/>
        <w:t>Terms of reference</w:t>
      </w:r>
    </w:p>
    <w:p w14:paraId="66A3C2F2" w14:textId="77777777" w:rsidR="007532D0" w:rsidRPr="005E4A52" w:rsidRDefault="007532D0" w:rsidP="00805849">
      <w:pPr>
        <w:spacing w:after="120" w:line="240" w:lineRule="auto"/>
        <w:rPr>
          <w:rFonts w:eastAsia="Times New Roman" w:cs="Arial"/>
        </w:rPr>
      </w:pPr>
      <w:r w:rsidRPr="005E4A52">
        <w:rPr>
          <w:rFonts w:eastAsia="Times New Roman" w:cs="Arial"/>
        </w:rPr>
        <w:t xml:space="preserve">The panel will undertake a comprehensive review of the Comcare workers’ compensation framework and make recommendations to Government on improvements to the framework. The recommendations will address how to better support and improve outcomes for workers while ensuring the scheme’s future financial viability. The review will consider:  </w:t>
      </w:r>
    </w:p>
    <w:p w14:paraId="337A9DAC" w14:textId="77777777" w:rsidR="007532D0" w:rsidRPr="005E4A52" w:rsidRDefault="007532D0" w:rsidP="00805849">
      <w:pPr>
        <w:pStyle w:val="ListParagraph"/>
        <w:numPr>
          <w:ilvl w:val="0"/>
          <w:numId w:val="43"/>
        </w:numPr>
        <w:spacing w:after="160" w:line="240" w:lineRule="auto"/>
        <w:rPr>
          <w:rFonts w:eastAsia="Times New Roman" w:cs="Arial"/>
        </w:rPr>
      </w:pPr>
      <w:r w:rsidRPr="005E4A52">
        <w:rPr>
          <w:rFonts w:eastAsia="Times New Roman" w:cs="Arial"/>
          <w:b/>
          <w:bCs/>
        </w:rPr>
        <w:t xml:space="preserve">Best practice in workers’ compensation, </w:t>
      </w:r>
      <w:r w:rsidRPr="005E4A52">
        <w:rPr>
          <w:rFonts w:eastAsia="Times New Roman" w:cs="Arial"/>
        </w:rPr>
        <w:t xml:space="preserve">including: </w:t>
      </w:r>
    </w:p>
    <w:p w14:paraId="01FFAE93"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identification of the key objectives for a workers’ compensation scheme that supports workers (including through financial and vocational support) to seek treatment, rehabilitate and return to work, and how these outcomes can be achieved through the scheme’s legislative framework; and</w:t>
      </w:r>
    </w:p>
    <w:p w14:paraId="48D8DDC5"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how the legislative framework can enable the scheme to respond to current and future workplace challenges, including the rise in reported psychological injuries and illness, an ageing workforce, and changes to working arrangements. </w:t>
      </w:r>
    </w:p>
    <w:p w14:paraId="42C0BA64" w14:textId="77777777" w:rsidR="007532D0" w:rsidRPr="005E4A52" w:rsidRDefault="007532D0" w:rsidP="00805849">
      <w:pPr>
        <w:pStyle w:val="ListParagraph"/>
        <w:numPr>
          <w:ilvl w:val="0"/>
          <w:numId w:val="43"/>
        </w:numPr>
        <w:spacing w:after="160" w:line="240" w:lineRule="auto"/>
        <w:rPr>
          <w:rFonts w:eastAsia="Times New Roman" w:cs="Arial"/>
          <w:b/>
          <w:bCs/>
        </w:rPr>
      </w:pPr>
      <w:r w:rsidRPr="005E4A52">
        <w:rPr>
          <w:rFonts w:eastAsia="Times New Roman" w:cs="Arial"/>
          <w:b/>
          <w:bCs/>
        </w:rPr>
        <w:t>Employees’ experience of the scheme</w:t>
      </w:r>
      <w:r w:rsidRPr="005E4A52">
        <w:rPr>
          <w:rFonts w:eastAsia="Times New Roman" w:cs="Arial"/>
          <w:b/>
          <w:bCs/>
          <w:i/>
          <w:iCs/>
        </w:rPr>
        <w:t>,</w:t>
      </w:r>
      <w:r w:rsidRPr="005E4A52">
        <w:rPr>
          <w:rFonts w:eastAsia="Times New Roman" w:cs="Arial"/>
          <w:b/>
          <w:bCs/>
        </w:rPr>
        <w:t xml:space="preserve"> </w:t>
      </w:r>
      <w:r w:rsidRPr="005E4A52">
        <w:rPr>
          <w:rFonts w:eastAsia="Times New Roman" w:cs="Arial"/>
        </w:rPr>
        <w:t xml:space="preserve">including: </w:t>
      </w:r>
    </w:p>
    <w:p w14:paraId="76BB676A"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best practice approaches to early intervention, rehabilitation, vocational support, return to work, and supporting workers with psychological injuries and illnesses, and how the scheme framework can reflect </w:t>
      </w:r>
      <w:proofErr w:type="gramStart"/>
      <w:r w:rsidRPr="005E4A52">
        <w:rPr>
          <w:rFonts w:eastAsia="Times New Roman" w:cs="Arial"/>
        </w:rPr>
        <w:t>these;</w:t>
      </w:r>
      <w:proofErr w:type="gramEnd"/>
      <w:r w:rsidRPr="005E4A52">
        <w:rPr>
          <w:rFonts w:eastAsia="Times New Roman" w:cs="Arial"/>
        </w:rPr>
        <w:t xml:space="preserve"> </w:t>
      </w:r>
    </w:p>
    <w:p w14:paraId="0E7B4C97"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how the legislation can promote a people-centred approach to workers’ compensation, which supports workers through their recovery and promotes their </w:t>
      </w:r>
      <w:proofErr w:type="gramStart"/>
      <w:r w:rsidRPr="005E4A52">
        <w:rPr>
          <w:rFonts w:eastAsia="Times New Roman" w:cs="Arial"/>
        </w:rPr>
        <w:t>wellbeing;</w:t>
      </w:r>
      <w:proofErr w:type="gramEnd"/>
      <w:r w:rsidRPr="005E4A52">
        <w:rPr>
          <w:rFonts w:eastAsia="Times New Roman" w:cs="Arial"/>
        </w:rPr>
        <w:t xml:space="preserve"> </w:t>
      </w:r>
    </w:p>
    <w:p w14:paraId="2B35F2BB"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ensuring that the scheme framework does not negatively impact injured workers’ health and </w:t>
      </w:r>
      <w:proofErr w:type="gramStart"/>
      <w:r w:rsidRPr="005E4A52">
        <w:rPr>
          <w:rFonts w:eastAsia="Times New Roman" w:cs="Arial"/>
        </w:rPr>
        <w:t>wellbeing;</w:t>
      </w:r>
      <w:proofErr w:type="gramEnd"/>
    </w:p>
    <w:p w14:paraId="4FADBA69"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optimising return to work </w:t>
      </w:r>
      <w:proofErr w:type="gramStart"/>
      <w:r w:rsidRPr="005E4A52">
        <w:rPr>
          <w:rFonts w:eastAsia="Times New Roman" w:cs="Arial"/>
        </w:rPr>
        <w:t>outcomes;</w:t>
      </w:r>
      <w:proofErr w:type="gramEnd"/>
      <w:r w:rsidRPr="005E4A52">
        <w:rPr>
          <w:rFonts w:eastAsia="Times New Roman" w:cs="Arial"/>
        </w:rPr>
        <w:t xml:space="preserve"> </w:t>
      </w:r>
    </w:p>
    <w:p w14:paraId="56D53D1D"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how the scheme framework can best support workers with diverse needs and experiences, including consideration of the impact of gender, sexual orientation, and social, racial and ethnic backgrounds; and </w:t>
      </w:r>
    </w:p>
    <w:p w14:paraId="4D965BC0"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how workers with life-altering long-term injuries and illnesses and the families of workers who suffer a serious illness or injury or death, can best be supported under the scheme framework. </w:t>
      </w:r>
    </w:p>
    <w:p w14:paraId="1C4AA2E7" w14:textId="77777777" w:rsidR="007532D0" w:rsidRPr="005E4A52" w:rsidRDefault="007532D0" w:rsidP="00805849">
      <w:pPr>
        <w:pStyle w:val="ListParagraph"/>
        <w:numPr>
          <w:ilvl w:val="0"/>
          <w:numId w:val="43"/>
        </w:numPr>
        <w:spacing w:after="160" w:line="240" w:lineRule="auto"/>
        <w:rPr>
          <w:rFonts w:eastAsia="Times New Roman" w:cs="Arial"/>
        </w:rPr>
      </w:pPr>
      <w:r w:rsidRPr="005E4A52">
        <w:rPr>
          <w:rFonts w:eastAsia="Times New Roman" w:cs="Arial"/>
          <w:b/>
          <w:bCs/>
        </w:rPr>
        <w:t>Scheme coverage</w:t>
      </w:r>
      <w:r w:rsidRPr="005E4A52">
        <w:rPr>
          <w:rFonts w:eastAsia="Times New Roman" w:cs="Arial"/>
        </w:rPr>
        <w:t xml:space="preserve">, including: </w:t>
      </w:r>
    </w:p>
    <w:p w14:paraId="76583CB3"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whether national private sector employers should have access to the Comcare </w:t>
      </w:r>
      <w:proofErr w:type="gramStart"/>
      <w:r w:rsidRPr="005E4A52">
        <w:rPr>
          <w:rFonts w:eastAsia="Times New Roman" w:cs="Arial"/>
        </w:rPr>
        <w:t>scheme;</w:t>
      </w:r>
      <w:proofErr w:type="gramEnd"/>
      <w:r w:rsidRPr="005E4A52">
        <w:rPr>
          <w:rFonts w:eastAsia="Times New Roman" w:cs="Arial"/>
        </w:rPr>
        <w:t xml:space="preserve"> </w:t>
      </w:r>
    </w:p>
    <w:p w14:paraId="321D957D"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whether ‘non-Commonwealth licensees’ should continue to have coverage under the Commonwealth </w:t>
      </w:r>
      <w:r w:rsidRPr="005E4A52">
        <w:rPr>
          <w:rFonts w:cs="Arial"/>
          <w:i/>
          <w:iCs/>
        </w:rPr>
        <w:t>Work Health and Safety Act 2011</w:t>
      </w:r>
      <w:r w:rsidRPr="005E4A52">
        <w:rPr>
          <w:rFonts w:cs="Arial"/>
        </w:rPr>
        <w:t xml:space="preserve"> (WHS Act) </w:t>
      </w:r>
      <w:proofErr w:type="gramStart"/>
      <w:r w:rsidRPr="005E4A52">
        <w:rPr>
          <w:rFonts w:eastAsia="Times New Roman" w:cs="Arial"/>
        </w:rPr>
        <w:t>in light of</w:t>
      </w:r>
      <w:proofErr w:type="gramEnd"/>
      <w:r w:rsidRPr="005E4A52">
        <w:rPr>
          <w:rFonts w:eastAsia="Times New Roman" w:cs="Arial"/>
        </w:rPr>
        <w:t xml:space="preserve"> substantive national harmonisation of work health and safety laws; and </w:t>
      </w:r>
    </w:p>
    <w:p w14:paraId="33FCBCFE"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what a place of work is and what constitutes ‘employment’ for the purpose of workers’ compensation, and when an injury or illness should be compensable under workers’ compensation. </w:t>
      </w:r>
    </w:p>
    <w:p w14:paraId="01EB3B49" w14:textId="77777777" w:rsidR="007532D0" w:rsidRPr="005E4A52" w:rsidRDefault="007532D0" w:rsidP="00805849">
      <w:pPr>
        <w:pStyle w:val="ListParagraph"/>
        <w:numPr>
          <w:ilvl w:val="0"/>
          <w:numId w:val="43"/>
        </w:numPr>
        <w:spacing w:after="160" w:line="240" w:lineRule="auto"/>
        <w:rPr>
          <w:rFonts w:eastAsia="Times New Roman" w:cs="Arial"/>
        </w:rPr>
      </w:pPr>
      <w:r w:rsidRPr="005E4A52">
        <w:rPr>
          <w:rFonts w:eastAsia="Times New Roman" w:cs="Arial"/>
          <w:b/>
          <w:bCs/>
        </w:rPr>
        <w:t>Governance arrangements,</w:t>
      </w:r>
      <w:r w:rsidRPr="005E4A52">
        <w:rPr>
          <w:rFonts w:eastAsia="Times New Roman" w:cs="Arial"/>
        </w:rPr>
        <w:t xml:space="preserve"> including:</w:t>
      </w:r>
    </w:p>
    <w:p w14:paraId="384E1F49"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best practice governance, regulation and oversight arrangements for the scheme, including regulation and oversight of Comcare, determining authorities, rehabilitation authorities, self-insured licensees, workplace rehabilitation providers and other providers operating in the </w:t>
      </w:r>
      <w:proofErr w:type="gramStart"/>
      <w:r w:rsidRPr="005E4A52">
        <w:rPr>
          <w:rFonts w:eastAsia="Times New Roman" w:cs="Arial"/>
        </w:rPr>
        <w:t>scheme;</w:t>
      </w:r>
      <w:proofErr w:type="gramEnd"/>
      <w:r w:rsidRPr="005E4A52">
        <w:rPr>
          <w:rFonts w:eastAsia="Times New Roman" w:cs="Arial"/>
        </w:rPr>
        <w:t xml:space="preserve">  </w:t>
      </w:r>
    </w:p>
    <w:p w14:paraId="2812FD1A"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ongoing financial management and viability of the Comcare scheme; and</w:t>
      </w:r>
    </w:p>
    <w:p w14:paraId="7B84A728" w14:textId="77777777" w:rsidR="007532D0"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social partner involvement and tripartism.</w:t>
      </w:r>
    </w:p>
    <w:p w14:paraId="2B0DAC22" w14:textId="77777777" w:rsidR="007532D0" w:rsidRPr="005E4A52" w:rsidRDefault="007532D0" w:rsidP="00805849">
      <w:pPr>
        <w:pStyle w:val="ListParagraph"/>
        <w:numPr>
          <w:ilvl w:val="0"/>
          <w:numId w:val="43"/>
        </w:numPr>
        <w:spacing w:after="160" w:line="240" w:lineRule="auto"/>
        <w:rPr>
          <w:rFonts w:eastAsia="Times New Roman" w:cs="Arial"/>
          <w:b/>
          <w:bCs/>
        </w:rPr>
      </w:pPr>
      <w:r w:rsidRPr="005E4A52">
        <w:rPr>
          <w:rFonts w:eastAsia="Times New Roman" w:cs="Arial"/>
          <w:b/>
          <w:bCs/>
        </w:rPr>
        <w:t xml:space="preserve">Scheme entitlements, </w:t>
      </w:r>
      <w:r w:rsidRPr="005E4A52">
        <w:rPr>
          <w:rFonts w:eastAsia="Times New Roman" w:cs="Arial"/>
        </w:rPr>
        <w:t xml:space="preserve">including: </w:t>
      </w:r>
    </w:p>
    <w:p w14:paraId="46915EE8"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interactions between workers’ compensation payments under the no-fault Comcare scheme and common law and statutory claims and other sources of income or payments, including superannuation, and other compensation </w:t>
      </w:r>
      <w:proofErr w:type="gramStart"/>
      <w:r w:rsidRPr="005E4A52">
        <w:rPr>
          <w:rFonts w:eastAsia="Times New Roman" w:cs="Arial"/>
        </w:rPr>
        <w:t>schemes;</w:t>
      </w:r>
      <w:proofErr w:type="gramEnd"/>
      <w:r w:rsidRPr="005E4A52">
        <w:rPr>
          <w:rFonts w:eastAsia="Times New Roman" w:cs="Arial"/>
        </w:rPr>
        <w:t xml:space="preserve"> </w:t>
      </w:r>
    </w:p>
    <w:p w14:paraId="51F2B9DB"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lastRenderedPageBreak/>
        <w:t>gaps in coverage that may arise from workers and employers transitioning between Commonwealth and state or territory schemes, employer insolvency, or winding up of a self-</w:t>
      </w:r>
      <w:proofErr w:type="gramStart"/>
      <w:r w:rsidRPr="005E4A52">
        <w:rPr>
          <w:rFonts w:eastAsia="Times New Roman" w:cs="Arial"/>
        </w:rPr>
        <w:t>insurer;</w:t>
      </w:r>
      <w:proofErr w:type="gramEnd"/>
      <w:r w:rsidRPr="005E4A52">
        <w:rPr>
          <w:rFonts w:eastAsia="Times New Roman" w:cs="Arial"/>
        </w:rPr>
        <w:t xml:space="preserve"> </w:t>
      </w:r>
    </w:p>
    <w:p w14:paraId="67D0DCA6"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how entitlements could be structured to better support injured workers and families of workers who suffer injuries and illnesses resulting in deaths, including use of lump sum </w:t>
      </w:r>
      <w:proofErr w:type="gramStart"/>
      <w:r w:rsidRPr="005E4A52">
        <w:rPr>
          <w:rFonts w:eastAsia="Times New Roman" w:cs="Arial"/>
        </w:rPr>
        <w:t>payments;</w:t>
      </w:r>
      <w:proofErr w:type="gramEnd"/>
      <w:r w:rsidRPr="005E4A52">
        <w:rPr>
          <w:rFonts w:eastAsia="Times New Roman" w:cs="Arial"/>
        </w:rPr>
        <w:t xml:space="preserve"> </w:t>
      </w:r>
    </w:p>
    <w:p w14:paraId="52ADC131"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use of provisional payments and </w:t>
      </w:r>
      <w:proofErr w:type="gramStart"/>
      <w:r w:rsidRPr="005E4A52">
        <w:rPr>
          <w:rFonts w:eastAsia="Times New Roman" w:cs="Arial"/>
        </w:rPr>
        <w:t>payment</w:t>
      </w:r>
      <w:proofErr w:type="gramEnd"/>
      <w:r w:rsidRPr="005E4A52">
        <w:rPr>
          <w:rFonts w:eastAsia="Times New Roman" w:cs="Arial"/>
        </w:rPr>
        <w:t xml:space="preserve"> for medical expenses before a claim is accepted; </w:t>
      </w:r>
    </w:p>
    <w:p w14:paraId="6ED95C6D"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vocational support and education to support rehabilitation; and</w:t>
      </w:r>
    </w:p>
    <w:p w14:paraId="707A7BAB" w14:textId="42277AF2" w:rsidR="007532D0" w:rsidRPr="00E963D8" w:rsidRDefault="007532D0" w:rsidP="00E963D8">
      <w:pPr>
        <w:pStyle w:val="ListParagraph"/>
        <w:numPr>
          <w:ilvl w:val="1"/>
          <w:numId w:val="43"/>
        </w:numPr>
        <w:spacing w:after="160" w:line="240" w:lineRule="auto"/>
        <w:rPr>
          <w:rFonts w:eastAsia="Times New Roman" w:cs="Arial"/>
        </w:rPr>
      </w:pPr>
      <w:r w:rsidRPr="005E4A52">
        <w:rPr>
          <w:rFonts w:eastAsia="Times New Roman" w:cs="Arial"/>
        </w:rPr>
        <w:t>the role of the employer and service providers in rehabilitation and return to work.</w:t>
      </w:r>
    </w:p>
    <w:p w14:paraId="25E749DB" w14:textId="77777777" w:rsidR="007532D0" w:rsidRPr="005E4A52" w:rsidRDefault="007532D0" w:rsidP="00805849">
      <w:pPr>
        <w:pStyle w:val="ListParagraph"/>
        <w:numPr>
          <w:ilvl w:val="0"/>
          <w:numId w:val="43"/>
        </w:numPr>
        <w:spacing w:after="160" w:line="240" w:lineRule="auto"/>
        <w:rPr>
          <w:rFonts w:eastAsia="Times New Roman" w:cs="Arial"/>
          <w:b/>
          <w:bCs/>
        </w:rPr>
      </w:pPr>
      <w:r w:rsidRPr="005E4A52">
        <w:rPr>
          <w:rFonts w:eastAsia="Times New Roman" w:cs="Arial"/>
          <w:b/>
          <w:bCs/>
        </w:rPr>
        <w:t>Resolving disputes in the scheme</w:t>
      </w:r>
      <w:r w:rsidRPr="005E4A52">
        <w:rPr>
          <w:rFonts w:eastAsia="Times New Roman" w:cs="Arial"/>
        </w:rPr>
        <w:t xml:space="preserve">, including: </w:t>
      </w:r>
    </w:p>
    <w:p w14:paraId="35091E6A" w14:textId="77777777" w:rsidR="007532D0" w:rsidRPr="005E4A52" w:rsidRDefault="007532D0" w:rsidP="00805849">
      <w:pPr>
        <w:pStyle w:val="ListParagraph"/>
        <w:numPr>
          <w:ilvl w:val="1"/>
          <w:numId w:val="43"/>
        </w:numPr>
        <w:spacing w:after="160" w:line="240" w:lineRule="auto"/>
        <w:rPr>
          <w:rFonts w:eastAsia="Times New Roman" w:cs="Arial"/>
          <w:b/>
          <w:bCs/>
        </w:rPr>
      </w:pPr>
      <w:r w:rsidRPr="005E4A52">
        <w:rPr>
          <w:rFonts w:eastAsia="Times New Roman" w:cs="Arial"/>
        </w:rPr>
        <w:t xml:space="preserve">how arrangements for internal and administrative review can ensure disputes are resolved as quickly, efficiently and </w:t>
      </w:r>
      <w:proofErr w:type="gramStart"/>
      <w:r w:rsidRPr="005E4A52">
        <w:rPr>
          <w:rFonts w:eastAsia="Times New Roman" w:cs="Arial"/>
        </w:rPr>
        <w:t>fairly as</w:t>
      </w:r>
      <w:proofErr w:type="gramEnd"/>
      <w:r w:rsidRPr="005E4A52">
        <w:rPr>
          <w:rFonts w:eastAsia="Times New Roman" w:cs="Arial"/>
        </w:rPr>
        <w:t xml:space="preserve"> possible, taking into account the impact of disputes on claimants; and</w:t>
      </w:r>
    </w:p>
    <w:p w14:paraId="39E0A9C4" w14:textId="77777777" w:rsidR="007532D0" w:rsidRPr="005E4A52" w:rsidRDefault="007532D0" w:rsidP="00805849">
      <w:pPr>
        <w:pStyle w:val="ListParagraph"/>
        <w:numPr>
          <w:ilvl w:val="1"/>
          <w:numId w:val="43"/>
        </w:numPr>
        <w:spacing w:after="160" w:line="240" w:lineRule="auto"/>
        <w:rPr>
          <w:rFonts w:eastAsia="Times New Roman" w:cs="Arial"/>
          <w:b/>
          <w:bCs/>
        </w:rPr>
      </w:pPr>
      <w:r w:rsidRPr="005E4A52">
        <w:rPr>
          <w:rFonts w:eastAsia="Times New Roman" w:cs="Arial"/>
        </w:rPr>
        <w:t>whether terms in the legislation which have been the subject of significant litigation can be clarified.</w:t>
      </w:r>
    </w:p>
    <w:p w14:paraId="7ADD9533" w14:textId="77777777" w:rsidR="007532D0" w:rsidRPr="005E4A52" w:rsidRDefault="007532D0" w:rsidP="00805849">
      <w:pPr>
        <w:pStyle w:val="ListParagraph"/>
        <w:numPr>
          <w:ilvl w:val="0"/>
          <w:numId w:val="43"/>
        </w:numPr>
        <w:spacing w:after="160" w:line="240" w:lineRule="auto"/>
        <w:rPr>
          <w:rFonts w:eastAsia="Times New Roman" w:cs="Arial"/>
          <w:b/>
          <w:bCs/>
        </w:rPr>
      </w:pPr>
      <w:r w:rsidRPr="005E4A52">
        <w:rPr>
          <w:rFonts w:eastAsia="Times New Roman" w:cs="Arial"/>
          <w:b/>
          <w:bCs/>
        </w:rPr>
        <w:t xml:space="preserve">Scheme administration, </w:t>
      </w:r>
      <w:r w:rsidRPr="005E4A52">
        <w:rPr>
          <w:rFonts w:eastAsia="Times New Roman" w:cs="Arial"/>
        </w:rPr>
        <w:t>including:</w:t>
      </w:r>
    </w:p>
    <w:p w14:paraId="21B1ACEE" w14:textId="77777777" w:rsidR="007532D0" w:rsidRPr="005E4A52" w:rsidRDefault="007532D0" w:rsidP="00805849">
      <w:pPr>
        <w:pStyle w:val="ListParagraph"/>
        <w:numPr>
          <w:ilvl w:val="1"/>
          <w:numId w:val="43"/>
        </w:numPr>
        <w:spacing w:after="160" w:line="240" w:lineRule="auto"/>
        <w:rPr>
          <w:rFonts w:eastAsia="Times New Roman" w:cs="Arial"/>
          <w:b/>
          <w:bCs/>
        </w:rPr>
      </w:pPr>
      <w:r w:rsidRPr="005E4A52">
        <w:rPr>
          <w:rFonts w:eastAsia="Times New Roman" w:cs="Arial"/>
        </w:rPr>
        <w:t xml:space="preserve">delegated claims </w:t>
      </w:r>
      <w:proofErr w:type="gramStart"/>
      <w:r w:rsidRPr="005E4A52">
        <w:rPr>
          <w:rFonts w:eastAsia="Times New Roman" w:cs="Arial"/>
        </w:rPr>
        <w:t>management;</w:t>
      </w:r>
      <w:proofErr w:type="gramEnd"/>
      <w:r w:rsidRPr="005E4A52">
        <w:rPr>
          <w:rFonts w:eastAsia="Times New Roman" w:cs="Arial"/>
        </w:rPr>
        <w:t xml:space="preserve"> </w:t>
      </w:r>
    </w:p>
    <w:p w14:paraId="3843F36A"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how to ensure accurate and timely decision-making on </w:t>
      </w:r>
      <w:proofErr w:type="gramStart"/>
      <w:r w:rsidRPr="005E4A52">
        <w:rPr>
          <w:rFonts w:eastAsia="Times New Roman" w:cs="Arial"/>
        </w:rPr>
        <w:t>claims;</w:t>
      </w:r>
      <w:proofErr w:type="gramEnd"/>
      <w:r w:rsidRPr="005E4A52">
        <w:rPr>
          <w:rFonts w:eastAsia="Times New Roman" w:cs="Arial"/>
        </w:rPr>
        <w:t xml:space="preserve"> </w:t>
      </w:r>
    </w:p>
    <w:p w14:paraId="21DDF1E4"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funding arrangements, including powers to set premiums, licence fees and regulatory </w:t>
      </w:r>
      <w:proofErr w:type="gramStart"/>
      <w:r w:rsidRPr="005E4A52">
        <w:rPr>
          <w:rFonts w:eastAsia="Times New Roman" w:cs="Arial"/>
        </w:rPr>
        <w:t>contributions;</w:t>
      </w:r>
      <w:proofErr w:type="gramEnd"/>
      <w:r w:rsidRPr="005E4A52">
        <w:rPr>
          <w:rFonts w:eastAsia="Times New Roman" w:cs="Arial"/>
        </w:rPr>
        <w:t xml:space="preserve"> </w:t>
      </w:r>
    </w:p>
    <w:p w14:paraId="5A957D23" w14:textId="77777777" w:rsidR="007532D0" w:rsidRPr="005E4A52" w:rsidRDefault="007532D0" w:rsidP="00805849">
      <w:pPr>
        <w:pStyle w:val="ListParagraph"/>
        <w:numPr>
          <w:ilvl w:val="1"/>
          <w:numId w:val="43"/>
        </w:numPr>
        <w:spacing w:after="160" w:line="240" w:lineRule="auto"/>
        <w:rPr>
          <w:rFonts w:eastAsia="Times New Roman" w:cs="Arial"/>
        </w:rPr>
      </w:pPr>
      <w:r w:rsidRPr="005E4A52">
        <w:rPr>
          <w:rFonts w:eastAsia="Times New Roman" w:cs="Arial"/>
        </w:rPr>
        <w:t xml:space="preserve">consideration of legislative gaps or unintended consequences arising from the current legislative framework; and  </w:t>
      </w:r>
    </w:p>
    <w:p w14:paraId="33EE823B" w14:textId="77777777" w:rsidR="007532D0" w:rsidRPr="005E4A52" w:rsidRDefault="007532D0" w:rsidP="00805849">
      <w:pPr>
        <w:pStyle w:val="ListParagraph"/>
        <w:numPr>
          <w:ilvl w:val="1"/>
          <w:numId w:val="43"/>
        </w:numPr>
        <w:spacing w:after="160" w:line="240" w:lineRule="auto"/>
      </w:pPr>
      <w:r w:rsidRPr="005E4A52">
        <w:rPr>
          <w:rFonts w:eastAsia="Times New Roman" w:cs="Arial"/>
        </w:rPr>
        <w:t>other technical improvements to streamline the regulatory framework of the scheme.</w:t>
      </w:r>
    </w:p>
    <w:p w14:paraId="6006D518" w14:textId="77777777" w:rsidR="007532D0" w:rsidRPr="005E4A52" w:rsidRDefault="007532D0" w:rsidP="00C65955">
      <w:pPr>
        <w:suppressLineNumbers/>
        <w:spacing w:after="120" w:line="240" w:lineRule="auto"/>
        <w:rPr>
          <w:rFonts w:cs="Arial"/>
          <w:b/>
          <w:bCs/>
        </w:rPr>
      </w:pPr>
      <w:r w:rsidRPr="005E4A52">
        <w:rPr>
          <w:rFonts w:cs="Arial"/>
          <w:b/>
          <w:bCs/>
        </w:rPr>
        <w:t>Out of scope</w:t>
      </w:r>
    </w:p>
    <w:p w14:paraId="0129D463" w14:textId="77777777" w:rsidR="007532D0" w:rsidRPr="005E4A52" w:rsidRDefault="007532D0" w:rsidP="00C65955">
      <w:pPr>
        <w:suppressLineNumbers/>
        <w:spacing w:after="120" w:line="240" w:lineRule="auto"/>
        <w:rPr>
          <w:rFonts w:cs="Arial"/>
        </w:rPr>
      </w:pPr>
      <w:r w:rsidRPr="005E4A52">
        <w:rPr>
          <w:rFonts w:cs="Arial"/>
        </w:rPr>
        <w:t xml:space="preserve">Obligations under the Commonwealth WHS Act are not within the scope of this review. The WHS Act is based on national model legislation. Responsibility for reforms to the national model WHS Act sits with Safe Work Australia and is subject to agreement by relevant Commonwealth, state and territory ministers. </w:t>
      </w:r>
    </w:p>
    <w:p w14:paraId="64A5A804" w14:textId="4E2DDBAE" w:rsidR="006D72B6" w:rsidRDefault="007532D0" w:rsidP="00C65955">
      <w:pPr>
        <w:suppressLineNumbers/>
        <w:shd w:val="clear" w:color="auto" w:fill="FFFFFF" w:themeFill="background1"/>
        <w:spacing w:line="240" w:lineRule="auto"/>
        <w:rPr>
          <w:rFonts w:cs="Arial"/>
        </w:rPr>
      </w:pPr>
      <w:r w:rsidRPr="005E4A52">
        <w:rPr>
          <w:rFonts w:cs="Arial"/>
        </w:rPr>
        <w:t>The review will not make recommendations for reform of other Commonwealth workers’ compensation schemes such as the military compensation schemes, the Parliamentary Injury Compensation Scheme (PICS), the</w:t>
      </w:r>
      <w:r w:rsidRPr="005E4A52">
        <w:t xml:space="preserve"> </w:t>
      </w:r>
      <w:r w:rsidRPr="005E4A52">
        <w:rPr>
          <w:rFonts w:cs="Arial"/>
          <w:i/>
          <w:iCs/>
        </w:rPr>
        <w:t xml:space="preserve">Asbestos-related Claims (Management of Commonwealth Liabilities) Act 2005 </w:t>
      </w:r>
      <w:r w:rsidRPr="005E4A52">
        <w:rPr>
          <w:rFonts w:cs="Arial"/>
        </w:rPr>
        <w:t xml:space="preserve">(ARC Act) and the </w:t>
      </w:r>
      <w:proofErr w:type="spellStart"/>
      <w:r w:rsidRPr="005E4A52">
        <w:rPr>
          <w:rFonts w:cs="Arial"/>
        </w:rPr>
        <w:t>Seacare</w:t>
      </w:r>
      <w:proofErr w:type="spellEnd"/>
      <w:r w:rsidRPr="005E4A52">
        <w:rPr>
          <w:rFonts w:cs="Arial"/>
        </w:rPr>
        <w:t xml:space="preserve"> scheme. </w:t>
      </w:r>
      <w:r w:rsidRPr="005E4A52">
        <w:rPr>
          <w:rFonts w:cs="Arial"/>
          <w:shd w:val="clear" w:color="auto" w:fill="FFFFFF" w:themeFill="background1"/>
        </w:rPr>
        <w:t>Evidence of the experience of injured workers and their families</w:t>
      </w:r>
      <w:r w:rsidRPr="005E4A52">
        <w:rPr>
          <w:rFonts w:cs="Arial"/>
        </w:rPr>
        <w:t xml:space="preserve"> and of best practice arrangements in these schemes, as well as recent reviews of these schemes, may be considered by the review in making recommendations for reform of the Comcare scheme. The final review report will be available for consideration in any future reform of other Commonwealth schemes.</w:t>
      </w:r>
      <w:r w:rsidR="00C65955">
        <w:rPr>
          <w:rFonts w:cs="Arial"/>
        </w:rPr>
        <w:t xml:space="preserve"> </w:t>
      </w:r>
      <w:r w:rsidRPr="005E4A52">
        <w:rPr>
          <w:rFonts w:eastAsia="Times New Roman" w:cs="Arial"/>
        </w:rPr>
        <w:t xml:space="preserve">The review will seek feedback from injured </w:t>
      </w:r>
      <w:r w:rsidRPr="005E4A52">
        <w:rPr>
          <w:rFonts w:eastAsia="Times New Roman" w:cs="Arial"/>
          <w:shd w:val="clear" w:color="auto" w:fill="FFFFFF" w:themeFill="background1"/>
        </w:rPr>
        <w:t xml:space="preserve">workers and </w:t>
      </w:r>
      <w:r w:rsidRPr="00FA62E0">
        <w:t>their families within and outside the Comcare scheme to inform recommendations for reform to the legislative framework underpinning the Comcare scheme. However, the review will not make findings in relation to workers’ compensation schemes other than the Comcare scheme</w:t>
      </w:r>
      <w:r w:rsidRPr="005E4A52">
        <w:rPr>
          <w:rFonts w:cs="Arial"/>
        </w:rPr>
        <w:t xml:space="preserve">, or findings in relation to individual claims. </w:t>
      </w:r>
    </w:p>
    <w:p w14:paraId="406A9316" w14:textId="7FA462A3" w:rsidR="007532D0" w:rsidRPr="00805849" w:rsidRDefault="007532D0" w:rsidP="00C65955">
      <w:pPr>
        <w:suppressLineNumbers/>
        <w:shd w:val="clear" w:color="auto" w:fill="FFFFFF" w:themeFill="background1"/>
        <w:spacing w:after="120" w:line="240" w:lineRule="auto"/>
        <w:rPr>
          <w:rFonts w:cs="Arial"/>
        </w:rPr>
      </w:pPr>
      <w:r w:rsidRPr="005E4A52">
        <w:rPr>
          <w:rFonts w:cs="Arial"/>
          <w:b/>
          <w:bCs/>
        </w:rPr>
        <w:t>Reporting period</w:t>
      </w:r>
    </w:p>
    <w:p w14:paraId="664FDE25" w14:textId="505187F6" w:rsidR="007532D0" w:rsidRPr="005E4A52" w:rsidRDefault="007532D0" w:rsidP="00C65955">
      <w:pPr>
        <w:keepNext/>
        <w:suppressLineNumbers/>
        <w:spacing w:after="120" w:line="240" w:lineRule="auto"/>
        <w:rPr>
          <w:rFonts w:eastAsia="Times New Roman" w:cs="Arial"/>
        </w:rPr>
      </w:pPr>
      <w:r w:rsidRPr="005E4A52">
        <w:rPr>
          <w:rFonts w:eastAsia="Times New Roman" w:cs="Arial"/>
        </w:rPr>
        <w:t>A final report on the review’s findings and recommendations will be given to Government for consideration within 12 months of the establishment of the independent review panel.</w:t>
      </w:r>
      <w:r w:rsidR="00E963D8">
        <w:rPr>
          <w:rFonts w:eastAsia="Times New Roman" w:cs="Arial"/>
        </w:rPr>
        <w:t xml:space="preserve"> </w:t>
      </w:r>
      <w:r w:rsidRPr="005E4A52">
        <w:rPr>
          <w:rFonts w:eastAsia="Times New Roman" w:cs="Arial"/>
        </w:rPr>
        <w:t>Information</w:t>
      </w:r>
      <w:r w:rsidR="00C65955">
        <w:rPr>
          <w:rFonts w:eastAsia="Times New Roman" w:cs="Arial"/>
        </w:rPr>
        <w:t xml:space="preserve"> </w:t>
      </w:r>
      <w:r w:rsidRPr="005E4A52">
        <w:rPr>
          <w:rFonts w:eastAsia="Times New Roman" w:cs="Arial"/>
        </w:rPr>
        <w:t>on how to engage with the review can be found on the department’s website at: &lt;</w:t>
      </w:r>
      <w:hyperlink r:id="rId92">
        <w:r w:rsidRPr="005E4A52">
          <w:rPr>
            <w:rStyle w:val="Hyperlink"/>
            <w:rFonts w:eastAsia="Times New Roman" w:cs="Arial"/>
          </w:rPr>
          <w:t>www.dewr.gov.au</w:t>
        </w:r>
      </w:hyperlink>
      <w:r w:rsidRPr="005E4A52">
        <w:rPr>
          <w:rFonts w:eastAsia="Times New Roman" w:cs="Arial"/>
        </w:rPr>
        <w:t>&gt;</w:t>
      </w:r>
    </w:p>
    <w:p w14:paraId="44373120" w14:textId="527C510D" w:rsidR="007532D0" w:rsidRPr="005E4A52" w:rsidRDefault="007532D0" w:rsidP="007532D0">
      <w:pPr>
        <w:spacing w:after="160"/>
        <w:rPr>
          <w:rFonts w:eastAsia="Times New Roman" w:cs="Arial"/>
        </w:rPr>
      </w:pPr>
    </w:p>
    <w:sectPr w:rsidR="007532D0" w:rsidRPr="005E4A52" w:rsidSect="00724E79">
      <w:headerReference w:type="default" r:id="rId93"/>
      <w:pgSz w:w="11906" w:h="16838"/>
      <w:pgMar w:top="1440" w:right="1304" w:bottom="1440" w:left="1304" w:header="0"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0EE89" w14:textId="77777777" w:rsidR="00080552" w:rsidRDefault="00080552" w:rsidP="000A6228">
      <w:pPr>
        <w:spacing w:after="0" w:line="240" w:lineRule="auto"/>
      </w:pPr>
      <w:r>
        <w:separator/>
      </w:r>
    </w:p>
  </w:endnote>
  <w:endnote w:type="continuationSeparator" w:id="0">
    <w:p w14:paraId="0F5DA670" w14:textId="77777777" w:rsidR="00080552" w:rsidRDefault="00080552" w:rsidP="000A6228">
      <w:pPr>
        <w:spacing w:after="0" w:line="240" w:lineRule="auto"/>
      </w:pPr>
      <w:r>
        <w:continuationSeparator/>
      </w:r>
    </w:p>
  </w:endnote>
  <w:endnote w:type="continuationNotice" w:id="1">
    <w:p w14:paraId="62498A4F" w14:textId="77777777" w:rsidR="00080552" w:rsidRDefault="000805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1179473"/>
      <w:docPartObj>
        <w:docPartGallery w:val="Page Numbers (Bottom of Page)"/>
        <w:docPartUnique/>
      </w:docPartObj>
    </w:sdtPr>
    <w:sdtEndPr>
      <w:rPr>
        <w:noProof/>
        <w:color w:val="auto"/>
      </w:rPr>
    </w:sdtEndPr>
    <w:sdtContent>
      <w:p w14:paraId="385E251C" w14:textId="739A6EBE" w:rsidR="00336D86" w:rsidRPr="005F2A99" w:rsidRDefault="00336D86">
        <w:pPr>
          <w:pStyle w:val="Footer"/>
          <w:rPr>
            <w:color w:val="auto"/>
          </w:rPr>
        </w:pPr>
        <w:r w:rsidRPr="005F2A99">
          <w:rPr>
            <w:color w:val="auto"/>
          </w:rPr>
          <w:fldChar w:fldCharType="begin"/>
        </w:r>
        <w:r w:rsidRPr="005F2A99">
          <w:rPr>
            <w:color w:val="auto"/>
          </w:rPr>
          <w:instrText xml:space="preserve"> PAGE   \* MERGEFORMAT </w:instrText>
        </w:r>
        <w:r w:rsidRPr="005F2A99">
          <w:rPr>
            <w:color w:val="auto"/>
          </w:rPr>
          <w:fldChar w:fldCharType="separate"/>
        </w:r>
        <w:r w:rsidRPr="005F2A99">
          <w:rPr>
            <w:noProof/>
            <w:color w:val="auto"/>
          </w:rPr>
          <w:t>2</w:t>
        </w:r>
        <w:r w:rsidRPr="005F2A99">
          <w:rPr>
            <w:noProof/>
            <w:color w:val="auto"/>
          </w:rPr>
          <w:fldChar w:fldCharType="end"/>
        </w:r>
      </w:p>
    </w:sdtContent>
  </w:sdt>
  <w:p w14:paraId="55E95F46" w14:textId="77777777" w:rsidR="00336D86" w:rsidRDefault="00336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2109055"/>
      <w:docPartObj>
        <w:docPartGallery w:val="Page Numbers (Bottom of Page)"/>
        <w:docPartUnique/>
      </w:docPartObj>
    </w:sdtPr>
    <w:sdtEndPr>
      <w:rPr>
        <w:noProof/>
      </w:rPr>
    </w:sdtEndPr>
    <w:sdtContent>
      <w:p w14:paraId="5CCADF5C" w14:textId="08AE3CAF" w:rsidR="009B4A91" w:rsidRDefault="009B4A91">
        <w:pPr>
          <w:pStyle w:val="Footer"/>
        </w:pPr>
        <w:r>
          <w:fldChar w:fldCharType="begin"/>
        </w:r>
        <w:r>
          <w:instrText xml:space="preserve"> PAGE   \* MERGEFORMAT </w:instrText>
        </w:r>
        <w:r>
          <w:fldChar w:fldCharType="separate"/>
        </w:r>
        <w:r>
          <w:rPr>
            <w:noProof/>
          </w:rPr>
          <w:t>2</w:t>
        </w:r>
        <w:r>
          <w:rPr>
            <w:noProof/>
          </w:rPr>
          <w:fldChar w:fldCharType="end"/>
        </w:r>
      </w:p>
    </w:sdtContent>
  </w:sdt>
  <w:p w14:paraId="753D0622" w14:textId="77777777" w:rsidR="009B4A91" w:rsidRDefault="009B4A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361452"/>
      <w:docPartObj>
        <w:docPartGallery w:val="Page Numbers (Bottom of Page)"/>
        <w:docPartUnique/>
      </w:docPartObj>
    </w:sdtPr>
    <w:sdtEndPr>
      <w:rPr>
        <w:noProof/>
      </w:rPr>
    </w:sdtEndPr>
    <w:sdtContent>
      <w:p w14:paraId="2D1E5082" w14:textId="1F44933D" w:rsidR="00CF2E61" w:rsidRDefault="00CF2E61">
        <w:pPr>
          <w:pStyle w:val="Footer"/>
        </w:pPr>
        <w:r>
          <w:fldChar w:fldCharType="begin"/>
        </w:r>
        <w:r>
          <w:instrText xml:space="preserve"> PAGE   \* MERGEFORMAT </w:instrText>
        </w:r>
        <w:r>
          <w:fldChar w:fldCharType="separate"/>
        </w:r>
        <w:r>
          <w:rPr>
            <w:noProof/>
          </w:rPr>
          <w:t>2</w:t>
        </w:r>
        <w:r>
          <w:rPr>
            <w:noProof/>
          </w:rPr>
          <w:fldChar w:fldCharType="end"/>
        </w:r>
      </w:p>
    </w:sdtContent>
  </w:sdt>
  <w:p w14:paraId="624CB1FF" w14:textId="6EB4E767" w:rsidR="00221D8F" w:rsidRDefault="00221D8F" w:rsidP="00DE0430">
    <w:pPr>
      <w:pStyle w:val="Footer"/>
      <w:ind w:right="5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7D1D8" w14:textId="77777777" w:rsidR="00080552" w:rsidRDefault="00080552" w:rsidP="000A6228">
      <w:pPr>
        <w:spacing w:after="0" w:line="240" w:lineRule="auto"/>
      </w:pPr>
      <w:r>
        <w:separator/>
      </w:r>
    </w:p>
  </w:footnote>
  <w:footnote w:type="continuationSeparator" w:id="0">
    <w:p w14:paraId="36F2153C" w14:textId="77777777" w:rsidR="00080552" w:rsidRDefault="00080552" w:rsidP="000A6228">
      <w:pPr>
        <w:spacing w:after="0" w:line="240" w:lineRule="auto"/>
      </w:pPr>
      <w:r>
        <w:continuationSeparator/>
      </w:r>
    </w:p>
  </w:footnote>
  <w:footnote w:type="continuationNotice" w:id="1">
    <w:p w14:paraId="35FCB4A2" w14:textId="77777777" w:rsidR="00080552" w:rsidRDefault="00080552">
      <w:pPr>
        <w:spacing w:after="0" w:line="240" w:lineRule="auto"/>
      </w:pPr>
    </w:p>
  </w:footnote>
  <w:footnote w:id="2">
    <w:p w14:paraId="1A3512A0" w14:textId="51815A37" w:rsidR="00EB66FA" w:rsidRDefault="00EB66FA" w:rsidP="00EB66FA">
      <w:pPr>
        <w:pStyle w:val="FootnoteText"/>
      </w:pPr>
      <w:r>
        <w:rPr>
          <w:rStyle w:val="FootnoteReference"/>
        </w:rPr>
        <w:footnoteRef/>
      </w:r>
      <w:r>
        <w:t xml:space="preserve"> Independent panel members, </w:t>
      </w:r>
      <w:hyperlink r:id="rId1" w:history="1">
        <w:r w:rsidRPr="003F213A">
          <w:rPr>
            <w:rStyle w:val="Hyperlink"/>
          </w:rPr>
          <w:t>An independent review of the Safety, Rehabilitation and Compensation Act 1988 - Department of Employment and Workplace Relations, Australian Government (dewr.gov.au)</w:t>
        </w:r>
      </w:hyperlink>
      <w:r w:rsidR="00B224B1">
        <w:rPr>
          <w:rStyle w:val="Hyperlink"/>
        </w:rPr>
        <w:t>.</w:t>
      </w:r>
    </w:p>
  </w:footnote>
  <w:footnote w:id="3">
    <w:p w14:paraId="1EB0507F" w14:textId="59058FD6" w:rsidR="00240957" w:rsidRPr="00A55926" w:rsidRDefault="00240957" w:rsidP="00240957">
      <w:pPr>
        <w:spacing w:after="0"/>
        <w:rPr>
          <w:sz w:val="20"/>
          <w:szCs w:val="20"/>
        </w:rPr>
      </w:pPr>
      <w:r w:rsidRPr="00A55926">
        <w:rPr>
          <w:rStyle w:val="FootnoteReference"/>
        </w:rPr>
        <w:footnoteRef/>
      </w:r>
      <w:r w:rsidRPr="00A55926">
        <w:rPr>
          <w:sz w:val="20"/>
          <w:szCs w:val="20"/>
        </w:rPr>
        <w:t xml:space="preserve"> </w:t>
      </w:r>
      <w:r>
        <w:rPr>
          <w:sz w:val="20"/>
          <w:szCs w:val="20"/>
        </w:rPr>
        <w:t xml:space="preserve">Productivity Commission, </w:t>
      </w:r>
      <w:r>
        <w:rPr>
          <w:i/>
          <w:iCs/>
          <w:sz w:val="20"/>
          <w:szCs w:val="20"/>
        </w:rPr>
        <w:t xml:space="preserve">National Workers’ Compensation and Occupational Health and Safety Frameworks, accessed 17 July 2024, </w:t>
      </w:r>
      <w:r w:rsidRPr="00A55926">
        <w:rPr>
          <w:sz w:val="20"/>
          <w:szCs w:val="20"/>
        </w:rPr>
        <w:t>2004</w:t>
      </w:r>
      <w:r>
        <w:rPr>
          <w:sz w:val="20"/>
          <w:szCs w:val="20"/>
        </w:rPr>
        <w:t>,</w:t>
      </w:r>
      <w:r w:rsidR="00E963D8">
        <w:rPr>
          <w:sz w:val="20"/>
          <w:szCs w:val="20"/>
        </w:rPr>
        <w:t xml:space="preserve"> </w:t>
      </w:r>
      <w:hyperlink r:id="rId2" w:history="1">
        <w:r w:rsidRPr="000D1750">
          <w:rPr>
            <w:rStyle w:val="Hyperlink"/>
            <w:sz w:val="20"/>
            <w:szCs w:val="20"/>
          </w:rPr>
          <w:t>Inquiry report -</w:t>
        </w:r>
        <w:r w:rsidRPr="008E269B">
          <w:rPr>
            <w:rStyle w:val="Hyperlink"/>
            <w:i/>
            <w:iCs/>
            <w:sz w:val="20"/>
            <w:szCs w:val="20"/>
          </w:rPr>
          <w:t xml:space="preserve"> National Workers' Compensation and Occupational Health and Safety Frameworks - </w:t>
        </w:r>
        <w:r w:rsidRPr="000D1750">
          <w:rPr>
            <w:rStyle w:val="Hyperlink"/>
            <w:sz w:val="20"/>
            <w:szCs w:val="20"/>
          </w:rPr>
          <w:t>Productivity Commission (pc.gov.au)</w:t>
        </w:r>
      </w:hyperlink>
      <w:r>
        <w:rPr>
          <w:rStyle w:val="Hyperlink"/>
          <w:sz w:val="20"/>
          <w:szCs w:val="20"/>
        </w:rPr>
        <w:t>.</w:t>
      </w:r>
    </w:p>
  </w:footnote>
  <w:footnote w:id="4">
    <w:p w14:paraId="2CB3167B" w14:textId="77777777" w:rsidR="00240957" w:rsidRDefault="00240957" w:rsidP="00240957">
      <w:pPr>
        <w:pStyle w:val="FootnoteText"/>
      </w:pPr>
      <w:r>
        <w:rPr>
          <w:rStyle w:val="FootnoteReference"/>
        </w:rPr>
        <w:footnoteRef/>
      </w:r>
      <w:r>
        <w:t xml:space="preserve"> Allan Hawke AC, </w:t>
      </w:r>
      <w:hyperlink r:id="rId3" w:history="1">
        <w:r w:rsidRPr="008E269B">
          <w:rPr>
            <w:rStyle w:val="Hyperlink"/>
            <w:i/>
            <w:iCs/>
          </w:rPr>
          <w:t>‘Safety, Rehabilitation and Compensation Act review, Report of the Comcare scheme’s performance, governance and financial framework</w:t>
        </w:r>
        <w:r w:rsidRPr="00211B09">
          <w:rPr>
            <w:rStyle w:val="Hyperlink"/>
          </w:rPr>
          <w:t>,’</w:t>
        </w:r>
      </w:hyperlink>
      <w:r>
        <w:t xml:space="preserve"> Report to the Australian Government Department of Education, Employment and Workplace Relations, 2013, accessed 17 July 2024 (Hawke Review).</w:t>
      </w:r>
    </w:p>
  </w:footnote>
  <w:footnote w:id="5">
    <w:p w14:paraId="3D39903B" w14:textId="77777777" w:rsidR="00857EE1" w:rsidRDefault="00857EE1" w:rsidP="00857EE1">
      <w:pPr>
        <w:pStyle w:val="FootnoteText"/>
      </w:pPr>
      <w:r>
        <w:rPr>
          <w:rStyle w:val="FootnoteReference"/>
        </w:rPr>
        <w:footnoteRef/>
      </w:r>
      <w:r>
        <w:t xml:space="preserve"> Peter Hanks KC, </w:t>
      </w:r>
      <w:hyperlink r:id="rId4" w:anchor=":~:text=Mr%20Peter%20Hanks%20QC%20%2D%20the,injured%20workers%20and%20their%20employers." w:history="1">
        <w:r w:rsidRPr="004E0F81">
          <w:rPr>
            <w:rStyle w:val="Hyperlink"/>
          </w:rPr>
          <w:t>‘</w:t>
        </w:r>
        <w:r w:rsidRPr="008E269B">
          <w:rPr>
            <w:rStyle w:val="Hyperlink"/>
            <w:i/>
            <w:iCs/>
          </w:rPr>
          <w:t>Safety, Rehabilitation and Compensation Act review</w:t>
        </w:r>
        <w:r w:rsidRPr="004E0F81">
          <w:rPr>
            <w:rStyle w:val="Hyperlink"/>
          </w:rPr>
          <w:t>, Report – February 2013</w:t>
        </w:r>
      </w:hyperlink>
      <w:r>
        <w:t>,’ Report to the Australian Government Department of Education, Employment and Workplace Relations, 2013, accessed 17 July 2024 (Hanks Reviews).</w:t>
      </w:r>
    </w:p>
  </w:footnote>
  <w:footnote w:id="6">
    <w:p w14:paraId="3F567058" w14:textId="77777777" w:rsidR="00857EE1" w:rsidRPr="00A55926" w:rsidRDefault="00857EE1" w:rsidP="00857EE1">
      <w:pPr>
        <w:pStyle w:val="FootnoteText"/>
      </w:pPr>
      <w:r w:rsidRPr="00A55926">
        <w:rPr>
          <w:rStyle w:val="FootnoteReference"/>
        </w:rPr>
        <w:footnoteRef/>
      </w:r>
      <w:r w:rsidRPr="00A55926">
        <w:t xml:space="preserve"> </w:t>
      </w:r>
      <w:r>
        <w:t xml:space="preserve">SWA, </w:t>
      </w:r>
      <w:hyperlink r:id="rId5" w:history="1">
        <w:r w:rsidRPr="008E269B">
          <w:rPr>
            <w:rStyle w:val="Hyperlink"/>
            <w:i/>
            <w:iCs/>
          </w:rPr>
          <w:t xml:space="preserve">National Return to Work Strategy 2020-2030 </w:t>
        </w:r>
        <w:r w:rsidRPr="00A55926">
          <w:rPr>
            <w:rStyle w:val="Hyperlink"/>
          </w:rPr>
          <w:t>(safeworkaustralia.gov.au)</w:t>
        </w:r>
      </w:hyperlink>
      <w:r>
        <w:rPr>
          <w:rStyle w:val="Hyperlink"/>
        </w:rPr>
        <w:t>, accessed 17 July 2024.</w:t>
      </w:r>
    </w:p>
  </w:footnote>
  <w:footnote w:id="7">
    <w:p w14:paraId="12B7FB11" w14:textId="594EE8E2" w:rsidR="00752444" w:rsidRDefault="00752444" w:rsidP="00752444">
      <w:pPr>
        <w:pStyle w:val="FootnoteText"/>
      </w:pPr>
      <w:r>
        <w:rPr>
          <w:rStyle w:val="FootnoteReference"/>
        </w:rPr>
        <w:footnoteRef/>
      </w:r>
      <w:r>
        <w:t xml:space="preserve"> </w:t>
      </w:r>
      <w:r w:rsidRPr="005572F9">
        <w:t>Department of Veteran Affairs,</w:t>
      </w:r>
      <w:r>
        <w:t xml:space="preserve"> </w:t>
      </w:r>
      <w:r w:rsidRPr="00387D44">
        <w:t>Royal Commission into Defence and Veteran Suicide</w:t>
      </w:r>
      <w:r>
        <w:t xml:space="preserve">, </w:t>
      </w:r>
      <w:r w:rsidRPr="00A910A9">
        <w:rPr>
          <w:i/>
        </w:rPr>
        <w:t xml:space="preserve">Final </w:t>
      </w:r>
      <w:r w:rsidRPr="00A910A9">
        <w:rPr>
          <w:i/>
          <w:iCs/>
        </w:rPr>
        <w:t>Report</w:t>
      </w:r>
      <w:r>
        <w:t xml:space="preserve"> (2024), </w:t>
      </w:r>
      <w:hyperlink r:id="rId6" w:history="1">
        <w:r w:rsidRPr="00732B20">
          <w:rPr>
            <w:rStyle w:val="Hyperlink"/>
          </w:rPr>
          <w:t xml:space="preserve">Final Report | </w:t>
        </w:r>
        <w:r w:rsidRPr="004C3823">
          <w:rPr>
            <w:rStyle w:val="Hyperlink"/>
            <w:i/>
            <w:iCs/>
          </w:rPr>
          <w:t>Royal Commission into Defence and Veteran Suicide</w:t>
        </w:r>
      </w:hyperlink>
      <w:r>
        <w:t>, accessed 16 September 2024</w:t>
      </w:r>
      <w:r w:rsidR="00E963D8">
        <w:t>.</w:t>
      </w:r>
    </w:p>
  </w:footnote>
  <w:footnote w:id="8">
    <w:p w14:paraId="265E1286" w14:textId="77777777" w:rsidR="00857EE1" w:rsidRDefault="00857EE1" w:rsidP="00857EE1">
      <w:pPr>
        <w:pStyle w:val="FootnoteText"/>
      </w:pPr>
      <w:r>
        <w:rPr>
          <w:rStyle w:val="FootnoteReference"/>
        </w:rPr>
        <w:footnoteRef/>
      </w:r>
      <w:r>
        <w:t xml:space="preserve"> Comcare, Scheme overview, </w:t>
      </w:r>
      <w:r>
        <w:rPr>
          <w:i/>
          <w:iCs/>
        </w:rPr>
        <w:t>Comcare,</w:t>
      </w:r>
      <w:r w:rsidRPr="00CA2E51">
        <w:t xml:space="preserve"> </w:t>
      </w:r>
      <w:hyperlink r:id="rId7" w:history="1">
        <w:r w:rsidRPr="009C016E">
          <w:rPr>
            <w:rStyle w:val="Hyperlink"/>
            <w:i/>
            <w:iCs/>
          </w:rPr>
          <w:t>https://www.comcare.gov.au/scheme-legislation/scheme-performance/overview</w:t>
        </w:r>
      </w:hyperlink>
      <w:r>
        <w:rPr>
          <w:i/>
          <w:iCs/>
        </w:rPr>
        <w:t xml:space="preserve">, </w:t>
      </w:r>
      <w:r w:rsidRPr="00E242A9">
        <w:t>accessed 22 July 2024.</w:t>
      </w:r>
      <w:r>
        <w:t xml:space="preserve"> </w:t>
      </w:r>
    </w:p>
  </w:footnote>
  <w:footnote w:id="9">
    <w:p w14:paraId="5969454F" w14:textId="792F5C2C" w:rsidR="00857EE1" w:rsidRDefault="00857EE1" w:rsidP="00857EE1">
      <w:pPr>
        <w:pStyle w:val="FootnoteText"/>
      </w:pPr>
      <w:r>
        <w:rPr>
          <w:rStyle w:val="FootnoteReference"/>
        </w:rPr>
        <w:footnoteRef/>
      </w:r>
      <w:r>
        <w:t xml:space="preserve"> Comcare, </w:t>
      </w:r>
      <w:r>
        <w:rPr>
          <w:i/>
        </w:rPr>
        <w:t xml:space="preserve">Annual Report </w:t>
      </w:r>
      <w:r>
        <w:rPr>
          <w:i/>
          <w:iCs/>
        </w:rPr>
        <w:t xml:space="preserve">2018-2019, </w:t>
      </w:r>
      <w:r>
        <w:t xml:space="preserve">p 4, </w:t>
      </w:r>
      <w:r>
        <w:rPr>
          <w:rStyle w:val="Hyperlink"/>
        </w:rPr>
        <w:t>accessed 22 July 2024.</w:t>
      </w:r>
    </w:p>
  </w:footnote>
  <w:footnote w:id="10">
    <w:p w14:paraId="3694C391" w14:textId="77777777" w:rsidR="00857EE1" w:rsidRDefault="00857EE1" w:rsidP="00857EE1">
      <w:pPr>
        <w:pStyle w:val="FootnoteText"/>
      </w:pPr>
      <w:r>
        <w:rPr>
          <w:rStyle w:val="FootnoteReference"/>
        </w:rPr>
        <w:footnoteRef/>
      </w:r>
      <w:r>
        <w:t xml:space="preserve"> Comcare, </w:t>
      </w:r>
      <w:hyperlink r:id="rId8" w:history="1">
        <w:r w:rsidRPr="00033459">
          <w:rPr>
            <w:rStyle w:val="Hyperlink"/>
            <w:i/>
            <w:iCs/>
          </w:rPr>
          <w:t>Comcare and SRCC Annual Report 2022–23</w:t>
        </w:r>
      </w:hyperlink>
      <w:r>
        <w:t>, pp17-18, accessed 22 July 2024.</w:t>
      </w:r>
    </w:p>
  </w:footnote>
  <w:footnote w:id="11">
    <w:p w14:paraId="6EDE55D6" w14:textId="77777777" w:rsidR="00FF200C" w:rsidRDefault="00FF200C" w:rsidP="00FF200C">
      <w:pPr>
        <w:pStyle w:val="FootnoteText"/>
      </w:pPr>
      <w:r>
        <w:rPr>
          <w:rStyle w:val="FootnoteReference"/>
        </w:rPr>
        <w:footnoteRef/>
      </w:r>
      <w:r>
        <w:t xml:space="preserve"> The coverage percentage of the Australian workforce is approximate as industry figures sourced from the Australian Bureau of Statistics data are headcounts, not FTE. Source: data provided by Comcare.</w:t>
      </w:r>
    </w:p>
  </w:footnote>
  <w:footnote w:id="12">
    <w:p w14:paraId="041F5052" w14:textId="72D9D431" w:rsidR="00857EE1" w:rsidRDefault="00857EE1" w:rsidP="00857EE1">
      <w:pPr>
        <w:pStyle w:val="FootnoteText"/>
      </w:pPr>
      <w:r>
        <w:rPr>
          <w:rStyle w:val="FootnoteReference"/>
        </w:rPr>
        <w:footnoteRef/>
      </w:r>
      <w:r>
        <w:t xml:space="preserve"> Comcare, </w:t>
      </w:r>
      <w:hyperlink r:id="rId9" w:history="1">
        <w:r w:rsidRPr="00996AE4">
          <w:rPr>
            <w:rStyle w:val="Hyperlink"/>
            <w:i/>
          </w:rPr>
          <w:t>Claims performance and incidence statistics | Comcare</w:t>
        </w:r>
      </w:hyperlink>
      <w:r>
        <w:rPr>
          <w:rStyle w:val="Hyperlink"/>
          <w:i/>
          <w:iCs/>
        </w:rPr>
        <w:t>,</w:t>
      </w:r>
      <w:r w:rsidRPr="00471D76">
        <w:t xml:space="preserve"> </w:t>
      </w:r>
      <w:r>
        <w:t>accessed 23 July 2024.</w:t>
      </w:r>
      <w:r w:rsidR="00500F1C" w:rsidRPr="00500F1C">
        <w:t xml:space="preserve"> </w:t>
      </w:r>
    </w:p>
  </w:footnote>
  <w:footnote w:id="13">
    <w:p w14:paraId="40590792" w14:textId="0533BC88" w:rsidR="00857EE1" w:rsidRDefault="00857EE1" w:rsidP="00857EE1">
      <w:pPr>
        <w:pStyle w:val="FootnoteText"/>
      </w:pPr>
      <w:r>
        <w:rPr>
          <w:rStyle w:val="FootnoteReference"/>
        </w:rPr>
        <w:footnoteRef/>
      </w:r>
      <w:r>
        <w:t xml:space="preserve"> Note: Australian Government data refers to entities who pay a premium to Comcare. Self-insured licensee data includes the ACT Government.</w:t>
      </w:r>
      <w:r w:rsidR="00500F1C" w:rsidRPr="00500F1C">
        <w:t xml:space="preserve"> </w:t>
      </w:r>
    </w:p>
  </w:footnote>
  <w:footnote w:id="14">
    <w:p w14:paraId="3EE5D1E2" w14:textId="77777777" w:rsidR="009269EB" w:rsidRDefault="009269EB">
      <w:pPr>
        <w:pStyle w:val="FootnoteText"/>
      </w:pPr>
      <w:r>
        <w:rPr>
          <w:rStyle w:val="FootnoteReference"/>
        </w:rPr>
        <w:footnoteRef/>
      </w:r>
      <w:r>
        <w:t xml:space="preserve"> Average costs reflect </w:t>
      </w:r>
      <w:r w:rsidRPr="004F6E94">
        <w:t>how much was paid, on average for each claim, which had payment(s) in that financial year. Costs are any payments in relation to workers compensation under the SRC Act, and can include</w:t>
      </w:r>
      <w:r>
        <w:t xml:space="preserve"> legal, incapacity, medical, rehabilitation and other costs.</w:t>
      </w:r>
    </w:p>
  </w:footnote>
  <w:footnote w:id="15">
    <w:p w14:paraId="232F41D0" w14:textId="77777777" w:rsidR="00345387" w:rsidRDefault="00345387" w:rsidP="00345387">
      <w:pPr>
        <w:pStyle w:val="FootnoteText"/>
      </w:pPr>
      <w:r>
        <w:rPr>
          <w:rStyle w:val="FootnoteReference"/>
        </w:rPr>
        <w:footnoteRef/>
      </w:r>
      <w:r>
        <w:t xml:space="preserve"> Griffith University, </w:t>
      </w:r>
      <w:r w:rsidRPr="00CA0D62">
        <w:t>‘</w:t>
      </w:r>
      <w:hyperlink r:id="rId10" w:history="1">
        <w:r w:rsidRPr="008E269B">
          <w:rPr>
            <w:rStyle w:val="Hyperlink"/>
            <w:i/>
            <w:iCs/>
          </w:rPr>
          <w:t>Stigma towards injured or ill workers: Research on the causes and impact of stigma in workplaces, and approaches to creating positive workplace cultures that support return to work’</w:t>
        </w:r>
      </w:hyperlink>
      <w:r>
        <w:t>, SWA, 2021, accessed 4 July 2024.</w:t>
      </w:r>
    </w:p>
  </w:footnote>
  <w:footnote w:id="16">
    <w:p w14:paraId="66FC9D14" w14:textId="77777777" w:rsidR="00345387" w:rsidRDefault="00345387" w:rsidP="00345387">
      <w:pPr>
        <w:pStyle w:val="FootnoteText"/>
      </w:pPr>
      <w:r>
        <w:rPr>
          <w:rStyle w:val="FootnoteReference"/>
        </w:rPr>
        <w:footnoteRef/>
      </w:r>
      <w:r>
        <w:t xml:space="preserve"> </w:t>
      </w:r>
      <w:r w:rsidRPr="007C17FC">
        <w:t>Australian Bureau of Statistics, </w:t>
      </w:r>
      <w:r w:rsidRPr="007C17FC">
        <w:rPr>
          <w:i/>
          <w:iCs/>
        </w:rPr>
        <w:t>Work Related Injuries, </w:t>
      </w:r>
      <w:r w:rsidRPr="007C17FC">
        <w:t>ABS, 2021-22, accessed July 17, 2024.</w:t>
      </w:r>
    </w:p>
  </w:footnote>
  <w:footnote w:id="17">
    <w:p w14:paraId="16740D8A" w14:textId="053F32DF" w:rsidR="0062202D" w:rsidRDefault="0062202D">
      <w:pPr>
        <w:pStyle w:val="FootnoteText"/>
      </w:pPr>
      <w:r>
        <w:rPr>
          <w:rStyle w:val="FootnoteReference"/>
        </w:rPr>
        <w:footnoteRef/>
      </w:r>
      <w:r>
        <w:t xml:space="preserve"> Comcare, </w:t>
      </w:r>
      <w:hyperlink r:id="rId11" w:history="1">
        <w:r w:rsidRPr="00A85EEF">
          <w:rPr>
            <w:rStyle w:val="Hyperlink"/>
            <w:i/>
            <w:iCs/>
          </w:rPr>
          <w:t>Scheme Performance Overview</w:t>
        </w:r>
      </w:hyperlink>
      <w:r>
        <w:t>, Comcare, accessed 26 September 2024.</w:t>
      </w:r>
    </w:p>
  </w:footnote>
  <w:footnote w:id="18">
    <w:p w14:paraId="23D1C0B8" w14:textId="77777777" w:rsidR="4E8AAEAB" w:rsidRDefault="4E8AAEAB" w:rsidP="4E8AAEAB">
      <w:pPr>
        <w:pStyle w:val="FootnoteText"/>
      </w:pPr>
      <w:r w:rsidRPr="4E8AAEAB">
        <w:rPr>
          <w:rStyle w:val="FootnoteReference"/>
        </w:rPr>
        <w:footnoteRef/>
      </w:r>
      <w:r>
        <w:t xml:space="preserve"> Australian Government Comcare,</w:t>
      </w:r>
      <w:r w:rsidRPr="4E8AAEAB">
        <w:rPr>
          <w:i/>
          <w:iCs/>
        </w:rPr>
        <w:t xml:space="preserve"> </w:t>
      </w:r>
      <w:hyperlink r:id="rId12">
        <w:r w:rsidRPr="4E8AAEAB">
          <w:rPr>
            <w:rStyle w:val="Hyperlink"/>
            <w:i/>
            <w:iCs/>
          </w:rPr>
          <w:t>Premium performance of employers in the scheme</w:t>
        </w:r>
      </w:hyperlink>
      <w:r w:rsidRPr="4E8AAEAB">
        <w:rPr>
          <w:i/>
          <w:iCs/>
        </w:rPr>
        <w:t>,</w:t>
      </w:r>
      <w:r>
        <w:t xml:space="preserve"> Comcare Website, 2023, accessed 17 July 2024.</w:t>
      </w:r>
    </w:p>
  </w:footnote>
  <w:footnote w:id="19">
    <w:p w14:paraId="24BEA634" w14:textId="3D2590A9" w:rsidR="12FB29C6" w:rsidRDefault="12FB29C6" w:rsidP="00834413">
      <w:pPr>
        <w:pStyle w:val="FootnoteText"/>
      </w:pPr>
      <w:r w:rsidRPr="12FB29C6">
        <w:rPr>
          <w:rStyle w:val="FootnoteReference"/>
        </w:rPr>
        <w:footnoteRef/>
      </w:r>
      <w:r w:rsidR="644B673D">
        <w:t xml:space="preserve"> </w:t>
      </w:r>
      <w:r w:rsidR="085A973F">
        <w:t xml:space="preserve">Customer </w:t>
      </w:r>
      <w:r w:rsidR="55996AA1">
        <w:t>Experience Company,</w:t>
      </w:r>
      <w:r w:rsidR="67598457">
        <w:t xml:space="preserve"> The</w:t>
      </w:r>
      <w:r w:rsidR="644B673D">
        <w:t xml:space="preserve"> Ill and </w:t>
      </w:r>
      <w:r w:rsidR="085A973F">
        <w:t>Injured</w:t>
      </w:r>
      <w:r w:rsidR="644B673D">
        <w:t xml:space="preserve"> Worker Experience: </w:t>
      </w:r>
      <w:r w:rsidR="085A973F">
        <w:t>Australian</w:t>
      </w:r>
      <w:r w:rsidR="644B673D">
        <w:t xml:space="preserve"> Federal Police</w:t>
      </w:r>
      <w:r w:rsidR="085A973F">
        <w:t>, 2019</w:t>
      </w:r>
      <w:r w:rsidR="5BFCE6A5">
        <w:t>.</w:t>
      </w:r>
    </w:p>
  </w:footnote>
  <w:footnote w:id="20">
    <w:p w14:paraId="04230447" w14:textId="77777777" w:rsidR="00345387" w:rsidRDefault="00345387" w:rsidP="00345387">
      <w:pPr>
        <w:pStyle w:val="FootnoteText"/>
      </w:pPr>
      <w:r>
        <w:rPr>
          <w:rStyle w:val="FootnoteReference"/>
        </w:rPr>
        <w:footnoteRef/>
      </w:r>
      <w:r>
        <w:t xml:space="preserve"> Australian Government Comcare,</w:t>
      </w:r>
      <w:r w:rsidRPr="08F43487">
        <w:rPr>
          <w:i/>
        </w:rPr>
        <w:t xml:space="preserve"> </w:t>
      </w:r>
      <w:hyperlink r:id="rId13">
        <w:r w:rsidRPr="08F43487">
          <w:rPr>
            <w:rStyle w:val="Hyperlink"/>
            <w:i/>
          </w:rPr>
          <w:t>Premium performance of employers in the scheme</w:t>
        </w:r>
      </w:hyperlink>
      <w:r w:rsidRPr="08F43487">
        <w:rPr>
          <w:i/>
        </w:rPr>
        <w:t>,</w:t>
      </w:r>
      <w:r>
        <w:t xml:space="preserve"> Comcare Website, 2023, accessed 17 July 2024.</w:t>
      </w:r>
    </w:p>
  </w:footnote>
  <w:footnote w:id="21">
    <w:p w14:paraId="4E67BC82" w14:textId="77777777" w:rsidR="00345387" w:rsidRDefault="00345387" w:rsidP="00345387">
      <w:pPr>
        <w:pStyle w:val="FootnoteText"/>
      </w:pPr>
      <w:r>
        <w:rPr>
          <w:rStyle w:val="FootnoteReference"/>
        </w:rPr>
        <w:footnoteRef/>
      </w:r>
      <w:r>
        <w:t xml:space="preserve"> Comcare, </w:t>
      </w:r>
      <w:hyperlink r:id="rId14" w:history="1">
        <w:r w:rsidRPr="00A85EEF">
          <w:rPr>
            <w:rStyle w:val="Hyperlink"/>
            <w:i/>
            <w:iCs/>
          </w:rPr>
          <w:t>Scheme Performance Overview</w:t>
        </w:r>
      </w:hyperlink>
      <w:r>
        <w:t>, Comcare, accessed 10 September 2024.</w:t>
      </w:r>
    </w:p>
  </w:footnote>
  <w:footnote w:id="22">
    <w:p w14:paraId="7CB7A136" w14:textId="0D1EB515" w:rsidR="00345387" w:rsidRDefault="00345387" w:rsidP="00345387">
      <w:pPr>
        <w:pStyle w:val="FootnoteText"/>
      </w:pPr>
      <w:r w:rsidRPr="003D39A7">
        <w:rPr>
          <w:rStyle w:val="FootnoteReference"/>
        </w:rPr>
        <w:footnoteRef/>
      </w:r>
      <w:r w:rsidRPr="003D39A7">
        <w:t xml:space="preserve"> Safe Work Australia, </w:t>
      </w:r>
      <w:r w:rsidRPr="003D39A7">
        <w:rPr>
          <w:i/>
          <w:iCs/>
        </w:rPr>
        <w:t xml:space="preserve">Key Work Health and Safety Statistics Australia, </w:t>
      </w:r>
      <w:r w:rsidRPr="003D39A7">
        <w:t xml:space="preserve">2023, </w:t>
      </w:r>
      <w:hyperlink r:id="rId15" w:anchor=":~:text=The%20findings%20from%20the%20latest,account%20for%20most%20fatalities%2C%20and" w:history="1">
        <w:r w:rsidRPr="003D39A7">
          <w:rPr>
            <w:rStyle w:val="Hyperlink"/>
            <w:i/>
            <w:iCs/>
          </w:rPr>
          <w:t>Key Work Health and Safety Statistics Australia, 2023 | dataswa (safeworkaustralia.gov.au)</w:t>
        </w:r>
      </w:hyperlink>
      <w:r w:rsidRPr="003D39A7">
        <w:t xml:space="preserve"> ,</w:t>
      </w:r>
      <w:r>
        <w:t xml:space="preserve"> accessed 17 July 2024.</w:t>
      </w:r>
    </w:p>
  </w:footnote>
  <w:footnote w:id="23">
    <w:p w14:paraId="4FCDBB81" w14:textId="64D3B506" w:rsidR="000E13F0" w:rsidRPr="000E13F0" w:rsidRDefault="002C1DD0" w:rsidP="000E13F0">
      <w:pPr>
        <w:pStyle w:val="FootnoteText"/>
        <w:rPr>
          <w:b/>
          <w:bCs/>
        </w:rPr>
      </w:pPr>
      <w:r>
        <w:rPr>
          <w:rStyle w:val="FootnoteReference"/>
        </w:rPr>
        <w:footnoteRef/>
      </w:r>
      <w:r>
        <w:t xml:space="preserve"> </w:t>
      </w:r>
      <w:r w:rsidR="00C61BD0">
        <w:t xml:space="preserve">Note: </w:t>
      </w:r>
      <w:r w:rsidR="00E6399B">
        <w:t xml:space="preserve">a </w:t>
      </w:r>
      <w:r w:rsidR="007F6B83">
        <w:t>Senate</w:t>
      </w:r>
      <w:r w:rsidR="00E6399B">
        <w:t xml:space="preserve"> inquiry into </w:t>
      </w:r>
      <w:r w:rsidR="006B20D2">
        <w:t>t</w:t>
      </w:r>
      <w:r w:rsidR="00C61BD0">
        <w:t xml:space="preserve">he </w:t>
      </w:r>
      <w:r w:rsidR="00652502">
        <w:t xml:space="preserve">mental health conditions experienced by first responders was </w:t>
      </w:r>
      <w:r w:rsidR="00E6399B">
        <w:t xml:space="preserve">conducted in </w:t>
      </w:r>
      <w:r w:rsidR="006B20D2">
        <w:t>2018</w:t>
      </w:r>
      <w:r w:rsidR="00BA7F5C">
        <w:t>.</w:t>
      </w:r>
      <w:r w:rsidR="006B20D2">
        <w:t xml:space="preserve"> </w:t>
      </w:r>
      <w:r w:rsidR="00231296">
        <w:t xml:space="preserve">The report from this inquiry, </w:t>
      </w:r>
      <w:hyperlink r:id="rId16" w:history="1">
        <w:r w:rsidR="00231296" w:rsidRPr="004C3823">
          <w:rPr>
            <w:rStyle w:val="Hyperlink"/>
            <w:i/>
            <w:iCs/>
          </w:rPr>
          <w:t>T</w:t>
        </w:r>
        <w:r w:rsidR="000E13F0" w:rsidRPr="004C3823">
          <w:rPr>
            <w:rStyle w:val="Hyperlink"/>
            <w:i/>
            <w:iCs/>
          </w:rPr>
          <w:t>he people behind 000: mental health of our first responders</w:t>
        </w:r>
      </w:hyperlink>
      <w:r w:rsidR="00231296">
        <w:t>, was released in February 2019.</w:t>
      </w:r>
    </w:p>
    <w:p w14:paraId="791F088F" w14:textId="41BC7444" w:rsidR="002C1DD0" w:rsidRDefault="002C1DD0">
      <w:pPr>
        <w:pStyle w:val="FootnoteText"/>
      </w:pPr>
    </w:p>
  </w:footnote>
  <w:footnote w:id="24">
    <w:p w14:paraId="01115A04" w14:textId="6D6D9C53" w:rsidR="00FC10F8" w:rsidRPr="00520854" w:rsidRDefault="00FC10F8" w:rsidP="00FC10F8">
      <w:pPr>
        <w:pStyle w:val="FootnoteText"/>
        <w:rPr>
          <w:rFonts w:ascii="Calibri" w:eastAsia="Calibri" w:hAnsi="Calibri" w:cs="Calibri"/>
          <w:i/>
        </w:rPr>
      </w:pPr>
      <w:r w:rsidRPr="353769AD">
        <w:rPr>
          <w:rStyle w:val="FootnoteReference"/>
        </w:rPr>
        <w:footnoteRef/>
      </w:r>
      <w:r>
        <w:t xml:space="preserve"> Data provided by Comcare, 2024. </w:t>
      </w:r>
    </w:p>
  </w:footnote>
  <w:footnote w:id="25">
    <w:p w14:paraId="0973115A" w14:textId="56A56F5C" w:rsidR="00345387" w:rsidRDefault="00345387" w:rsidP="00345387">
      <w:pPr>
        <w:pStyle w:val="FootnoteText"/>
      </w:pPr>
      <w:r>
        <w:rPr>
          <w:rStyle w:val="FootnoteReference"/>
        </w:rPr>
        <w:footnoteRef/>
      </w:r>
      <w:r>
        <w:t xml:space="preserve"> Australian Bureau of Statistics (2024) </w:t>
      </w:r>
      <w:hyperlink r:id="rId17" w:history="1">
        <w:r w:rsidRPr="00CF1DD8">
          <w:rPr>
            <w:rStyle w:val="Hyperlink"/>
          </w:rPr>
          <w:t>Multiple Job-Holders</w:t>
        </w:r>
      </w:hyperlink>
      <w:r>
        <w:t>, accessed 17 July 2024.</w:t>
      </w:r>
      <w:r w:rsidR="002C2069" w:rsidRPr="002C2069">
        <w:rPr>
          <w:noProof/>
        </w:rPr>
        <w:t xml:space="preserve"> </w:t>
      </w:r>
    </w:p>
  </w:footnote>
  <w:footnote w:id="26">
    <w:p w14:paraId="1E6D4C8A" w14:textId="3B15E5E2" w:rsidR="00345387" w:rsidRDefault="00345387" w:rsidP="00345387">
      <w:pPr>
        <w:pStyle w:val="FootnoteText"/>
      </w:pPr>
      <w:r>
        <w:rPr>
          <w:rStyle w:val="FootnoteReference"/>
        </w:rPr>
        <w:footnoteRef/>
      </w:r>
      <w:r>
        <w:t xml:space="preserve"> </w:t>
      </w:r>
      <w:hyperlink r:id="rId18" w:history="1">
        <w:r w:rsidRPr="00931157">
          <w:rPr>
            <w:rStyle w:val="Hyperlink"/>
          </w:rPr>
          <w:t>List of current and former self-insured licensees | Safety, Rehabilitation and Compensation Commission (SRCC)</w:t>
        </w:r>
      </w:hyperlink>
      <w:r w:rsidR="002C2069" w:rsidRPr="002C2069">
        <w:t xml:space="preserve"> </w:t>
      </w:r>
    </w:p>
  </w:footnote>
  <w:footnote w:id="27">
    <w:p w14:paraId="598F6AEC" w14:textId="77777777" w:rsidR="009042DA" w:rsidRDefault="009042DA" w:rsidP="009042DA">
      <w:pPr>
        <w:pStyle w:val="FootnoteText"/>
      </w:pPr>
      <w:r>
        <w:rPr>
          <w:rStyle w:val="FootnoteReference"/>
        </w:rPr>
        <w:footnoteRef/>
      </w:r>
      <w:r>
        <w:t xml:space="preserve"> Productivity Commission, </w:t>
      </w:r>
      <w:hyperlink r:id="rId19" w:history="1">
        <w:r w:rsidRPr="000964A9">
          <w:rPr>
            <w:rStyle w:val="Hyperlink"/>
            <w:i/>
            <w:iCs/>
          </w:rPr>
          <w:t>National Workers’ Compensation and Occupational Health and Safety Frameworks</w:t>
        </w:r>
        <w:r w:rsidRPr="006C3255">
          <w:rPr>
            <w:rStyle w:val="Hyperlink"/>
          </w:rPr>
          <w:t>,</w:t>
        </w:r>
      </w:hyperlink>
      <w:r>
        <w:t xml:space="preserve"> Productivity Commission, Australian Government, 2004, accessed 22 July 2024.</w:t>
      </w:r>
    </w:p>
  </w:footnote>
  <w:footnote w:id="28">
    <w:p w14:paraId="6E05D0B9" w14:textId="280E752E" w:rsidR="009042DA" w:rsidRDefault="009042DA" w:rsidP="009042DA">
      <w:pPr>
        <w:pStyle w:val="FootnoteText"/>
      </w:pPr>
      <w:r>
        <w:rPr>
          <w:rStyle w:val="FootnoteReference"/>
        </w:rPr>
        <w:footnoteRef/>
      </w:r>
      <w:r>
        <w:t xml:space="preserve"> Hawke Review</w:t>
      </w:r>
      <w:r w:rsidRPr="00520854">
        <w:t xml:space="preserve">, </w:t>
      </w:r>
      <w:r>
        <w:t>chapters</w:t>
      </w:r>
      <w:r w:rsidRPr="00520854">
        <w:t xml:space="preserve"> 3</w:t>
      </w:r>
      <w:r>
        <w:t>-4.</w:t>
      </w:r>
      <w:r w:rsidR="004A536B" w:rsidRPr="004A536B">
        <w:t xml:space="preserve"> </w:t>
      </w:r>
      <w:r w:rsidR="004A536B">
        <w:t>This recommendation was repeated in the Hanks Review.</w:t>
      </w:r>
    </w:p>
  </w:footnote>
  <w:footnote w:id="29">
    <w:p w14:paraId="39E6A62B" w14:textId="261ABC83" w:rsidR="007745ED" w:rsidRDefault="007745ED" w:rsidP="007745ED">
      <w:pPr>
        <w:pStyle w:val="FootnoteText"/>
      </w:pPr>
      <w:r>
        <w:rPr>
          <w:rStyle w:val="FootnoteReference"/>
        </w:rPr>
        <w:footnoteRef/>
      </w:r>
      <w:r>
        <w:t xml:space="preserve"> Comcare, </w:t>
      </w:r>
      <w:hyperlink r:id="rId20" w:history="1">
        <w:r w:rsidRPr="00DE6687">
          <w:rPr>
            <w:rStyle w:val="Hyperlink"/>
            <w:i/>
          </w:rPr>
          <w:t>Comcare and SRCC Annual Report 2022–23</w:t>
        </w:r>
      </w:hyperlink>
      <w:r>
        <w:t>, Comcare, 2023, accessed 10 September 2024.</w:t>
      </w:r>
    </w:p>
  </w:footnote>
  <w:footnote w:id="30">
    <w:p w14:paraId="488D6212" w14:textId="608180A8" w:rsidR="009042DA" w:rsidRDefault="007745ED" w:rsidP="007745ED">
      <w:pPr>
        <w:pStyle w:val="FootnoteText"/>
      </w:pPr>
      <w:r>
        <w:rPr>
          <w:rStyle w:val="FootnoteReference"/>
        </w:rPr>
        <w:footnoteRef/>
      </w:r>
      <w:r>
        <w:t xml:space="preserve"> SRC Act, section 90C(1).</w:t>
      </w:r>
    </w:p>
  </w:footnote>
  <w:footnote w:id="31">
    <w:p w14:paraId="00FC3895" w14:textId="77777777" w:rsidR="009042DA" w:rsidRDefault="009042DA" w:rsidP="007745ED">
      <w:pPr>
        <w:pStyle w:val="FootnoteText"/>
      </w:pPr>
      <w:r>
        <w:rPr>
          <w:rStyle w:val="FootnoteReference"/>
        </w:rPr>
        <w:footnoteRef/>
      </w:r>
      <w:r>
        <w:t xml:space="preserve"> SWA, </w:t>
      </w:r>
      <w:hyperlink r:id="rId21" w:history="1">
        <w:r w:rsidRPr="00ED0EAD">
          <w:rPr>
            <w:rStyle w:val="Hyperlink"/>
            <w:i/>
            <w:iCs/>
          </w:rPr>
          <w:t>Compar</w:t>
        </w:r>
        <w:r>
          <w:rPr>
            <w:rStyle w:val="Hyperlink"/>
            <w:i/>
            <w:iCs/>
          </w:rPr>
          <w:t xml:space="preserve">ative Performance Monitoring Report 24 – </w:t>
        </w:r>
        <w:r w:rsidRPr="00ED0EAD">
          <w:rPr>
            <w:rStyle w:val="Hyperlink"/>
            <w:i/>
            <w:iCs/>
          </w:rPr>
          <w:t xml:space="preserve">Workers’ Compensation </w:t>
        </w:r>
        <w:r>
          <w:rPr>
            <w:rStyle w:val="Hyperlink"/>
            <w:i/>
            <w:iCs/>
          </w:rPr>
          <w:t>Premiums</w:t>
        </w:r>
        <w:r w:rsidRPr="00ED0EAD">
          <w:rPr>
            <w:rStyle w:val="Hyperlink"/>
          </w:rPr>
          <w:t xml:space="preserve"> – </w:t>
        </w:r>
        <w:r>
          <w:rPr>
            <w:rStyle w:val="Hyperlink"/>
          </w:rPr>
          <w:t>24</w:t>
        </w:r>
        <w:r w:rsidRPr="00ED0EAD">
          <w:rPr>
            <w:rStyle w:val="Hyperlink"/>
            <w:i/>
            <w:iCs/>
            <w:vertAlign w:val="superscript"/>
          </w:rPr>
          <w:t>th</w:t>
        </w:r>
        <w:r w:rsidRPr="00ED0EAD">
          <w:rPr>
            <w:rStyle w:val="Hyperlink"/>
            <w:i/>
            <w:iCs/>
          </w:rPr>
          <w:t xml:space="preserve"> edition</w:t>
        </w:r>
      </w:hyperlink>
      <w:r>
        <w:t>, SWA, 2022, accessed 30 August 2024.</w:t>
      </w:r>
    </w:p>
  </w:footnote>
  <w:footnote w:id="32">
    <w:p w14:paraId="72F8337D" w14:textId="77777777" w:rsidR="009042DA" w:rsidRDefault="009042DA" w:rsidP="009042DA">
      <w:pPr>
        <w:pStyle w:val="FootnoteText"/>
      </w:pPr>
      <w:r>
        <w:rPr>
          <w:rStyle w:val="FootnoteReference"/>
        </w:rPr>
        <w:footnoteRef/>
      </w:r>
      <w:r>
        <w:t xml:space="preserve"> Comcare, </w:t>
      </w:r>
      <w:hyperlink r:id="rId22" w:history="1">
        <w:r w:rsidRPr="00DE6687">
          <w:rPr>
            <w:rStyle w:val="Hyperlink"/>
            <w:i/>
          </w:rPr>
          <w:t>Comcare and SRCC Annual Report 2022–23</w:t>
        </w:r>
      </w:hyperlink>
      <w:r>
        <w:t>, Comcare, 2023, accessed 30 August 2024.</w:t>
      </w:r>
    </w:p>
  </w:footnote>
  <w:footnote w:id="33">
    <w:p w14:paraId="1B8B121D" w14:textId="77777777" w:rsidR="001E61AF" w:rsidRPr="002F74D6" w:rsidRDefault="001E61AF" w:rsidP="001E61AF">
      <w:pPr>
        <w:pStyle w:val="FootnoteText"/>
      </w:pPr>
      <w:r>
        <w:rPr>
          <w:rStyle w:val="FootnoteReference"/>
        </w:rPr>
        <w:footnoteRef/>
      </w:r>
      <w:r>
        <w:t xml:space="preserve"> SWA, </w:t>
      </w:r>
      <w:hyperlink r:id="rId23" w:history="1">
        <w:r w:rsidRPr="00ED0EAD">
          <w:rPr>
            <w:rStyle w:val="Hyperlink"/>
            <w:i/>
            <w:iCs/>
          </w:rPr>
          <w:t>Compar</w:t>
        </w:r>
        <w:r>
          <w:rPr>
            <w:rStyle w:val="Hyperlink"/>
            <w:i/>
            <w:iCs/>
          </w:rPr>
          <w:t xml:space="preserve">ative Performance Monitoring Report 24 – </w:t>
        </w:r>
        <w:r w:rsidRPr="00ED0EAD">
          <w:rPr>
            <w:rStyle w:val="Hyperlink"/>
            <w:i/>
            <w:iCs/>
          </w:rPr>
          <w:t xml:space="preserve">Workers’ Compensation </w:t>
        </w:r>
        <w:r>
          <w:rPr>
            <w:rStyle w:val="Hyperlink"/>
            <w:i/>
            <w:iCs/>
          </w:rPr>
          <w:t>Funding</w:t>
        </w:r>
        <w:r w:rsidRPr="00ED0EAD">
          <w:rPr>
            <w:rStyle w:val="Hyperlink"/>
          </w:rPr>
          <w:t xml:space="preserve"> – </w:t>
        </w:r>
        <w:r w:rsidRPr="008E269B">
          <w:rPr>
            <w:rStyle w:val="Hyperlink"/>
            <w:i/>
            <w:iCs/>
          </w:rPr>
          <w:t>24</w:t>
        </w:r>
        <w:r w:rsidRPr="00C94C04">
          <w:rPr>
            <w:rStyle w:val="Hyperlink"/>
            <w:i/>
            <w:iCs/>
            <w:vertAlign w:val="superscript"/>
          </w:rPr>
          <w:t>t</w:t>
        </w:r>
        <w:r w:rsidRPr="00ED0EAD">
          <w:rPr>
            <w:rStyle w:val="Hyperlink"/>
            <w:i/>
            <w:iCs/>
            <w:vertAlign w:val="superscript"/>
          </w:rPr>
          <w:t>h</w:t>
        </w:r>
        <w:r w:rsidRPr="00ED0EAD">
          <w:rPr>
            <w:rStyle w:val="Hyperlink"/>
            <w:i/>
            <w:iCs/>
          </w:rPr>
          <w:t xml:space="preserve"> edition</w:t>
        </w:r>
      </w:hyperlink>
      <w:r>
        <w:t xml:space="preserve">, SWA, </w:t>
      </w:r>
      <w:r w:rsidRPr="002F74D6">
        <w:t>2022, accessed 30 August 2024.</w:t>
      </w:r>
    </w:p>
  </w:footnote>
  <w:footnote w:id="34">
    <w:p w14:paraId="3881AEFA" w14:textId="77777777" w:rsidR="009042DA" w:rsidRDefault="009042DA" w:rsidP="009042DA">
      <w:pPr>
        <w:pStyle w:val="FootnoteText"/>
      </w:pPr>
      <w:r w:rsidRPr="002F74D6">
        <w:rPr>
          <w:rStyle w:val="FootnoteReference"/>
        </w:rPr>
        <w:footnoteRef/>
      </w:r>
      <w:r w:rsidRPr="002F74D6">
        <w:t xml:space="preserve"> Comcare, </w:t>
      </w:r>
      <w:hyperlink r:id="rId24" w:history="1">
        <w:r w:rsidRPr="002F74D6">
          <w:rPr>
            <w:rStyle w:val="Hyperlink"/>
            <w:i/>
            <w:iCs/>
          </w:rPr>
          <w:t>Scheme Performance Overview</w:t>
        </w:r>
      </w:hyperlink>
      <w:r w:rsidRPr="002F74D6">
        <w:t>, Comcare, accessed 30 August 2024.</w:t>
      </w:r>
    </w:p>
  </w:footnote>
  <w:footnote w:id="35">
    <w:p w14:paraId="622276D9" w14:textId="77777777" w:rsidR="009042DA" w:rsidRDefault="009042DA" w:rsidP="009042DA">
      <w:pPr>
        <w:pStyle w:val="FootnoteText"/>
      </w:pPr>
      <w:r>
        <w:rPr>
          <w:rStyle w:val="FootnoteReference"/>
        </w:rPr>
        <w:footnoteRef/>
      </w:r>
      <w:r>
        <w:t xml:space="preserve"> Comcare,</w:t>
      </w:r>
      <w:r w:rsidRPr="004C3823">
        <w:rPr>
          <w:i/>
          <w:iCs/>
        </w:rPr>
        <w:t xml:space="preserve"> </w:t>
      </w:r>
      <w:hyperlink r:id="rId25" w:history="1">
        <w:r w:rsidRPr="004C3823">
          <w:rPr>
            <w:rStyle w:val="Hyperlink"/>
            <w:i/>
            <w:iCs/>
          </w:rPr>
          <w:t>Intervene early and know the warning signs | Comcare</w:t>
        </w:r>
      </w:hyperlink>
      <w:r>
        <w:t xml:space="preserve">, Comcare, 20224, accessed July 2024. </w:t>
      </w:r>
    </w:p>
  </w:footnote>
  <w:footnote w:id="36">
    <w:p w14:paraId="5F364E5A" w14:textId="77777777" w:rsidR="009042DA" w:rsidRDefault="009042DA" w:rsidP="009042DA">
      <w:pPr>
        <w:pStyle w:val="FootnoteText"/>
      </w:pPr>
      <w:r>
        <w:rPr>
          <w:rStyle w:val="FootnoteReference"/>
        </w:rPr>
        <w:footnoteRef/>
      </w:r>
      <w:r>
        <w:t xml:space="preserve"> Comcare, </w:t>
      </w:r>
      <w:hyperlink r:id="rId26" w:history="1">
        <w:r w:rsidRPr="004C3823">
          <w:rPr>
            <w:rStyle w:val="Hyperlink"/>
            <w:i/>
            <w:iCs/>
          </w:rPr>
          <w:t>‘2021 National Return to Work Survey factsheet’</w:t>
        </w:r>
      </w:hyperlink>
      <w:r>
        <w:rPr>
          <w:rStyle w:val="Hyperlink"/>
        </w:rPr>
        <w:t>,</w:t>
      </w:r>
      <w:r>
        <w:t xml:space="preserve"> Comcare, 2022, accessed September 2024.</w:t>
      </w:r>
    </w:p>
  </w:footnote>
  <w:footnote w:id="37">
    <w:p w14:paraId="4168C5A3" w14:textId="77777777" w:rsidR="009042DA" w:rsidRDefault="009042DA" w:rsidP="009042DA">
      <w:pPr>
        <w:pStyle w:val="FootnoteText"/>
      </w:pPr>
      <w:r>
        <w:rPr>
          <w:rStyle w:val="FootnoteReference"/>
        </w:rPr>
        <w:footnoteRef/>
      </w:r>
      <w:r>
        <w:t xml:space="preserve"> Comcare,</w:t>
      </w:r>
      <w:r w:rsidRPr="004C3823">
        <w:rPr>
          <w:i/>
          <w:iCs/>
        </w:rPr>
        <w:t xml:space="preserve"> </w:t>
      </w:r>
      <w:hyperlink r:id="rId27" w:history="1">
        <w:r w:rsidRPr="004C3823">
          <w:rPr>
            <w:rStyle w:val="Hyperlink"/>
            <w:i/>
            <w:iCs/>
          </w:rPr>
          <w:t>‘Annual report 2022-23’</w:t>
        </w:r>
      </w:hyperlink>
      <w:r>
        <w:t>, Comcare, 2023, accessed September 2024.</w:t>
      </w:r>
    </w:p>
  </w:footnote>
  <w:footnote w:id="38">
    <w:p w14:paraId="6B72CA1D" w14:textId="77777777" w:rsidR="009042DA" w:rsidRDefault="009042DA" w:rsidP="009042DA">
      <w:pPr>
        <w:pStyle w:val="FootnoteText"/>
      </w:pPr>
      <w:r>
        <w:rPr>
          <w:rStyle w:val="FootnoteReference"/>
        </w:rPr>
        <w:footnoteRef/>
      </w:r>
      <w:r>
        <w:t xml:space="preserve"> Monash University, </w:t>
      </w:r>
      <w:hyperlink r:id="rId28" w:history="1">
        <w:r w:rsidRPr="004C3823">
          <w:rPr>
            <w:rStyle w:val="Hyperlink"/>
            <w:i/>
            <w:iCs/>
          </w:rPr>
          <w:t>‘Comparison of return to work practices and outcomes in self-insured and scheme-insured organisations</w:t>
        </w:r>
        <w:r w:rsidRPr="00C42C11">
          <w:rPr>
            <w:rStyle w:val="Hyperlink"/>
          </w:rPr>
          <w:t>’,</w:t>
        </w:r>
      </w:hyperlink>
      <w:r>
        <w:t xml:space="preserve"> Monash University, 2018, accessed September 2024.</w:t>
      </w:r>
    </w:p>
  </w:footnote>
  <w:footnote w:id="39">
    <w:p w14:paraId="2DC0BAD0" w14:textId="148EFA8A" w:rsidR="009042DA" w:rsidRDefault="009042DA" w:rsidP="009042DA">
      <w:pPr>
        <w:pStyle w:val="FootnoteText"/>
      </w:pPr>
      <w:r>
        <w:rPr>
          <w:rStyle w:val="FootnoteReference"/>
        </w:rPr>
        <w:footnoteRef/>
      </w:r>
      <w:r w:rsidRPr="00BE5709">
        <w:t xml:space="preserve"> </w:t>
      </w:r>
      <w:r>
        <w:t xml:space="preserve">SWA, </w:t>
      </w:r>
      <w:r>
        <w:rPr>
          <w:i/>
          <w:iCs/>
        </w:rPr>
        <w:t xml:space="preserve">2021 National Return to Work Survey, </w:t>
      </w:r>
      <w:r>
        <w:t>2022,</w:t>
      </w:r>
      <w:r>
        <w:rPr>
          <w:i/>
          <w:iCs/>
        </w:rPr>
        <w:t xml:space="preserve"> </w:t>
      </w:r>
      <w:r w:rsidR="00473E4C">
        <w:t>p</w:t>
      </w:r>
      <w:r>
        <w:t xml:space="preserve">.29, </w:t>
      </w:r>
      <w:hyperlink r:id="rId29" w:history="1">
        <w:r w:rsidRPr="004C3823">
          <w:rPr>
            <w:rStyle w:val="Hyperlink"/>
            <w:i/>
            <w:iCs/>
          </w:rPr>
          <w:t xml:space="preserve"> </w:t>
        </w:r>
        <w:r>
          <w:rPr>
            <w:rStyle w:val="Hyperlink"/>
          </w:rPr>
          <w:t>(safeworkaustralia.gov.au)</w:t>
        </w:r>
      </w:hyperlink>
      <w:r>
        <w:t>,</w:t>
      </w:r>
      <w:r w:rsidR="0015289B">
        <w:br/>
      </w:r>
      <w:r>
        <w:t xml:space="preserve"> accessed 23 July 2024.</w:t>
      </w:r>
    </w:p>
  </w:footnote>
  <w:footnote w:id="40">
    <w:p w14:paraId="55CB9634" w14:textId="4C2E394D" w:rsidR="009042DA" w:rsidRDefault="009042DA" w:rsidP="009042DA">
      <w:pPr>
        <w:pStyle w:val="FootnoteText"/>
      </w:pPr>
      <w:r>
        <w:rPr>
          <w:rStyle w:val="FootnoteReference"/>
        </w:rPr>
        <w:footnoteRef/>
      </w:r>
      <w:r>
        <w:t xml:space="preserve"> Social Research Centre, </w:t>
      </w:r>
      <w:hyperlink r:id="rId30" w:history="1">
        <w:r w:rsidRPr="009C26BE">
          <w:rPr>
            <w:rStyle w:val="Hyperlink"/>
          </w:rPr>
          <w:t>‘</w:t>
        </w:r>
        <w:r w:rsidRPr="004C3823">
          <w:rPr>
            <w:rStyle w:val="Hyperlink"/>
            <w:i/>
            <w:iCs/>
          </w:rPr>
          <w:t>2021 National Return to Work Survey Report</w:t>
        </w:r>
        <w:r w:rsidRPr="009C26BE">
          <w:rPr>
            <w:rStyle w:val="Hyperlink"/>
          </w:rPr>
          <w:t>’,</w:t>
        </w:r>
      </w:hyperlink>
      <w:r>
        <w:t xml:space="preserve"> SWA, 2022, </w:t>
      </w:r>
      <w:r w:rsidR="0015289B">
        <w:br/>
      </w:r>
      <w:r>
        <w:t>accessed 9 July 2024.</w:t>
      </w:r>
    </w:p>
  </w:footnote>
  <w:footnote w:id="41">
    <w:p w14:paraId="7E4E1E28" w14:textId="77777777" w:rsidR="009042DA" w:rsidRDefault="009042DA" w:rsidP="009042DA">
      <w:pPr>
        <w:pStyle w:val="FootnoteText"/>
      </w:pPr>
      <w:r>
        <w:rPr>
          <w:rStyle w:val="FootnoteReference"/>
        </w:rPr>
        <w:footnoteRef/>
      </w:r>
      <w:r>
        <w:t xml:space="preserve"> Hanks Review, P.10.</w:t>
      </w:r>
    </w:p>
  </w:footnote>
  <w:footnote w:id="42">
    <w:p w14:paraId="15E7D97F" w14:textId="24592F84" w:rsidR="009042DA" w:rsidRDefault="009042DA" w:rsidP="009042DA">
      <w:pPr>
        <w:pStyle w:val="FootnoteText"/>
      </w:pPr>
      <w:r>
        <w:rPr>
          <w:rStyle w:val="FootnoteReference"/>
        </w:rPr>
        <w:footnoteRef/>
      </w:r>
      <w:r>
        <w:t xml:space="preserve"> SWA, </w:t>
      </w:r>
      <w:r>
        <w:rPr>
          <w:i/>
          <w:iCs/>
        </w:rPr>
        <w:t xml:space="preserve">Comparative Performance Monitoring Report 24, Workers’ Compensation Disputes, </w:t>
      </w:r>
      <w:r w:rsidR="0015289B">
        <w:rPr>
          <w:i/>
          <w:iCs/>
        </w:rPr>
        <w:br/>
      </w:r>
      <w:r>
        <w:rPr>
          <w:i/>
          <w:iCs/>
        </w:rPr>
        <w:t xml:space="preserve">P.6, </w:t>
      </w:r>
      <w:hyperlink r:id="rId31" w:history="1">
        <w:r>
          <w:rPr>
            <w:rStyle w:val="Hyperlink"/>
          </w:rPr>
          <w:t>CPM 24 - Disputation</w:t>
        </w:r>
      </w:hyperlink>
      <w:r>
        <w:t>, accessed 22 July 2024.</w:t>
      </w:r>
    </w:p>
  </w:footnote>
  <w:footnote w:id="43">
    <w:p w14:paraId="7A8FA570" w14:textId="77777777" w:rsidR="009042DA" w:rsidRDefault="009042DA" w:rsidP="009042DA">
      <w:pPr>
        <w:pStyle w:val="FootnoteText"/>
      </w:pPr>
      <w:r>
        <w:rPr>
          <w:rStyle w:val="FootnoteReference"/>
        </w:rPr>
        <w:footnoteRef/>
      </w:r>
      <w:r>
        <w:t xml:space="preserve"> Due to scheme differences in design, types of decisions that can be appealed, dispute resolution arrangements and the cost of appeals.</w:t>
      </w:r>
    </w:p>
  </w:footnote>
  <w:footnote w:id="44">
    <w:p w14:paraId="73CAC4C0" w14:textId="0C80AE0D" w:rsidR="009042DA" w:rsidRDefault="009042DA" w:rsidP="009042DA">
      <w:pPr>
        <w:pStyle w:val="FootnoteText"/>
      </w:pPr>
      <w:r>
        <w:rPr>
          <w:rStyle w:val="FootnoteReference"/>
        </w:rPr>
        <w:footnoteRef/>
      </w:r>
      <w:r>
        <w:t xml:space="preserve"> SWA</w:t>
      </w:r>
      <w:r w:rsidRPr="002C1844">
        <w:t xml:space="preserve"> </w:t>
      </w:r>
      <w:r w:rsidRPr="004C3823">
        <w:rPr>
          <w:i/>
          <w:iCs/>
        </w:rPr>
        <w:t>Comparative Performance Monitoring Report</w:t>
      </w:r>
      <w:r w:rsidRPr="002C1844">
        <w:t xml:space="preserve"> </w:t>
      </w:r>
      <w:r w:rsidR="00AC1CE1">
        <w:t>(</w:t>
      </w:r>
      <w:r>
        <w:t>23rd</w:t>
      </w:r>
      <w:r w:rsidRPr="002C1844">
        <w:t xml:space="preserve"> edition</w:t>
      </w:r>
      <w:r w:rsidR="00AC1CE1">
        <w:t>)</w:t>
      </w:r>
      <w:r w:rsidRPr="002C1844">
        <w:t xml:space="preserve">, </w:t>
      </w:r>
      <w:r w:rsidR="0015289B">
        <w:br/>
      </w:r>
      <w:r w:rsidR="009D21BF">
        <w:t>‘</w:t>
      </w:r>
      <w:r w:rsidRPr="002C1844">
        <w:t>Workers Compensation Dispute</w:t>
      </w:r>
      <w:r w:rsidR="009D21BF">
        <w:t>’</w:t>
      </w:r>
      <w:r w:rsidRPr="002C1844">
        <w:t xml:space="preserve">s at page </w:t>
      </w:r>
      <w:r>
        <w:t>6</w:t>
      </w:r>
      <w:r w:rsidRPr="002C1844">
        <w:t>.</w:t>
      </w:r>
    </w:p>
  </w:footnote>
  <w:footnote w:id="45">
    <w:p w14:paraId="44EAFEBF" w14:textId="77777777" w:rsidR="009042DA" w:rsidRDefault="009042DA" w:rsidP="009042DA">
      <w:pPr>
        <w:pStyle w:val="FootnoteText"/>
      </w:pPr>
      <w:r w:rsidRPr="1221FD16">
        <w:rPr>
          <w:rStyle w:val="FootnoteReference"/>
        </w:rPr>
        <w:footnoteRef/>
      </w:r>
      <w:r>
        <w:t xml:space="preserve"> See AAT Annual Report 2022-23, these figures cover all Commonwealth workers compensation claims made to the AAT under both the SRC Act and the </w:t>
      </w:r>
      <w:r w:rsidRPr="00A312C1">
        <w:rPr>
          <w:i/>
        </w:rPr>
        <w:t>Seafarers Rehabilitation and Compensation Act 1992</w:t>
      </w:r>
    </w:p>
  </w:footnote>
  <w:footnote w:id="46">
    <w:p w14:paraId="2C6FBA6F" w14:textId="77777777" w:rsidR="00FC10F8" w:rsidRDefault="00FC10F8" w:rsidP="00FC10F8">
      <w:pPr>
        <w:pStyle w:val="FootnoteText"/>
        <w:spacing w:line="276" w:lineRule="auto"/>
      </w:pPr>
      <w:r>
        <w:rPr>
          <w:rStyle w:val="FootnoteReference"/>
        </w:rPr>
        <w:footnoteRef/>
      </w:r>
      <w:r>
        <w:t xml:space="preserve"> </w:t>
      </w:r>
      <w:r w:rsidRPr="009A76B2">
        <w:t xml:space="preserve">ANAO, </w:t>
      </w:r>
      <w:hyperlink r:id="rId32" w:anchor="footnote-016-backlink" w:history="1">
        <w:r w:rsidRPr="009A76B2">
          <w:rPr>
            <w:rStyle w:val="Hyperlink"/>
            <w:i/>
            <w:iCs/>
          </w:rPr>
          <w:t>Comcare’s administration of its Workers’ Compensation Scheme Claims</w:t>
        </w:r>
      </w:hyperlink>
      <w:r w:rsidRPr="009A76B2">
        <w:rPr>
          <w:i/>
          <w:iCs/>
        </w:rPr>
        <w:t>,</w:t>
      </w:r>
      <w:r w:rsidRPr="009A76B2">
        <w:t xml:space="preserve"> ANAO, 2023</w:t>
      </w:r>
      <w:r>
        <w:t>, accessed 5 July 2024</w:t>
      </w:r>
      <w:r w:rsidRPr="00B34DAD">
        <w:t xml:space="preserve"> </w:t>
      </w:r>
      <w:r>
        <w:t>at para 2.45. + moved ref 45 to previous sentence.</w:t>
      </w:r>
    </w:p>
    <w:p w14:paraId="555008B1" w14:textId="77777777" w:rsidR="00FC10F8" w:rsidRPr="009A76B2" w:rsidRDefault="00FC10F8" w:rsidP="00FC10F8">
      <w:pPr>
        <w:pStyle w:val="FootnoteText"/>
      </w:pPr>
      <w:r w:rsidRPr="00AD3E0F">
        <w:t xml:space="preserve">In 2021–22 there were 159,469 employees in the Australian Public Service, of which 20,375 were employed in </w:t>
      </w:r>
      <w:r w:rsidRPr="009A76B2">
        <w:t>the ATO and 34,294 were employed in Services Australia.</w:t>
      </w:r>
    </w:p>
  </w:footnote>
  <w:footnote w:id="47">
    <w:p w14:paraId="7781343B" w14:textId="77777777" w:rsidR="009042DA" w:rsidRPr="009A76B2" w:rsidRDefault="009042DA" w:rsidP="009042DA">
      <w:pPr>
        <w:pStyle w:val="FootnoteText"/>
      </w:pPr>
      <w:r w:rsidRPr="009A76B2">
        <w:rPr>
          <w:rStyle w:val="FootnoteReference"/>
        </w:rPr>
        <w:footnoteRef/>
      </w:r>
      <w:r w:rsidRPr="009A76B2">
        <w:t xml:space="preserve">ANAO, </w:t>
      </w:r>
      <w:hyperlink r:id="rId33" w:anchor="footnote-016-backlink" w:history="1">
        <w:r w:rsidRPr="009A76B2">
          <w:rPr>
            <w:rStyle w:val="Hyperlink"/>
            <w:i/>
            <w:iCs/>
          </w:rPr>
          <w:t>Comcare’s administration of its Workers’ Compensation Scheme Claims</w:t>
        </w:r>
      </w:hyperlink>
      <w:r w:rsidRPr="009A76B2">
        <w:t>, ANAO, 2023, accessed 5 July 2024.</w:t>
      </w:r>
    </w:p>
  </w:footnote>
  <w:footnote w:id="48">
    <w:p w14:paraId="32BDB2B8" w14:textId="77777777" w:rsidR="009042DA" w:rsidRDefault="009042DA" w:rsidP="009042DA">
      <w:pPr>
        <w:pStyle w:val="FootnoteText"/>
      </w:pPr>
      <w:r w:rsidRPr="009A76B2">
        <w:rPr>
          <w:rStyle w:val="FootnoteReference"/>
        </w:rPr>
        <w:footnoteRef/>
      </w:r>
      <w:r w:rsidRPr="009A76B2">
        <w:t xml:space="preserve"> ANAO, </w:t>
      </w:r>
      <w:hyperlink r:id="rId34" w:anchor="footnote-016-backlink" w:history="1">
        <w:r w:rsidRPr="009A76B2">
          <w:rPr>
            <w:rStyle w:val="Hyperlink"/>
            <w:i/>
            <w:iCs/>
          </w:rPr>
          <w:t>Comcare’s administration of its Workers’ Compensation Scheme Claims</w:t>
        </w:r>
      </w:hyperlink>
      <w:r w:rsidRPr="009A76B2">
        <w:rPr>
          <w:i/>
          <w:iCs/>
        </w:rPr>
        <w:t>,</w:t>
      </w:r>
      <w:r w:rsidRPr="009A76B2">
        <w:t xml:space="preserve"> ANAO, 2023</w:t>
      </w:r>
      <w:r>
        <w:t>, accessed 5 July 2024.</w:t>
      </w:r>
    </w:p>
  </w:footnote>
  <w:footnote w:id="49">
    <w:p w14:paraId="327E1D47" w14:textId="77777777" w:rsidR="009042DA" w:rsidRDefault="009042DA" w:rsidP="009042DA">
      <w:pPr>
        <w:pStyle w:val="FootnoteText"/>
      </w:pPr>
      <w:r>
        <w:rPr>
          <w:rStyle w:val="FootnoteReference"/>
        </w:rPr>
        <w:footnoteRef/>
      </w:r>
      <w:r>
        <w:t xml:space="preserve"> Comcare, 2024.</w:t>
      </w:r>
    </w:p>
  </w:footnote>
  <w:footnote w:id="50">
    <w:p w14:paraId="2B35FDDE" w14:textId="77777777" w:rsidR="009042DA" w:rsidRDefault="009042DA" w:rsidP="009042DA">
      <w:pPr>
        <w:pStyle w:val="FootnoteText"/>
      </w:pPr>
      <w:r>
        <w:rPr>
          <w:rStyle w:val="FootnoteReference"/>
        </w:rPr>
        <w:footnoteRef/>
      </w:r>
      <w:r>
        <w:t xml:space="preserve"> Comcare, 2024.</w:t>
      </w:r>
      <w:r w:rsidRPr="003F7BE4">
        <w:t xml:space="preserve"> </w:t>
      </w:r>
      <w:r>
        <w:t>These statistics represent the entire 2023-24 period, including periods both before and after the commencement of the timeframe’s regulations.</w:t>
      </w:r>
    </w:p>
  </w:footnote>
  <w:footnote w:id="51">
    <w:p w14:paraId="5158F5A7" w14:textId="77777777" w:rsidR="009042DA" w:rsidRDefault="009042DA" w:rsidP="009042DA">
      <w:pPr>
        <w:pStyle w:val="FootnoteText"/>
      </w:pPr>
      <w:r>
        <w:rPr>
          <w:rStyle w:val="FootnoteReference"/>
        </w:rPr>
        <w:footnoteRef/>
      </w:r>
      <w:r>
        <w:t xml:space="preserve"> Comcare, </w:t>
      </w:r>
      <w:r w:rsidRPr="002B14E1">
        <w:rPr>
          <w:i/>
          <w:iCs/>
        </w:rPr>
        <w:t>Scheme guidance - Best-practice decision making under the SRC Act</w:t>
      </w:r>
      <w:r>
        <w:t xml:space="preserve">, </w:t>
      </w:r>
      <w:hyperlink r:id="rId35" w:history="1">
        <w:r>
          <w:rPr>
            <w:rStyle w:val="Hyperlink"/>
          </w:rPr>
          <w:t>Scheme guidance - Best-practice decision making under the SRC Act | Comcare</w:t>
        </w:r>
      </w:hyperlink>
      <w:r>
        <w:t>, accessed 22 July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3BAF9B3" w14:paraId="42E1AD0C" w14:textId="77777777" w:rsidTr="23BAF9B3">
      <w:trPr>
        <w:trHeight w:val="300"/>
      </w:trPr>
      <w:tc>
        <w:tcPr>
          <w:tcW w:w="3005" w:type="dxa"/>
        </w:tcPr>
        <w:p w14:paraId="20CCC379" w14:textId="5CAC8C7D" w:rsidR="23BAF9B3" w:rsidRDefault="23BAF9B3" w:rsidP="23BAF9B3">
          <w:pPr>
            <w:pStyle w:val="Header"/>
            <w:ind w:left="-115"/>
          </w:pPr>
        </w:p>
      </w:tc>
      <w:tc>
        <w:tcPr>
          <w:tcW w:w="3005" w:type="dxa"/>
        </w:tcPr>
        <w:p w14:paraId="5610D021" w14:textId="4B75130F" w:rsidR="23BAF9B3" w:rsidRDefault="23BAF9B3" w:rsidP="23BAF9B3">
          <w:pPr>
            <w:pStyle w:val="Header"/>
            <w:jc w:val="center"/>
          </w:pPr>
        </w:p>
      </w:tc>
      <w:tc>
        <w:tcPr>
          <w:tcW w:w="3005" w:type="dxa"/>
        </w:tcPr>
        <w:p w14:paraId="65116754" w14:textId="7C57CB3A" w:rsidR="23BAF9B3" w:rsidRDefault="23BAF9B3" w:rsidP="23BAF9B3">
          <w:pPr>
            <w:pStyle w:val="Header"/>
            <w:ind w:right="-115"/>
            <w:jc w:val="right"/>
          </w:pPr>
        </w:p>
      </w:tc>
    </w:tr>
  </w:tbl>
  <w:p w14:paraId="035430E8" w14:textId="27ABB250" w:rsidR="001E4EC6" w:rsidRDefault="001E4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3BAF9B3" w14:paraId="1491D23B" w14:textId="77777777" w:rsidTr="23BAF9B3">
      <w:trPr>
        <w:trHeight w:val="300"/>
      </w:trPr>
      <w:tc>
        <w:tcPr>
          <w:tcW w:w="3005" w:type="dxa"/>
        </w:tcPr>
        <w:p w14:paraId="30CE6A15" w14:textId="4D8F05D4" w:rsidR="23BAF9B3" w:rsidRDefault="23BAF9B3" w:rsidP="23BAF9B3">
          <w:pPr>
            <w:pStyle w:val="Header"/>
            <w:ind w:left="-115"/>
          </w:pPr>
        </w:p>
      </w:tc>
      <w:tc>
        <w:tcPr>
          <w:tcW w:w="3005" w:type="dxa"/>
        </w:tcPr>
        <w:p w14:paraId="420565B6" w14:textId="38A7A45C" w:rsidR="23BAF9B3" w:rsidRDefault="23BAF9B3" w:rsidP="23BAF9B3">
          <w:pPr>
            <w:pStyle w:val="Header"/>
            <w:jc w:val="center"/>
          </w:pPr>
        </w:p>
      </w:tc>
      <w:tc>
        <w:tcPr>
          <w:tcW w:w="3005" w:type="dxa"/>
        </w:tcPr>
        <w:p w14:paraId="0B6C84A3" w14:textId="709AEB33" w:rsidR="23BAF9B3" w:rsidRDefault="23BAF9B3" w:rsidP="23BAF9B3">
          <w:pPr>
            <w:pStyle w:val="Header"/>
            <w:ind w:right="-115"/>
            <w:jc w:val="right"/>
          </w:pPr>
        </w:p>
      </w:tc>
    </w:tr>
  </w:tbl>
  <w:p w14:paraId="7C7D6AB3" w14:textId="5E8909EF" w:rsidR="001E4EC6" w:rsidRDefault="001E4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3BAF9B3" w14:paraId="50614E9F" w14:textId="77777777" w:rsidTr="23BAF9B3">
      <w:trPr>
        <w:trHeight w:val="300"/>
      </w:trPr>
      <w:tc>
        <w:tcPr>
          <w:tcW w:w="3020" w:type="dxa"/>
        </w:tcPr>
        <w:p w14:paraId="61C7BCE1" w14:textId="29204231" w:rsidR="23BAF9B3" w:rsidRDefault="23BAF9B3" w:rsidP="23BAF9B3">
          <w:pPr>
            <w:pStyle w:val="Header"/>
            <w:ind w:left="-115"/>
          </w:pPr>
        </w:p>
      </w:tc>
      <w:tc>
        <w:tcPr>
          <w:tcW w:w="3020" w:type="dxa"/>
        </w:tcPr>
        <w:p w14:paraId="1398B4EC" w14:textId="33C62BDF" w:rsidR="23BAF9B3" w:rsidRDefault="23BAF9B3" w:rsidP="23BAF9B3">
          <w:pPr>
            <w:pStyle w:val="Header"/>
            <w:jc w:val="center"/>
          </w:pPr>
        </w:p>
      </w:tc>
      <w:tc>
        <w:tcPr>
          <w:tcW w:w="3020" w:type="dxa"/>
        </w:tcPr>
        <w:p w14:paraId="5F8397D0" w14:textId="3C0E7ED1" w:rsidR="23BAF9B3" w:rsidRDefault="23BAF9B3" w:rsidP="23BAF9B3">
          <w:pPr>
            <w:pStyle w:val="Header"/>
            <w:ind w:right="-115"/>
            <w:jc w:val="right"/>
          </w:pPr>
        </w:p>
      </w:tc>
    </w:tr>
  </w:tbl>
  <w:p w14:paraId="06BA8319" w14:textId="20B80922" w:rsidR="001E4EC6" w:rsidRDefault="001E4E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23BAF9B3" w14:paraId="444B4036" w14:textId="77777777" w:rsidTr="23BAF9B3">
      <w:trPr>
        <w:trHeight w:val="300"/>
      </w:trPr>
      <w:tc>
        <w:tcPr>
          <w:tcW w:w="3095" w:type="dxa"/>
        </w:tcPr>
        <w:p w14:paraId="345B7B1C" w14:textId="68DAC731" w:rsidR="23BAF9B3" w:rsidRDefault="23BAF9B3" w:rsidP="23BAF9B3">
          <w:pPr>
            <w:pStyle w:val="Header"/>
            <w:ind w:left="-115"/>
          </w:pPr>
        </w:p>
      </w:tc>
      <w:tc>
        <w:tcPr>
          <w:tcW w:w="3095" w:type="dxa"/>
        </w:tcPr>
        <w:p w14:paraId="6471AE53" w14:textId="732AE064" w:rsidR="23BAF9B3" w:rsidRDefault="23BAF9B3" w:rsidP="23BAF9B3">
          <w:pPr>
            <w:pStyle w:val="Header"/>
            <w:jc w:val="center"/>
          </w:pPr>
        </w:p>
      </w:tc>
      <w:tc>
        <w:tcPr>
          <w:tcW w:w="3095" w:type="dxa"/>
        </w:tcPr>
        <w:p w14:paraId="3F02128F" w14:textId="12949D4E" w:rsidR="23BAF9B3" w:rsidRDefault="23BAF9B3" w:rsidP="23BAF9B3">
          <w:pPr>
            <w:pStyle w:val="Header"/>
            <w:ind w:right="-115"/>
            <w:jc w:val="right"/>
          </w:pPr>
        </w:p>
      </w:tc>
    </w:tr>
  </w:tbl>
  <w:p w14:paraId="276C5380" w14:textId="3E63B9DA" w:rsidR="001E4EC6" w:rsidRDefault="001E4E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23BAF9B3" w14:paraId="07E2B3B7" w14:textId="77777777" w:rsidTr="23BAF9B3">
      <w:trPr>
        <w:trHeight w:val="300"/>
      </w:trPr>
      <w:tc>
        <w:tcPr>
          <w:tcW w:w="3095" w:type="dxa"/>
        </w:tcPr>
        <w:p w14:paraId="0A4137DF" w14:textId="2042185C" w:rsidR="23BAF9B3" w:rsidRDefault="23BAF9B3" w:rsidP="23BAF9B3">
          <w:pPr>
            <w:pStyle w:val="Header"/>
            <w:ind w:left="-115"/>
          </w:pPr>
        </w:p>
      </w:tc>
      <w:tc>
        <w:tcPr>
          <w:tcW w:w="3095" w:type="dxa"/>
        </w:tcPr>
        <w:p w14:paraId="349AD1B0" w14:textId="3BD01C5F" w:rsidR="23BAF9B3" w:rsidRDefault="23BAF9B3" w:rsidP="23BAF9B3">
          <w:pPr>
            <w:pStyle w:val="Header"/>
            <w:jc w:val="center"/>
          </w:pPr>
        </w:p>
      </w:tc>
      <w:tc>
        <w:tcPr>
          <w:tcW w:w="3095" w:type="dxa"/>
        </w:tcPr>
        <w:p w14:paraId="093E8C8C" w14:textId="30CD7D9E" w:rsidR="23BAF9B3" w:rsidRDefault="23BAF9B3" w:rsidP="23BAF9B3">
          <w:pPr>
            <w:pStyle w:val="Header"/>
            <w:ind w:right="-115"/>
            <w:jc w:val="right"/>
          </w:pPr>
        </w:p>
      </w:tc>
    </w:tr>
  </w:tbl>
  <w:p w14:paraId="4CAD348F" w14:textId="1D1D63D5" w:rsidR="001E4EC6" w:rsidRDefault="001E4E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3BAF9B3" w14:paraId="48D3DAA4" w14:textId="77777777" w:rsidTr="23BAF9B3">
      <w:trPr>
        <w:trHeight w:val="300"/>
      </w:trPr>
      <w:tc>
        <w:tcPr>
          <w:tcW w:w="3020" w:type="dxa"/>
        </w:tcPr>
        <w:p w14:paraId="74B9FD77" w14:textId="52618CDC" w:rsidR="23BAF9B3" w:rsidRDefault="23BAF9B3" w:rsidP="23BAF9B3">
          <w:pPr>
            <w:pStyle w:val="Header"/>
            <w:ind w:left="-115"/>
          </w:pPr>
        </w:p>
      </w:tc>
      <w:tc>
        <w:tcPr>
          <w:tcW w:w="3020" w:type="dxa"/>
        </w:tcPr>
        <w:p w14:paraId="63E90F5F" w14:textId="7AF6A30E" w:rsidR="23BAF9B3" w:rsidRDefault="23BAF9B3" w:rsidP="23BAF9B3">
          <w:pPr>
            <w:pStyle w:val="Header"/>
            <w:jc w:val="center"/>
          </w:pPr>
        </w:p>
      </w:tc>
      <w:tc>
        <w:tcPr>
          <w:tcW w:w="3020" w:type="dxa"/>
        </w:tcPr>
        <w:p w14:paraId="62CAFBBA" w14:textId="4D96BCD5" w:rsidR="23BAF9B3" w:rsidRDefault="23BAF9B3" w:rsidP="23BAF9B3">
          <w:pPr>
            <w:pStyle w:val="Header"/>
            <w:ind w:right="-115"/>
            <w:jc w:val="right"/>
          </w:pPr>
        </w:p>
      </w:tc>
    </w:tr>
  </w:tbl>
  <w:p w14:paraId="2B5AA4F4" w14:textId="2A1C1A3B" w:rsidR="001E4EC6" w:rsidRDefault="001E4EC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23BAF9B3" w14:paraId="582FB1F0" w14:textId="77777777" w:rsidTr="23BAF9B3">
      <w:trPr>
        <w:trHeight w:val="300"/>
      </w:trPr>
      <w:tc>
        <w:tcPr>
          <w:tcW w:w="3095" w:type="dxa"/>
        </w:tcPr>
        <w:p w14:paraId="5CA9251D" w14:textId="3D00FA73" w:rsidR="23BAF9B3" w:rsidRDefault="23BAF9B3" w:rsidP="23BAF9B3">
          <w:pPr>
            <w:pStyle w:val="Header"/>
            <w:ind w:left="-115"/>
          </w:pPr>
        </w:p>
      </w:tc>
      <w:tc>
        <w:tcPr>
          <w:tcW w:w="3095" w:type="dxa"/>
        </w:tcPr>
        <w:p w14:paraId="10D3503F" w14:textId="589C3AF5" w:rsidR="23BAF9B3" w:rsidRDefault="23BAF9B3" w:rsidP="23BAF9B3">
          <w:pPr>
            <w:pStyle w:val="Header"/>
            <w:jc w:val="center"/>
          </w:pPr>
        </w:p>
      </w:tc>
      <w:tc>
        <w:tcPr>
          <w:tcW w:w="3095" w:type="dxa"/>
        </w:tcPr>
        <w:p w14:paraId="6357778A" w14:textId="636BA3FD" w:rsidR="23BAF9B3" w:rsidRDefault="23BAF9B3" w:rsidP="23BAF9B3">
          <w:pPr>
            <w:pStyle w:val="Header"/>
            <w:ind w:right="-115"/>
            <w:jc w:val="right"/>
          </w:pPr>
        </w:p>
      </w:tc>
    </w:tr>
  </w:tbl>
  <w:p w14:paraId="753B9E9F" w14:textId="3096EB38" w:rsidR="001E4EC6" w:rsidRDefault="001E4EC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95"/>
      <w:gridCol w:w="3095"/>
      <w:gridCol w:w="3095"/>
    </w:tblGrid>
    <w:tr w:rsidR="23BAF9B3" w14:paraId="65548082" w14:textId="77777777" w:rsidTr="23BAF9B3">
      <w:trPr>
        <w:trHeight w:val="300"/>
      </w:trPr>
      <w:tc>
        <w:tcPr>
          <w:tcW w:w="3095" w:type="dxa"/>
        </w:tcPr>
        <w:p w14:paraId="2D5C72BB" w14:textId="53632637" w:rsidR="23BAF9B3" w:rsidRDefault="23BAF9B3" w:rsidP="23BAF9B3">
          <w:pPr>
            <w:pStyle w:val="Header"/>
            <w:ind w:left="-115"/>
          </w:pPr>
        </w:p>
      </w:tc>
      <w:tc>
        <w:tcPr>
          <w:tcW w:w="3095" w:type="dxa"/>
        </w:tcPr>
        <w:p w14:paraId="524267FE" w14:textId="726C57BC" w:rsidR="23BAF9B3" w:rsidRDefault="23BAF9B3" w:rsidP="23BAF9B3">
          <w:pPr>
            <w:pStyle w:val="Header"/>
            <w:jc w:val="center"/>
          </w:pPr>
        </w:p>
      </w:tc>
      <w:tc>
        <w:tcPr>
          <w:tcW w:w="3095" w:type="dxa"/>
        </w:tcPr>
        <w:p w14:paraId="3883E320" w14:textId="02E847FF" w:rsidR="23BAF9B3" w:rsidRDefault="23BAF9B3" w:rsidP="23BAF9B3">
          <w:pPr>
            <w:pStyle w:val="Header"/>
            <w:ind w:right="-115"/>
            <w:jc w:val="right"/>
          </w:pPr>
        </w:p>
      </w:tc>
    </w:tr>
  </w:tbl>
  <w:p w14:paraId="4AB808FE" w14:textId="62B00E3F" w:rsidR="001E4EC6" w:rsidRDefault="001E4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0CAD"/>
    <w:multiLevelType w:val="hybridMultilevel"/>
    <w:tmpl w:val="A93AA720"/>
    <w:lvl w:ilvl="0" w:tplc="FA6CCD1E">
      <w:start w:val="1"/>
      <w:numFmt w:val="lowerLetter"/>
      <w:lvlText w:val="%1."/>
      <w:lvlJc w:val="left"/>
      <w:pPr>
        <w:ind w:left="720" w:hanging="360"/>
      </w:pPr>
      <w:rPr>
        <w:rFonts w:hint="default"/>
        <w:b/>
        <w:bCs/>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2C421F"/>
    <w:multiLevelType w:val="hybridMultilevel"/>
    <w:tmpl w:val="CA883FA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41739F"/>
    <w:multiLevelType w:val="hybridMultilevel"/>
    <w:tmpl w:val="E1224F32"/>
    <w:lvl w:ilvl="0" w:tplc="8D08F13C">
      <w:start w:val="1"/>
      <w:numFmt w:val="lowerLetter"/>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E37DF"/>
    <w:multiLevelType w:val="hybridMultilevel"/>
    <w:tmpl w:val="5AA254FE"/>
    <w:lvl w:ilvl="0" w:tplc="307ED052">
      <w:start w:val="1"/>
      <w:numFmt w:val="decimal"/>
      <w:lvlText w:val="%1."/>
      <w:lvlJc w:val="left"/>
      <w:pPr>
        <w:ind w:left="1020" w:hanging="360"/>
      </w:pPr>
    </w:lvl>
    <w:lvl w:ilvl="1" w:tplc="8C6C86E8">
      <w:start w:val="1"/>
      <w:numFmt w:val="decimal"/>
      <w:lvlText w:val="%2."/>
      <w:lvlJc w:val="left"/>
      <w:pPr>
        <w:ind w:left="1020" w:hanging="360"/>
      </w:pPr>
    </w:lvl>
    <w:lvl w:ilvl="2" w:tplc="D324C1BA">
      <w:start w:val="1"/>
      <w:numFmt w:val="decimal"/>
      <w:lvlText w:val="%3."/>
      <w:lvlJc w:val="left"/>
      <w:pPr>
        <w:ind w:left="1020" w:hanging="360"/>
      </w:pPr>
    </w:lvl>
    <w:lvl w:ilvl="3" w:tplc="7F1841EC">
      <w:start w:val="1"/>
      <w:numFmt w:val="decimal"/>
      <w:lvlText w:val="%4."/>
      <w:lvlJc w:val="left"/>
      <w:pPr>
        <w:ind w:left="1020" w:hanging="360"/>
      </w:pPr>
    </w:lvl>
    <w:lvl w:ilvl="4" w:tplc="572C98AE">
      <w:start w:val="1"/>
      <w:numFmt w:val="decimal"/>
      <w:lvlText w:val="%5."/>
      <w:lvlJc w:val="left"/>
      <w:pPr>
        <w:ind w:left="1020" w:hanging="360"/>
      </w:pPr>
    </w:lvl>
    <w:lvl w:ilvl="5" w:tplc="DDFEDD32">
      <w:start w:val="1"/>
      <w:numFmt w:val="decimal"/>
      <w:lvlText w:val="%6."/>
      <w:lvlJc w:val="left"/>
      <w:pPr>
        <w:ind w:left="1020" w:hanging="360"/>
      </w:pPr>
    </w:lvl>
    <w:lvl w:ilvl="6" w:tplc="5D8651CC">
      <w:start w:val="1"/>
      <w:numFmt w:val="decimal"/>
      <w:lvlText w:val="%7."/>
      <w:lvlJc w:val="left"/>
      <w:pPr>
        <w:ind w:left="1020" w:hanging="360"/>
      </w:pPr>
    </w:lvl>
    <w:lvl w:ilvl="7" w:tplc="6D306C26">
      <w:start w:val="1"/>
      <w:numFmt w:val="decimal"/>
      <w:lvlText w:val="%8."/>
      <w:lvlJc w:val="left"/>
      <w:pPr>
        <w:ind w:left="1020" w:hanging="360"/>
      </w:pPr>
    </w:lvl>
    <w:lvl w:ilvl="8" w:tplc="75466828">
      <w:start w:val="1"/>
      <w:numFmt w:val="decimal"/>
      <w:lvlText w:val="%9."/>
      <w:lvlJc w:val="left"/>
      <w:pPr>
        <w:ind w:left="1020" w:hanging="360"/>
      </w:p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E9E7967"/>
    <w:multiLevelType w:val="multilevel"/>
    <w:tmpl w:val="B7F6EF5E"/>
    <w:lvl w:ilvl="0">
      <w:start w:val="1"/>
      <w:numFmt w:val="bullet"/>
      <w:lvlText w:val=""/>
      <w:lvlJc w:val="left"/>
      <w:pPr>
        <w:ind w:left="410" w:hanging="41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7D4F93"/>
    <w:multiLevelType w:val="hybridMultilevel"/>
    <w:tmpl w:val="074A2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C339C4"/>
    <w:multiLevelType w:val="hybridMultilevel"/>
    <w:tmpl w:val="AD1EC91E"/>
    <w:lvl w:ilvl="0" w:tplc="28B4F23E">
      <w:start w:val="1"/>
      <w:numFmt w:val="decimal"/>
      <w:lvlText w:val="%1."/>
      <w:lvlJc w:val="left"/>
      <w:pPr>
        <w:ind w:left="1020" w:hanging="360"/>
      </w:pPr>
    </w:lvl>
    <w:lvl w:ilvl="1" w:tplc="F5AC4A4E">
      <w:start w:val="1"/>
      <w:numFmt w:val="decimal"/>
      <w:lvlText w:val="%2."/>
      <w:lvlJc w:val="left"/>
      <w:pPr>
        <w:ind w:left="1020" w:hanging="360"/>
      </w:pPr>
    </w:lvl>
    <w:lvl w:ilvl="2" w:tplc="282C8AAC">
      <w:start w:val="1"/>
      <w:numFmt w:val="decimal"/>
      <w:lvlText w:val="%3."/>
      <w:lvlJc w:val="left"/>
      <w:pPr>
        <w:ind w:left="1020" w:hanging="360"/>
      </w:pPr>
    </w:lvl>
    <w:lvl w:ilvl="3" w:tplc="71B0D844">
      <w:start w:val="1"/>
      <w:numFmt w:val="decimal"/>
      <w:lvlText w:val="%4."/>
      <w:lvlJc w:val="left"/>
      <w:pPr>
        <w:ind w:left="1020" w:hanging="360"/>
      </w:pPr>
    </w:lvl>
    <w:lvl w:ilvl="4" w:tplc="654ED170">
      <w:start w:val="1"/>
      <w:numFmt w:val="decimal"/>
      <w:lvlText w:val="%5."/>
      <w:lvlJc w:val="left"/>
      <w:pPr>
        <w:ind w:left="1020" w:hanging="360"/>
      </w:pPr>
    </w:lvl>
    <w:lvl w:ilvl="5" w:tplc="3E1AEC1A">
      <w:start w:val="1"/>
      <w:numFmt w:val="decimal"/>
      <w:lvlText w:val="%6."/>
      <w:lvlJc w:val="left"/>
      <w:pPr>
        <w:ind w:left="1020" w:hanging="360"/>
      </w:pPr>
    </w:lvl>
    <w:lvl w:ilvl="6" w:tplc="48A089C4">
      <w:start w:val="1"/>
      <w:numFmt w:val="decimal"/>
      <w:lvlText w:val="%7."/>
      <w:lvlJc w:val="left"/>
      <w:pPr>
        <w:ind w:left="1020" w:hanging="360"/>
      </w:pPr>
    </w:lvl>
    <w:lvl w:ilvl="7" w:tplc="98FED7D8">
      <w:start w:val="1"/>
      <w:numFmt w:val="decimal"/>
      <w:lvlText w:val="%8."/>
      <w:lvlJc w:val="left"/>
      <w:pPr>
        <w:ind w:left="1020" w:hanging="360"/>
      </w:pPr>
    </w:lvl>
    <w:lvl w:ilvl="8" w:tplc="1646D45C">
      <w:start w:val="1"/>
      <w:numFmt w:val="decimal"/>
      <w:lvlText w:val="%9."/>
      <w:lvlJc w:val="left"/>
      <w:pPr>
        <w:ind w:left="1020" w:hanging="360"/>
      </w:pPr>
    </w:lvl>
  </w:abstractNum>
  <w:abstractNum w:abstractNumId="9" w15:restartNumberingAfterBreak="0">
    <w:nsid w:val="125C7723"/>
    <w:multiLevelType w:val="hybridMultilevel"/>
    <w:tmpl w:val="2154FCFC"/>
    <w:lvl w:ilvl="0" w:tplc="0986979C">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8A7346"/>
    <w:multiLevelType w:val="hybridMultilevel"/>
    <w:tmpl w:val="66C04CC6"/>
    <w:lvl w:ilvl="0" w:tplc="96BAEE4C">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6C53926"/>
    <w:multiLevelType w:val="hybridMultilevel"/>
    <w:tmpl w:val="7042F08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374F6F"/>
    <w:multiLevelType w:val="multilevel"/>
    <w:tmpl w:val="825C654A"/>
    <w:lvl w:ilvl="0">
      <w:start w:val="7"/>
      <w:numFmt w:val="decimal"/>
      <w:lvlText w:val="%1"/>
      <w:lvlJc w:val="left"/>
      <w:pPr>
        <w:ind w:left="375" w:hanging="375"/>
      </w:pPr>
      <w:rPr>
        <w:rFonts w:hint="default"/>
        <w:b/>
      </w:rPr>
    </w:lvl>
    <w:lvl w:ilvl="1">
      <w:start w:val="1"/>
      <w:numFmt w:val="lowerLetter"/>
      <w:lvlText w:val="%2."/>
      <w:lvlJc w:val="left"/>
      <w:pPr>
        <w:ind w:left="72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B7C0F85"/>
    <w:multiLevelType w:val="hybridMultilevel"/>
    <w:tmpl w:val="3BA6A3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DE47638"/>
    <w:multiLevelType w:val="hybridMultilevel"/>
    <w:tmpl w:val="0B04E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0867B6"/>
    <w:multiLevelType w:val="hybridMultilevel"/>
    <w:tmpl w:val="F16C6E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255551B"/>
    <w:multiLevelType w:val="hybridMultilevel"/>
    <w:tmpl w:val="843A4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3BE5EE4"/>
    <w:multiLevelType w:val="hybridMultilevel"/>
    <w:tmpl w:val="E4D69AF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532F48"/>
    <w:multiLevelType w:val="multilevel"/>
    <w:tmpl w:val="8CC4A20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5CF4065"/>
    <w:multiLevelType w:val="hybridMultilevel"/>
    <w:tmpl w:val="242641C2"/>
    <w:lvl w:ilvl="0" w:tplc="3ACC0612">
      <w:start w:val="1"/>
      <w:numFmt w:val="decimal"/>
      <w:lvlText w:val="%1."/>
      <w:lvlJc w:val="left"/>
      <w:pPr>
        <w:ind w:left="1020" w:hanging="360"/>
      </w:pPr>
    </w:lvl>
    <w:lvl w:ilvl="1" w:tplc="1DE073F2">
      <w:start w:val="1"/>
      <w:numFmt w:val="decimal"/>
      <w:lvlText w:val="%2."/>
      <w:lvlJc w:val="left"/>
      <w:pPr>
        <w:ind w:left="1020" w:hanging="360"/>
      </w:pPr>
    </w:lvl>
    <w:lvl w:ilvl="2" w:tplc="87761DF0">
      <w:start w:val="1"/>
      <w:numFmt w:val="decimal"/>
      <w:lvlText w:val="%3."/>
      <w:lvlJc w:val="left"/>
      <w:pPr>
        <w:ind w:left="1020" w:hanging="360"/>
      </w:pPr>
    </w:lvl>
    <w:lvl w:ilvl="3" w:tplc="053ADB20">
      <w:start w:val="1"/>
      <w:numFmt w:val="decimal"/>
      <w:lvlText w:val="%4."/>
      <w:lvlJc w:val="left"/>
      <w:pPr>
        <w:ind w:left="1020" w:hanging="360"/>
      </w:pPr>
    </w:lvl>
    <w:lvl w:ilvl="4" w:tplc="D3749636">
      <w:start w:val="1"/>
      <w:numFmt w:val="decimal"/>
      <w:lvlText w:val="%5."/>
      <w:lvlJc w:val="left"/>
      <w:pPr>
        <w:ind w:left="1020" w:hanging="360"/>
      </w:pPr>
    </w:lvl>
    <w:lvl w:ilvl="5" w:tplc="2D2A31E2">
      <w:start w:val="1"/>
      <w:numFmt w:val="decimal"/>
      <w:lvlText w:val="%6."/>
      <w:lvlJc w:val="left"/>
      <w:pPr>
        <w:ind w:left="1020" w:hanging="360"/>
      </w:pPr>
    </w:lvl>
    <w:lvl w:ilvl="6" w:tplc="02249244">
      <w:start w:val="1"/>
      <w:numFmt w:val="decimal"/>
      <w:lvlText w:val="%7."/>
      <w:lvlJc w:val="left"/>
      <w:pPr>
        <w:ind w:left="1020" w:hanging="360"/>
      </w:pPr>
    </w:lvl>
    <w:lvl w:ilvl="7" w:tplc="D5DC17BE">
      <w:start w:val="1"/>
      <w:numFmt w:val="decimal"/>
      <w:lvlText w:val="%8."/>
      <w:lvlJc w:val="left"/>
      <w:pPr>
        <w:ind w:left="1020" w:hanging="360"/>
      </w:pPr>
    </w:lvl>
    <w:lvl w:ilvl="8" w:tplc="2D3CB598">
      <w:start w:val="1"/>
      <w:numFmt w:val="decimal"/>
      <w:lvlText w:val="%9."/>
      <w:lvlJc w:val="left"/>
      <w:pPr>
        <w:ind w:left="1020" w:hanging="360"/>
      </w:pPr>
    </w:lvl>
  </w:abstractNum>
  <w:abstractNum w:abstractNumId="22" w15:restartNumberingAfterBreak="0">
    <w:nsid w:val="27342B97"/>
    <w:multiLevelType w:val="hybridMultilevel"/>
    <w:tmpl w:val="05E8D952"/>
    <w:lvl w:ilvl="0" w:tplc="ED2C586E">
      <w:start w:val="1"/>
      <w:numFmt w:val="lowerLetter"/>
      <w:lvlText w:val="%1."/>
      <w:lvlJc w:val="left"/>
      <w:pPr>
        <w:ind w:left="720" w:hanging="360"/>
      </w:pPr>
      <w:rPr>
        <w:rFonts w:eastAsiaTheme="minorHAnsi" w:cstheme="minorBidi"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7650194"/>
    <w:multiLevelType w:val="hybridMultilevel"/>
    <w:tmpl w:val="867A7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5968F4"/>
    <w:multiLevelType w:val="hybridMultilevel"/>
    <w:tmpl w:val="6D4EAAFE"/>
    <w:lvl w:ilvl="0" w:tplc="FFFFFFFF">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B923AF6"/>
    <w:multiLevelType w:val="hybridMultilevel"/>
    <w:tmpl w:val="4F1E90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F4072BA"/>
    <w:multiLevelType w:val="hybridMultilevel"/>
    <w:tmpl w:val="E97A803E"/>
    <w:lvl w:ilvl="0" w:tplc="51E4FCAC">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FD823A3"/>
    <w:multiLevelType w:val="multilevel"/>
    <w:tmpl w:val="D87806AA"/>
    <w:lvl w:ilvl="0">
      <w:start w:val="3"/>
      <w:numFmt w:val="decimal"/>
      <w:lvlText w:val="%1"/>
      <w:lvlJc w:val="left"/>
      <w:pPr>
        <w:ind w:left="380" w:hanging="3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3882FA3"/>
    <w:multiLevelType w:val="hybridMultilevel"/>
    <w:tmpl w:val="5F20AE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9441DC1"/>
    <w:multiLevelType w:val="hybridMultilevel"/>
    <w:tmpl w:val="64C8E56A"/>
    <w:lvl w:ilvl="0" w:tplc="688C6216">
      <w:start w:val="1"/>
      <w:numFmt w:val="decimal"/>
      <w:lvlText w:val="%1."/>
      <w:lvlJc w:val="left"/>
      <w:pPr>
        <w:ind w:left="360" w:hanging="360"/>
      </w:pPr>
      <w:rPr>
        <w:b/>
        <w:bCs/>
        <w:color w:val="auto"/>
      </w:rPr>
    </w:lvl>
    <w:lvl w:ilvl="1" w:tplc="BB94C094">
      <w:start w:val="1"/>
      <w:numFmt w:val="lowerLetter"/>
      <w:lvlText w:val="%2."/>
      <w:lvlJc w:val="left"/>
      <w:pPr>
        <w:ind w:left="1080" w:hanging="360"/>
      </w:pPr>
      <w:rPr>
        <w:b/>
        <w:bCs/>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13553BA"/>
    <w:multiLevelType w:val="hybridMultilevel"/>
    <w:tmpl w:val="A8D447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89F49A5"/>
    <w:multiLevelType w:val="hybridMultilevel"/>
    <w:tmpl w:val="AB92A9A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4" w15:restartNumberingAfterBreak="0">
    <w:nsid w:val="493B2A91"/>
    <w:multiLevelType w:val="multilevel"/>
    <w:tmpl w:val="70363C44"/>
    <w:lvl w:ilvl="0">
      <w:start w:val="3"/>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lowerRoman"/>
      <w:lvlText w:val="%1.%2.%3"/>
      <w:lvlJc w:val="left"/>
      <w:pPr>
        <w:ind w:left="1440" w:hanging="1440"/>
      </w:pPr>
      <w:rPr>
        <w:rFonts w:hint="default"/>
      </w:rPr>
    </w:lvl>
    <w:lvl w:ilvl="3">
      <w:start w:val="1"/>
      <w:numFmt w:val="lowerRoman"/>
      <w:lvlText w:val="%1.%2.%3.%4"/>
      <w:lvlJc w:val="left"/>
      <w:pPr>
        <w:ind w:left="1800" w:hanging="180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5" w15:restartNumberingAfterBreak="0">
    <w:nsid w:val="4B622FB0"/>
    <w:multiLevelType w:val="multilevel"/>
    <w:tmpl w:val="6750F682"/>
    <w:lvl w:ilvl="0">
      <w:start w:val="3"/>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6" w15:restartNumberingAfterBreak="0">
    <w:nsid w:val="504C39C4"/>
    <w:multiLevelType w:val="hybridMultilevel"/>
    <w:tmpl w:val="DF8A615A"/>
    <w:lvl w:ilvl="0" w:tplc="DFAC704C">
      <w:start w:val="1"/>
      <w:numFmt w:val="lowerLetter"/>
      <w:lvlText w:val="%1."/>
      <w:lvlJc w:val="left"/>
      <w:pPr>
        <w:ind w:left="3600" w:hanging="360"/>
      </w:pPr>
      <w:rPr>
        <w:rFonts w:hint="default"/>
        <w:color w:val="FFFFFF" w:themeColor="background1"/>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7" w15:restartNumberingAfterBreak="0">
    <w:nsid w:val="53151F2D"/>
    <w:multiLevelType w:val="hybridMultilevel"/>
    <w:tmpl w:val="F692F292"/>
    <w:lvl w:ilvl="0" w:tplc="FFFFFFFF">
      <w:start w:val="1"/>
      <w:numFmt w:val="bullet"/>
      <w:lvlText w:val="Ø"/>
      <w:lvlJc w:val="left"/>
      <w:pPr>
        <w:ind w:left="770" w:hanging="360"/>
      </w:pPr>
      <w:rPr>
        <w:rFonts w:ascii="Wingdings" w:hAnsi="Wingding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38" w15:restartNumberingAfterBreak="0">
    <w:nsid w:val="53D4244D"/>
    <w:multiLevelType w:val="hybridMultilevel"/>
    <w:tmpl w:val="A23418CA"/>
    <w:lvl w:ilvl="0" w:tplc="7B68B42E">
      <w:start w:val="1"/>
      <w:numFmt w:val="bullet"/>
      <w:lvlText w:val=""/>
      <w:lvlJc w:val="left"/>
      <w:pPr>
        <w:ind w:left="1080" w:hanging="360"/>
      </w:pPr>
      <w:rPr>
        <w:rFonts w:ascii="Symbol" w:hAnsi="Symbol"/>
      </w:rPr>
    </w:lvl>
    <w:lvl w:ilvl="1" w:tplc="E362AB64">
      <w:start w:val="1"/>
      <w:numFmt w:val="bullet"/>
      <w:lvlText w:val=""/>
      <w:lvlJc w:val="left"/>
      <w:pPr>
        <w:ind w:left="1080" w:hanging="360"/>
      </w:pPr>
      <w:rPr>
        <w:rFonts w:ascii="Symbol" w:hAnsi="Symbol"/>
      </w:rPr>
    </w:lvl>
    <w:lvl w:ilvl="2" w:tplc="B96014EA">
      <w:start w:val="1"/>
      <w:numFmt w:val="bullet"/>
      <w:lvlText w:val=""/>
      <w:lvlJc w:val="left"/>
      <w:pPr>
        <w:ind w:left="1080" w:hanging="360"/>
      </w:pPr>
      <w:rPr>
        <w:rFonts w:ascii="Symbol" w:hAnsi="Symbol"/>
      </w:rPr>
    </w:lvl>
    <w:lvl w:ilvl="3" w:tplc="BCEC32AC">
      <w:start w:val="1"/>
      <w:numFmt w:val="bullet"/>
      <w:lvlText w:val=""/>
      <w:lvlJc w:val="left"/>
      <w:pPr>
        <w:ind w:left="1080" w:hanging="360"/>
      </w:pPr>
      <w:rPr>
        <w:rFonts w:ascii="Symbol" w:hAnsi="Symbol"/>
      </w:rPr>
    </w:lvl>
    <w:lvl w:ilvl="4" w:tplc="5106ED60">
      <w:start w:val="1"/>
      <w:numFmt w:val="bullet"/>
      <w:lvlText w:val=""/>
      <w:lvlJc w:val="left"/>
      <w:pPr>
        <w:ind w:left="1080" w:hanging="360"/>
      </w:pPr>
      <w:rPr>
        <w:rFonts w:ascii="Symbol" w:hAnsi="Symbol"/>
      </w:rPr>
    </w:lvl>
    <w:lvl w:ilvl="5" w:tplc="123A7A6C">
      <w:start w:val="1"/>
      <w:numFmt w:val="bullet"/>
      <w:lvlText w:val=""/>
      <w:lvlJc w:val="left"/>
      <w:pPr>
        <w:ind w:left="1080" w:hanging="360"/>
      </w:pPr>
      <w:rPr>
        <w:rFonts w:ascii="Symbol" w:hAnsi="Symbol"/>
      </w:rPr>
    </w:lvl>
    <w:lvl w:ilvl="6" w:tplc="222E9208">
      <w:start w:val="1"/>
      <w:numFmt w:val="bullet"/>
      <w:lvlText w:val=""/>
      <w:lvlJc w:val="left"/>
      <w:pPr>
        <w:ind w:left="1080" w:hanging="360"/>
      </w:pPr>
      <w:rPr>
        <w:rFonts w:ascii="Symbol" w:hAnsi="Symbol"/>
      </w:rPr>
    </w:lvl>
    <w:lvl w:ilvl="7" w:tplc="A276FE16">
      <w:start w:val="1"/>
      <w:numFmt w:val="bullet"/>
      <w:lvlText w:val=""/>
      <w:lvlJc w:val="left"/>
      <w:pPr>
        <w:ind w:left="1080" w:hanging="360"/>
      </w:pPr>
      <w:rPr>
        <w:rFonts w:ascii="Symbol" w:hAnsi="Symbol"/>
      </w:rPr>
    </w:lvl>
    <w:lvl w:ilvl="8" w:tplc="448E6AFA">
      <w:start w:val="1"/>
      <w:numFmt w:val="bullet"/>
      <w:lvlText w:val=""/>
      <w:lvlJc w:val="left"/>
      <w:pPr>
        <w:ind w:left="1080" w:hanging="360"/>
      </w:pPr>
      <w:rPr>
        <w:rFonts w:ascii="Symbol" w:hAnsi="Symbol"/>
      </w:rPr>
    </w:lvl>
  </w:abstractNum>
  <w:abstractNum w:abstractNumId="39" w15:restartNumberingAfterBreak="0">
    <w:nsid w:val="593634B1"/>
    <w:multiLevelType w:val="hybridMultilevel"/>
    <w:tmpl w:val="05FCF79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150250"/>
    <w:multiLevelType w:val="hybridMultilevel"/>
    <w:tmpl w:val="B9706C6E"/>
    <w:lvl w:ilvl="0" w:tplc="6360CAD4">
      <w:start w:val="1"/>
      <w:numFmt w:val="lowerLetter"/>
      <w:lvlText w:val="%1."/>
      <w:lvlJc w:val="left"/>
      <w:pPr>
        <w:ind w:left="720" w:hanging="360"/>
      </w:pPr>
      <w:rPr>
        <w:rFonts w:hint="default"/>
        <w:color w:val="FFFFFF" w:themeColor="background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DA37139"/>
    <w:multiLevelType w:val="hybridMultilevel"/>
    <w:tmpl w:val="C8920D26"/>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2D794B"/>
    <w:multiLevelType w:val="hybridMultilevel"/>
    <w:tmpl w:val="7BCCACD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18337C7"/>
    <w:multiLevelType w:val="hybridMultilevel"/>
    <w:tmpl w:val="251021AA"/>
    <w:lvl w:ilvl="0" w:tplc="EA460AE4">
      <w:start w:val="1"/>
      <w:numFmt w:val="lowerLetter"/>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34E77AF"/>
    <w:multiLevelType w:val="hybridMultilevel"/>
    <w:tmpl w:val="CDE090FC"/>
    <w:lvl w:ilvl="0" w:tplc="A6745ABA">
      <w:start w:val="1"/>
      <w:numFmt w:val="lowerLetter"/>
      <w:lvlText w:val="%1."/>
      <w:lvlJc w:val="left"/>
      <w:pPr>
        <w:ind w:left="720" w:hanging="360"/>
      </w:pPr>
      <w:rPr>
        <w:rFonts w:hint="default"/>
        <w:b/>
        <w:bCs/>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8C7659C"/>
    <w:multiLevelType w:val="hybridMultilevel"/>
    <w:tmpl w:val="ACFE28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C7B798C"/>
    <w:multiLevelType w:val="hybridMultilevel"/>
    <w:tmpl w:val="D3E47852"/>
    <w:lvl w:ilvl="0" w:tplc="DFAC704C">
      <w:start w:val="1"/>
      <w:numFmt w:val="lowerLetter"/>
      <w:lvlText w:val="%1."/>
      <w:lvlJc w:val="left"/>
      <w:pPr>
        <w:ind w:left="720" w:hanging="360"/>
      </w:pPr>
      <w:rPr>
        <w:rFonts w:hint="default"/>
        <w:color w:val="FFFFFF" w:themeColor="background1"/>
      </w:rPr>
    </w:lvl>
    <w:lvl w:ilvl="1" w:tplc="0C09000F">
      <w:start w:val="1"/>
      <w:numFmt w:val="decimal"/>
      <w:lvlText w:val="%2."/>
      <w:lvlJc w:val="left"/>
      <w:pPr>
        <w:ind w:left="644" w:hanging="360"/>
      </w:pPr>
    </w:lvl>
    <w:lvl w:ilvl="2" w:tplc="362C89E6">
      <w:start w:val="1"/>
      <w:numFmt w:val="lowerLetter"/>
      <w:lvlText w:val="%3."/>
      <w:lvlJc w:val="left"/>
      <w:pPr>
        <w:ind w:left="2160" w:hanging="360"/>
      </w:pPr>
      <w:rPr>
        <w:rFonts w:hint="default"/>
        <w:sz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E602204"/>
    <w:multiLevelType w:val="hybridMultilevel"/>
    <w:tmpl w:val="484E34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ED81151"/>
    <w:multiLevelType w:val="hybridMultilevel"/>
    <w:tmpl w:val="78B09318"/>
    <w:lvl w:ilvl="0" w:tplc="86920BE4">
      <w:start w:val="1"/>
      <w:numFmt w:val="lowerLetter"/>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0B80A84"/>
    <w:multiLevelType w:val="hybridMultilevel"/>
    <w:tmpl w:val="A6F46D72"/>
    <w:lvl w:ilvl="0" w:tplc="EFC2A5D6">
      <w:start w:val="1"/>
      <w:numFmt w:val="decimal"/>
      <w:lvlText w:val="%1."/>
      <w:lvlJc w:val="left"/>
      <w:pPr>
        <w:ind w:left="360" w:hanging="360"/>
      </w:pPr>
      <w:rPr>
        <w:b/>
        <w:bCs/>
      </w:rPr>
    </w:lvl>
    <w:lvl w:ilvl="1" w:tplc="1B1C78C2">
      <w:start w:val="1"/>
      <w:numFmt w:val="lowerLetter"/>
      <w:lvlText w:val="%2."/>
      <w:lvlJc w:val="left"/>
      <w:pPr>
        <w:ind w:left="786" w:hanging="360"/>
      </w:pPr>
      <w:rPr>
        <w:rFonts w:asciiTheme="majorHAnsi" w:hAnsiTheme="majorHAnsi" w:cs="Arial" w:hint="default"/>
        <w:b w:val="0"/>
        <w:bCs w:val="0"/>
        <w:sz w:val="22"/>
        <w:szCs w:val="22"/>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27F54D8"/>
    <w:multiLevelType w:val="hybridMultilevel"/>
    <w:tmpl w:val="2FB82A76"/>
    <w:lvl w:ilvl="0" w:tplc="579C62EC">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3" w15:restartNumberingAfterBreak="0">
    <w:nsid w:val="75B447B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9A57D2A"/>
    <w:multiLevelType w:val="hybridMultilevel"/>
    <w:tmpl w:val="83969E1C"/>
    <w:lvl w:ilvl="0" w:tplc="3F7CD5F4">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A170B83"/>
    <w:multiLevelType w:val="hybridMultilevel"/>
    <w:tmpl w:val="8020CA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B18133A"/>
    <w:multiLevelType w:val="hybridMultilevel"/>
    <w:tmpl w:val="A76A01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CED749C"/>
    <w:multiLevelType w:val="hybridMultilevel"/>
    <w:tmpl w:val="976A3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FAE049E"/>
    <w:multiLevelType w:val="hybridMultilevel"/>
    <w:tmpl w:val="A6DCB8E4"/>
    <w:lvl w:ilvl="0" w:tplc="0C090003">
      <w:start w:val="1"/>
      <w:numFmt w:val="bullet"/>
      <w:lvlText w:val="o"/>
      <w:lvlJc w:val="left"/>
      <w:pPr>
        <w:ind w:left="1123" w:hanging="360"/>
      </w:pPr>
      <w:rPr>
        <w:rFonts w:ascii="Courier New" w:hAnsi="Courier New" w:cs="Courier New" w:hint="default"/>
      </w:rPr>
    </w:lvl>
    <w:lvl w:ilvl="1" w:tplc="0C090003" w:tentative="1">
      <w:start w:val="1"/>
      <w:numFmt w:val="bullet"/>
      <w:lvlText w:val="o"/>
      <w:lvlJc w:val="left"/>
      <w:pPr>
        <w:ind w:left="1843" w:hanging="360"/>
      </w:pPr>
      <w:rPr>
        <w:rFonts w:ascii="Courier New" w:hAnsi="Courier New" w:cs="Courier New" w:hint="default"/>
      </w:rPr>
    </w:lvl>
    <w:lvl w:ilvl="2" w:tplc="0C090005" w:tentative="1">
      <w:start w:val="1"/>
      <w:numFmt w:val="bullet"/>
      <w:lvlText w:val=""/>
      <w:lvlJc w:val="left"/>
      <w:pPr>
        <w:ind w:left="2563" w:hanging="360"/>
      </w:pPr>
      <w:rPr>
        <w:rFonts w:ascii="Wingdings" w:hAnsi="Wingdings" w:hint="default"/>
      </w:rPr>
    </w:lvl>
    <w:lvl w:ilvl="3" w:tplc="0C090001" w:tentative="1">
      <w:start w:val="1"/>
      <w:numFmt w:val="bullet"/>
      <w:lvlText w:val=""/>
      <w:lvlJc w:val="left"/>
      <w:pPr>
        <w:ind w:left="3283" w:hanging="360"/>
      </w:pPr>
      <w:rPr>
        <w:rFonts w:ascii="Symbol" w:hAnsi="Symbol" w:hint="default"/>
      </w:rPr>
    </w:lvl>
    <w:lvl w:ilvl="4" w:tplc="0C090003" w:tentative="1">
      <w:start w:val="1"/>
      <w:numFmt w:val="bullet"/>
      <w:lvlText w:val="o"/>
      <w:lvlJc w:val="left"/>
      <w:pPr>
        <w:ind w:left="4003" w:hanging="360"/>
      </w:pPr>
      <w:rPr>
        <w:rFonts w:ascii="Courier New" w:hAnsi="Courier New" w:cs="Courier New" w:hint="default"/>
      </w:rPr>
    </w:lvl>
    <w:lvl w:ilvl="5" w:tplc="0C090005" w:tentative="1">
      <w:start w:val="1"/>
      <w:numFmt w:val="bullet"/>
      <w:lvlText w:val=""/>
      <w:lvlJc w:val="left"/>
      <w:pPr>
        <w:ind w:left="4723" w:hanging="360"/>
      </w:pPr>
      <w:rPr>
        <w:rFonts w:ascii="Wingdings" w:hAnsi="Wingdings" w:hint="default"/>
      </w:rPr>
    </w:lvl>
    <w:lvl w:ilvl="6" w:tplc="0C090001" w:tentative="1">
      <w:start w:val="1"/>
      <w:numFmt w:val="bullet"/>
      <w:lvlText w:val=""/>
      <w:lvlJc w:val="left"/>
      <w:pPr>
        <w:ind w:left="5443" w:hanging="360"/>
      </w:pPr>
      <w:rPr>
        <w:rFonts w:ascii="Symbol" w:hAnsi="Symbol" w:hint="default"/>
      </w:rPr>
    </w:lvl>
    <w:lvl w:ilvl="7" w:tplc="0C090003" w:tentative="1">
      <w:start w:val="1"/>
      <w:numFmt w:val="bullet"/>
      <w:lvlText w:val="o"/>
      <w:lvlJc w:val="left"/>
      <w:pPr>
        <w:ind w:left="6163" w:hanging="360"/>
      </w:pPr>
      <w:rPr>
        <w:rFonts w:ascii="Courier New" w:hAnsi="Courier New" w:cs="Courier New" w:hint="default"/>
      </w:rPr>
    </w:lvl>
    <w:lvl w:ilvl="8" w:tplc="0C090005" w:tentative="1">
      <w:start w:val="1"/>
      <w:numFmt w:val="bullet"/>
      <w:lvlText w:val=""/>
      <w:lvlJc w:val="left"/>
      <w:pPr>
        <w:ind w:left="6883" w:hanging="360"/>
      </w:pPr>
      <w:rPr>
        <w:rFonts w:ascii="Wingdings" w:hAnsi="Wingdings" w:hint="default"/>
      </w:rPr>
    </w:lvl>
  </w:abstractNum>
  <w:num w:numId="1" w16cid:durableId="1609384080">
    <w:abstractNumId w:val="14"/>
  </w:num>
  <w:num w:numId="2" w16cid:durableId="548417227">
    <w:abstractNumId w:val="26"/>
  </w:num>
  <w:num w:numId="3" w16cid:durableId="1472865886">
    <w:abstractNumId w:val="5"/>
  </w:num>
  <w:num w:numId="4" w16cid:durableId="809371042">
    <w:abstractNumId w:val="52"/>
  </w:num>
  <w:num w:numId="5" w16cid:durableId="543564918">
    <w:abstractNumId w:val="41"/>
  </w:num>
  <w:num w:numId="6" w16cid:durableId="882639748">
    <w:abstractNumId w:val="37"/>
  </w:num>
  <w:num w:numId="7" w16cid:durableId="1791392736">
    <w:abstractNumId w:val="20"/>
  </w:num>
  <w:num w:numId="8" w16cid:durableId="3362018">
    <w:abstractNumId w:val="49"/>
  </w:num>
  <w:num w:numId="9" w16cid:durableId="817763576">
    <w:abstractNumId w:val="24"/>
  </w:num>
  <w:num w:numId="10" w16cid:durableId="1104962742">
    <w:abstractNumId w:val="44"/>
  </w:num>
  <w:num w:numId="11" w16cid:durableId="268322778">
    <w:abstractNumId w:val="31"/>
  </w:num>
  <w:num w:numId="12" w16cid:durableId="606817297">
    <w:abstractNumId w:val="10"/>
  </w:num>
  <w:num w:numId="13" w16cid:durableId="185212767">
    <w:abstractNumId w:val="3"/>
  </w:num>
  <w:num w:numId="14" w16cid:durableId="1092896461">
    <w:abstractNumId w:val="55"/>
  </w:num>
  <w:num w:numId="15" w16cid:durableId="891385703">
    <w:abstractNumId w:val="51"/>
  </w:num>
  <w:num w:numId="16" w16cid:durableId="289751138">
    <w:abstractNumId w:val="43"/>
  </w:num>
  <w:num w:numId="17" w16cid:durableId="1756634900">
    <w:abstractNumId w:val="54"/>
  </w:num>
  <w:num w:numId="18" w16cid:durableId="2026714079">
    <w:abstractNumId w:val="45"/>
  </w:num>
  <w:num w:numId="19" w16cid:durableId="1609696786">
    <w:abstractNumId w:val="15"/>
  </w:num>
  <w:num w:numId="20" w16cid:durableId="1148133186">
    <w:abstractNumId w:val="48"/>
  </w:num>
  <w:num w:numId="21" w16cid:durableId="11019223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478333">
    <w:abstractNumId w:val="27"/>
  </w:num>
  <w:num w:numId="23" w16cid:durableId="655646249">
    <w:abstractNumId w:val="6"/>
  </w:num>
  <w:num w:numId="24" w16cid:durableId="618530835">
    <w:abstractNumId w:val="58"/>
  </w:num>
  <w:num w:numId="25" w16cid:durableId="1715273804">
    <w:abstractNumId w:val="17"/>
  </w:num>
  <w:num w:numId="26" w16cid:durableId="875237018">
    <w:abstractNumId w:val="47"/>
  </w:num>
  <w:num w:numId="27" w16cid:durableId="113596759">
    <w:abstractNumId w:val="29"/>
  </w:num>
  <w:num w:numId="28" w16cid:durableId="252975895">
    <w:abstractNumId w:val="57"/>
  </w:num>
  <w:num w:numId="29" w16cid:durableId="1203596944">
    <w:abstractNumId w:val="46"/>
  </w:num>
  <w:num w:numId="30" w16cid:durableId="2054689125">
    <w:abstractNumId w:val="28"/>
  </w:num>
  <w:num w:numId="31" w16cid:durableId="1398741780">
    <w:abstractNumId w:val="0"/>
  </w:num>
  <w:num w:numId="32" w16cid:durableId="153182684">
    <w:abstractNumId w:val="19"/>
  </w:num>
  <w:num w:numId="33" w16cid:durableId="872966008">
    <w:abstractNumId w:val="12"/>
  </w:num>
  <w:num w:numId="34" w16cid:durableId="661660612">
    <w:abstractNumId w:val="42"/>
  </w:num>
  <w:num w:numId="35" w16cid:durableId="1765607808">
    <w:abstractNumId w:val="25"/>
  </w:num>
  <w:num w:numId="36" w16cid:durableId="868836839">
    <w:abstractNumId w:val="18"/>
  </w:num>
  <w:num w:numId="37" w16cid:durableId="1600865771">
    <w:abstractNumId w:val="1"/>
  </w:num>
  <w:num w:numId="38" w16cid:durableId="1828670136">
    <w:abstractNumId w:val="40"/>
  </w:num>
  <w:num w:numId="39" w16cid:durableId="355352551">
    <w:abstractNumId w:val="36"/>
  </w:num>
  <w:num w:numId="40" w16cid:durableId="558827725">
    <w:abstractNumId w:val="13"/>
  </w:num>
  <w:num w:numId="41" w16cid:durableId="1916550700">
    <w:abstractNumId w:val="9"/>
    <w:lvlOverride w:ilvl="0">
      <w:startOverride w:val="1"/>
    </w:lvlOverride>
    <w:lvlOverride w:ilvl="1"/>
    <w:lvlOverride w:ilvl="2"/>
    <w:lvlOverride w:ilvl="3"/>
    <w:lvlOverride w:ilvl="4"/>
    <w:lvlOverride w:ilvl="5"/>
    <w:lvlOverride w:ilvl="6"/>
    <w:lvlOverride w:ilvl="7"/>
    <w:lvlOverride w:ilvl="8"/>
  </w:num>
  <w:num w:numId="42" w16cid:durableId="783766524">
    <w:abstractNumId w:val="34"/>
  </w:num>
  <w:num w:numId="43" w16cid:durableId="65419173">
    <w:abstractNumId w:val="50"/>
  </w:num>
  <w:num w:numId="44" w16cid:durableId="688482226">
    <w:abstractNumId w:val="53"/>
  </w:num>
  <w:num w:numId="45" w16cid:durableId="1240363980">
    <w:abstractNumId w:val="35"/>
  </w:num>
  <w:num w:numId="46" w16cid:durableId="1871140626">
    <w:abstractNumId w:val="39"/>
  </w:num>
  <w:num w:numId="47" w16cid:durableId="1202279238">
    <w:abstractNumId w:val="22"/>
  </w:num>
  <w:num w:numId="48" w16cid:durableId="1168520563">
    <w:abstractNumId w:val="8"/>
  </w:num>
  <w:num w:numId="49" w16cid:durableId="1273711634">
    <w:abstractNumId w:val="38"/>
  </w:num>
  <w:num w:numId="50" w16cid:durableId="348412439">
    <w:abstractNumId w:val="4"/>
  </w:num>
  <w:num w:numId="51" w16cid:durableId="1963534791">
    <w:abstractNumId w:val="56"/>
  </w:num>
  <w:num w:numId="52" w16cid:durableId="1830100700">
    <w:abstractNumId w:val="23"/>
  </w:num>
  <w:num w:numId="53" w16cid:durableId="706948974">
    <w:abstractNumId w:val="33"/>
  </w:num>
  <w:num w:numId="54" w16cid:durableId="462231350">
    <w:abstractNumId w:val="21"/>
  </w:num>
  <w:num w:numId="55" w16cid:durableId="1845969311">
    <w:abstractNumId w:val="32"/>
  </w:num>
  <w:num w:numId="56" w16cid:durableId="86074935">
    <w:abstractNumId w:val="7"/>
  </w:num>
  <w:num w:numId="57" w16cid:durableId="1368752063">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7E"/>
    <w:rsid w:val="00000118"/>
    <w:rsid w:val="00000838"/>
    <w:rsid w:val="00001E38"/>
    <w:rsid w:val="000027EE"/>
    <w:rsid w:val="00003156"/>
    <w:rsid w:val="00003231"/>
    <w:rsid w:val="0000338F"/>
    <w:rsid w:val="00004DD4"/>
    <w:rsid w:val="00004F14"/>
    <w:rsid w:val="00006A18"/>
    <w:rsid w:val="00007AE4"/>
    <w:rsid w:val="00007C66"/>
    <w:rsid w:val="000104AC"/>
    <w:rsid w:val="0001102D"/>
    <w:rsid w:val="00011408"/>
    <w:rsid w:val="00012366"/>
    <w:rsid w:val="000138FA"/>
    <w:rsid w:val="000139A5"/>
    <w:rsid w:val="00013CB1"/>
    <w:rsid w:val="0001418A"/>
    <w:rsid w:val="0001439C"/>
    <w:rsid w:val="00016221"/>
    <w:rsid w:val="00016524"/>
    <w:rsid w:val="00016AB8"/>
    <w:rsid w:val="00017105"/>
    <w:rsid w:val="00017826"/>
    <w:rsid w:val="0002006C"/>
    <w:rsid w:val="00021545"/>
    <w:rsid w:val="00021FBE"/>
    <w:rsid w:val="000225C8"/>
    <w:rsid w:val="000226D3"/>
    <w:rsid w:val="00022D40"/>
    <w:rsid w:val="00022D70"/>
    <w:rsid w:val="000233E2"/>
    <w:rsid w:val="00023748"/>
    <w:rsid w:val="00023AE5"/>
    <w:rsid w:val="00023E99"/>
    <w:rsid w:val="0002422A"/>
    <w:rsid w:val="0002525F"/>
    <w:rsid w:val="00025919"/>
    <w:rsid w:val="00025D77"/>
    <w:rsid w:val="00026ADA"/>
    <w:rsid w:val="00026F38"/>
    <w:rsid w:val="00027963"/>
    <w:rsid w:val="00027F8B"/>
    <w:rsid w:val="0003027A"/>
    <w:rsid w:val="000306DD"/>
    <w:rsid w:val="00031125"/>
    <w:rsid w:val="00031F4A"/>
    <w:rsid w:val="00032D34"/>
    <w:rsid w:val="00033656"/>
    <w:rsid w:val="0003463E"/>
    <w:rsid w:val="00034B56"/>
    <w:rsid w:val="00035EED"/>
    <w:rsid w:val="00036227"/>
    <w:rsid w:val="00036CF8"/>
    <w:rsid w:val="000373BA"/>
    <w:rsid w:val="000374AC"/>
    <w:rsid w:val="00040AAE"/>
    <w:rsid w:val="00040F76"/>
    <w:rsid w:val="00041D32"/>
    <w:rsid w:val="000429F3"/>
    <w:rsid w:val="00042A71"/>
    <w:rsid w:val="000431B3"/>
    <w:rsid w:val="000433FF"/>
    <w:rsid w:val="000444A8"/>
    <w:rsid w:val="0004520E"/>
    <w:rsid w:val="000457CC"/>
    <w:rsid w:val="00045B6E"/>
    <w:rsid w:val="000464F4"/>
    <w:rsid w:val="0004661F"/>
    <w:rsid w:val="0004672B"/>
    <w:rsid w:val="000468EB"/>
    <w:rsid w:val="00046A4B"/>
    <w:rsid w:val="00046D45"/>
    <w:rsid w:val="00046E87"/>
    <w:rsid w:val="00047AFB"/>
    <w:rsid w:val="000508A7"/>
    <w:rsid w:val="0005154B"/>
    <w:rsid w:val="0005214D"/>
    <w:rsid w:val="000521D7"/>
    <w:rsid w:val="0005240C"/>
    <w:rsid w:val="0005284D"/>
    <w:rsid w:val="00052D2D"/>
    <w:rsid w:val="00052F33"/>
    <w:rsid w:val="000540A4"/>
    <w:rsid w:val="00054120"/>
    <w:rsid w:val="00054BD1"/>
    <w:rsid w:val="00056293"/>
    <w:rsid w:val="0006042F"/>
    <w:rsid w:val="000605D3"/>
    <w:rsid w:val="0006348C"/>
    <w:rsid w:val="0006504C"/>
    <w:rsid w:val="00065CA2"/>
    <w:rsid w:val="0006650A"/>
    <w:rsid w:val="00066CA7"/>
    <w:rsid w:val="00066CB6"/>
    <w:rsid w:val="00066DA8"/>
    <w:rsid w:val="0006702F"/>
    <w:rsid w:val="00067095"/>
    <w:rsid w:val="0006770D"/>
    <w:rsid w:val="00067A31"/>
    <w:rsid w:val="0007016C"/>
    <w:rsid w:val="00070C1A"/>
    <w:rsid w:val="00071380"/>
    <w:rsid w:val="000722DB"/>
    <w:rsid w:val="00073D5D"/>
    <w:rsid w:val="0007470C"/>
    <w:rsid w:val="00074FE1"/>
    <w:rsid w:val="00075032"/>
    <w:rsid w:val="000752C5"/>
    <w:rsid w:val="00075740"/>
    <w:rsid w:val="0007574E"/>
    <w:rsid w:val="0007775D"/>
    <w:rsid w:val="00080552"/>
    <w:rsid w:val="000811C4"/>
    <w:rsid w:val="000819EE"/>
    <w:rsid w:val="000822D1"/>
    <w:rsid w:val="00083014"/>
    <w:rsid w:val="00086E0E"/>
    <w:rsid w:val="000872AB"/>
    <w:rsid w:val="00087375"/>
    <w:rsid w:val="000879F3"/>
    <w:rsid w:val="00087EB5"/>
    <w:rsid w:val="0009003B"/>
    <w:rsid w:val="00090C09"/>
    <w:rsid w:val="00090EEF"/>
    <w:rsid w:val="00090F19"/>
    <w:rsid w:val="00091368"/>
    <w:rsid w:val="000920FD"/>
    <w:rsid w:val="000927E6"/>
    <w:rsid w:val="00093330"/>
    <w:rsid w:val="000935E4"/>
    <w:rsid w:val="00093B1A"/>
    <w:rsid w:val="00095A8E"/>
    <w:rsid w:val="000967C1"/>
    <w:rsid w:val="00096A55"/>
    <w:rsid w:val="00096E43"/>
    <w:rsid w:val="0009707A"/>
    <w:rsid w:val="00097B6F"/>
    <w:rsid w:val="000A05AB"/>
    <w:rsid w:val="000A05EE"/>
    <w:rsid w:val="000A0B58"/>
    <w:rsid w:val="000A0DED"/>
    <w:rsid w:val="000A1EC1"/>
    <w:rsid w:val="000A279C"/>
    <w:rsid w:val="000A4007"/>
    <w:rsid w:val="000A4443"/>
    <w:rsid w:val="000A4963"/>
    <w:rsid w:val="000A523C"/>
    <w:rsid w:val="000A5467"/>
    <w:rsid w:val="000A556B"/>
    <w:rsid w:val="000A5C5E"/>
    <w:rsid w:val="000A6228"/>
    <w:rsid w:val="000A6408"/>
    <w:rsid w:val="000A6525"/>
    <w:rsid w:val="000A6A73"/>
    <w:rsid w:val="000A6D00"/>
    <w:rsid w:val="000A6D6F"/>
    <w:rsid w:val="000A750E"/>
    <w:rsid w:val="000B13DA"/>
    <w:rsid w:val="000B1D46"/>
    <w:rsid w:val="000B2122"/>
    <w:rsid w:val="000B2CCE"/>
    <w:rsid w:val="000B31B2"/>
    <w:rsid w:val="000B4B06"/>
    <w:rsid w:val="000B4F4E"/>
    <w:rsid w:val="000B50F8"/>
    <w:rsid w:val="000B5D40"/>
    <w:rsid w:val="000B5E33"/>
    <w:rsid w:val="000B633A"/>
    <w:rsid w:val="000B6B9C"/>
    <w:rsid w:val="000B765A"/>
    <w:rsid w:val="000B7A5A"/>
    <w:rsid w:val="000B7EC6"/>
    <w:rsid w:val="000C1109"/>
    <w:rsid w:val="000C1965"/>
    <w:rsid w:val="000C2453"/>
    <w:rsid w:val="000C2E99"/>
    <w:rsid w:val="000C41E7"/>
    <w:rsid w:val="000C43AA"/>
    <w:rsid w:val="000C54BF"/>
    <w:rsid w:val="000C5680"/>
    <w:rsid w:val="000C5D45"/>
    <w:rsid w:val="000C6718"/>
    <w:rsid w:val="000C72B3"/>
    <w:rsid w:val="000C7F28"/>
    <w:rsid w:val="000D09D7"/>
    <w:rsid w:val="000D156E"/>
    <w:rsid w:val="000D1797"/>
    <w:rsid w:val="000D1805"/>
    <w:rsid w:val="000D1E11"/>
    <w:rsid w:val="000D20D0"/>
    <w:rsid w:val="000D218F"/>
    <w:rsid w:val="000D244A"/>
    <w:rsid w:val="000D2D1F"/>
    <w:rsid w:val="000D2F8D"/>
    <w:rsid w:val="000D3168"/>
    <w:rsid w:val="000D4E84"/>
    <w:rsid w:val="000D514F"/>
    <w:rsid w:val="000D5C6A"/>
    <w:rsid w:val="000D5EFE"/>
    <w:rsid w:val="000D68D0"/>
    <w:rsid w:val="000D6A05"/>
    <w:rsid w:val="000D6E3D"/>
    <w:rsid w:val="000D719C"/>
    <w:rsid w:val="000E00DE"/>
    <w:rsid w:val="000E0307"/>
    <w:rsid w:val="000E03E0"/>
    <w:rsid w:val="000E07A0"/>
    <w:rsid w:val="000E13F0"/>
    <w:rsid w:val="000E15B4"/>
    <w:rsid w:val="000E1C2F"/>
    <w:rsid w:val="000E24B0"/>
    <w:rsid w:val="000E2DE8"/>
    <w:rsid w:val="000E38AA"/>
    <w:rsid w:val="000E5543"/>
    <w:rsid w:val="000E5683"/>
    <w:rsid w:val="000E599D"/>
    <w:rsid w:val="000E6B33"/>
    <w:rsid w:val="000E7110"/>
    <w:rsid w:val="000E72BA"/>
    <w:rsid w:val="000F001A"/>
    <w:rsid w:val="000F01BB"/>
    <w:rsid w:val="000F052D"/>
    <w:rsid w:val="000F0FE7"/>
    <w:rsid w:val="000F1E97"/>
    <w:rsid w:val="000F3212"/>
    <w:rsid w:val="000F3AE6"/>
    <w:rsid w:val="000F4563"/>
    <w:rsid w:val="000F4924"/>
    <w:rsid w:val="000F4AB4"/>
    <w:rsid w:val="000F5497"/>
    <w:rsid w:val="000F55FC"/>
    <w:rsid w:val="000F60DD"/>
    <w:rsid w:val="000F6270"/>
    <w:rsid w:val="000F6385"/>
    <w:rsid w:val="000F7F12"/>
    <w:rsid w:val="00101400"/>
    <w:rsid w:val="00101470"/>
    <w:rsid w:val="0010171F"/>
    <w:rsid w:val="001018EA"/>
    <w:rsid w:val="00101A3B"/>
    <w:rsid w:val="00102200"/>
    <w:rsid w:val="00102715"/>
    <w:rsid w:val="00104A9D"/>
    <w:rsid w:val="001055FB"/>
    <w:rsid w:val="00105F22"/>
    <w:rsid w:val="00107110"/>
    <w:rsid w:val="00107308"/>
    <w:rsid w:val="00107D87"/>
    <w:rsid w:val="00107DD5"/>
    <w:rsid w:val="001101E9"/>
    <w:rsid w:val="001102F4"/>
    <w:rsid w:val="0011115E"/>
    <w:rsid w:val="00111A95"/>
    <w:rsid w:val="00111CC2"/>
    <w:rsid w:val="00111CC6"/>
    <w:rsid w:val="00111D5F"/>
    <w:rsid w:val="00112541"/>
    <w:rsid w:val="001136A7"/>
    <w:rsid w:val="001141AE"/>
    <w:rsid w:val="00115054"/>
    <w:rsid w:val="001152EE"/>
    <w:rsid w:val="001160B9"/>
    <w:rsid w:val="00116508"/>
    <w:rsid w:val="0011671A"/>
    <w:rsid w:val="001170B2"/>
    <w:rsid w:val="0011740A"/>
    <w:rsid w:val="001175D5"/>
    <w:rsid w:val="00120B71"/>
    <w:rsid w:val="0012110B"/>
    <w:rsid w:val="00121286"/>
    <w:rsid w:val="0012248E"/>
    <w:rsid w:val="0012343A"/>
    <w:rsid w:val="00123B33"/>
    <w:rsid w:val="00123BB6"/>
    <w:rsid w:val="00123C6E"/>
    <w:rsid w:val="001245F5"/>
    <w:rsid w:val="00124686"/>
    <w:rsid w:val="001251E8"/>
    <w:rsid w:val="00125310"/>
    <w:rsid w:val="00125DD9"/>
    <w:rsid w:val="001267AF"/>
    <w:rsid w:val="00126B4A"/>
    <w:rsid w:val="00126DD8"/>
    <w:rsid w:val="0012723D"/>
    <w:rsid w:val="00127C86"/>
    <w:rsid w:val="001303E9"/>
    <w:rsid w:val="00130917"/>
    <w:rsid w:val="00130F28"/>
    <w:rsid w:val="00131A26"/>
    <w:rsid w:val="00133947"/>
    <w:rsid w:val="00133B8D"/>
    <w:rsid w:val="00133C7D"/>
    <w:rsid w:val="001345D9"/>
    <w:rsid w:val="001348BE"/>
    <w:rsid w:val="00135BA1"/>
    <w:rsid w:val="0013611E"/>
    <w:rsid w:val="00136302"/>
    <w:rsid w:val="001364AE"/>
    <w:rsid w:val="0013659E"/>
    <w:rsid w:val="00136AB0"/>
    <w:rsid w:val="00140267"/>
    <w:rsid w:val="00141A1A"/>
    <w:rsid w:val="00141F4D"/>
    <w:rsid w:val="001426AA"/>
    <w:rsid w:val="00142B1B"/>
    <w:rsid w:val="0014336C"/>
    <w:rsid w:val="00144695"/>
    <w:rsid w:val="001446AC"/>
    <w:rsid w:val="001447B0"/>
    <w:rsid w:val="00145808"/>
    <w:rsid w:val="00147025"/>
    <w:rsid w:val="00147988"/>
    <w:rsid w:val="001500DB"/>
    <w:rsid w:val="00150E81"/>
    <w:rsid w:val="001515BF"/>
    <w:rsid w:val="00151CBD"/>
    <w:rsid w:val="001523CF"/>
    <w:rsid w:val="0015268D"/>
    <w:rsid w:val="0015289B"/>
    <w:rsid w:val="00152E50"/>
    <w:rsid w:val="00155499"/>
    <w:rsid w:val="00155664"/>
    <w:rsid w:val="0015582A"/>
    <w:rsid w:val="00155D40"/>
    <w:rsid w:val="00155F9F"/>
    <w:rsid w:val="0016098C"/>
    <w:rsid w:val="00162B38"/>
    <w:rsid w:val="001645B3"/>
    <w:rsid w:val="00166369"/>
    <w:rsid w:val="0016678F"/>
    <w:rsid w:val="00167F10"/>
    <w:rsid w:val="00170C59"/>
    <w:rsid w:val="0017134D"/>
    <w:rsid w:val="00173482"/>
    <w:rsid w:val="0017361B"/>
    <w:rsid w:val="00174009"/>
    <w:rsid w:val="001740E1"/>
    <w:rsid w:val="001742A4"/>
    <w:rsid w:val="00174771"/>
    <w:rsid w:val="00176949"/>
    <w:rsid w:val="00176AD5"/>
    <w:rsid w:val="00176BE4"/>
    <w:rsid w:val="00176DC4"/>
    <w:rsid w:val="001771A7"/>
    <w:rsid w:val="00177766"/>
    <w:rsid w:val="00177A67"/>
    <w:rsid w:val="00177D6F"/>
    <w:rsid w:val="001809CD"/>
    <w:rsid w:val="00181367"/>
    <w:rsid w:val="001815D4"/>
    <w:rsid w:val="00181F0C"/>
    <w:rsid w:val="00183370"/>
    <w:rsid w:val="001837B2"/>
    <w:rsid w:val="00184483"/>
    <w:rsid w:val="00184C4C"/>
    <w:rsid w:val="00185C61"/>
    <w:rsid w:val="0018646D"/>
    <w:rsid w:val="00187C35"/>
    <w:rsid w:val="00191BC4"/>
    <w:rsid w:val="0019232C"/>
    <w:rsid w:val="00192971"/>
    <w:rsid w:val="00193049"/>
    <w:rsid w:val="0019313A"/>
    <w:rsid w:val="001931F5"/>
    <w:rsid w:val="001934CB"/>
    <w:rsid w:val="00193547"/>
    <w:rsid w:val="00193CD2"/>
    <w:rsid w:val="00194672"/>
    <w:rsid w:val="001949FF"/>
    <w:rsid w:val="001951A6"/>
    <w:rsid w:val="00195F2E"/>
    <w:rsid w:val="001969EB"/>
    <w:rsid w:val="00197314"/>
    <w:rsid w:val="001977BE"/>
    <w:rsid w:val="001A1815"/>
    <w:rsid w:val="001A1AC9"/>
    <w:rsid w:val="001A1F92"/>
    <w:rsid w:val="001A2510"/>
    <w:rsid w:val="001A27BD"/>
    <w:rsid w:val="001A30A9"/>
    <w:rsid w:val="001A3317"/>
    <w:rsid w:val="001A3874"/>
    <w:rsid w:val="001A4A14"/>
    <w:rsid w:val="001A4EF3"/>
    <w:rsid w:val="001A5430"/>
    <w:rsid w:val="001A596B"/>
    <w:rsid w:val="001A6F33"/>
    <w:rsid w:val="001A72AF"/>
    <w:rsid w:val="001A7F3F"/>
    <w:rsid w:val="001B02A4"/>
    <w:rsid w:val="001B198A"/>
    <w:rsid w:val="001B1F83"/>
    <w:rsid w:val="001B2809"/>
    <w:rsid w:val="001B2EA3"/>
    <w:rsid w:val="001B30B4"/>
    <w:rsid w:val="001B371B"/>
    <w:rsid w:val="001B3B00"/>
    <w:rsid w:val="001B3B22"/>
    <w:rsid w:val="001B4D33"/>
    <w:rsid w:val="001B59C0"/>
    <w:rsid w:val="001B6207"/>
    <w:rsid w:val="001B65C5"/>
    <w:rsid w:val="001B6716"/>
    <w:rsid w:val="001B6E4D"/>
    <w:rsid w:val="001B71E7"/>
    <w:rsid w:val="001B7501"/>
    <w:rsid w:val="001B7E45"/>
    <w:rsid w:val="001C0B58"/>
    <w:rsid w:val="001C10CC"/>
    <w:rsid w:val="001C1523"/>
    <w:rsid w:val="001C25F5"/>
    <w:rsid w:val="001C2DE3"/>
    <w:rsid w:val="001C3A33"/>
    <w:rsid w:val="001C4C7B"/>
    <w:rsid w:val="001C4D06"/>
    <w:rsid w:val="001C4F08"/>
    <w:rsid w:val="001C5089"/>
    <w:rsid w:val="001C534A"/>
    <w:rsid w:val="001C5362"/>
    <w:rsid w:val="001C6B5B"/>
    <w:rsid w:val="001C6E78"/>
    <w:rsid w:val="001D0799"/>
    <w:rsid w:val="001D225E"/>
    <w:rsid w:val="001D28E2"/>
    <w:rsid w:val="001D2B2C"/>
    <w:rsid w:val="001D2CF7"/>
    <w:rsid w:val="001D3AAE"/>
    <w:rsid w:val="001D4030"/>
    <w:rsid w:val="001D48A4"/>
    <w:rsid w:val="001D5FF4"/>
    <w:rsid w:val="001D625B"/>
    <w:rsid w:val="001D675F"/>
    <w:rsid w:val="001D6DA5"/>
    <w:rsid w:val="001D719B"/>
    <w:rsid w:val="001D7792"/>
    <w:rsid w:val="001E0087"/>
    <w:rsid w:val="001E1211"/>
    <w:rsid w:val="001E16CB"/>
    <w:rsid w:val="001E19AF"/>
    <w:rsid w:val="001E1CF5"/>
    <w:rsid w:val="001E2DC5"/>
    <w:rsid w:val="001E3500"/>
    <w:rsid w:val="001E393E"/>
    <w:rsid w:val="001E422E"/>
    <w:rsid w:val="001E4B47"/>
    <w:rsid w:val="001E4EC6"/>
    <w:rsid w:val="001E591E"/>
    <w:rsid w:val="001E61AF"/>
    <w:rsid w:val="001E658C"/>
    <w:rsid w:val="001F06EF"/>
    <w:rsid w:val="001F0BA7"/>
    <w:rsid w:val="001F128A"/>
    <w:rsid w:val="001F1703"/>
    <w:rsid w:val="001F18B0"/>
    <w:rsid w:val="001F1AD6"/>
    <w:rsid w:val="001F1E37"/>
    <w:rsid w:val="001F2782"/>
    <w:rsid w:val="001F2942"/>
    <w:rsid w:val="001F3E32"/>
    <w:rsid w:val="001F4B93"/>
    <w:rsid w:val="001F4E59"/>
    <w:rsid w:val="001F5C26"/>
    <w:rsid w:val="001F5CFE"/>
    <w:rsid w:val="001F6A02"/>
    <w:rsid w:val="001F6D04"/>
    <w:rsid w:val="001F6F77"/>
    <w:rsid w:val="001F6FD1"/>
    <w:rsid w:val="001F79D6"/>
    <w:rsid w:val="00201869"/>
    <w:rsid w:val="002019B0"/>
    <w:rsid w:val="0020290B"/>
    <w:rsid w:val="00202A1F"/>
    <w:rsid w:val="0020405A"/>
    <w:rsid w:val="00204327"/>
    <w:rsid w:val="00204739"/>
    <w:rsid w:val="00204B35"/>
    <w:rsid w:val="00205DB8"/>
    <w:rsid w:val="0020670B"/>
    <w:rsid w:val="0020775C"/>
    <w:rsid w:val="00207AA8"/>
    <w:rsid w:val="00210948"/>
    <w:rsid w:val="00211021"/>
    <w:rsid w:val="00212DE4"/>
    <w:rsid w:val="0021345D"/>
    <w:rsid w:val="00214D2D"/>
    <w:rsid w:val="00215181"/>
    <w:rsid w:val="002154C5"/>
    <w:rsid w:val="00220378"/>
    <w:rsid w:val="00220C6D"/>
    <w:rsid w:val="00220ECD"/>
    <w:rsid w:val="002212AE"/>
    <w:rsid w:val="002213F4"/>
    <w:rsid w:val="0022146F"/>
    <w:rsid w:val="00221D8F"/>
    <w:rsid w:val="00222551"/>
    <w:rsid w:val="002248F2"/>
    <w:rsid w:val="00225385"/>
    <w:rsid w:val="00225A82"/>
    <w:rsid w:val="00225CFE"/>
    <w:rsid w:val="00225E6F"/>
    <w:rsid w:val="0022609C"/>
    <w:rsid w:val="002272DB"/>
    <w:rsid w:val="00227477"/>
    <w:rsid w:val="00230E7B"/>
    <w:rsid w:val="00231296"/>
    <w:rsid w:val="00231F0D"/>
    <w:rsid w:val="002325C6"/>
    <w:rsid w:val="002325CB"/>
    <w:rsid w:val="00233B4F"/>
    <w:rsid w:val="00234053"/>
    <w:rsid w:val="00234FBB"/>
    <w:rsid w:val="002352F2"/>
    <w:rsid w:val="00236229"/>
    <w:rsid w:val="00236B56"/>
    <w:rsid w:val="00236D54"/>
    <w:rsid w:val="00236E82"/>
    <w:rsid w:val="00237BF0"/>
    <w:rsid w:val="002402CB"/>
    <w:rsid w:val="00240957"/>
    <w:rsid w:val="00240BC7"/>
    <w:rsid w:val="002411BF"/>
    <w:rsid w:val="002421AA"/>
    <w:rsid w:val="0024395B"/>
    <w:rsid w:val="00243E8D"/>
    <w:rsid w:val="00243EA4"/>
    <w:rsid w:val="002448AD"/>
    <w:rsid w:val="00244AB2"/>
    <w:rsid w:val="00246DE0"/>
    <w:rsid w:val="00246EEC"/>
    <w:rsid w:val="002470E8"/>
    <w:rsid w:val="0024734C"/>
    <w:rsid w:val="00250296"/>
    <w:rsid w:val="00250922"/>
    <w:rsid w:val="00252447"/>
    <w:rsid w:val="00252CD8"/>
    <w:rsid w:val="00253497"/>
    <w:rsid w:val="00253ADB"/>
    <w:rsid w:val="00253D1E"/>
    <w:rsid w:val="0025419A"/>
    <w:rsid w:val="00255505"/>
    <w:rsid w:val="0025592E"/>
    <w:rsid w:val="00256698"/>
    <w:rsid w:val="00256964"/>
    <w:rsid w:val="002569A5"/>
    <w:rsid w:val="0025769D"/>
    <w:rsid w:val="0026144A"/>
    <w:rsid w:val="002616B9"/>
    <w:rsid w:val="00263930"/>
    <w:rsid w:val="00264716"/>
    <w:rsid w:val="00264D4C"/>
    <w:rsid w:val="00265C10"/>
    <w:rsid w:val="00266911"/>
    <w:rsid w:val="00267D90"/>
    <w:rsid w:val="002700F9"/>
    <w:rsid w:val="00272546"/>
    <w:rsid w:val="00272BCF"/>
    <w:rsid w:val="00272F10"/>
    <w:rsid w:val="002730D3"/>
    <w:rsid w:val="00273739"/>
    <w:rsid w:val="0027471B"/>
    <w:rsid w:val="00274D5C"/>
    <w:rsid w:val="0027507A"/>
    <w:rsid w:val="00275E61"/>
    <w:rsid w:val="00276047"/>
    <w:rsid w:val="00276632"/>
    <w:rsid w:val="002806B4"/>
    <w:rsid w:val="0028119D"/>
    <w:rsid w:val="00281331"/>
    <w:rsid w:val="002815DF"/>
    <w:rsid w:val="00281A65"/>
    <w:rsid w:val="00282B4D"/>
    <w:rsid w:val="00283D2A"/>
    <w:rsid w:val="00284E6F"/>
    <w:rsid w:val="002850EF"/>
    <w:rsid w:val="00286F55"/>
    <w:rsid w:val="002873F5"/>
    <w:rsid w:val="00287405"/>
    <w:rsid w:val="002874E4"/>
    <w:rsid w:val="00290171"/>
    <w:rsid w:val="002907BD"/>
    <w:rsid w:val="00290BD0"/>
    <w:rsid w:val="00290C63"/>
    <w:rsid w:val="0029241D"/>
    <w:rsid w:val="00292D25"/>
    <w:rsid w:val="002934A0"/>
    <w:rsid w:val="00295A52"/>
    <w:rsid w:val="002968E0"/>
    <w:rsid w:val="002970D6"/>
    <w:rsid w:val="002A15A4"/>
    <w:rsid w:val="002A1A42"/>
    <w:rsid w:val="002A1A5E"/>
    <w:rsid w:val="002A1FB1"/>
    <w:rsid w:val="002A2A97"/>
    <w:rsid w:val="002A2D32"/>
    <w:rsid w:val="002A2DB9"/>
    <w:rsid w:val="002A2F0B"/>
    <w:rsid w:val="002A3F6B"/>
    <w:rsid w:val="002A4458"/>
    <w:rsid w:val="002A44B7"/>
    <w:rsid w:val="002A4E9A"/>
    <w:rsid w:val="002A524D"/>
    <w:rsid w:val="002A52F7"/>
    <w:rsid w:val="002A567A"/>
    <w:rsid w:val="002A6010"/>
    <w:rsid w:val="002A66BD"/>
    <w:rsid w:val="002A6901"/>
    <w:rsid w:val="002A6B1E"/>
    <w:rsid w:val="002A7EF6"/>
    <w:rsid w:val="002B03BF"/>
    <w:rsid w:val="002B04FA"/>
    <w:rsid w:val="002B0827"/>
    <w:rsid w:val="002B1FD4"/>
    <w:rsid w:val="002B23E4"/>
    <w:rsid w:val="002B2572"/>
    <w:rsid w:val="002B2AE4"/>
    <w:rsid w:val="002B3E38"/>
    <w:rsid w:val="002B4EC7"/>
    <w:rsid w:val="002B51C0"/>
    <w:rsid w:val="002B5DBF"/>
    <w:rsid w:val="002B6208"/>
    <w:rsid w:val="002B6230"/>
    <w:rsid w:val="002B687D"/>
    <w:rsid w:val="002B731F"/>
    <w:rsid w:val="002C0966"/>
    <w:rsid w:val="002C13D5"/>
    <w:rsid w:val="002C1A54"/>
    <w:rsid w:val="002C1DD0"/>
    <w:rsid w:val="002C2069"/>
    <w:rsid w:val="002C2CE6"/>
    <w:rsid w:val="002C3098"/>
    <w:rsid w:val="002C42C6"/>
    <w:rsid w:val="002C47DD"/>
    <w:rsid w:val="002C4B26"/>
    <w:rsid w:val="002C4D3B"/>
    <w:rsid w:val="002C5446"/>
    <w:rsid w:val="002C54AA"/>
    <w:rsid w:val="002C627C"/>
    <w:rsid w:val="002C63C4"/>
    <w:rsid w:val="002C6600"/>
    <w:rsid w:val="002C7A8E"/>
    <w:rsid w:val="002C7BD7"/>
    <w:rsid w:val="002C7C4F"/>
    <w:rsid w:val="002D0930"/>
    <w:rsid w:val="002D0D92"/>
    <w:rsid w:val="002D10BC"/>
    <w:rsid w:val="002D10FF"/>
    <w:rsid w:val="002D11A9"/>
    <w:rsid w:val="002D13EA"/>
    <w:rsid w:val="002D1977"/>
    <w:rsid w:val="002D2436"/>
    <w:rsid w:val="002D2556"/>
    <w:rsid w:val="002D3ACA"/>
    <w:rsid w:val="002D4021"/>
    <w:rsid w:val="002D4937"/>
    <w:rsid w:val="002D54F9"/>
    <w:rsid w:val="002D589A"/>
    <w:rsid w:val="002D5DF6"/>
    <w:rsid w:val="002D68D7"/>
    <w:rsid w:val="002D6937"/>
    <w:rsid w:val="002D7172"/>
    <w:rsid w:val="002D7231"/>
    <w:rsid w:val="002D7C0D"/>
    <w:rsid w:val="002E0BF0"/>
    <w:rsid w:val="002E122F"/>
    <w:rsid w:val="002E1F69"/>
    <w:rsid w:val="002E1FB1"/>
    <w:rsid w:val="002E34A6"/>
    <w:rsid w:val="002E3CEB"/>
    <w:rsid w:val="002E49B6"/>
    <w:rsid w:val="002E4ABB"/>
    <w:rsid w:val="002E4C3A"/>
    <w:rsid w:val="002E6712"/>
    <w:rsid w:val="002E7780"/>
    <w:rsid w:val="002F0563"/>
    <w:rsid w:val="002F0677"/>
    <w:rsid w:val="002F24E6"/>
    <w:rsid w:val="002F3848"/>
    <w:rsid w:val="002F46BF"/>
    <w:rsid w:val="002F4C56"/>
    <w:rsid w:val="002F50F4"/>
    <w:rsid w:val="002F5950"/>
    <w:rsid w:val="002F7528"/>
    <w:rsid w:val="002F7872"/>
    <w:rsid w:val="002F78E4"/>
    <w:rsid w:val="002F7D2D"/>
    <w:rsid w:val="002F7E9F"/>
    <w:rsid w:val="002FEEEA"/>
    <w:rsid w:val="003002E5"/>
    <w:rsid w:val="003009E4"/>
    <w:rsid w:val="00300E3A"/>
    <w:rsid w:val="003011D6"/>
    <w:rsid w:val="00301BBF"/>
    <w:rsid w:val="00302673"/>
    <w:rsid w:val="003036FA"/>
    <w:rsid w:val="00304B4B"/>
    <w:rsid w:val="00304B58"/>
    <w:rsid w:val="00304F7F"/>
    <w:rsid w:val="00305017"/>
    <w:rsid w:val="0030514C"/>
    <w:rsid w:val="003055AA"/>
    <w:rsid w:val="003059E4"/>
    <w:rsid w:val="003060F7"/>
    <w:rsid w:val="0030615C"/>
    <w:rsid w:val="0030682A"/>
    <w:rsid w:val="00306E19"/>
    <w:rsid w:val="0031020D"/>
    <w:rsid w:val="00311562"/>
    <w:rsid w:val="0031189B"/>
    <w:rsid w:val="003122BD"/>
    <w:rsid w:val="003128A3"/>
    <w:rsid w:val="00312A1D"/>
    <w:rsid w:val="00314D38"/>
    <w:rsid w:val="00315379"/>
    <w:rsid w:val="003153A4"/>
    <w:rsid w:val="00315561"/>
    <w:rsid w:val="00315D19"/>
    <w:rsid w:val="00315D1E"/>
    <w:rsid w:val="00317969"/>
    <w:rsid w:val="00317F75"/>
    <w:rsid w:val="00320269"/>
    <w:rsid w:val="00320466"/>
    <w:rsid w:val="00320609"/>
    <w:rsid w:val="00320829"/>
    <w:rsid w:val="00321D3C"/>
    <w:rsid w:val="00322A48"/>
    <w:rsid w:val="00323E36"/>
    <w:rsid w:val="003240BD"/>
    <w:rsid w:val="003245EB"/>
    <w:rsid w:val="00325114"/>
    <w:rsid w:val="003252E3"/>
    <w:rsid w:val="003261A9"/>
    <w:rsid w:val="00326225"/>
    <w:rsid w:val="00326677"/>
    <w:rsid w:val="00327741"/>
    <w:rsid w:val="00330A86"/>
    <w:rsid w:val="00331880"/>
    <w:rsid w:val="00331B05"/>
    <w:rsid w:val="003322BC"/>
    <w:rsid w:val="0033365F"/>
    <w:rsid w:val="003343E1"/>
    <w:rsid w:val="003345A6"/>
    <w:rsid w:val="00334C3A"/>
    <w:rsid w:val="003356EE"/>
    <w:rsid w:val="00336D86"/>
    <w:rsid w:val="00337C2B"/>
    <w:rsid w:val="00340002"/>
    <w:rsid w:val="003418A8"/>
    <w:rsid w:val="00341B6F"/>
    <w:rsid w:val="003423D3"/>
    <w:rsid w:val="0034275F"/>
    <w:rsid w:val="003429DD"/>
    <w:rsid w:val="00343282"/>
    <w:rsid w:val="003432BD"/>
    <w:rsid w:val="00343979"/>
    <w:rsid w:val="0034406A"/>
    <w:rsid w:val="0034421C"/>
    <w:rsid w:val="00345387"/>
    <w:rsid w:val="00346588"/>
    <w:rsid w:val="003466C7"/>
    <w:rsid w:val="00347833"/>
    <w:rsid w:val="00347EC0"/>
    <w:rsid w:val="00347F32"/>
    <w:rsid w:val="00351651"/>
    <w:rsid w:val="00351C10"/>
    <w:rsid w:val="003521E0"/>
    <w:rsid w:val="00352A53"/>
    <w:rsid w:val="00352D46"/>
    <w:rsid w:val="003542C0"/>
    <w:rsid w:val="00355478"/>
    <w:rsid w:val="00355DFE"/>
    <w:rsid w:val="00356218"/>
    <w:rsid w:val="00357394"/>
    <w:rsid w:val="00357BE0"/>
    <w:rsid w:val="00357F1C"/>
    <w:rsid w:val="00357FB6"/>
    <w:rsid w:val="003605AA"/>
    <w:rsid w:val="00360C92"/>
    <w:rsid w:val="00360CBC"/>
    <w:rsid w:val="00360E4F"/>
    <w:rsid w:val="0036113D"/>
    <w:rsid w:val="00361241"/>
    <w:rsid w:val="003628B5"/>
    <w:rsid w:val="00363D4D"/>
    <w:rsid w:val="003645BF"/>
    <w:rsid w:val="003649C3"/>
    <w:rsid w:val="003652A5"/>
    <w:rsid w:val="00365DD7"/>
    <w:rsid w:val="003667C6"/>
    <w:rsid w:val="00366B86"/>
    <w:rsid w:val="00366E1F"/>
    <w:rsid w:val="00367803"/>
    <w:rsid w:val="003716B9"/>
    <w:rsid w:val="00372C58"/>
    <w:rsid w:val="003732E8"/>
    <w:rsid w:val="003755DA"/>
    <w:rsid w:val="003757D5"/>
    <w:rsid w:val="00375D15"/>
    <w:rsid w:val="00376321"/>
    <w:rsid w:val="00377570"/>
    <w:rsid w:val="003775E5"/>
    <w:rsid w:val="003804EF"/>
    <w:rsid w:val="00381D21"/>
    <w:rsid w:val="00382295"/>
    <w:rsid w:val="00382DD1"/>
    <w:rsid w:val="00384545"/>
    <w:rsid w:val="003845CF"/>
    <w:rsid w:val="00384C4C"/>
    <w:rsid w:val="00384D69"/>
    <w:rsid w:val="00384E43"/>
    <w:rsid w:val="003851E2"/>
    <w:rsid w:val="00385318"/>
    <w:rsid w:val="00385CBA"/>
    <w:rsid w:val="00386113"/>
    <w:rsid w:val="00386E81"/>
    <w:rsid w:val="00386F72"/>
    <w:rsid w:val="00387788"/>
    <w:rsid w:val="00390438"/>
    <w:rsid w:val="0039045B"/>
    <w:rsid w:val="00391032"/>
    <w:rsid w:val="00391208"/>
    <w:rsid w:val="00391A42"/>
    <w:rsid w:val="00391BF4"/>
    <w:rsid w:val="00391EC5"/>
    <w:rsid w:val="00392222"/>
    <w:rsid w:val="003928A3"/>
    <w:rsid w:val="00392AFB"/>
    <w:rsid w:val="003931A5"/>
    <w:rsid w:val="003941DB"/>
    <w:rsid w:val="00394FA1"/>
    <w:rsid w:val="00395028"/>
    <w:rsid w:val="0039563E"/>
    <w:rsid w:val="00395FF2"/>
    <w:rsid w:val="00396329"/>
    <w:rsid w:val="003964AA"/>
    <w:rsid w:val="003965CA"/>
    <w:rsid w:val="003967A9"/>
    <w:rsid w:val="00396CEF"/>
    <w:rsid w:val="00397207"/>
    <w:rsid w:val="0039769D"/>
    <w:rsid w:val="003A00A3"/>
    <w:rsid w:val="003A00EC"/>
    <w:rsid w:val="003A07B9"/>
    <w:rsid w:val="003A105E"/>
    <w:rsid w:val="003A2093"/>
    <w:rsid w:val="003A27ED"/>
    <w:rsid w:val="003A2C84"/>
    <w:rsid w:val="003A348B"/>
    <w:rsid w:val="003A3970"/>
    <w:rsid w:val="003A3C8B"/>
    <w:rsid w:val="003A43F4"/>
    <w:rsid w:val="003A53A9"/>
    <w:rsid w:val="003A5547"/>
    <w:rsid w:val="003A6374"/>
    <w:rsid w:val="003A650C"/>
    <w:rsid w:val="003A7599"/>
    <w:rsid w:val="003A761E"/>
    <w:rsid w:val="003B0B2D"/>
    <w:rsid w:val="003B0D06"/>
    <w:rsid w:val="003B0EF2"/>
    <w:rsid w:val="003B2B1F"/>
    <w:rsid w:val="003B3EDA"/>
    <w:rsid w:val="003B407E"/>
    <w:rsid w:val="003B44AB"/>
    <w:rsid w:val="003B4B54"/>
    <w:rsid w:val="003B5AE9"/>
    <w:rsid w:val="003B5C71"/>
    <w:rsid w:val="003B5D8F"/>
    <w:rsid w:val="003B688D"/>
    <w:rsid w:val="003B7725"/>
    <w:rsid w:val="003C024E"/>
    <w:rsid w:val="003C04FF"/>
    <w:rsid w:val="003C0E88"/>
    <w:rsid w:val="003C19E4"/>
    <w:rsid w:val="003C1EFF"/>
    <w:rsid w:val="003C1FDD"/>
    <w:rsid w:val="003C2056"/>
    <w:rsid w:val="003C2342"/>
    <w:rsid w:val="003C2CC0"/>
    <w:rsid w:val="003C2F61"/>
    <w:rsid w:val="003C5CD2"/>
    <w:rsid w:val="003C5FBB"/>
    <w:rsid w:val="003C622D"/>
    <w:rsid w:val="003C63AA"/>
    <w:rsid w:val="003C6B59"/>
    <w:rsid w:val="003C6E56"/>
    <w:rsid w:val="003C7483"/>
    <w:rsid w:val="003C78E7"/>
    <w:rsid w:val="003D006D"/>
    <w:rsid w:val="003D1626"/>
    <w:rsid w:val="003D1943"/>
    <w:rsid w:val="003D1C54"/>
    <w:rsid w:val="003D2550"/>
    <w:rsid w:val="003D2A92"/>
    <w:rsid w:val="003D2B4B"/>
    <w:rsid w:val="003D3A33"/>
    <w:rsid w:val="003D3E6A"/>
    <w:rsid w:val="003D50F3"/>
    <w:rsid w:val="003D5F0A"/>
    <w:rsid w:val="003D6227"/>
    <w:rsid w:val="003D65A1"/>
    <w:rsid w:val="003D65DB"/>
    <w:rsid w:val="003D67D4"/>
    <w:rsid w:val="003D6D03"/>
    <w:rsid w:val="003D6D1D"/>
    <w:rsid w:val="003D7164"/>
    <w:rsid w:val="003D719B"/>
    <w:rsid w:val="003E000C"/>
    <w:rsid w:val="003E021E"/>
    <w:rsid w:val="003E1472"/>
    <w:rsid w:val="003E1733"/>
    <w:rsid w:val="003E1960"/>
    <w:rsid w:val="003E24D5"/>
    <w:rsid w:val="003E29D1"/>
    <w:rsid w:val="003E2E28"/>
    <w:rsid w:val="003E3473"/>
    <w:rsid w:val="003E3815"/>
    <w:rsid w:val="003E3C7F"/>
    <w:rsid w:val="003E3D5A"/>
    <w:rsid w:val="003E40A0"/>
    <w:rsid w:val="003E5874"/>
    <w:rsid w:val="003E6685"/>
    <w:rsid w:val="003E6A0E"/>
    <w:rsid w:val="003E6CCA"/>
    <w:rsid w:val="003E7D91"/>
    <w:rsid w:val="003F0A8A"/>
    <w:rsid w:val="003F178C"/>
    <w:rsid w:val="003F1CA6"/>
    <w:rsid w:val="003F213A"/>
    <w:rsid w:val="003F2385"/>
    <w:rsid w:val="003F474B"/>
    <w:rsid w:val="003F4E53"/>
    <w:rsid w:val="003F5259"/>
    <w:rsid w:val="003F541C"/>
    <w:rsid w:val="003F5F6A"/>
    <w:rsid w:val="004005CA"/>
    <w:rsid w:val="0040155D"/>
    <w:rsid w:val="00401A9D"/>
    <w:rsid w:val="00401C62"/>
    <w:rsid w:val="00402901"/>
    <w:rsid w:val="0040321A"/>
    <w:rsid w:val="00403685"/>
    <w:rsid w:val="00403AEE"/>
    <w:rsid w:val="00403BF0"/>
    <w:rsid w:val="00403D02"/>
    <w:rsid w:val="004065CF"/>
    <w:rsid w:val="004067F9"/>
    <w:rsid w:val="004068F3"/>
    <w:rsid w:val="00410442"/>
    <w:rsid w:val="00410604"/>
    <w:rsid w:val="004108F3"/>
    <w:rsid w:val="00411033"/>
    <w:rsid w:val="00411398"/>
    <w:rsid w:val="00412272"/>
    <w:rsid w:val="00412EF4"/>
    <w:rsid w:val="004133B5"/>
    <w:rsid w:val="00413D38"/>
    <w:rsid w:val="00413F51"/>
    <w:rsid w:val="00414506"/>
    <w:rsid w:val="0041591A"/>
    <w:rsid w:val="00416CD0"/>
    <w:rsid w:val="0041713E"/>
    <w:rsid w:val="0041714A"/>
    <w:rsid w:val="00417558"/>
    <w:rsid w:val="00417779"/>
    <w:rsid w:val="004179C2"/>
    <w:rsid w:val="00417A50"/>
    <w:rsid w:val="00417A86"/>
    <w:rsid w:val="00417EA8"/>
    <w:rsid w:val="00420349"/>
    <w:rsid w:val="00421D3F"/>
    <w:rsid w:val="0042248E"/>
    <w:rsid w:val="0042259D"/>
    <w:rsid w:val="0042337B"/>
    <w:rsid w:val="00423785"/>
    <w:rsid w:val="00424E39"/>
    <w:rsid w:val="00426149"/>
    <w:rsid w:val="004262EE"/>
    <w:rsid w:val="00426A7B"/>
    <w:rsid w:val="00426A89"/>
    <w:rsid w:val="00426E71"/>
    <w:rsid w:val="00427459"/>
    <w:rsid w:val="00427A79"/>
    <w:rsid w:val="00427BA9"/>
    <w:rsid w:val="00430454"/>
    <w:rsid w:val="00430569"/>
    <w:rsid w:val="004308D1"/>
    <w:rsid w:val="00430CA7"/>
    <w:rsid w:val="00430E34"/>
    <w:rsid w:val="00432964"/>
    <w:rsid w:val="00432A8C"/>
    <w:rsid w:val="00433C9D"/>
    <w:rsid w:val="00433F3F"/>
    <w:rsid w:val="004341C3"/>
    <w:rsid w:val="00434798"/>
    <w:rsid w:val="004348F0"/>
    <w:rsid w:val="00434B0A"/>
    <w:rsid w:val="004353CA"/>
    <w:rsid w:val="00435FBD"/>
    <w:rsid w:val="00436230"/>
    <w:rsid w:val="0043627E"/>
    <w:rsid w:val="0043632B"/>
    <w:rsid w:val="00437242"/>
    <w:rsid w:val="004376EF"/>
    <w:rsid w:val="00437A15"/>
    <w:rsid w:val="00440184"/>
    <w:rsid w:val="00440485"/>
    <w:rsid w:val="004406F7"/>
    <w:rsid w:val="00440EEF"/>
    <w:rsid w:val="00442116"/>
    <w:rsid w:val="0044228E"/>
    <w:rsid w:val="00442E0F"/>
    <w:rsid w:val="00443B7D"/>
    <w:rsid w:val="00443D9A"/>
    <w:rsid w:val="00443DF3"/>
    <w:rsid w:val="0044473F"/>
    <w:rsid w:val="00445142"/>
    <w:rsid w:val="00445585"/>
    <w:rsid w:val="00445757"/>
    <w:rsid w:val="00445A7E"/>
    <w:rsid w:val="0044620E"/>
    <w:rsid w:val="0044705D"/>
    <w:rsid w:val="004470CB"/>
    <w:rsid w:val="004474B3"/>
    <w:rsid w:val="004500F0"/>
    <w:rsid w:val="004515EE"/>
    <w:rsid w:val="00451DED"/>
    <w:rsid w:val="00451F41"/>
    <w:rsid w:val="004523C4"/>
    <w:rsid w:val="00452D26"/>
    <w:rsid w:val="00452E83"/>
    <w:rsid w:val="00455700"/>
    <w:rsid w:val="00455C71"/>
    <w:rsid w:val="00455F29"/>
    <w:rsid w:val="00456B04"/>
    <w:rsid w:val="00457413"/>
    <w:rsid w:val="00457937"/>
    <w:rsid w:val="0046052C"/>
    <w:rsid w:val="004608CB"/>
    <w:rsid w:val="00461CC2"/>
    <w:rsid w:val="004623EF"/>
    <w:rsid w:val="00462B20"/>
    <w:rsid w:val="0046342D"/>
    <w:rsid w:val="00464025"/>
    <w:rsid w:val="0046499A"/>
    <w:rsid w:val="00464B1F"/>
    <w:rsid w:val="00464D6D"/>
    <w:rsid w:val="004651A0"/>
    <w:rsid w:val="004668C4"/>
    <w:rsid w:val="004668C7"/>
    <w:rsid w:val="004671FE"/>
    <w:rsid w:val="004705A0"/>
    <w:rsid w:val="00470796"/>
    <w:rsid w:val="004712E7"/>
    <w:rsid w:val="004713DE"/>
    <w:rsid w:val="00472DE9"/>
    <w:rsid w:val="004731A8"/>
    <w:rsid w:val="004731BB"/>
    <w:rsid w:val="00473779"/>
    <w:rsid w:val="00473D1B"/>
    <w:rsid w:val="00473E4C"/>
    <w:rsid w:val="00474CD0"/>
    <w:rsid w:val="00474DD4"/>
    <w:rsid w:val="00475ADE"/>
    <w:rsid w:val="0047721C"/>
    <w:rsid w:val="00482704"/>
    <w:rsid w:val="004852E5"/>
    <w:rsid w:val="00486216"/>
    <w:rsid w:val="00486815"/>
    <w:rsid w:val="00486FC9"/>
    <w:rsid w:val="004877A0"/>
    <w:rsid w:val="00487DD8"/>
    <w:rsid w:val="004912A4"/>
    <w:rsid w:val="00491472"/>
    <w:rsid w:val="0049160D"/>
    <w:rsid w:val="00492594"/>
    <w:rsid w:val="00492662"/>
    <w:rsid w:val="00492743"/>
    <w:rsid w:val="004936A1"/>
    <w:rsid w:val="00494E79"/>
    <w:rsid w:val="00496406"/>
    <w:rsid w:val="004A0586"/>
    <w:rsid w:val="004A06CD"/>
    <w:rsid w:val="004A0BBB"/>
    <w:rsid w:val="004A0FBB"/>
    <w:rsid w:val="004A14C0"/>
    <w:rsid w:val="004A16F3"/>
    <w:rsid w:val="004A1D4B"/>
    <w:rsid w:val="004A36BF"/>
    <w:rsid w:val="004A3784"/>
    <w:rsid w:val="004A3AC7"/>
    <w:rsid w:val="004A3F3D"/>
    <w:rsid w:val="004A412D"/>
    <w:rsid w:val="004A47E7"/>
    <w:rsid w:val="004A49E4"/>
    <w:rsid w:val="004A4B6F"/>
    <w:rsid w:val="004A4C00"/>
    <w:rsid w:val="004A4CF9"/>
    <w:rsid w:val="004A536B"/>
    <w:rsid w:val="004A5AD2"/>
    <w:rsid w:val="004A5C1C"/>
    <w:rsid w:val="004A6BE9"/>
    <w:rsid w:val="004A7393"/>
    <w:rsid w:val="004A75CB"/>
    <w:rsid w:val="004B00F5"/>
    <w:rsid w:val="004B0D6E"/>
    <w:rsid w:val="004B23B5"/>
    <w:rsid w:val="004B27B7"/>
    <w:rsid w:val="004B2A45"/>
    <w:rsid w:val="004B2BB0"/>
    <w:rsid w:val="004B2D09"/>
    <w:rsid w:val="004B30FC"/>
    <w:rsid w:val="004B34B6"/>
    <w:rsid w:val="004B376F"/>
    <w:rsid w:val="004B3F40"/>
    <w:rsid w:val="004B4338"/>
    <w:rsid w:val="004B4877"/>
    <w:rsid w:val="004B4D7D"/>
    <w:rsid w:val="004B54EC"/>
    <w:rsid w:val="004B5650"/>
    <w:rsid w:val="004B58C3"/>
    <w:rsid w:val="004B59A0"/>
    <w:rsid w:val="004B5E76"/>
    <w:rsid w:val="004B675B"/>
    <w:rsid w:val="004B6F32"/>
    <w:rsid w:val="004B6FF2"/>
    <w:rsid w:val="004B7037"/>
    <w:rsid w:val="004B74A6"/>
    <w:rsid w:val="004B797C"/>
    <w:rsid w:val="004B7CB2"/>
    <w:rsid w:val="004C0939"/>
    <w:rsid w:val="004C20A9"/>
    <w:rsid w:val="004C20E3"/>
    <w:rsid w:val="004C36BF"/>
    <w:rsid w:val="004C3823"/>
    <w:rsid w:val="004C5EC7"/>
    <w:rsid w:val="004C60E0"/>
    <w:rsid w:val="004C6304"/>
    <w:rsid w:val="004C73D0"/>
    <w:rsid w:val="004C784A"/>
    <w:rsid w:val="004D0F03"/>
    <w:rsid w:val="004D0F6C"/>
    <w:rsid w:val="004D1840"/>
    <w:rsid w:val="004D2965"/>
    <w:rsid w:val="004D2A1C"/>
    <w:rsid w:val="004D2AE2"/>
    <w:rsid w:val="004D300C"/>
    <w:rsid w:val="004D31B1"/>
    <w:rsid w:val="004D3378"/>
    <w:rsid w:val="004D3769"/>
    <w:rsid w:val="004D3B0E"/>
    <w:rsid w:val="004D43C1"/>
    <w:rsid w:val="004D4AA2"/>
    <w:rsid w:val="004D61DB"/>
    <w:rsid w:val="004D6A7F"/>
    <w:rsid w:val="004D6B58"/>
    <w:rsid w:val="004D6C8B"/>
    <w:rsid w:val="004E0179"/>
    <w:rsid w:val="004E0657"/>
    <w:rsid w:val="004E07BC"/>
    <w:rsid w:val="004E0ECC"/>
    <w:rsid w:val="004E0F1D"/>
    <w:rsid w:val="004E0F25"/>
    <w:rsid w:val="004E1889"/>
    <w:rsid w:val="004E18EC"/>
    <w:rsid w:val="004E1A41"/>
    <w:rsid w:val="004E21D4"/>
    <w:rsid w:val="004E4299"/>
    <w:rsid w:val="004E457C"/>
    <w:rsid w:val="004E4B13"/>
    <w:rsid w:val="004E4C83"/>
    <w:rsid w:val="004E5261"/>
    <w:rsid w:val="004E57F3"/>
    <w:rsid w:val="004E60BA"/>
    <w:rsid w:val="004E6164"/>
    <w:rsid w:val="004E69AE"/>
    <w:rsid w:val="004E69F7"/>
    <w:rsid w:val="004E73CA"/>
    <w:rsid w:val="004E789B"/>
    <w:rsid w:val="004E7E99"/>
    <w:rsid w:val="004F0385"/>
    <w:rsid w:val="004F0DF3"/>
    <w:rsid w:val="004F1570"/>
    <w:rsid w:val="004F2922"/>
    <w:rsid w:val="004F2EA3"/>
    <w:rsid w:val="004F3D8E"/>
    <w:rsid w:val="004F3F67"/>
    <w:rsid w:val="004F4250"/>
    <w:rsid w:val="004F42C2"/>
    <w:rsid w:val="004F4F05"/>
    <w:rsid w:val="004F52A5"/>
    <w:rsid w:val="004F79AC"/>
    <w:rsid w:val="00500B94"/>
    <w:rsid w:val="00500D2F"/>
    <w:rsid w:val="00500D3E"/>
    <w:rsid w:val="00500F1C"/>
    <w:rsid w:val="0050132A"/>
    <w:rsid w:val="00502570"/>
    <w:rsid w:val="005026F8"/>
    <w:rsid w:val="00502BCE"/>
    <w:rsid w:val="005033D1"/>
    <w:rsid w:val="00503ACA"/>
    <w:rsid w:val="00504106"/>
    <w:rsid w:val="005041FA"/>
    <w:rsid w:val="0050511F"/>
    <w:rsid w:val="00505413"/>
    <w:rsid w:val="00505D2D"/>
    <w:rsid w:val="00506DAD"/>
    <w:rsid w:val="00506DF1"/>
    <w:rsid w:val="00506E05"/>
    <w:rsid w:val="00507536"/>
    <w:rsid w:val="00510037"/>
    <w:rsid w:val="0051064C"/>
    <w:rsid w:val="005106D5"/>
    <w:rsid w:val="00510767"/>
    <w:rsid w:val="00511F89"/>
    <w:rsid w:val="0051254C"/>
    <w:rsid w:val="00512641"/>
    <w:rsid w:val="00513008"/>
    <w:rsid w:val="00513393"/>
    <w:rsid w:val="00513F16"/>
    <w:rsid w:val="0051461B"/>
    <w:rsid w:val="0051583A"/>
    <w:rsid w:val="00516C91"/>
    <w:rsid w:val="00517D23"/>
    <w:rsid w:val="00517F7C"/>
    <w:rsid w:val="0052026F"/>
    <w:rsid w:val="00520372"/>
    <w:rsid w:val="00520565"/>
    <w:rsid w:val="005210F9"/>
    <w:rsid w:val="00521B31"/>
    <w:rsid w:val="00522190"/>
    <w:rsid w:val="00522C2C"/>
    <w:rsid w:val="005237D8"/>
    <w:rsid w:val="00523AB2"/>
    <w:rsid w:val="00524B18"/>
    <w:rsid w:val="005263B0"/>
    <w:rsid w:val="00527246"/>
    <w:rsid w:val="00527C9F"/>
    <w:rsid w:val="00527F75"/>
    <w:rsid w:val="00530A80"/>
    <w:rsid w:val="00530F5C"/>
    <w:rsid w:val="0053105A"/>
    <w:rsid w:val="00531C42"/>
    <w:rsid w:val="00532545"/>
    <w:rsid w:val="005326B4"/>
    <w:rsid w:val="0053416C"/>
    <w:rsid w:val="00535339"/>
    <w:rsid w:val="00535655"/>
    <w:rsid w:val="00536958"/>
    <w:rsid w:val="00537580"/>
    <w:rsid w:val="00537BA7"/>
    <w:rsid w:val="00540AC2"/>
    <w:rsid w:val="00540F77"/>
    <w:rsid w:val="00541541"/>
    <w:rsid w:val="00541DEC"/>
    <w:rsid w:val="005421E5"/>
    <w:rsid w:val="005428FF"/>
    <w:rsid w:val="00542BD2"/>
    <w:rsid w:val="00542E06"/>
    <w:rsid w:val="00543063"/>
    <w:rsid w:val="00543D4B"/>
    <w:rsid w:val="0054504D"/>
    <w:rsid w:val="00545366"/>
    <w:rsid w:val="00545C5E"/>
    <w:rsid w:val="005502AF"/>
    <w:rsid w:val="00550733"/>
    <w:rsid w:val="00550D64"/>
    <w:rsid w:val="00551CD5"/>
    <w:rsid w:val="00552CF0"/>
    <w:rsid w:val="005533BA"/>
    <w:rsid w:val="005547AB"/>
    <w:rsid w:val="00554E30"/>
    <w:rsid w:val="005555BF"/>
    <w:rsid w:val="00555EDB"/>
    <w:rsid w:val="005574DD"/>
    <w:rsid w:val="0056070D"/>
    <w:rsid w:val="00561085"/>
    <w:rsid w:val="00562131"/>
    <w:rsid w:val="0056214F"/>
    <w:rsid w:val="005635B7"/>
    <w:rsid w:val="00563D8D"/>
    <w:rsid w:val="00564DCA"/>
    <w:rsid w:val="00564EEA"/>
    <w:rsid w:val="00565536"/>
    <w:rsid w:val="00570518"/>
    <w:rsid w:val="00570FCB"/>
    <w:rsid w:val="00571213"/>
    <w:rsid w:val="0057245C"/>
    <w:rsid w:val="0057291A"/>
    <w:rsid w:val="00572F75"/>
    <w:rsid w:val="0057370E"/>
    <w:rsid w:val="0057609F"/>
    <w:rsid w:val="00576869"/>
    <w:rsid w:val="00576C5F"/>
    <w:rsid w:val="005774B4"/>
    <w:rsid w:val="00577544"/>
    <w:rsid w:val="00577AE3"/>
    <w:rsid w:val="00580627"/>
    <w:rsid w:val="00581632"/>
    <w:rsid w:val="0058201B"/>
    <w:rsid w:val="00582BF6"/>
    <w:rsid w:val="00584742"/>
    <w:rsid w:val="0058488C"/>
    <w:rsid w:val="00585274"/>
    <w:rsid w:val="0058610C"/>
    <w:rsid w:val="005861A8"/>
    <w:rsid w:val="00586EAC"/>
    <w:rsid w:val="0058724E"/>
    <w:rsid w:val="00587B12"/>
    <w:rsid w:val="005905A5"/>
    <w:rsid w:val="00590EB5"/>
    <w:rsid w:val="00591C29"/>
    <w:rsid w:val="00591CD9"/>
    <w:rsid w:val="005920EA"/>
    <w:rsid w:val="00593766"/>
    <w:rsid w:val="00593795"/>
    <w:rsid w:val="00593BD9"/>
    <w:rsid w:val="00594031"/>
    <w:rsid w:val="00594253"/>
    <w:rsid w:val="0059437E"/>
    <w:rsid w:val="00594AB0"/>
    <w:rsid w:val="00594F52"/>
    <w:rsid w:val="00595439"/>
    <w:rsid w:val="00596244"/>
    <w:rsid w:val="00596EC8"/>
    <w:rsid w:val="00597A47"/>
    <w:rsid w:val="00597C4C"/>
    <w:rsid w:val="00597FAE"/>
    <w:rsid w:val="005A08A4"/>
    <w:rsid w:val="005A0947"/>
    <w:rsid w:val="005A1DB5"/>
    <w:rsid w:val="005A22B4"/>
    <w:rsid w:val="005A2391"/>
    <w:rsid w:val="005A3C4C"/>
    <w:rsid w:val="005A4648"/>
    <w:rsid w:val="005A6497"/>
    <w:rsid w:val="005A6646"/>
    <w:rsid w:val="005A6785"/>
    <w:rsid w:val="005A6795"/>
    <w:rsid w:val="005A6C05"/>
    <w:rsid w:val="005A75C9"/>
    <w:rsid w:val="005A777E"/>
    <w:rsid w:val="005A79A5"/>
    <w:rsid w:val="005A7FE6"/>
    <w:rsid w:val="005B067B"/>
    <w:rsid w:val="005B09F0"/>
    <w:rsid w:val="005B0C72"/>
    <w:rsid w:val="005B0E0A"/>
    <w:rsid w:val="005B13EA"/>
    <w:rsid w:val="005B187D"/>
    <w:rsid w:val="005B18AF"/>
    <w:rsid w:val="005B25E2"/>
    <w:rsid w:val="005B353E"/>
    <w:rsid w:val="005B386C"/>
    <w:rsid w:val="005B3D54"/>
    <w:rsid w:val="005B481A"/>
    <w:rsid w:val="005B5173"/>
    <w:rsid w:val="005B5BCD"/>
    <w:rsid w:val="005B5E28"/>
    <w:rsid w:val="005B6589"/>
    <w:rsid w:val="005C19E7"/>
    <w:rsid w:val="005C1FE3"/>
    <w:rsid w:val="005C2057"/>
    <w:rsid w:val="005C2E00"/>
    <w:rsid w:val="005C2F11"/>
    <w:rsid w:val="005C3B6D"/>
    <w:rsid w:val="005C452B"/>
    <w:rsid w:val="005C48A4"/>
    <w:rsid w:val="005C4B5B"/>
    <w:rsid w:val="005C58FD"/>
    <w:rsid w:val="005C6129"/>
    <w:rsid w:val="005C682D"/>
    <w:rsid w:val="005C6DFF"/>
    <w:rsid w:val="005C779E"/>
    <w:rsid w:val="005D0D86"/>
    <w:rsid w:val="005D0F54"/>
    <w:rsid w:val="005D1687"/>
    <w:rsid w:val="005D277D"/>
    <w:rsid w:val="005D354A"/>
    <w:rsid w:val="005D3F7B"/>
    <w:rsid w:val="005D48E7"/>
    <w:rsid w:val="005D56D8"/>
    <w:rsid w:val="005D5716"/>
    <w:rsid w:val="005D6141"/>
    <w:rsid w:val="005D77DC"/>
    <w:rsid w:val="005E02DF"/>
    <w:rsid w:val="005E0FD9"/>
    <w:rsid w:val="005E1D01"/>
    <w:rsid w:val="005E25DF"/>
    <w:rsid w:val="005E2613"/>
    <w:rsid w:val="005E294D"/>
    <w:rsid w:val="005E3D5D"/>
    <w:rsid w:val="005E3F43"/>
    <w:rsid w:val="005E4A52"/>
    <w:rsid w:val="005E514D"/>
    <w:rsid w:val="005E5D7F"/>
    <w:rsid w:val="005E6594"/>
    <w:rsid w:val="005E6E95"/>
    <w:rsid w:val="005E7531"/>
    <w:rsid w:val="005E786E"/>
    <w:rsid w:val="005E78F6"/>
    <w:rsid w:val="005F0A12"/>
    <w:rsid w:val="005F1687"/>
    <w:rsid w:val="005F192A"/>
    <w:rsid w:val="005F2058"/>
    <w:rsid w:val="005F2A99"/>
    <w:rsid w:val="005F2B26"/>
    <w:rsid w:val="005F35D9"/>
    <w:rsid w:val="005F3F72"/>
    <w:rsid w:val="005F562E"/>
    <w:rsid w:val="005F5B66"/>
    <w:rsid w:val="005F615C"/>
    <w:rsid w:val="005F645D"/>
    <w:rsid w:val="005F70AE"/>
    <w:rsid w:val="005F78FA"/>
    <w:rsid w:val="005F7FB8"/>
    <w:rsid w:val="00600398"/>
    <w:rsid w:val="00600959"/>
    <w:rsid w:val="006009FF"/>
    <w:rsid w:val="00600C0A"/>
    <w:rsid w:val="006013F4"/>
    <w:rsid w:val="0060270A"/>
    <w:rsid w:val="006031B1"/>
    <w:rsid w:val="006034BD"/>
    <w:rsid w:val="00604D48"/>
    <w:rsid w:val="00605513"/>
    <w:rsid w:val="0060639F"/>
    <w:rsid w:val="0060647D"/>
    <w:rsid w:val="0060778A"/>
    <w:rsid w:val="00610E0F"/>
    <w:rsid w:val="006113B7"/>
    <w:rsid w:val="00612176"/>
    <w:rsid w:val="006133A4"/>
    <w:rsid w:val="006159CA"/>
    <w:rsid w:val="00616511"/>
    <w:rsid w:val="00616C19"/>
    <w:rsid w:val="0061737C"/>
    <w:rsid w:val="00617436"/>
    <w:rsid w:val="0061749B"/>
    <w:rsid w:val="00617744"/>
    <w:rsid w:val="006177FF"/>
    <w:rsid w:val="00617B31"/>
    <w:rsid w:val="00620AAF"/>
    <w:rsid w:val="00621427"/>
    <w:rsid w:val="00621E65"/>
    <w:rsid w:val="00621FDC"/>
    <w:rsid w:val="0062202D"/>
    <w:rsid w:val="0062232C"/>
    <w:rsid w:val="00622DD1"/>
    <w:rsid w:val="00622F5D"/>
    <w:rsid w:val="006232DC"/>
    <w:rsid w:val="00623C04"/>
    <w:rsid w:val="0062419D"/>
    <w:rsid w:val="0062454F"/>
    <w:rsid w:val="00625824"/>
    <w:rsid w:val="006258BD"/>
    <w:rsid w:val="00626915"/>
    <w:rsid w:val="00626ABC"/>
    <w:rsid w:val="00627675"/>
    <w:rsid w:val="006277FF"/>
    <w:rsid w:val="00627A3B"/>
    <w:rsid w:val="00627F9E"/>
    <w:rsid w:val="006281E8"/>
    <w:rsid w:val="0063094F"/>
    <w:rsid w:val="00630C60"/>
    <w:rsid w:val="00630D08"/>
    <w:rsid w:val="0063147F"/>
    <w:rsid w:val="00631BAD"/>
    <w:rsid w:val="006327F8"/>
    <w:rsid w:val="00632CA1"/>
    <w:rsid w:val="006353F5"/>
    <w:rsid w:val="006362CE"/>
    <w:rsid w:val="0063738F"/>
    <w:rsid w:val="00637D40"/>
    <w:rsid w:val="006408D9"/>
    <w:rsid w:val="00641329"/>
    <w:rsid w:val="00642156"/>
    <w:rsid w:val="00642927"/>
    <w:rsid w:val="00642F60"/>
    <w:rsid w:val="006437AB"/>
    <w:rsid w:val="00644B33"/>
    <w:rsid w:val="00644D35"/>
    <w:rsid w:val="0064523D"/>
    <w:rsid w:val="00645649"/>
    <w:rsid w:val="00646218"/>
    <w:rsid w:val="006476EB"/>
    <w:rsid w:val="00647D35"/>
    <w:rsid w:val="00647E17"/>
    <w:rsid w:val="00650772"/>
    <w:rsid w:val="006512CF"/>
    <w:rsid w:val="006512E8"/>
    <w:rsid w:val="00652096"/>
    <w:rsid w:val="00652502"/>
    <w:rsid w:val="00652C40"/>
    <w:rsid w:val="00652E7B"/>
    <w:rsid w:val="00653126"/>
    <w:rsid w:val="00653AA7"/>
    <w:rsid w:val="00653ADF"/>
    <w:rsid w:val="00653E6F"/>
    <w:rsid w:val="00654E68"/>
    <w:rsid w:val="00654FF9"/>
    <w:rsid w:val="0065589C"/>
    <w:rsid w:val="0065620C"/>
    <w:rsid w:val="00657197"/>
    <w:rsid w:val="00657CCB"/>
    <w:rsid w:val="00657CF4"/>
    <w:rsid w:val="00657D97"/>
    <w:rsid w:val="0066007A"/>
    <w:rsid w:val="00660EA1"/>
    <w:rsid w:val="00660F16"/>
    <w:rsid w:val="00661123"/>
    <w:rsid w:val="00661A8C"/>
    <w:rsid w:val="00661C00"/>
    <w:rsid w:val="00661EDB"/>
    <w:rsid w:val="00661FEB"/>
    <w:rsid w:val="0066315D"/>
    <w:rsid w:val="006638BC"/>
    <w:rsid w:val="00664436"/>
    <w:rsid w:val="00664B0E"/>
    <w:rsid w:val="00664BE9"/>
    <w:rsid w:val="00666586"/>
    <w:rsid w:val="006677A8"/>
    <w:rsid w:val="00670B73"/>
    <w:rsid w:val="00671214"/>
    <w:rsid w:val="00671668"/>
    <w:rsid w:val="00671C97"/>
    <w:rsid w:val="00672358"/>
    <w:rsid w:val="00673167"/>
    <w:rsid w:val="006739DC"/>
    <w:rsid w:val="006749B3"/>
    <w:rsid w:val="006750E8"/>
    <w:rsid w:val="00675134"/>
    <w:rsid w:val="00680E70"/>
    <w:rsid w:val="006811C3"/>
    <w:rsid w:val="00681229"/>
    <w:rsid w:val="006816DB"/>
    <w:rsid w:val="00681753"/>
    <w:rsid w:val="006818F2"/>
    <w:rsid w:val="00681FFC"/>
    <w:rsid w:val="0068224E"/>
    <w:rsid w:val="00683363"/>
    <w:rsid w:val="0068341F"/>
    <w:rsid w:val="00684A13"/>
    <w:rsid w:val="00685DF2"/>
    <w:rsid w:val="006864F1"/>
    <w:rsid w:val="00686B61"/>
    <w:rsid w:val="00686FC0"/>
    <w:rsid w:val="00687CB8"/>
    <w:rsid w:val="0069163B"/>
    <w:rsid w:val="00692D5D"/>
    <w:rsid w:val="00693CC3"/>
    <w:rsid w:val="00694E55"/>
    <w:rsid w:val="00695475"/>
    <w:rsid w:val="006964F6"/>
    <w:rsid w:val="0069691B"/>
    <w:rsid w:val="006A00FE"/>
    <w:rsid w:val="006A06F3"/>
    <w:rsid w:val="006A0782"/>
    <w:rsid w:val="006A1033"/>
    <w:rsid w:val="006A1347"/>
    <w:rsid w:val="006A1D12"/>
    <w:rsid w:val="006A2093"/>
    <w:rsid w:val="006A3011"/>
    <w:rsid w:val="006A3299"/>
    <w:rsid w:val="006A36E2"/>
    <w:rsid w:val="006A3AD0"/>
    <w:rsid w:val="006A408E"/>
    <w:rsid w:val="006A607C"/>
    <w:rsid w:val="006A694D"/>
    <w:rsid w:val="006A6F17"/>
    <w:rsid w:val="006A7DEA"/>
    <w:rsid w:val="006B0AF1"/>
    <w:rsid w:val="006B12FC"/>
    <w:rsid w:val="006B1BA1"/>
    <w:rsid w:val="006B1C3A"/>
    <w:rsid w:val="006B1CE6"/>
    <w:rsid w:val="006B1F1E"/>
    <w:rsid w:val="006B20D2"/>
    <w:rsid w:val="006B25CC"/>
    <w:rsid w:val="006B3478"/>
    <w:rsid w:val="006B3D33"/>
    <w:rsid w:val="006B44BC"/>
    <w:rsid w:val="006B475D"/>
    <w:rsid w:val="006B57FF"/>
    <w:rsid w:val="006B5C91"/>
    <w:rsid w:val="006B61DE"/>
    <w:rsid w:val="006B6C36"/>
    <w:rsid w:val="006B6CDA"/>
    <w:rsid w:val="006C1157"/>
    <w:rsid w:val="006C152C"/>
    <w:rsid w:val="006C28E8"/>
    <w:rsid w:val="006C3CA3"/>
    <w:rsid w:val="006C56EE"/>
    <w:rsid w:val="006C5CD2"/>
    <w:rsid w:val="006C6BBF"/>
    <w:rsid w:val="006C7295"/>
    <w:rsid w:val="006C732E"/>
    <w:rsid w:val="006C7933"/>
    <w:rsid w:val="006D0094"/>
    <w:rsid w:val="006D1387"/>
    <w:rsid w:val="006D140A"/>
    <w:rsid w:val="006D24DC"/>
    <w:rsid w:val="006D2E5B"/>
    <w:rsid w:val="006D3677"/>
    <w:rsid w:val="006D3D1F"/>
    <w:rsid w:val="006D4812"/>
    <w:rsid w:val="006D4AF6"/>
    <w:rsid w:val="006D57F3"/>
    <w:rsid w:val="006D64E4"/>
    <w:rsid w:val="006D6728"/>
    <w:rsid w:val="006D67F3"/>
    <w:rsid w:val="006D6E8E"/>
    <w:rsid w:val="006D72B6"/>
    <w:rsid w:val="006D78FC"/>
    <w:rsid w:val="006E117B"/>
    <w:rsid w:val="006E1593"/>
    <w:rsid w:val="006E1CFE"/>
    <w:rsid w:val="006E37E6"/>
    <w:rsid w:val="006E40FF"/>
    <w:rsid w:val="006E4168"/>
    <w:rsid w:val="006E4502"/>
    <w:rsid w:val="006E46EA"/>
    <w:rsid w:val="006E5713"/>
    <w:rsid w:val="006E5FF4"/>
    <w:rsid w:val="006E667F"/>
    <w:rsid w:val="006E6E5D"/>
    <w:rsid w:val="006E739D"/>
    <w:rsid w:val="006E755F"/>
    <w:rsid w:val="006E75A8"/>
    <w:rsid w:val="006E7814"/>
    <w:rsid w:val="006E7A0D"/>
    <w:rsid w:val="006E7B00"/>
    <w:rsid w:val="006F0889"/>
    <w:rsid w:val="006F1901"/>
    <w:rsid w:val="006F1FFF"/>
    <w:rsid w:val="006F2B93"/>
    <w:rsid w:val="006F2BBB"/>
    <w:rsid w:val="006F409A"/>
    <w:rsid w:val="006F6115"/>
    <w:rsid w:val="006F6D10"/>
    <w:rsid w:val="006F7CB4"/>
    <w:rsid w:val="0070068B"/>
    <w:rsid w:val="007006BD"/>
    <w:rsid w:val="007009A6"/>
    <w:rsid w:val="00701BA8"/>
    <w:rsid w:val="00702C40"/>
    <w:rsid w:val="00702EF2"/>
    <w:rsid w:val="00702F74"/>
    <w:rsid w:val="00703C79"/>
    <w:rsid w:val="00703F11"/>
    <w:rsid w:val="00704A44"/>
    <w:rsid w:val="0070544B"/>
    <w:rsid w:val="0070557C"/>
    <w:rsid w:val="007058FE"/>
    <w:rsid w:val="00705A4F"/>
    <w:rsid w:val="00705D80"/>
    <w:rsid w:val="007066B0"/>
    <w:rsid w:val="007068D8"/>
    <w:rsid w:val="00707540"/>
    <w:rsid w:val="00707CE1"/>
    <w:rsid w:val="00710C0D"/>
    <w:rsid w:val="00710D14"/>
    <w:rsid w:val="00710E80"/>
    <w:rsid w:val="00711ACF"/>
    <w:rsid w:val="00711D14"/>
    <w:rsid w:val="00712845"/>
    <w:rsid w:val="00712B94"/>
    <w:rsid w:val="0071309B"/>
    <w:rsid w:val="0071314E"/>
    <w:rsid w:val="007136D5"/>
    <w:rsid w:val="00713954"/>
    <w:rsid w:val="0071408B"/>
    <w:rsid w:val="007154C1"/>
    <w:rsid w:val="00716C76"/>
    <w:rsid w:val="00717488"/>
    <w:rsid w:val="0071783A"/>
    <w:rsid w:val="00717D3C"/>
    <w:rsid w:val="00720C7D"/>
    <w:rsid w:val="00721265"/>
    <w:rsid w:val="00721407"/>
    <w:rsid w:val="007226AB"/>
    <w:rsid w:val="00723971"/>
    <w:rsid w:val="00724596"/>
    <w:rsid w:val="00724E79"/>
    <w:rsid w:val="00724F3E"/>
    <w:rsid w:val="00725509"/>
    <w:rsid w:val="00725A9E"/>
    <w:rsid w:val="00725BB4"/>
    <w:rsid w:val="0072608A"/>
    <w:rsid w:val="0072663A"/>
    <w:rsid w:val="00726FC9"/>
    <w:rsid w:val="00727699"/>
    <w:rsid w:val="0072771B"/>
    <w:rsid w:val="007277FA"/>
    <w:rsid w:val="00727F63"/>
    <w:rsid w:val="00730A1C"/>
    <w:rsid w:val="0073157D"/>
    <w:rsid w:val="00731B28"/>
    <w:rsid w:val="00733A82"/>
    <w:rsid w:val="00734E79"/>
    <w:rsid w:val="0073590B"/>
    <w:rsid w:val="00735AB1"/>
    <w:rsid w:val="00735B08"/>
    <w:rsid w:val="007363C9"/>
    <w:rsid w:val="00736659"/>
    <w:rsid w:val="00736E80"/>
    <w:rsid w:val="0073781A"/>
    <w:rsid w:val="007378AC"/>
    <w:rsid w:val="00737A59"/>
    <w:rsid w:val="00740257"/>
    <w:rsid w:val="00740AA8"/>
    <w:rsid w:val="007413F4"/>
    <w:rsid w:val="00741554"/>
    <w:rsid w:val="007421E9"/>
    <w:rsid w:val="0074288D"/>
    <w:rsid w:val="00743915"/>
    <w:rsid w:val="0074422D"/>
    <w:rsid w:val="00745297"/>
    <w:rsid w:val="00745D67"/>
    <w:rsid w:val="007463AF"/>
    <w:rsid w:val="00746E74"/>
    <w:rsid w:val="00746F68"/>
    <w:rsid w:val="00747400"/>
    <w:rsid w:val="00747609"/>
    <w:rsid w:val="00747D22"/>
    <w:rsid w:val="00747DE9"/>
    <w:rsid w:val="007514CF"/>
    <w:rsid w:val="00752267"/>
    <w:rsid w:val="00752444"/>
    <w:rsid w:val="00752E84"/>
    <w:rsid w:val="00752F1A"/>
    <w:rsid w:val="007532D0"/>
    <w:rsid w:val="00753636"/>
    <w:rsid w:val="00753B78"/>
    <w:rsid w:val="00753D72"/>
    <w:rsid w:val="00753E76"/>
    <w:rsid w:val="00753EAD"/>
    <w:rsid w:val="00755D5F"/>
    <w:rsid w:val="00756274"/>
    <w:rsid w:val="007564E4"/>
    <w:rsid w:val="00756C42"/>
    <w:rsid w:val="007573D7"/>
    <w:rsid w:val="00760376"/>
    <w:rsid w:val="007603CA"/>
    <w:rsid w:val="00760612"/>
    <w:rsid w:val="00760991"/>
    <w:rsid w:val="007610D1"/>
    <w:rsid w:val="0076215F"/>
    <w:rsid w:val="007621ED"/>
    <w:rsid w:val="00762757"/>
    <w:rsid w:val="0076334C"/>
    <w:rsid w:val="00764416"/>
    <w:rsid w:val="0076450B"/>
    <w:rsid w:val="00764A9F"/>
    <w:rsid w:val="00764B5C"/>
    <w:rsid w:val="00764C50"/>
    <w:rsid w:val="00765052"/>
    <w:rsid w:val="00765900"/>
    <w:rsid w:val="007661B8"/>
    <w:rsid w:val="007668B1"/>
    <w:rsid w:val="0077046E"/>
    <w:rsid w:val="00770494"/>
    <w:rsid w:val="00770A23"/>
    <w:rsid w:val="00770A73"/>
    <w:rsid w:val="007716E4"/>
    <w:rsid w:val="00772300"/>
    <w:rsid w:val="007733A5"/>
    <w:rsid w:val="00773634"/>
    <w:rsid w:val="0077395E"/>
    <w:rsid w:val="00773EBE"/>
    <w:rsid w:val="00774383"/>
    <w:rsid w:val="007745ED"/>
    <w:rsid w:val="00774EB0"/>
    <w:rsid w:val="00775F50"/>
    <w:rsid w:val="007762DB"/>
    <w:rsid w:val="007767F7"/>
    <w:rsid w:val="00777185"/>
    <w:rsid w:val="007773EA"/>
    <w:rsid w:val="007800BF"/>
    <w:rsid w:val="00781A59"/>
    <w:rsid w:val="00782442"/>
    <w:rsid w:val="00782ACC"/>
    <w:rsid w:val="007830FE"/>
    <w:rsid w:val="00783765"/>
    <w:rsid w:val="00784261"/>
    <w:rsid w:val="0078540A"/>
    <w:rsid w:val="00786079"/>
    <w:rsid w:val="00786B99"/>
    <w:rsid w:val="00787213"/>
    <w:rsid w:val="0078729A"/>
    <w:rsid w:val="007872D7"/>
    <w:rsid w:val="00790768"/>
    <w:rsid w:val="00790A18"/>
    <w:rsid w:val="007910ED"/>
    <w:rsid w:val="007913A1"/>
    <w:rsid w:val="00791EE2"/>
    <w:rsid w:val="007925D6"/>
    <w:rsid w:val="00792AAD"/>
    <w:rsid w:val="007954F8"/>
    <w:rsid w:val="00795551"/>
    <w:rsid w:val="007957F8"/>
    <w:rsid w:val="00795D7C"/>
    <w:rsid w:val="00796827"/>
    <w:rsid w:val="00796E0C"/>
    <w:rsid w:val="00796EF0"/>
    <w:rsid w:val="007975DC"/>
    <w:rsid w:val="00797A20"/>
    <w:rsid w:val="00797CA7"/>
    <w:rsid w:val="00797E65"/>
    <w:rsid w:val="007A0308"/>
    <w:rsid w:val="007A0A6A"/>
    <w:rsid w:val="007A0E59"/>
    <w:rsid w:val="007A37A0"/>
    <w:rsid w:val="007A3B79"/>
    <w:rsid w:val="007A3DA0"/>
    <w:rsid w:val="007A4235"/>
    <w:rsid w:val="007A48B1"/>
    <w:rsid w:val="007A4AB5"/>
    <w:rsid w:val="007A55B8"/>
    <w:rsid w:val="007A56DA"/>
    <w:rsid w:val="007A5AE6"/>
    <w:rsid w:val="007A6646"/>
    <w:rsid w:val="007A6F20"/>
    <w:rsid w:val="007A7968"/>
    <w:rsid w:val="007B0052"/>
    <w:rsid w:val="007B105E"/>
    <w:rsid w:val="007B1603"/>
    <w:rsid w:val="007B1CBA"/>
    <w:rsid w:val="007B1FA3"/>
    <w:rsid w:val="007B2441"/>
    <w:rsid w:val="007B2A70"/>
    <w:rsid w:val="007B2CA1"/>
    <w:rsid w:val="007B3418"/>
    <w:rsid w:val="007B390C"/>
    <w:rsid w:val="007B4155"/>
    <w:rsid w:val="007B4165"/>
    <w:rsid w:val="007B478E"/>
    <w:rsid w:val="007B4D55"/>
    <w:rsid w:val="007B51D7"/>
    <w:rsid w:val="007B556F"/>
    <w:rsid w:val="007B568C"/>
    <w:rsid w:val="007B5CBA"/>
    <w:rsid w:val="007B5DF5"/>
    <w:rsid w:val="007B604A"/>
    <w:rsid w:val="007B656B"/>
    <w:rsid w:val="007B657F"/>
    <w:rsid w:val="007B6E8F"/>
    <w:rsid w:val="007B7154"/>
    <w:rsid w:val="007B7F95"/>
    <w:rsid w:val="007C0836"/>
    <w:rsid w:val="007C0C44"/>
    <w:rsid w:val="007C1631"/>
    <w:rsid w:val="007C2664"/>
    <w:rsid w:val="007C27A8"/>
    <w:rsid w:val="007C2EC3"/>
    <w:rsid w:val="007C3051"/>
    <w:rsid w:val="007C4054"/>
    <w:rsid w:val="007C4EEA"/>
    <w:rsid w:val="007C53C2"/>
    <w:rsid w:val="007C5585"/>
    <w:rsid w:val="007C5735"/>
    <w:rsid w:val="007C58F5"/>
    <w:rsid w:val="007C5CB6"/>
    <w:rsid w:val="007C5FB2"/>
    <w:rsid w:val="007C7A61"/>
    <w:rsid w:val="007D0197"/>
    <w:rsid w:val="007D0ABC"/>
    <w:rsid w:val="007D0D87"/>
    <w:rsid w:val="007D0F98"/>
    <w:rsid w:val="007D10E1"/>
    <w:rsid w:val="007D2635"/>
    <w:rsid w:val="007D3F37"/>
    <w:rsid w:val="007D4016"/>
    <w:rsid w:val="007D4755"/>
    <w:rsid w:val="007D4F99"/>
    <w:rsid w:val="007D4FF9"/>
    <w:rsid w:val="007D6857"/>
    <w:rsid w:val="007D7869"/>
    <w:rsid w:val="007D7E02"/>
    <w:rsid w:val="007D7ED4"/>
    <w:rsid w:val="007D7F8E"/>
    <w:rsid w:val="007E0002"/>
    <w:rsid w:val="007E09C6"/>
    <w:rsid w:val="007E128F"/>
    <w:rsid w:val="007E1457"/>
    <w:rsid w:val="007E1BBA"/>
    <w:rsid w:val="007E20FF"/>
    <w:rsid w:val="007E24EE"/>
    <w:rsid w:val="007E2B44"/>
    <w:rsid w:val="007E341B"/>
    <w:rsid w:val="007E356B"/>
    <w:rsid w:val="007E5832"/>
    <w:rsid w:val="007E5C8C"/>
    <w:rsid w:val="007E5D4A"/>
    <w:rsid w:val="007E5DCA"/>
    <w:rsid w:val="007E6705"/>
    <w:rsid w:val="007E69A5"/>
    <w:rsid w:val="007E6E2E"/>
    <w:rsid w:val="007E7F33"/>
    <w:rsid w:val="007F0091"/>
    <w:rsid w:val="007F1DDB"/>
    <w:rsid w:val="007F2124"/>
    <w:rsid w:val="007F39AB"/>
    <w:rsid w:val="007F3E0E"/>
    <w:rsid w:val="007F402D"/>
    <w:rsid w:val="007F435C"/>
    <w:rsid w:val="007F4F30"/>
    <w:rsid w:val="007F513E"/>
    <w:rsid w:val="007F542E"/>
    <w:rsid w:val="007F5783"/>
    <w:rsid w:val="007F5950"/>
    <w:rsid w:val="007F595E"/>
    <w:rsid w:val="007F598D"/>
    <w:rsid w:val="007F5DE5"/>
    <w:rsid w:val="007F6B83"/>
    <w:rsid w:val="007F7657"/>
    <w:rsid w:val="008028F4"/>
    <w:rsid w:val="00803756"/>
    <w:rsid w:val="008042F5"/>
    <w:rsid w:val="008056A4"/>
    <w:rsid w:val="00805849"/>
    <w:rsid w:val="00805D5E"/>
    <w:rsid w:val="0080747C"/>
    <w:rsid w:val="00807967"/>
    <w:rsid w:val="00807BA2"/>
    <w:rsid w:val="00807C77"/>
    <w:rsid w:val="00807CF1"/>
    <w:rsid w:val="00807ECB"/>
    <w:rsid w:val="008105FA"/>
    <w:rsid w:val="008112F9"/>
    <w:rsid w:val="008115C5"/>
    <w:rsid w:val="00813153"/>
    <w:rsid w:val="00814EAB"/>
    <w:rsid w:val="00814FCA"/>
    <w:rsid w:val="00815ABB"/>
    <w:rsid w:val="008160D3"/>
    <w:rsid w:val="008162E3"/>
    <w:rsid w:val="00816A8B"/>
    <w:rsid w:val="00817310"/>
    <w:rsid w:val="008178CD"/>
    <w:rsid w:val="00817EFD"/>
    <w:rsid w:val="0082174E"/>
    <w:rsid w:val="00821CAD"/>
    <w:rsid w:val="008239EB"/>
    <w:rsid w:val="00823C3B"/>
    <w:rsid w:val="00823E6A"/>
    <w:rsid w:val="00824627"/>
    <w:rsid w:val="00824FFA"/>
    <w:rsid w:val="008253D2"/>
    <w:rsid w:val="00825EA3"/>
    <w:rsid w:val="00826412"/>
    <w:rsid w:val="0082724B"/>
    <w:rsid w:val="008318DF"/>
    <w:rsid w:val="00832088"/>
    <w:rsid w:val="00832798"/>
    <w:rsid w:val="00833152"/>
    <w:rsid w:val="008331D1"/>
    <w:rsid w:val="0083329D"/>
    <w:rsid w:val="00833572"/>
    <w:rsid w:val="0083389F"/>
    <w:rsid w:val="008338C5"/>
    <w:rsid w:val="00834161"/>
    <w:rsid w:val="00834413"/>
    <w:rsid w:val="008348C2"/>
    <w:rsid w:val="008356D7"/>
    <w:rsid w:val="008359A4"/>
    <w:rsid w:val="008360F4"/>
    <w:rsid w:val="00836287"/>
    <w:rsid w:val="00836632"/>
    <w:rsid w:val="00836F3A"/>
    <w:rsid w:val="00837660"/>
    <w:rsid w:val="00837DC3"/>
    <w:rsid w:val="008400BA"/>
    <w:rsid w:val="008409B7"/>
    <w:rsid w:val="008412FA"/>
    <w:rsid w:val="008453C8"/>
    <w:rsid w:val="0084584A"/>
    <w:rsid w:val="00845A2B"/>
    <w:rsid w:val="008460DE"/>
    <w:rsid w:val="008464F8"/>
    <w:rsid w:val="008470A4"/>
    <w:rsid w:val="008473FC"/>
    <w:rsid w:val="00847BF5"/>
    <w:rsid w:val="00850584"/>
    <w:rsid w:val="00850DFE"/>
    <w:rsid w:val="008514D7"/>
    <w:rsid w:val="00851C7C"/>
    <w:rsid w:val="00852569"/>
    <w:rsid w:val="0085344A"/>
    <w:rsid w:val="0085385B"/>
    <w:rsid w:val="00853A6A"/>
    <w:rsid w:val="00853B4B"/>
    <w:rsid w:val="00854415"/>
    <w:rsid w:val="00854826"/>
    <w:rsid w:val="00854E33"/>
    <w:rsid w:val="00854F12"/>
    <w:rsid w:val="0085592D"/>
    <w:rsid w:val="00855C62"/>
    <w:rsid w:val="00856801"/>
    <w:rsid w:val="00857DDE"/>
    <w:rsid w:val="00857EE1"/>
    <w:rsid w:val="00860B4E"/>
    <w:rsid w:val="00860BA5"/>
    <w:rsid w:val="00860E78"/>
    <w:rsid w:val="0086165F"/>
    <w:rsid w:val="00861893"/>
    <w:rsid w:val="0086232B"/>
    <w:rsid w:val="00862662"/>
    <w:rsid w:val="008632DB"/>
    <w:rsid w:val="00863C95"/>
    <w:rsid w:val="00863F14"/>
    <w:rsid w:val="008647B3"/>
    <w:rsid w:val="008651AA"/>
    <w:rsid w:val="00865C6B"/>
    <w:rsid w:val="00865FCF"/>
    <w:rsid w:val="00866608"/>
    <w:rsid w:val="00866C75"/>
    <w:rsid w:val="008671EA"/>
    <w:rsid w:val="00867960"/>
    <w:rsid w:val="00867E76"/>
    <w:rsid w:val="008702DC"/>
    <w:rsid w:val="008704D9"/>
    <w:rsid w:val="008706A6"/>
    <w:rsid w:val="00871383"/>
    <w:rsid w:val="00871C74"/>
    <w:rsid w:val="00872FBC"/>
    <w:rsid w:val="00873415"/>
    <w:rsid w:val="00875A19"/>
    <w:rsid w:val="00875FBC"/>
    <w:rsid w:val="00876164"/>
    <w:rsid w:val="00876797"/>
    <w:rsid w:val="008775B4"/>
    <w:rsid w:val="008778B0"/>
    <w:rsid w:val="00877BD1"/>
    <w:rsid w:val="008802F2"/>
    <w:rsid w:val="00880B2B"/>
    <w:rsid w:val="00881333"/>
    <w:rsid w:val="0088144A"/>
    <w:rsid w:val="00881FC1"/>
    <w:rsid w:val="008831F3"/>
    <w:rsid w:val="00883235"/>
    <w:rsid w:val="00884692"/>
    <w:rsid w:val="0088513C"/>
    <w:rsid w:val="00885231"/>
    <w:rsid w:val="00885EDE"/>
    <w:rsid w:val="00886096"/>
    <w:rsid w:val="00886121"/>
    <w:rsid w:val="00886959"/>
    <w:rsid w:val="00886B28"/>
    <w:rsid w:val="008907FD"/>
    <w:rsid w:val="00890C0D"/>
    <w:rsid w:val="00890C6A"/>
    <w:rsid w:val="00892347"/>
    <w:rsid w:val="00892650"/>
    <w:rsid w:val="0089285B"/>
    <w:rsid w:val="00892B92"/>
    <w:rsid w:val="00892D60"/>
    <w:rsid w:val="0089331B"/>
    <w:rsid w:val="00893C05"/>
    <w:rsid w:val="00893C55"/>
    <w:rsid w:val="00894B51"/>
    <w:rsid w:val="008955DB"/>
    <w:rsid w:val="008957B2"/>
    <w:rsid w:val="008959E3"/>
    <w:rsid w:val="00896B20"/>
    <w:rsid w:val="008A03EA"/>
    <w:rsid w:val="008A081A"/>
    <w:rsid w:val="008A2252"/>
    <w:rsid w:val="008A294B"/>
    <w:rsid w:val="008A2B64"/>
    <w:rsid w:val="008A2E5A"/>
    <w:rsid w:val="008A3424"/>
    <w:rsid w:val="008A36E1"/>
    <w:rsid w:val="008A37A7"/>
    <w:rsid w:val="008A3BE4"/>
    <w:rsid w:val="008A4803"/>
    <w:rsid w:val="008A4940"/>
    <w:rsid w:val="008A4DD8"/>
    <w:rsid w:val="008A5B17"/>
    <w:rsid w:val="008A5FA2"/>
    <w:rsid w:val="008A624C"/>
    <w:rsid w:val="008A6B69"/>
    <w:rsid w:val="008A7F65"/>
    <w:rsid w:val="008B03B3"/>
    <w:rsid w:val="008B0736"/>
    <w:rsid w:val="008B09F5"/>
    <w:rsid w:val="008B1101"/>
    <w:rsid w:val="008B1317"/>
    <w:rsid w:val="008B1417"/>
    <w:rsid w:val="008B2026"/>
    <w:rsid w:val="008B2053"/>
    <w:rsid w:val="008B22AC"/>
    <w:rsid w:val="008B2927"/>
    <w:rsid w:val="008B33FC"/>
    <w:rsid w:val="008B46FC"/>
    <w:rsid w:val="008B4803"/>
    <w:rsid w:val="008B512F"/>
    <w:rsid w:val="008B5593"/>
    <w:rsid w:val="008B56F2"/>
    <w:rsid w:val="008B5D38"/>
    <w:rsid w:val="008B5DEB"/>
    <w:rsid w:val="008B5F9E"/>
    <w:rsid w:val="008B6263"/>
    <w:rsid w:val="008B6734"/>
    <w:rsid w:val="008C08F4"/>
    <w:rsid w:val="008C144A"/>
    <w:rsid w:val="008C239F"/>
    <w:rsid w:val="008C2B41"/>
    <w:rsid w:val="008C2B7C"/>
    <w:rsid w:val="008C3F0D"/>
    <w:rsid w:val="008C4162"/>
    <w:rsid w:val="008C48A3"/>
    <w:rsid w:val="008C4AEC"/>
    <w:rsid w:val="008C6086"/>
    <w:rsid w:val="008C65B4"/>
    <w:rsid w:val="008C65E6"/>
    <w:rsid w:val="008C6729"/>
    <w:rsid w:val="008C745F"/>
    <w:rsid w:val="008C7742"/>
    <w:rsid w:val="008D1413"/>
    <w:rsid w:val="008D1435"/>
    <w:rsid w:val="008D16B2"/>
    <w:rsid w:val="008D241F"/>
    <w:rsid w:val="008D2426"/>
    <w:rsid w:val="008D2543"/>
    <w:rsid w:val="008D2D74"/>
    <w:rsid w:val="008D37B3"/>
    <w:rsid w:val="008D3C82"/>
    <w:rsid w:val="008D45E2"/>
    <w:rsid w:val="008D49C8"/>
    <w:rsid w:val="008D4DF5"/>
    <w:rsid w:val="008D516F"/>
    <w:rsid w:val="008D5A2D"/>
    <w:rsid w:val="008D69AC"/>
    <w:rsid w:val="008E099D"/>
    <w:rsid w:val="008E1312"/>
    <w:rsid w:val="008E174E"/>
    <w:rsid w:val="008E1DDF"/>
    <w:rsid w:val="008E1DF8"/>
    <w:rsid w:val="008E2A80"/>
    <w:rsid w:val="008E5000"/>
    <w:rsid w:val="008E57EE"/>
    <w:rsid w:val="008E60B8"/>
    <w:rsid w:val="008E6358"/>
    <w:rsid w:val="008E6BF6"/>
    <w:rsid w:val="008F00AA"/>
    <w:rsid w:val="008F0649"/>
    <w:rsid w:val="008F0CE8"/>
    <w:rsid w:val="008F148F"/>
    <w:rsid w:val="008F1B9D"/>
    <w:rsid w:val="008F1E03"/>
    <w:rsid w:val="008F1F87"/>
    <w:rsid w:val="008F2279"/>
    <w:rsid w:val="008F2657"/>
    <w:rsid w:val="008F3514"/>
    <w:rsid w:val="008F4167"/>
    <w:rsid w:val="008F444F"/>
    <w:rsid w:val="008F4875"/>
    <w:rsid w:val="008F505A"/>
    <w:rsid w:val="008F5304"/>
    <w:rsid w:val="008F5CC8"/>
    <w:rsid w:val="008F73F7"/>
    <w:rsid w:val="008F7525"/>
    <w:rsid w:val="008F7AE2"/>
    <w:rsid w:val="00901509"/>
    <w:rsid w:val="00901996"/>
    <w:rsid w:val="0090258E"/>
    <w:rsid w:val="009025FD"/>
    <w:rsid w:val="00902E7E"/>
    <w:rsid w:val="00903151"/>
    <w:rsid w:val="009039BD"/>
    <w:rsid w:val="009042DA"/>
    <w:rsid w:val="009056CC"/>
    <w:rsid w:val="00906027"/>
    <w:rsid w:val="0090625E"/>
    <w:rsid w:val="0090691B"/>
    <w:rsid w:val="00906B22"/>
    <w:rsid w:val="00907B12"/>
    <w:rsid w:val="00912416"/>
    <w:rsid w:val="0091257D"/>
    <w:rsid w:val="00913A52"/>
    <w:rsid w:val="00913B28"/>
    <w:rsid w:val="00913E1D"/>
    <w:rsid w:val="00914B0E"/>
    <w:rsid w:val="00915039"/>
    <w:rsid w:val="00915222"/>
    <w:rsid w:val="00915333"/>
    <w:rsid w:val="00915EEE"/>
    <w:rsid w:val="00916339"/>
    <w:rsid w:val="00916AB7"/>
    <w:rsid w:val="0091735A"/>
    <w:rsid w:val="00917593"/>
    <w:rsid w:val="00917919"/>
    <w:rsid w:val="009214EF"/>
    <w:rsid w:val="009220B6"/>
    <w:rsid w:val="00922178"/>
    <w:rsid w:val="00923766"/>
    <w:rsid w:val="009237BC"/>
    <w:rsid w:val="00924CAC"/>
    <w:rsid w:val="0092557B"/>
    <w:rsid w:val="00925F12"/>
    <w:rsid w:val="009269EB"/>
    <w:rsid w:val="00927A5F"/>
    <w:rsid w:val="00932E9E"/>
    <w:rsid w:val="00933C8A"/>
    <w:rsid w:val="009376BE"/>
    <w:rsid w:val="00937A02"/>
    <w:rsid w:val="00937CA0"/>
    <w:rsid w:val="009405FB"/>
    <w:rsid w:val="0094130B"/>
    <w:rsid w:val="00941594"/>
    <w:rsid w:val="009418ED"/>
    <w:rsid w:val="009427C9"/>
    <w:rsid w:val="009435BC"/>
    <w:rsid w:val="00943BE0"/>
    <w:rsid w:val="009444A3"/>
    <w:rsid w:val="00944547"/>
    <w:rsid w:val="0094557E"/>
    <w:rsid w:val="00946C79"/>
    <w:rsid w:val="0094739E"/>
    <w:rsid w:val="00950049"/>
    <w:rsid w:val="00950B06"/>
    <w:rsid w:val="00951DA3"/>
    <w:rsid w:val="009533B6"/>
    <w:rsid w:val="00953476"/>
    <w:rsid w:val="00954119"/>
    <w:rsid w:val="00954403"/>
    <w:rsid w:val="0095485E"/>
    <w:rsid w:val="00954C97"/>
    <w:rsid w:val="00955159"/>
    <w:rsid w:val="00955A8B"/>
    <w:rsid w:val="00956449"/>
    <w:rsid w:val="00956A98"/>
    <w:rsid w:val="009570E1"/>
    <w:rsid w:val="009600AB"/>
    <w:rsid w:val="00960616"/>
    <w:rsid w:val="00960C5F"/>
    <w:rsid w:val="009617D0"/>
    <w:rsid w:val="009618DE"/>
    <w:rsid w:val="009626A0"/>
    <w:rsid w:val="009626D7"/>
    <w:rsid w:val="00963465"/>
    <w:rsid w:val="0096400B"/>
    <w:rsid w:val="009661B6"/>
    <w:rsid w:val="00966241"/>
    <w:rsid w:val="00966B68"/>
    <w:rsid w:val="00966B9A"/>
    <w:rsid w:val="00966C35"/>
    <w:rsid w:val="00967007"/>
    <w:rsid w:val="00967B57"/>
    <w:rsid w:val="00970069"/>
    <w:rsid w:val="009711E2"/>
    <w:rsid w:val="0097132E"/>
    <w:rsid w:val="00971499"/>
    <w:rsid w:val="009721EB"/>
    <w:rsid w:val="00972A5C"/>
    <w:rsid w:val="00973547"/>
    <w:rsid w:val="0097410A"/>
    <w:rsid w:val="00974376"/>
    <w:rsid w:val="009743C1"/>
    <w:rsid w:val="009750E6"/>
    <w:rsid w:val="009760FC"/>
    <w:rsid w:val="0097677C"/>
    <w:rsid w:val="00976DD4"/>
    <w:rsid w:val="00977093"/>
    <w:rsid w:val="00977714"/>
    <w:rsid w:val="00977E9C"/>
    <w:rsid w:val="00980048"/>
    <w:rsid w:val="00980797"/>
    <w:rsid w:val="00981153"/>
    <w:rsid w:val="00981340"/>
    <w:rsid w:val="00981532"/>
    <w:rsid w:val="00981C5D"/>
    <w:rsid w:val="00982995"/>
    <w:rsid w:val="00982D01"/>
    <w:rsid w:val="0098310F"/>
    <w:rsid w:val="00983A99"/>
    <w:rsid w:val="00983C47"/>
    <w:rsid w:val="00984040"/>
    <w:rsid w:val="0098432A"/>
    <w:rsid w:val="0098464D"/>
    <w:rsid w:val="00984F47"/>
    <w:rsid w:val="00986159"/>
    <w:rsid w:val="0098618C"/>
    <w:rsid w:val="00986AFA"/>
    <w:rsid w:val="00986DCD"/>
    <w:rsid w:val="00987863"/>
    <w:rsid w:val="00987F03"/>
    <w:rsid w:val="00990D81"/>
    <w:rsid w:val="0099104D"/>
    <w:rsid w:val="00993233"/>
    <w:rsid w:val="00993373"/>
    <w:rsid w:val="0099362A"/>
    <w:rsid w:val="00994442"/>
    <w:rsid w:val="00994875"/>
    <w:rsid w:val="00994D19"/>
    <w:rsid w:val="00994D39"/>
    <w:rsid w:val="00995CC6"/>
    <w:rsid w:val="00995FD3"/>
    <w:rsid w:val="00997555"/>
    <w:rsid w:val="009A09D7"/>
    <w:rsid w:val="009A170C"/>
    <w:rsid w:val="009A1941"/>
    <w:rsid w:val="009A2248"/>
    <w:rsid w:val="009A2BAF"/>
    <w:rsid w:val="009A2BD0"/>
    <w:rsid w:val="009A3039"/>
    <w:rsid w:val="009A3231"/>
    <w:rsid w:val="009A350F"/>
    <w:rsid w:val="009A3DA0"/>
    <w:rsid w:val="009A4614"/>
    <w:rsid w:val="009A50E2"/>
    <w:rsid w:val="009A57C3"/>
    <w:rsid w:val="009A5BD9"/>
    <w:rsid w:val="009A5F78"/>
    <w:rsid w:val="009B021F"/>
    <w:rsid w:val="009B0A48"/>
    <w:rsid w:val="009B1AF3"/>
    <w:rsid w:val="009B331E"/>
    <w:rsid w:val="009B35BC"/>
    <w:rsid w:val="009B405D"/>
    <w:rsid w:val="009B4581"/>
    <w:rsid w:val="009B4A91"/>
    <w:rsid w:val="009B57F8"/>
    <w:rsid w:val="009B5F0A"/>
    <w:rsid w:val="009B5FBE"/>
    <w:rsid w:val="009B69C3"/>
    <w:rsid w:val="009B706E"/>
    <w:rsid w:val="009B79BF"/>
    <w:rsid w:val="009B7CD1"/>
    <w:rsid w:val="009B7D39"/>
    <w:rsid w:val="009C1295"/>
    <w:rsid w:val="009C17AF"/>
    <w:rsid w:val="009C1A9B"/>
    <w:rsid w:val="009C2AAF"/>
    <w:rsid w:val="009C2B4B"/>
    <w:rsid w:val="009C2B9F"/>
    <w:rsid w:val="009C2C05"/>
    <w:rsid w:val="009C2E96"/>
    <w:rsid w:val="009C359B"/>
    <w:rsid w:val="009C3EB4"/>
    <w:rsid w:val="009C423A"/>
    <w:rsid w:val="009C4709"/>
    <w:rsid w:val="009C5181"/>
    <w:rsid w:val="009C5408"/>
    <w:rsid w:val="009C56B0"/>
    <w:rsid w:val="009C69C4"/>
    <w:rsid w:val="009D034C"/>
    <w:rsid w:val="009D14F4"/>
    <w:rsid w:val="009D21BF"/>
    <w:rsid w:val="009D308E"/>
    <w:rsid w:val="009D3970"/>
    <w:rsid w:val="009D3AA4"/>
    <w:rsid w:val="009D4682"/>
    <w:rsid w:val="009D5E30"/>
    <w:rsid w:val="009D738D"/>
    <w:rsid w:val="009E01DC"/>
    <w:rsid w:val="009E20E2"/>
    <w:rsid w:val="009E2943"/>
    <w:rsid w:val="009E3138"/>
    <w:rsid w:val="009E31E1"/>
    <w:rsid w:val="009E3287"/>
    <w:rsid w:val="009E35C4"/>
    <w:rsid w:val="009E36E7"/>
    <w:rsid w:val="009E4501"/>
    <w:rsid w:val="009E4936"/>
    <w:rsid w:val="009E613E"/>
    <w:rsid w:val="009E61C4"/>
    <w:rsid w:val="009E6D80"/>
    <w:rsid w:val="009E79ED"/>
    <w:rsid w:val="009E7F49"/>
    <w:rsid w:val="009F0183"/>
    <w:rsid w:val="009F032D"/>
    <w:rsid w:val="009F0617"/>
    <w:rsid w:val="009F0922"/>
    <w:rsid w:val="009F0E34"/>
    <w:rsid w:val="009F115E"/>
    <w:rsid w:val="009F2853"/>
    <w:rsid w:val="009F3142"/>
    <w:rsid w:val="009F321D"/>
    <w:rsid w:val="009F3C0B"/>
    <w:rsid w:val="009F4878"/>
    <w:rsid w:val="009F4D01"/>
    <w:rsid w:val="009F4F5F"/>
    <w:rsid w:val="009F5640"/>
    <w:rsid w:val="009F6751"/>
    <w:rsid w:val="009F7025"/>
    <w:rsid w:val="009F7D5A"/>
    <w:rsid w:val="009F7E59"/>
    <w:rsid w:val="00A00286"/>
    <w:rsid w:val="00A0188C"/>
    <w:rsid w:val="00A01BC6"/>
    <w:rsid w:val="00A01F64"/>
    <w:rsid w:val="00A024D7"/>
    <w:rsid w:val="00A044A8"/>
    <w:rsid w:val="00A0494A"/>
    <w:rsid w:val="00A053AB"/>
    <w:rsid w:val="00A06A0C"/>
    <w:rsid w:val="00A07596"/>
    <w:rsid w:val="00A10BA5"/>
    <w:rsid w:val="00A10FEE"/>
    <w:rsid w:val="00A11467"/>
    <w:rsid w:val="00A11CA3"/>
    <w:rsid w:val="00A12C55"/>
    <w:rsid w:val="00A12D85"/>
    <w:rsid w:val="00A13D39"/>
    <w:rsid w:val="00A1424A"/>
    <w:rsid w:val="00A1450E"/>
    <w:rsid w:val="00A151BA"/>
    <w:rsid w:val="00A15630"/>
    <w:rsid w:val="00A16749"/>
    <w:rsid w:val="00A17A08"/>
    <w:rsid w:val="00A2056F"/>
    <w:rsid w:val="00A20753"/>
    <w:rsid w:val="00A20B57"/>
    <w:rsid w:val="00A218FA"/>
    <w:rsid w:val="00A219A1"/>
    <w:rsid w:val="00A219D5"/>
    <w:rsid w:val="00A228F0"/>
    <w:rsid w:val="00A23607"/>
    <w:rsid w:val="00A24114"/>
    <w:rsid w:val="00A24BFF"/>
    <w:rsid w:val="00A2515A"/>
    <w:rsid w:val="00A25811"/>
    <w:rsid w:val="00A26915"/>
    <w:rsid w:val="00A27778"/>
    <w:rsid w:val="00A30327"/>
    <w:rsid w:val="00A3039B"/>
    <w:rsid w:val="00A30426"/>
    <w:rsid w:val="00A30EDB"/>
    <w:rsid w:val="00A31021"/>
    <w:rsid w:val="00A31596"/>
    <w:rsid w:val="00A324BC"/>
    <w:rsid w:val="00A33828"/>
    <w:rsid w:val="00A33961"/>
    <w:rsid w:val="00A33BBA"/>
    <w:rsid w:val="00A33DB0"/>
    <w:rsid w:val="00A343BF"/>
    <w:rsid w:val="00A34837"/>
    <w:rsid w:val="00A3488F"/>
    <w:rsid w:val="00A353F4"/>
    <w:rsid w:val="00A35484"/>
    <w:rsid w:val="00A3649B"/>
    <w:rsid w:val="00A36993"/>
    <w:rsid w:val="00A36A75"/>
    <w:rsid w:val="00A36FC4"/>
    <w:rsid w:val="00A373D5"/>
    <w:rsid w:val="00A37435"/>
    <w:rsid w:val="00A3799B"/>
    <w:rsid w:val="00A4060C"/>
    <w:rsid w:val="00A40799"/>
    <w:rsid w:val="00A40F00"/>
    <w:rsid w:val="00A40FE4"/>
    <w:rsid w:val="00A41495"/>
    <w:rsid w:val="00A4156C"/>
    <w:rsid w:val="00A41AAB"/>
    <w:rsid w:val="00A41EEC"/>
    <w:rsid w:val="00A4297C"/>
    <w:rsid w:val="00A42BB7"/>
    <w:rsid w:val="00A42BEE"/>
    <w:rsid w:val="00A43113"/>
    <w:rsid w:val="00A4371F"/>
    <w:rsid w:val="00A43764"/>
    <w:rsid w:val="00A43BC1"/>
    <w:rsid w:val="00A4482F"/>
    <w:rsid w:val="00A4491E"/>
    <w:rsid w:val="00A44B35"/>
    <w:rsid w:val="00A44B6E"/>
    <w:rsid w:val="00A4624E"/>
    <w:rsid w:val="00A465D2"/>
    <w:rsid w:val="00A51155"/>
    <w:rsid w:val="00A51240"/>
    <w:rsid w:val="00A5139F"/>
    <w:rsid w:val="00A51773"/>
    <w:rsid w:val="00A51DAE"/>
    <w:rsid w:val="00A52A42"/>
    <w:rsid w:val="00A52B41"/>
    <w:rsid w:val="00A52B62"/>
    <w:rsid w:val="00A5372D"/>
    <w:rsid w:val="00A53EB1"/>
    <w:rsid w:val="00A5440D"/>
    <w:rsid w:val="00A54675"/>
    <w:rsid w:val="00A55439"/>
    <w:rsid w:val="00A55ECF"/>
    <w:rsid w:val="00A561FF"/>
    <w:rsid w:val="00A56757"/>
    <w:rsid w:val="00A570EA"/>
    <w:rsid w:val="00A60673"/>
    <w:rsid w:val="00A608CB"/>
    <w:rsid w:val="00A60B2E"/>
    <w:rsid w:val="00A6114A"/>
    <w:rsid w:val="00A61356"/>
    <w:rsid w:val="00A61C9E"/>
    <w:rsid w:val="00A624B3"/>
    <w:rsid w:val="00A63A41"/>
    <w:rsid w:val="00A6467C"/>
    <w:rsid w:val="00A64995"/>
    <w:rsid w:val="00A64CBD"/>
    <w:rsid w:val="00A654C8"/>
    <w:rsid w:val="00A655AF"/>
    <w:rsid w:val="00A65AC0"/>
    <w:rsid w:val="00A66107"/>
    <w:rsid w:val="00A66194"/>
    <w:rsid w:val="00A665A8"/>
    <w:rsid w:val="00A66BE5"/>
    <w:rsid w:val="00A67252"/>
    <w:rsid w:val="00A70067"/>
    <w:rsid w:val="00A71BA5"/>
    <w:rsid w:val="00A7228E"/>
    <w:rsid w:val="00A723B7"/>
    <w:rsid w:val="00A72448"/>
    <w:rsid w:val="00A72DF2"/>
    <w:rsid w:val="00A72EFC"/>
    <w:rsid w:val="00A72F67"/>
    <w:rsid w:val="00A7355B"/>
    <w:rsid w:val="00A73EA8"/>
    <w:rsid w:val="00A73FF0"/>
    <w:rsid w:val="00A746FF"/>
    <w:rsid w:val="00A74C25"/>
    <w:rsid w:val="00A77855"/>
    <w:rsid w:val="00A80A60"/>
    <w:rsid w:val="00A81556"/>
    <w:rsid w:val="00A81FD1"/>
    <w:rsid w:val="00A83986"/>
    <w:rsid w:val="00A83F81"/>
    <w:rsid w:val="00A8477F"/>
    <w:rsid w:val="00A8691A"/>
    <w:rsid w:val="00A86966"/>
    <w:rsid w:val="00A8750A"/>
    <w:rsid w:val="00A8790D"/>
    <w:rsid w:val="00A87BEB"/>
    <w:rsid w:val="00A87D50"/>
    <w:rsid w:val="00A9298A"/>
    <w:rsid w:val="00A92C62"/>
    <w:rsid w:val="00A92FCC"/>
    <w:rsid w:val="00A94E14"/>
    <w:rsid w:val="00A96685"/>
    <w:rsid w:val="00A96E46"/>
    <w:rsid w:val="00A96E50"/>
    <w:rsid w:val="00A96F24"/>
    <w:rsid w:val="00A96F91"/>
    <w:rsid w:val="00A97615"/>
    <w:rsid w:val="00A977AD"/>
    <w:rsid w:val="00A97A56"/>
    <w:rsid w:val="00AA0312"/>
    <w:rsid w:val="00AA0F1F"/>
    <w:rsid w:val="00AA15FA"/>
    <w:rsid w:val="00AA2E05"/>
    <w:rsid w:val="00AA4447"/>
    <w:rsid w:val="00AA4744"/>
    <w:rsid w:val="00AA47FF"/>
    <w:rsid w:val="00AA5DC7"/>
    <w:rsid w:val="00AA6716"/>
    <w:rsid w:val="00AA7DDF"/>
    <w:rsid w:val="00AB1D51"/>
    <w:rsid w:val="00AB2312"/>
    <w:rsid w:val="00AB3E71"/>
    <w:rsid w:val="00AB3FB4"/>
    <w:rsid w:val="00AB53A4"/>
    <w:rsid w:val="00AB55DD"/>
    <w:rsid w:val="00AB5A06"/>
    <w:rsid w:val="00AB5F92"/>
    <w:rsid w:val="00AB62B3"/>
    <w:rsid w:val="00AB6410"/>
    <w:rsid w:val="00AB6530"/>
    <w:rsid w:val="00AB7994"/>
    <w:rsid w:val="00AB7FA4"/>
    <w:rsid w:val="00AC0133"/>
    <w:rsid w:val="00AC0EE4"/>
    <w:rsid w:val="00AC1137"/>
    <w:rsid w:val="00AC1872"/>
    <w:rsid w:val="00AC1CE1"/>
    <w:rsid w:val="00AC262F"/>
    <w:rsid w:val="00AC3E50"/>
    <w:rsid w:val="00AC484B"/>
    <w:rsid w:val="00AC4C5D"/>
    <w:rsid w:val="00AC5427"/>
    <w:rsid w:val="00AC5C8B"/>
    <w:rsid w:val="00AC5D45"/>
    <w:rsid w:val="00AC6064"/>
    <w:rsid w:val="00AC61F5"/>
    <w:rsid w:val="00AC6A3B"/>
    <w:rsid w:val="00AC7210"/>
    <w:rsid w:val="00AD1BBA"/>
    <w:rsid w:val="00AD1E89"/>
    <w:rsid w:val="00AD20E9"/>
    <w:rsid w:val="00AD4E05"/>
    <w:rsid w:val="00AD5BC2"/>
    <w:rsid w:val="00AD5F6C"/>
    <w:rsid w:val="00AD6114"/>
    <w:rsid w:val="00AD631F"/>
    <w:rsid w:val="00AD64EF"/>
    <w:rsid w:val="00AD6BAA"/>
    <w:rsid w:val="00AD6CF8"/>
    <w:rsid w:val="00AE024D"/>
    <w:rsid w:val="00AE085A"/>
    <w:rsid w:val="00AE1144"/>
    <w:rsid w:val="00AE1157"/>
    <w:rsid w:val="00AE1160"/>
    <w:rsid w:val="00AE1823"/>
    <w:rsid w:val="00AE18C1"/>
    <w:rsid w:val="00AE1A80"/>
    <w:rsid w:val="00AE21FF"/>
    <w:rsid w:val="00AE284F"/>
    <w:rsid w:val="00AE28D6"/>
    <w:rsid w:val="00AE4725"/>
    <w:rsid w:val="00AE6C04"/>
    <w:rsid w:val="00AE6F12"/>
    <w:rsid w:val="00AE74A2"/>
    <w:rsid w:val="00AE7B0C"/>
    <w:rsid w:val="00AE7C14"/>
    <w:rsid w:val="00AF04A9"/>
    <w:rsid w:val="00AF0924"/>
    <w:rsid w:val="00AF17AD"/>
    <w:rsid w:val="00AF1DF9"/>
    <w:rsid w:val="00AF1F18"/>
    <w:rsid w:val="00AF2AAC"/>
    <w:rsid w:val="00AF3302"/>
    <w:rsid w:val="00AF3D09"/>
    <w:rsid w:val="00AF3E27"/>
    <w:rsid w:val="00AF490C"/>
    <w:rsid w:val="00AF4B7D"/>
    <w:rsid w:val="00AF53B2"/>
    <w:rsid w:val="00AF5A06"/>
    <w:rsid w:val="00AF5A8C"/>
    <w:rsid w:val="00AF61D8"/>
    <w:rsid w:val="00AF6643"/>
    <w:rsid w:val="00AF6A1B"/>
    <w:rsid w:val="00AF6FDF"/>
    <w:rsid w:val="00AF71EA"/>
    <w:rsid w:val="00B0086B"/>
    <w:rsid w:val="00B00DD6"/>
    <w:rsid w:val="00B0213C"/>
    <w:rsid w:val="00B02939"/>
    <w:rsid w:val="00B0357A"/>
    <w:rsid w:val="00B03777"/>
    <w:rsid w:val="00B037DB"/>
    <w:rsid w:val="00B04622"/>
    <w:rsid w:val="00B04873"/>
    <w:rsid w:val="00B04F54"/>
    <w:rsid w:val="00B05839"/>
    <w:rsid w:val="00B067AA"/>
    <w:rsid w:val="00B0708B"/>
    <w:rsid w:val="00B0726E"/>
    <w:rsid w:val="00B0730E"/>
    <w:rsid w:val="00B07D8C"/>
    <w:rsid w:val="00B1027B"/>
    <w:rsid w:val="00B10EC2"/>
    <w:rsid w:val="00B10F89"/>
    <w:rsid w:val="00B1211D"/>
    <w:rsid w:val="00B12C75"/>
    <w:rsid w:val="00B1330E"/>
    <w:rsid w:val="00B14461"/>
    <w:rsid w:val="00B14D48"/>
    <w:rsid w:val="00B156CE"/>
    <w:rsid w:val="00B15B87"/>
    <w:rsid w:val="00B15D3A"/>
    <w:rsid w:val="00B16415"/>
    <w:rsid w:val="00B16558"/>
    <w:rsid w:val="00B169AD"/>
    <w:rsid w:val="00B17855"/>
    <w:rsid w:val="00B21755"/>
    <w:rsid w:val="00B219D1"/>
    <w:rsid w:val="00B224B1"/>
    <w:rsid w:val="00B22D98"/>
    <w:rsid w:val="00B23A32"/>
    <w:rsid w:val="00B261E3"/>
    <w:rsid w:val="00B2641B"/>
    <w:rsid w:val="00B2667B"/>
    <w:rsid w:val="00B269F5"/>
    <w:rsid w:val="00B26AB0"/>
    <w:rsid w:val="00B26EB8"/>
    <w:rsid w:val="00B27B1B"/>
    <w:rsid w:val="00B27E72"/>
    <w:rsid w:val="00B27F10"/>
    <w:rsid w:val="00B306CE"/>
    <w:rsid w:val="00B318FA"/>
    <w:rsid w:val="00B31FAE"/>
    <w:rsid w:val="00B321E3"/>
    <w:rsid w:val="00B32473"/>
    <w:rsid w:val="00B3262E"/>
    <w:rsid w:val="00B3276E"/>
    <w:rsid w:val="00B328B8"/>
    <w:rsid w:val="00B34034"/>
    <w:rsid w:val="00B3445F"/>
    <w:rsid w:val="00B34886"/>
    <w:rsid w:val="00B34B62"/>
    <w:rsid w:val="00B34E16"/>
    <w:rsid w:val="00B35B13"/>
    <w:rsid w:val="00B35C88"/>
    <w:rsid w:val="00B372C9"/>
    <w:rsid w:val="00B37302"/>
    <w:rsid w:val="00B37BE2"/>
    <w:rsid w:val="00B37D1D"/>
    <w:rsid w:val="00B405A6"/>
    <w:rsid w:val="00B42C99"/>
    <w:rsid w:val="00B44756"/>
    <w:rsid w:val="00B45181"/>
    <w:rsid w:val="00B452DF"/>
    <w:rsid w:val="00B4563B"/>
    <w:rsid w:val="00B45EDE"/>
    <w:rsid w:val="00B467FE"/>
    <w:rsid w:val="00B472F7"/>
    <w:rsid w:val="00B47718"/>
    <w:rsid w:val="00B47891"/>
    <w:rsid w:val="00B478AF"/>
    <w:rsid w:val="00B51232"/>
    <w:rsid w:val="00B514AE"/>
    <w:rsid w:val="00B51CA5"/>
    <w:rsid w:val="00B5584C"/>
    <w:rsid w:val="00B55B98"/>
    <w:rsid w:val="00B55E59"/>
    <w:rsid w:val="00B57709"/>
    <w:rsid w:val="00B57E51"/>
    <w:rsid w:val="00B57E8A"/>
    <w:rsid w:val="00B601C1"/>
    <w:rsid w:val="00B602C9"/>
    <w:rsid w:val="00B604C0"/>
    <w:rsid w:val="00B60F2C"/>
    <w:rsid w:val="00B61AF6"/>
    <w:rsid w:val="00B61EDB"/>
    <w:rsid w:val="00B63B67"/>
    <w:rsid w:val="00B6468F"/>
    <w:rsid w:val="00B65DD3"/>
    <w:rsid w:val="00B6613F"/>
    <w:rsid w:val="00B671DB"/>
    <w:rsid w:val="00B67799"/>
    <w:rsid w:val="00B72598"/>
    <w:rsid w:val="00B72F0C"/>
    <w:rsid w:val="00B73165"/>
    <w:rsid w:val="00B738D8"/>
    <w:rsid w:val="00B74279"/>
    <w:rsid w:val="00B74D13"/>
    <w:rsid w:val="00B757D5"/>
    <w:rsid w:val="00B76B6E"/>
    <w:rsid w:val="00B7743C"/>
    <w:rsid w:val="00B77D09"/>
    <w:rsid w:val="00B77F21"/>
    <w:rsid w:val="00B8022B"/>
    <w:rsid w:val="00B804A1"/>
    <w:rsid w:val="00B818DD"/>
    <w:rsid w:val="00B81FA4"/>
    <w:rsid w:val="00B82481"/>
    <w:rsid w:val="00B82ED5"/>
    <w:rsid w:val="00B832E2"/>
    <w:rsid w:val="00B833F5"/>
    <w:rsid w:val="00B84076"/>
    <w:rsid w:val="00B84108"/>
    <w:rsid w:val="00B847CF"/>
    <w:rsid w:val="00B851E2"/>
    <w:rsid w:val="00B86C0F"/>
    <w:rsid w:val="00B87211"/>
    <w:rsid w:val="00B876F1"/>
    <w:rsid w:val="00B877C3"/>
    <w:rsid w:val="00B8794C"/>
    <w:rsid w:val="00B903CA"/>
    <w:rsid w:val="00B90DFB"/>
    <w:rsid w:val="00B91433"/>
    <w:rsid w:val="00B9168C"/>
    <w:rsid w:val="00B91948"/>
    <w:rsid w:val="00B91E0E"/>
    <w:rsid w:val="00B922C4"/>
    <w:rsid w:val="00B927CF"/>
    <w:rsid w:val="00B92E0B"/>
    <w:rsid w:val="00B93777"/>
    <w:rsid w:val="00B9416A"/>
    <w:rsid w:val="00B94584"/>
    <w:rsid w:val="00B94B18"/>
    <w:rsid w:val="00B957FB"/>
    <w:rsid w:val="00B9588F"/>
    <w:rsid w:val="00B95EF4"/>
    <w:rsid w:val="00B962EE"/>
    <w:rsid w:val="00B96574"/>
    <w:rsid w:val="00B97B01"/>
    <w:rsid w:val="00BA0A27"/>
    <w:rsid w:val="00BA0A5E"/>
    <w:rsid w:val="00BA110C"/>
    <w:rsid w:val="00BA11AB"/>
    <w:rsid w:val="00BA1CB7"/>
    <w:rsid w:val="00BA20D5"/>
    <w:rsid w:val="00BA2509"/>
    <w:rsid w:val="00BA2CB2"/>
    <w:rsid w:val="00BA40BC"/>
    <w:rsid w:val="00BA4CD4"/>
    <w:rsid w:val="00BA62C6"/>
    <w:rsid w:val="00BA7D3F"/>
    <w:rsid w:val="00BA7F5C"/>
    <w:rsid w:val="00BB0783"/>
    <w:rsid w:val="00BB098C"/>
    <w:rsid w:val="00BB0B8A"/>
    <w:rsid w:val="00BB1A07"/>
    <w:rsid w:val="00BB21D3"/>
    <w:rsid w:val="00BB2722"/>
    <w:rsid w:val="00BB305A"/>
    <w:rsid w:val="00BB3B59"/>
    <w:rsid w:val="00BB3F2E"/>
    <w:rsid w:val="00BB55BA"/>
    <w:rsid w:val="00BB58F7"/>
    <w:rsid w:val="00BB6509"/>
    <w:rsid w:val="00BB723A"/>
    <w:rsid w:val="00BC0942"/>
    <w:rsid w:val="00BC14DB"/>
    <w:rsid w:val="00BC2149"/>
    <w:rsid w:val="00BC2387"/>
    <w:rsid w:val="00BC248C"/>
    <w:rsid w:val="00BC2E51"/>
    <w:rsid w:val="00BC307C"/>
    <w:rsid w:val="00BC3BBB"/>
    <w:rsid w:val="00BC4501"/>
    <w:rsid w:val="00BC47E0"/>
    <w:rsid w:val="00BC4914"/>
    <w:rsid w:val="00BC4DA0"/>
    <w:rsid w:val="00BC4DC8"/>
    <w:rsid w:val="00BC58D5"/>
    <w:rsid w:val="00BD0D6A"/>
    <w:rsid w:val="00BD1119"/>
    <w:rsid w:val="00BD16DA"/>
    <w:rsid w:val="00BD3EA9"/>
    <w:rsid w:val="00BD45E5"/>
    <w:rsid w:val="00BD4972"/>
    <w:rsid w:val="00BD4FA4"/>
    <w:rsid w:val="00BD6AF3"/>
    <w:rsid w:val="00BD7433"/>
    <w:rsid w:val="00BD76EB"/>
    <w:rsid w:val="00BD7C07"/>
    <w:rsid w:val="00BE0841"/>
    <w:rsid w:val="00BE13C3"/>
    <w:rsid w:val="00BE20CC"/>
    <w:rsid w:val="00BE2DDA"/>
    <w:rsid w:val="00BE2F73"/>
    <w:rsid w:val="00BE4125"/>
    <w:rsid w:val="00BE4223"/>
    <w:rsid w:val="00BE4281"/>
    <w:rsid w:val="00BE4756"/>
    <w:rsid w:val="00BE4C94"/>
    <w:rsid w:val="00BE58E5"/>
    <w:rsid w:val="00BE6490"/>
    <w:rsid w:val="00BE74F3"/>
    <w:rsid w:val="00BF0C58"/>
    <w:rsid w:val="00BF1718"/>
    <w:rsid w:val="00BF1F48"/>
    <w:rsid w:val="00BF268E"/>
    <w:rsid w:val="00BF3014"/>
    <w:rsid w:val="00BF35A4"/>
    <w:rsid w:val="00BF3D09"/>
    <w:rsid w:val="00BF4B39"/>
    <w:rsid w:val="00BF4F8A"/>
    <w:rsid w:val="00BF54E7"/>
    <w:rsid w:val="00BF5A88"/>
    <w:rsid w:val="00BF6556"/>
    <w:rsid w:val="00BF709B"/>
    <w:rsid w:val="00BF7A78"/>
    <w:rsid w:val="00C00D88"/>
    <w:rsid w:val="00C01910"/>
    <w:rsid w:val="00C01C90"/>
    <w:rsid w:val="00C01D12"/>
    <w:rsid w:val="00C01EC0"/>
    <w:rsid w:val="00C026A0"/>
    <w:rsid w:val="00C02798"/>
    <w:rsid w:val="00C02A37"/>
    <w:rsid w:val="00C0369C"/>
    <w:rsid w:val="00C036C0"/>
    <w:rsid w:val="00C03824"/>
    <w:rsid w:val="00C04C02"/>
    <w:rsid w:val="00C055A4"/>
    <w:rsid w:val="00C058EE"/>
    <w:rsid w:val="00C06601"/>
    <w:rsid w:val="00C06ABC"/>
    <w:rsid w:val="00C07098"/>
    <w:rsid w:val="00C07926"/>
    <w:rsid w:val="00C10344"/>
    <w:rsid w:val="00C10EC5"/>
    <w:rsid w:val="00C121BA"/>
    <w:rsid w:val="00C12A8D"/>
    <w:rsid w:val="00C12C2A"/>
    <w:rsid w:val="00C133E1"/>
    <w:rsid w:val="00C1346A"/>
    <w:rsid w:val="00C13928"/>
    <w:rsid w:val="00C13D26"/>
    <w:rsid w:val="00C1507F"/>
    <w:rsid w:val="00C152BD"/>
    <w:rsid w:val="00C163F5"/>
    <w:rsid w:val="00C16B5A"/>
    <w:rsid w:val="00C1753F"/>
    <w:rsid w:val="00C2035F"/>
    <w:rsid w:val="00C2116F"/>
    <w:rsid w:val="00C2222A"/>
    <w:rsid w:val="00C22414"/>
    <w:rsid w:val="00C22631"/>
    <w:rsid w:val="00C228F0"/>
    <w:rsid w:val="00C233F1"/>
    <w:rsid w:val="00C2383F"/>
    <w:rsid w:val="00C23E0C"/>
    <w:rsid w:val="00C244EE"/>
    <w:rsid w:val="00C24A80"/>
    <w:rsid w:val="00C25321"/>
    <w:rsid w:val="00C25DE7"/>
    <w:rsid w:val="00C276C1"/>
    <w:rsid w:val="00C31B32"/>
    <w:rsid w:val="00C31F00"/>
    <w:rsid w:val="00C3208A"/>
    <w:rsid w:val="00C32BDA"/>
    <w:rsid w:val="00C331EB"/>
    <w:rsid w:val="00C33524"/>
    <w:rsid w:val="00C33CEF"/>
    <w:rsid w:val="00C3420A"/>
    <w:rsid w:val="00C3433C"/>
    <w:rsid w:val="00C3509D"/>
    <w:rsid w:val="00C358F0"/>
    <w:rsid w:val="00C358F4"/>
    <w:rsid w:val="00C35B4B"/>
    <w:rsid w:val="00C370AC"/>
    <w:rsid w:val="00C40EBC"/>
    <w:rsid w:val="00C41D67"/>
    <w:rsid w:val="00C41E5A"/>
    <w:rsid w:val="00C42792"/>
    <w:rsid w:val="00C434C0"/>
    <w:rsid w:val="00C44B43"/>
    <w:rsid w:val="00C44B57"/>
    <w:rsid w:val="00C44F2E"/>
    <w:rsid w:val="00C45813"/>
    <w:rsid w:val="00C46174"/>
    <w:rsid w:val="00C463ED"/>
    <w:rsid w:val="00C46759"/>
    <w:rsid w:val="00C4721B"/>
    <w:rsid w:val="00C50056"/>
    <w:rsid w:val="00C50464"/>
    <w:rsid w:val="00C51D4E"/>
    <w:rsid w:val="00C52D1A"/>
    <w:rsid w:val="00C5368F"/>
    <w:rsid w:val="00C53E13"/>
    <w:rsid w:val="00C5630D"/>
    <w:rsid w:val="00C56453"/>
    <w:rsid w:val="00C602B5"/>
    <w:rsid w:val="00C602FE"/>
    <w:rsid w:val="00C60493"/>
    <w:rsid w:val="00C6147B"/>
    <w:rsid w:val="00C61662"/>
    <w:rsid w:val="00C617CE"/>
    <w:rsid w:val="00C61875"/>
    <w:rsid w:val="00C61888"/>
    <w:rsid w:val="00C61BD0"/>
    <w:rsid w:val="00C62EC9"/>
    <w:rsid w:val="00C6311C"/>
    <w:rsid w:val="00C63305"/>
    <w:rsid w:val="00C63722"/>
    <w:rsid w:val="00C63B35"/>
    <w:rsid w:val="00C63CAB"/>
    <w:rsid w:val="00C641C7"/>
    <w:rsid w:val="00C642CE"/>
    <w:rsid w:val="00C6433B"/>
    <w:rsid w:val="00C649FD"/>
    <w:rsid w:val="00C65955"/>
    <w:rsid w:val="00C66BE1"/>
    <w:rsid w:val="00C66E74"/>
    <w:rsid w:val="00C67027"/>
    <w:rsid w:val="00C70053"/>
    <w:rsid w:val="00C702FB"/>
    <w:rsid w:val="00C70E16"/>
    <w:rsid w:val="00C71ADE"/>
    <w:rsid w:val="00C71CB9"/>
    <w:rsid w:val="00C720DB"/>
    <w:rsid w:val="00C72224"/>
    <w:rsid w:val="00C7289F"/>
    <w:rsid w:val="00C73320"/>
    <w:rsid w:val="00C734B9"/>
    <w:rsid w:val="00C73685"/>
    <w:rsid w:val="00C73F3D"/>
    <w:rsid w:val="00C75706"/>
    <w:rsid w:val="00C76028"/>
    <w:rsid w:val="00C770C0"/>
    <w:rsid w:val="00C7717A"/>
    <w:rsid w:val="00C7761C"/>
    <w:rsid w:val="00C77709"/>
    <w:rsid w:val="00C80481"/>
    <w:rsid w:val="00C80AA3"/>
    <w:rsid w:val="00C8157D"/>
    <w:rsid w:val="00C81B47"/>
    <w:rsid w:val="00C82C7B"/>
    <w:rsid w:val="00C82E51"/>
    <w:rsid w:val="00C8390E"/>
    <w:rsid w:val="00C83BAA"/>
    <w:rsid w:val="00C83E20"/>
    <w:rsid w:val="00C84BBE"/>
    <w:rsid w:val="00C85C89"/>
    <w:rsid w:val="00C86DDE"/>
    <w:rsid w:val="00C90E64"/>
    <w:rsid w:val="00C911DA"/>
    <w:rsid w:val="00C91E2F"/>
    <w:rsid w:val="00C92C02"/>
    <w:rsid w:val="00C92CE6"/>
    <w:rsid w:val="00C93E4D"/>
    <w:rsid w:val="00C93E57"/>
    <w:rsid w:val="00C93E59"/>
    <w:rsid w:val="00C93FCD"/>
    <w:rsid w:val="00C940EC"/>
    <w:rsid w:val="00C9434E"/>
    <w:rsid w:val="00C950ED"/>
    <w:rsid w:val="00C96B18"/>
    <w:rsid w:val="00C9724B"/>
    <w:rsid w:val="00CA02A5"/>
    <w:rsid w:val="00CA0321"/>
    <w:rsid w:val="00CA0B90"/>
    <w:rsid w:val="00CA0C38"/>
    <w:rsid w:val="00CA1C1B"/>
    <w:rsid w:val="00CA1E6D"/>
    <w:rsid w:val="00CA2267"/>
    <w:rsid w:val="00CA22BD"/>
    <w:rsid w:val="00CA2E69"/>
    <w:rsid w:val="00CA30BA"/>
    <w:rsid w:val="00CA391F"/>
    <w:rsid w:val="00CA4815"/>
    <w:rsid w:val="00CA55CD"/>
    <w:rsid w:val="00CA5C14"/>
    <w:rsid w:val="00CA5DCC"/>
    <w:rsid w:val="00CA6217"/>
    <w:rsid w:val="00CA631D"/>
    <w:rsid w:val="00CA7403"/>
    <w:rsid w:val="00CA7918"/>
    <w:rsid w:val="00CA7FE8"/>
    <w:rsid w:val="00CB030B"/>
    <w:rsid w:val="00CB080F"/>
    <w:rsid w:val="00CB1EFE"/>
    <w:rsid w:val="00CB382E"/>
    <w:rsid w:val="00CB38E0"/>
    <w:rsid w:val="00CB3DC3"/>
    <w:rsid w:val="00CB525A"/>
    <w:rsid w:val="00CB52BE"/>
    <w:rsid w:val="00CB54C4"/>
    <w:rsid w:val="00CB5F10"/>
    <w:rsid w:val="00CB5FD9"/>
    <w:rsid w:val="00CB61AA"/>
    <w:rsid w:val="00CB666D"/>
    <w:rsid w:val="00CB68C6"/>
    <w:rsid w:val="00CB68F8"/>
    <w:rsid w:val="00CB6C3D"/>
    <w:rsid w:val="00CB73AD"/>
    <w:rsid w:val="00CC06F0"/>
    <w:rsid w:val="00CC0958"/>
    <w:rsid w:val="00CC0B9A"/>
    <w:rsid w:val="00CC0DA2"/>
    <w:rsid w:val="00CC147D"/>
    <w:rsid w:val="00CC19F4"/>
    <w:rsid w:val="00CC4BC1"/>
    <w:rsid w:val="00CC5915"/>
    <w:rsid w:val="00CC5B10"/>
    <w:rsid w:val="00CC6869"/>
    <w:rsid w:val="00CC7564"/>
    <w:rsid w:val="00CC781A"/>
    <w:rsid w:val="00CC7F24"/>
    <w:rsid w:val="00CC7FAE"/>
    <w:rsid w:val="00CD165A"/>
    <w:rsid w:val="00CD23EC"/>
    <w:rsid w:val="00CD2767"/>
    <w:rsid w:val="00CD2AE4"/>
    <w:rsid w:val="00CD31D7"/>
    <w:rsid w:val="00CD3B5B"/>
    <w:rsid w:val="00CD4D52"/>
    <w:rsid w:val="00CD4D8A"/>
    <w:rsid w:val="00CD4F46"/>
    <w:rsid w:val="00CD5177"/>
    <w:rsid w:val="00CD652D"/>
    <w:rsid w:val="00CE0089"/>
    <w:rsid w:val="00CE05DC"/>
    <w:rsid w:val="00CE092C"/>
    <w:rsid w:val="00CE0BD6"/>
    <w:rsid w:val="00CE22B9"/>
    <w:rsid w:val="00CE29E6"/>
    <w:rsid w:val="00CE2C12"/>
    <w:rsid w:val="00CE3712"/>
    <w:rsid w:val="00CE3770"/>
    <w:rsid w:val="00CE3C8A"/>
    <w:rsid w:val="00CE408D"/>
    <w:rsid w:val="00CE434B"/>
    <w:rsid w:val="00CE49F7"/>
    <w:rsid w:val="00CE4F8D"/>
    <w:rsid w:val="00CE5052"/>
    <w:rsid w:val="00CE58C9"/>
    <w:rsid w:val="00CE6390"/>
    <w:rsid w:val="00CE6E37"/>
    <w:rsid w:val="00CE7E5E"/>
    <w:rsid w:val="00CF03FE"/>
    <w:rsid w:val="00CF0594"/>
    <w:rsid w:val="00CF0AB7"/>
    <w:rsid w:val="00CF0CC4"/>
    <w:rsid w:val="00CF0E12"/>
    <w:rsid w:val="00CF1284"/>
    <w:rsid w:val="00CF2B0A"/>
    <w:rsid w:val="00CF2E61"/>
    <w:rsid w:val="00CF31D9"/>
    <w:rsid w:val="00CF39C7"/>
    <w:rsid w:val="00CF440B"/>
    <w:rsid w:val="00CF47C7"/>
    <w:rsid w:val="00CF4DDB"/>
    <w:rsid w:val="00CF6562"/>
    <w:rsid w:val="00CF68DA"/>
    <w:rsid w:val="00CF6EA3"/>
    <w:rsid w:val="00CF731C"/>
    <w:rsid w:val="00CF7866"/>
    <w:rsid w:val="00D0010A"/>
    <w:rsid w:val="00D00500"/>
    <w:rsid w:val="00D008FD"/>
    <w:rsid w:val="00D01275"/>
    <w:rsid w:val="00D01968"/>
    <w:rsid w:val="00D01C7B"/>
    <w:rsid w:val="00D03684"/>
    <w:rsid w:val="00D03AC7"/>
    <w:rsid w:val="00D0439D"/>
    <w:rsid w:val="00D04887"/>
    <w:rsid w:val="00D04CA6"/>
    <w:rsid w:val="00D04E1A"/>
    <w:rsid w:val="00D061A7"/>
    <w:rsid w:val="00D0636F"/>
    <w:rsid w:val="00D0718F"/>
    <w:rsid w:val="00D10C9E"/>
    <w:rsid w:val="00D11065"/>
    <w:rsid w:val="00D12066"/>
    <w:rsid w:val="00D12397"/>
    <w:rsid w:val="00D12600"/>
    <w:rsid w:val="00D1318E"/>
    <w:rsid w:val="00D13F6E"/>
    <w:rsid w:val="00D141BD"/>
    <w:rsid w:val="00D14564"/>
    <w:rsid w:val="00D14ACC"/>
    <w:rsid w:val="00D14E34"/>
    <w:rsid w:val="00D15665"/>
    <w:rsid w:val="00D16A25"/>
    <w:rsid w:val="00D172A8"/>
    <w:rsid w:val="00D17979"/>
    <w:rsid w:val="00D1797C"/>
    <w:rsid w:val="00D20510"/>
    <w:rsid w:val="00D20BC6"/>
    <w:rsid w:val="00D21B47"/>
    <w:rsid w:val="00D2215E"/>
    <w:rsid w:val="00D22C74"/>
    <w:rsid w:val="00D238B8"/>
    <w:rsid w:val="00D24063"/>
    <w:rsid w:val="00D24FBF"/>
    <w:rsid w:val="00D25233"/>
    <w:rsid w:val="00D25994"/>
    <w:rsid w:val="00D25A63"/>
    <w:rsid w:val="00D25B4D"/>
    <w:rsid w:val="00D25DA0"/>
    <w:rsid w:val="00D26DCA"/>
    <w:rsid w:val="00D273C8"/>
    <w:rsid w:val="00D27AA9"/>
    <w:rsid w:val="00D30860"/>
    <w:rsid w:val="00D31489"/>
    <w:rsid w:val="00D317AF"/>
    <w:rsid w:val="00D31E71"/>
    <w:rsid w:val="00D31FF9"/>
    <w:rsid w:val="00D32B81"/>
    <w:rsid w:val="00D33D6A"/>
    <w:rsid w:val="00D33DEB"/>
    <w:rsid w:val="00D34347"/>
    <w:rsid w:val="00D370D6"/>
    <w:rsid w:val="00D373CB"/>
    <w:rsid w:val="00D4018E"/>
    <w:rsid w:val="00D40A8E"/>
    <w:rsid w:val="00D40AA0"/>
    <w:rsid w:val="00D41CB9"/>
    <w:rsid w:val="00D426EE"/>
    <w:rsid w:val="00D428E5"/>
    <w:rsid w:val="00D42D11"/>
    <w:rsid w:val="00D43B0F"/>
    <w:rsid w:val="00D45988"/>
    <w:rsid w:val="00D459E2"/>
    <w:rsid w:val="00D45A0C"/>
    <w:rsid w:val="00D47BBA"/>
    <w:rsid w:val="00D51C0B"/>
    <w:rsid w:val="00D51DE7"/>
    <w:rsid w:val="00D51E3A"/>
    <w:rsid w:val="00D52C80"/>
    <w:rsid w:val="00D540D3"/>
    <w:rsid w:val="00D5642C"/>
    <w:rsid w:val="00D5688A"/>
    <w:rsid w:val="00D56B5A"/>
    <w:rsid w:val="00D57835"/>
    <w:rsid w:val="00D60172"/>
    <w:rsid w:val="00D603C5"/>
    <w:rsid w:val="00D614FD"/>
    <w:rsid w:val="00D61D06"/>
    <w:rsid w:val="00D626A6"/>
    <w:rsid w:val="00D626D2"/>
    <w:rsid w:val="00D634FE"/>
    <w:rsid w:val="00D63916"/>
    <w:rsid w:val="00D63DD0"/>
    <w:rsid w:val="00D6400A"/>
    <w:rsid w:val="00D64207"/>
    <w:rsid w:val="00D65667"/>
    <w:rsid w:val="00D657D1"/>
    <w:rsid w:val="00D65F20"/>
    <w:rsid w:val="00D67032"/>
    <w:rsid w:val="00D70E01"/>
    <w:rsid w:val="00D71069"/>
    <w:rsid w:val="00D712BA"/>
    <w:rsid w:val="00D7139C"/>
    <w:rsid w:val="00D7150B"/>
    <w:rsid w:val="00D72CF0"/>
    <w:rsid w:val="00D736A5"/>
    <w:rsid w:val="00D74406"/>
    <w:rsid w:val="00D74B6D"/>
    <w:rsid w:val="00D74C9F"/>
    <w:rsid w:val="00D74E5E"/>
    <w:rsid w:val="00D7517C"/>
    <w:rsid w:val="00D753A0"/>
    <w:rsid w:val="00D75524"/>
    <w:rsid w:val="00D7572D"/>
    <w:rsid w:val="00D7587F"/>
    <w:rsid w:val="00D75FA9"/>
    <w:rsid w:val="00D762F6"/>
    <w:rsid w:val="00D765CE"/>
    <w:rsid w:val="00D76C22"/>
    <w:rsid w:val="00D76D85"/>
    <w:rsid w:val="00D77986"/>
    <w:rsid w:val="00D77FEF"/>
    <w:rsid w:val="00D809CB"/>
    <w:rsid w:val="00D81023"/>
    <w:rsid w:val="00D81230"/>
    <w:rsid w:val="00D81EAC"/>
    <w:rsid w:val="00D822A2"/>
    <w:rsid w:val="00D851D7"/>
    <w:rsid w:val="00D86402"/>
    <w:rsid w:val="00D865AE"/>
    <w:rsid w:val="00D8734D"/>
    <w:rsid w:val="00D873CB"/>
    <w:rsid w:val="00D903A1"/>
    <w:rsid w:val="00D92223"/>
    <w:rsid w:val="00D93D19"/>
    <w:rsid w:val="00D94A7F"/>
    <w:rsid w:val="00D951E0"/>
    <w:rsid w:val="00D952D4"/>
    <w:rsid w:val="00D953FF"/>
    <w:rsid w:val="00D95FC3"/>
    <w:rsid w:val="00D96B23"/>
    <w:rsid w:val="00D9734C"/>
    <w:rsid w:val="00D97470"/>
    <w:rsid w:val="00D974A9"/>
    <w:rsid w:val="00D97761"/>
    <w:rsid w:val="00D97E35"/>
    <w:rsid w:val="00DA0DEC"/>
    <w:rsid w:val="00DA12E2"/>
    <w:rsid w:val="00DA16FF"/>
    <w:rsid w:val="00DA2491"/>
    <w:rsid w:val="00DA2A73"/>
    <w:rsid w:val="00DA2EB4"/>
    <w:rsid w:val="00DA3924"/>
    <w:rsid w:val="00DA4076"/>
    <w:rsid w:val="00DA4EC4"/>
    <w:rsid w:val="00DA5394"/>
    <w:rsid w:val="00DA5B04"/>
    <w:rsid w:val="00DA7107"/>
    <w:rsid w:val="00DA7384"/>
    <w:rsid w:val="00DA78D6"/>
    <w:rsid w:val="00DB023E"/>
    <w:rsid w:val="00DB06DC"/>
    <w:rsid w:val="00DB121F"/>
    <w:rsid w:val="00DB1257"/>
    <w:rsid w:val="00DB1A5A"/>
    <w:rsid w:val="00DB31A2"/>
    <w:rsid w:val="00DB40D5"/>
    <w:rsid w:val="00DB477A"/>
    <w:rsid w:val="00DB494C"/>
    <w:rsid w:val="00DB5245"/>
    <w:rsid w:val="00DB539D"/>
    <w:rsid w:val="00DB54F4"/>
    <w:rsid w:val="00DB5BE8"/>
    <w:rsid w:val="00DB5EDF"/>
    <w:rsid w:val="00DB6A21"/>
    <w:rsid w:val="00DB6CAE"/>
    <w:rsid w:val="00DB6E59"/>
    <w:rsid w:val="00DB713F"/>
    <w:rsid w:val="00DB7360"/>
    <w:rsid w:val="00DB7606"/>
    <w:rsid w:val="00DB775E"/>
    <w:rsid w:val="00DB7A53"/>
    <w:rsid w:val="00DC038B"/>
    <w:rsid w:val="00DC0478"/>
    <w:rsid w:val="00DC04FC"/>
    <w:rsid w:val="00DC08D4"/>
    <w:rsid w:val="00DC1424"/>
    <w:rsid w:val="00DC272A"/>
    <w:rsid w:val="00DC2E86"/>
    <w:rsid w:val="00DC2FBD"/>
    <w:rsid w:val="00DC34DE"/>
    <w:rsid w:val="00DC4368"/>
    <w:rsid w:val="00DC4386"/>
    <w:rsid w:val="00DC4C13"/>
    <w:rsid w:val="00DC50AB"/>
    <w:rsid w:val="00DC564C"/>
    <w:rsid w:val="00DC5874"/>
    <w:rsid w:val="00DC5980"/>
    <w:rsid w:val="00DC5ED1"/>
    <w:rsid w:val="00DC6A91"/>
    <w:rsid w:val="00DC786C"/>
    <w:rsid w:val="00DD14DA"/>
    <w:rsid w:val="00DD2791"/>
    <w:rsid w:val="00DD2ACB"/>
    <w:rsid w:val="00DD2B46"/>
    <w:rsid w:val="00DD3770"/>
    <w:rsid w:val="00DD3876"/>
    <w:rsid w:val="00DD3AD8"/>
    <w:rsid w:val="00DD409B"/>
    <w:rsid w:val="00DD4D59"/>
    <w:rsid w:val="00DD5BCB"/>
    <w:rsid w:val="00DE0430"/>
    <w:rsid w:val="00DE0F63"/>
    <w:rsid w:val="00DE2139"/>
    <w:rsid w:val="00DE215C"/>
    <w:rsid w:val="00DE255B"/>
    <w:rsid w:val="00DE2C1A"/>
    <w:rsid w:val="00DE39EF"/>
    <w:rsid w:val="00DE428B"/>
    <w:rsid w:val="00DE42B6"/>
    <w:rsid w:val="00DE48A7"/>
    <w:rsid w:val="00DE49A0"/>
    <w:rsid w:val="00DE49A4"/>
    <w:rsid w:val="00DE4D41"/>
    <w:rsid w:val="00DE563B"/>
    <w:rsid w:val="00DE5B92"/>
    <w:rsid w:val="00DE636C"/>
    <w:rsid w:val="00DE64BB"/>
    <w:rsid w:val="00DE6A1B"/>
    <w:rsid w:val="00DE72D1"/>
    <w:rsid w:val="00DE7991"/>
    <w:rsid w:val="00DE7E1B"/>
    <w:rsid w:val="00DE7E3B"/>
    <w:rsid w:val="00DF0990"/>
    <w:rsid w:val="00DF0D7F"/>
    <w:rsid w:val="00DF12EC"/>
    <w:rsid w:val="00DF2BD8"/>
    <w:rsid w:val="00DF2CF2"/>
    <w:rsid w:val="00DF2DCA"/>
    <w:rsid w:val="00DF3289"/>
    <w:rsid w:val="00DF3784"/>
    <w:rsid w:val="00DF3B38"/>
    <w:rsid w:val="00DF3DEB"/>
    <w:rsid w:val="00DF4FE8"/>
    <w:rsid w:val="00DF5233"/>
    <w:rsid w:val="00DF78DB"/>
    <w:rsid w:val="00DF7DE0"/>
    <w:rsid w:val="00DF7E8E"/>
    <w:rsid w:val="00DF7EF9"/>
    <w:rsid w:val="00E001D3"/>
    <w:rsid w:val="00E0138D"/>
    <w:rsid w:val="00E0166B"/>
    <w:rsid w:val="00E042BF"/>
    <w:rsid w:val="00E07CC5"/>
    <w:rsid w:val="00E108B6"/>
    <w:rsid w:val="00E10F54"/>
    <w:rsid w:val="00E11286"/>
    <w:rsid w:val="00E1132C"/>
    <w:rsid w:val="00E11394"/>
    <w:rsid w:val="00E114AF"/>
    <w:rsid w:val="00E12E19"/>
    <w:rsid w:val="00E14312"/>
    <w:rsid w:val="00E15176"/>
    <w:rsid w:val="00E152BE"/>
    <w:rsid w:val="00E15B35"/>
    <w:rsid w:val="00E165A6"/>
    <w:rsid w:val="00E1665E"/>
    <w:rsid w:val="00E20D6E"/>
    <w:rsid w:val="00E20D7F"/>
    <w:rsid w:val="00E2152D"/>
    <w:rsid w:val="00E21595"/>
    <w:rsid w:val="00E2200C"/>
    <w:rsid w:val="00E22AB8"/>
    <w:rsid w:val="00E23304"/>
    <w:rsid w:val="00E2405A"/>
    <w:rsid w:val="00E2539D"/>
    <w:rsid w:val="00E254CE"/>
    <w:rsid w:val="00E258A3"/>
    <w:rsid w:val="00E262DA"/>
    <w:rsid w:val="00E268BD"/>
    <w:rsid w:val="00E26B0E"/>
    <w:rsid w:val="00E27B1B"/>
    <w:rsid w:val="00E27BB7"/>
    <w:rsid w:val="00E27D51"/>
    <w:rsid w:val="00E30824"/>
    <w:rsid w:val="00E31C4C"/>
    <w:rsid w:val="00E31E81"/>
    <w:rsid w:val="00E3236A"/>
    <w:rsid w:val="00E33295"/>
    <w:rsid w:val="00E3357A"/>
    <w:rsid w:val="00E33627"/>
    <w:rsid w:val="00E33DD3"/>
    <w:rsid w:val="00E35CAF"/>
    <w:rsid w:val="00E36E93"/>
    <w:rsid w:val="00E3736A"/>
    <w:rsid w:val="00E40854"/>
    <w:rsid w:val="00E410CE"/>
    <w:rsid w:val="00E42891"/>
    <w:rsid w:val="00E43F75"/>
    <w:rsid w:val="00E44168"/>
    <w:rsid w:val="00E44EB9"/>
    <w:rsid w:val="00E450A3"/>
    <w:rsid w:val="00E45FD6"/>
    <w:rsid w:val="00E46293"/>
    <w:rsid w:val="00E466D0"/>
    <w:rsid w:val="00E46DA1"/>
    <w:rsid w:val="00E46E46"/>
    <w:rsid w:val="00E5080A"/>
    <w:rsid w:val="00E51131"/>
    <w:rsid w:val="00E51192"/>
    <w:rsid w:val="00E51B0D"/>
    <w:rsid w:val="00E5208C"/>
    <w:rsid w:val="00E529E5"/>
    <w:rsid w:val="00E52BB4"/>
    <w:rsid w:val="00E54928"/>
    <w:rsid w:val="00E54A9C"/>
    <w:rsid w:val="00E5532C"/>
    <w:rsid w:val="00E55588"/>
    <w:rsid w:val="00E55A79"/>
    <w:rsid w:val="00E55C09"/>
    <w:rsid w:val="00E560A1"/>
    <w:rsid w:val="00E56438"/>
    <w:rsid w:val="00E56A9C"/>
    <w:rsid w:val="00E56CB5"/>
    <w:rsid w:val="00E57672"/>
    <w:rsid w:val="00E60C9D"/>
    <w:rsid w:val="00E612F2"/>
    <w:rsid w:val="00E61E94"/>
    <w:rsid w:val="00E62191"/>
    <w:rsid w:val="00E6265A"/>
    <w:rsid w:val="00E633CC"/>
    <w:rsid w:val="00E63473"/>
    <w:rsid w:val="00E6399B"/>
    <w:rsid w:val="00E639C6"/>
    <w:rsid w:val="00E63E4D"/>
    <w:rsid w:val="00E63FB6"/>
    <w:rsid w:val="00E64A06"/>
    <w:rsid w:val="00E64C6C"/>
    <w:rsid w:val="00E64F7D"/>
    <w:rsid w:val="00E71DF0"/>
    <w:rsid w:val="00E72CAA"/>
    <w:rsid w:val="00E732BA"/>
    <w:rsid w:val="00E73D82"/>
    <w:rsid w:val="00E73FA7"/>
    <w:rsid w:val="00E74CB3"/>
    <w:rsid w:val="00E74F43"/>
    <w:rsid w:val="00E75234"/>
    <w:rsid w:val="00E75EC9"/>
    <w:rsid w:val="00E768BE"/>
    <w:rsid w:val="00E77532"/>
    <w:rsid w:val="00E77BCC"/>
    <w:rsid w:val="00E800CE"/>
    <w:rsid w:val="00E8048A"/>
    <w:rsid w:val="00E80662"/>
    <w:rsid w:val="00E80C6F"/>
    <w:rsid w:val="00E82570"/>
    <w:rsid w:val="00E82833"/>
    <w:rsid w:val="00E84182"/>
    <w:rsid w:val="00E84546"/>
    <w:rsid w:val="00E84B9E"/>
    <w:rsid w:val="00E852C3"/>
    <w:rsid w:val="00E8567B"/>
    <w:rsid w:val="00E85C7D"/>
    <w:rsid w:val="00E864E8"/>
    <w:rsid w:val="00E866F3"/>
    <w:rsid w:val="00E86BBF"/>
    <w:rsid w:val="00E86EDB"/>
    <w:rsid w:val="00E86FB6"/>
    <w:rsid w:val="00E879E7"/>
    <w:rsid w:val="00E87D3E"/>
    <w:rsid w:val="00E90C1F"/>
    <w:rsid w:val="00E91D19"/>
    <w:rsid w:val="00E92301"/>
    <w:rsid w:val="00E93571"/>
    <w:rsid w:val="00E9483E"/>
    <w:rsid w:val="00E9508D"/>
    <w:rsid w:val="00E95352"/>
    <w:rsid w:val="00E963D8"/>
    <w:rsid w:val="00E96847"/>
    <w:rsid w:val="00E974A1"/>
    <w:rsid w:val="00E97692"/>
    <w:rsid w:val="00EA081D"/>
    <w:rsid w:val="00EA0EB0"/>
    <w:rsid w:val="00EA154F"/>
    <w:rsid w:val="00EA17CA"/>
    <w:rsid w:val="00EA2B9E"/>
    <w:rsid w:val="00EA361B"/>
    <w:rsid w:val="00EA3971"/>
    <w:rsid w:val="00EA3BA3"/>
    <w:rsid w:val="00EA4C6D"/>
    <w:rsid w:val="00EA4FCF"/>
    <w:rsid w:val="00EA57BF"/>
    <w:rsid w:val="00EA5AD5"/>
    <w:rsid w:val="00EA5B61"/>
    <w:rsid w:val="00EA5BD2"/>
    <w:rsid w:val="00EA5E6E"/>
    <w:rsid w:val="00EA66B4"/>
    <w:rsid w:val="00EA7060"/>
    <w:rsid w:val="00EA710F"/>
    <w:rsid w:val="00EB00F1"/>
    <w:rsid w:val="00EB052E"/>
    <w:rsid w:val="00EB0BC1"/>
    <w:rsid w:val="00EB10AD"/>
    <w:rsid w:val="00EB177F"/>
    <w:rsid w:val="00EB1E97"/>
    <w:rsid w:val="00EB2140"/>
    <w:rsid w:val="00EB2A29"/>
    <w:rsid w:val="00EB2AE8"/>
    <w:rsid w:val="00EB2C6E"/>
    <w:rsid w:val="00EB3733"/>
    <w:rsid w:val="00EB4114"/>
    <w:rsid w:val="00EB4C2F"/>
    <w:rsid w:val="00EB4F91"/>
    <w:rsid w:val="00EB5073"/>
    <w:rsid w:val="00EB5670"/>
    <w:rsid w:val="00EB6353"/>
    <w:rsid w:val="00EB642F"/>
    <w:rsid w:val="00EB66FA"/>
    <w:rsid w:val="00EB7417"/>
    <w:rsid w:val="00EB7A9D"/>
    <w:rsid w:val="00EB7AC2"/>
    <w:rsid w:val="00EC044C"/>
    <w:rsid w:val="00EC0C8C"/>
    <w:rsid w:val="00EC1245"/>
    <w:rsid w:val="00EC30D9"/>
    <w:rsid w:val="00EC3FBB"/>
    <w:rsid w:val="00EC408F"/>
    <w:rsid w:val="00EC4664"/>
    <w:rsid w:val="00EC47E9"/>
    <w:rsid w:val="00EC482D"/>
    <w:rsid w:val="00EC4861"/>
    <w:rsid w:val="00EC594A"/>
    <w:rsid w:val="00EC59FA"/>
    <w:rsid w:val="00EC5CB7"/>
    <w:rsid w:val="00EC6BE5"/>
    <w:rsid w:val="00EC6D34"/>
    <w:rsid w:val="00EC74E5"/>
    <w:rsid w:val="00EC75BB"/>
    <w:rsid w:val="00ED0945"/>
    <w:rsid w:val="00ED0DDF"/>
    <w:rsid w:val="00ED16CD"/>
    <w:rsid w:val="00ED195B"/>
    <w:rsid w:val="00ED2CA1"/>
    <w:rsid w:val="00ED2D77"/>
    <w:rsid w:val="00ED3074"/>
    <w:rsid w:val="00ED30E3"/>
    <w:rsid w:val="00ED371A"/>
    <w:rsid w:val="00ED376D"/>
    <w:rsid w:val="00ED5A53"/>
    <w:rsid w:val="00ED6478"/>
    <w:rsid w:val="00ED669A"/>
    <w:rsid w:val="00ED714C"/>
    <w:rsid w:val="00ED7387"/>
    <w:rsid w:val="00ED7D37"/>
    <w:rsid w:val="00EE02B8"/>
    <w:rsid w:val="00EE07EB"/>
    <w:rsid w:val="00EE0D95"/>
    <w:rsid w:val="00EE1290"/>
    <w:rsid w:val="00EE1A9D"/>
    <w:rsid w:val="00EE290E"/>
    <w:rsid w:val="00EE4261"/>
    <w:rsid w:val="00EE4497"/>
    <w:rsid w:val="00EE5F0C"/>
    <w:rsid w:val="00EE6D13"/>
    <w:rsid w:val="00EE7EE1"/>
    <w:rsid w:val="00EF055C"/>
    <w:rsid w:val="00EF057C"/>
    <w:rsid w:val="00EF06E4"/>
    <w:rsid w:val="00EF0B8C"/>
    <w:rsid w:val="00EF1239"/>
    <w:rsid w:val="00EF1B60"/>
    <w:rsid w:val="00EF1D17"/>
    <w:rsid w:val="00EF26E4"/>
    <w:rsid w:val="00EF2723"/>
    <w:rsid w:val="00EF2F30"/>
    <w:rsid w:val="00EF3143"/>
    <w:rsid w:val="00EF33EA"/>
    <w:rsid w:val="00EF35C8"/>
    <w:rsid w:val="00EF437A"/>
    <w:rsid w:val="00EF4404"/>
    <w:rsid w:val="00EF49A3"/>
    <w:rsid w:val="00EF4BF4"/>
    <w:rsid w:val="00EF542D"/>
    <w:rsid w:val="00EF614C"/>
    <w:rsid w:val="00EF7597"/>
    <w:rsid w:val="00EF7FB7"/>
    <w:rsid w:val="00F00251"/>
    <w:rsid w:val="00F00396"/>
    <w:rsid w:val="00F01519"/>
    <w:rsid w:val="00F01D37"/>
    <w:rsid w:val="00F02F7F"/>
    <w:rsid w:val="00F031B1"/>
    <w:rsid w:val="00F03578"/>
    <w:rsid w:val="00F03BD6"/>
    <w:rsid w:val="00F04BED"/>
    <w:rsid w:val="00F052D5"/>
    <w:rsid w:val="00F05457"/>
    <w:rsid w:val="00F063C3"/>
    <w:rsid w:val="00F07A9C"/>
    <w:rsid w:val="00F1000D"/>
    <w:rsid w:val="00F10747"/>
    <w:rsid w:val="00F109D2"/>
    <w:rsid w:val="00F10E3D"/>
    <w:rsid w:val="00F10FA2"/>
    <w:rsid w:val="00F118C9"/>
    <w:rsid w:val="00F11CE1"/>
    <w:rsid w:val="00F1343A"/>
    <w:rsid w:val="00F1512C"/>
    <w:rsid w:val="00F1663E"/>
    <w:rsid w:val="00F16918"/>
    <w:rsid w:val="00F17737"/>
    <w:rsid w:val="00F20A4F"/>
    <w:rsid w:val="00F20E3F"/>
    <w:rsid w:val="00F2240A"/>
    <w:rsid w:val="00F22BB1"/>
    <w:rsid w:val="00F23C2B"/>
    <w:rsid w:val="00F2420D"/>
    <w:rsid w:val="00F24A52"/>
    <w:rsid w:val="00F2576D"/>
    <w:rsid w:val="00F259CC"/>
    <w:rsid w:val="00F25E42"/>
    <w:rsid w:val="00F260B0"/>
    <w:rsid w:val="00F26991"/>
    <w:rsid w:val="00F26A58"/>
    <w:rsid w:val="00F26BD0"/>
    <w:rsid w:val="00F27496"/>
    <w:rsid w:val="00F300EC"/>
    <w:rsid w:val="00F311A4"/>
    <w:rsid w:val="00F31623"/>
    <w:rsid w:val="00F31865"/>
    <w:rsid w:val="00F31ED4"/>
    <w:rsid w:val="00F32931"/>
    <w:rsid w:val="00F3321D"/>
    <w:rsid w:val="00F334F6"/>
    <w:rsid w:val="00F336AD"/>
    <w:rsid w:val="00F339D1"/>
    <w:rsid w:val="00F3455F"/>
    <w:rsid w:val="00F34EA4"/>
    <w:rsid w:val="00F35455"/>
    <w:rsid w:val="00F35A29"/>
    <w:rsid w:val="00F35FE5"/>
    <w:rsid w:val="00F36E9F"/>
    <w:rsid w:val="00F37C5A"/>
    <w:rsid w:val="00F4053A"/>
    <w:rsid w:val="00F40A41"/>
    <w:rsid w:val="00F40ACF"/>
    <w:rsid w:val="00F41F0B"/>
    <w:rsid w:val="00F4270F"/>
    <w:rsid w:val="00F43044"/>
    <w:rsid w:val="00F43858"/>
    <w:rsid w:val="00F43C39"/>
    <w:rsid w:val="00F46D46"/>
    <w:rsid w:val="00F476DB"/>
    <w:rsid w:val="00F503D4"/>
    <w:rsid w:val="00F50B53"/>
    <w:rsid w:val="00F510F9"/>
    <w:rsid w:val="00F53269"/>
    <w:rsid w:val="00F53B88"/>
    <w:rsid w:val="00F5447A"/>
    <w:rsid w:val="00F547A5"/>
    <w:rsid w:val="00F54AD6"/>
    <w:rsid w:val="00F55A42"/>
    <w:rsid w:val="00F55B3A"/>
    <w:rsid w:val="00F55B96"/>
    <w:rsid w:val="00F55DA6"/>
    <w:rsid w:val="00F55F12"/>
    <w:rsid w:val="00F56D91"/>
    <w:rsid w:val="00F57769"/>
    <w:rsid w:val="00F61885"/>
    <w:rsid w:val="00F61B81"/>
    <w:rsid w:val="00F61FAA"/>
    <w:rsid w:val="00F62C01"/>
    <w:rsid w:val="00F6332C"/>
    <w:rsid w:val="00F63871"/>
    <w:rsid w:val="00F63955"/>
    <w:rsid w:val="00F6418F"/>
    <w:rsid w:val="00F643F9"/>
    <w:rsid w:val="00F64CB3"/>
    <w:rsid w:val="00F64ED4"/>
    <w:rsid w:val="00F662DF"/>
    <w:rsid w:val="00F66A12"/>
    <w:rsid w:val="00F66B9C"/>
    <w:rsid w:val="00F66D08"/>
    <w:rsid w:val="00F67343"/>
    <w:rsid w:val="00F676F0"/>
    <w:rsid w:val="00F71087"/>
    <w:rsid w:val="00F71172"/>
    <w:rsid w:val="00F71CCD"/>
    <w:rsid w:val="00F71DE9"/>
    <w:rsid w:val="00F71F8E"/>
    <w:rsid w:val="00F73E15"/>
    <w:rsid w:val="00F74638"/>
    <w:rsid w:val="00F74C56"/>
    <w:rsid w:val="00F75864"/>
    <w:rsid w:val="00F763A8"/>
    <w:rsid w:val="00F764F9"/>
    <w:rsid w:val="00F7693B"/>
    <w:rsid w:val="00F77844"/>
    <w:rsid w:val="00F77F10"/>
    <w:rsid w:val="00F8094D"/>
    <w:rsid w:val="00F811EE"/>
    <w:rsid w:val="00F819DC"/>
    <w:rsid w:val="00F81E66"/>
    <w:rsid w:val="00F82C2C"/>
    <w:rsid w:val="00F834B1"/>
    <w:rsid w:val="00F83524"/>
    <w:rsid w:val="00F8447C"/>
    <w:rsid w:val="00F84B03"/>
    <w:rsid w:val="00F85348"/>
    <w:rsid w:val="00F85913"/>
    <w:rsid w:val="00F85AD2"/>
    <w:rsid w:val="00F860AD"/>
    <w:rsid w:val="00F86525"/>
    <w:rsid w:val="00F86A9D"/>
    <w:rsid w:val="00F8701E"/>
    <w:rsid w:val="00F87B2D"/>
    <w:rsid w:val="00F92C23"/>
    <w:rsid w:val="00F92E7D"/>
    <w:rsid w:val="00F92F7D"/>
    <w:rsid w:val="00F933A9"/>
    <w:rsid w:val="00F933F6"/>
    <w:rsid w:val="00F93A97"/>
    <w:rsid w:val="00F94684"/>
    <w:rsid w:val="00F96F99"/>
    <w:rsid w:val="00F97887"/>
    <w:rsid w:val="00F978BB"/>
    <w:rsid w:val="00F97A4B"/>
    <w:rsid w:val="00FA02EC"/>
    <w:rsid w:val="00FA2986"/>
    <w:rsid w:val="00FA3FA7"/>
    <w:rsid w:val="00FA4137"/>
    <w:rsid w:val="00FA62E0"/>
    <w:rsid w:val="00FA6B14"/>
    <w:rsid w:val="00FA78A9"/>
    <w:rsid w:val="00FB1437"/>
    <w:rsid w:val="00FB266E"/>
    <w:rsid w:val="00FB2B52"/>
    <w:rsid w:val="00FB3020"/>
    <w:rsid w:val="00FB495C"/>
    <w:rsid w:val="00FB54EC"/>
    <w:rsid w:val="00FB5848"/>
    <w:rsid w:val="00FB5A61"/>
    <w:rsid w:val="00FB6DE6"/>
    <w:rsid w:val="00FB6F02"/>
    <w:rsid w:val="00FB795C"/>
    <w:rsid w:val="00FC0FFE"/>
    <w:rsid w:val="00FC10F8"/>
    <w:rsid w:val="00FC1CE6"/>
    <w:rsid w:val="00FC2378"/>
    <w:rsid w:val="00FC2A7D"/>
    <w:rsid w:val="00FC2DAC"/>
    <w:rsid w:val="00FC385C"/>
    <w:rsid w:val="00FC3CDB"/>
    <w:rsid w:val="00FC3E40"/>
    <w:rsid w:val="00FC3F63"/>
    <w:rsid w:val="00FC4C36"/>
    <w:rsid w:val="00FC5910"/>
    <w:rsid w:val="00FC7115"/>
    <w:rsid w:val="00FD1581"/>
    <w:rsid w:val="00FD18A3"/>
    <w:rsid w:val="00FD2B8B"/>
    <w:rsid w:val="00FD39AD"/>
    <w:rsid w:val="00FD44DA"/>
    <w:rsid w:val="00FD4A32"/>
    <w:rsid w:val="00FD4D6E"/>
    <w:rsid w:val="00FD7057"/>
    <w:rsid w:val="00FD765C"/>
    <w:rsid w:val="00FE02AB"/>
    <w:rsid w:val="00FE04EA"/>
    <w:rsid w:val="00FE0761"/>
    <w:rsid w:val="00FE0812"/>
    <w:rsid w:val="00FE08FB"/>
    <w:rsid w:val="00FE0928"/>
    <w:rsid w:val="00FE113F"/>
    <w:rsid w:val="00FE18A6"/>
    <w:rsid w:val="00FE2082"/>
    <w:rsid w:val="00FE23EE"/>
    <w:rsid w:val="00FE25C0"/>
    <w:rsid w:val="00FE28DE"/>
    <w:rsid w:val="00FE2E6F"/>
    <w:rsid w:val="00FE3A4C"/>
    <w:rsid w:val="00FE4913"/>
    <w:rsid w:val="00FE59EE"/>
    <w:rsid w:val="00FE5F50"/>
    <w:rsid w:val="00FE654A"/>
    <w:rsid w:val="00FE7F47"/>
    <w:rsid w:val="00FF0422"/>
    <w:rsid w:val="00FF0C13"/>
    <w:rsid w:val="00FF0C1F"/>
    <w:rsid w:val="00FF1196"/>
    <w:rsid w:val="00FF19F6"/>
    <w:rsid w:val="00FF1C89"/>
    <w:rsid w:val="00FF200C"/>
    <w:rsid w:val="00FF229A"/>
    <w:rsid w:val="00FF2F45"/>
    <w:rsid w:val="00FF2FD1"/>
    <w:rsid w:val="00FF5540"/>
    <w:rsid w:val="00FF5BC8"/>
    <w:rsid w:val="00FF5C9F"/>
    <w:rsid w:val="00FF6146"/>
    <w:rsid w:val="00FF6B09"/>
    <w:rsid w:val="00FF705C"/>
    <w:rsid w:val="00FF71EE"/>
    <w:rsid w:val="00FF7779"/>
    <w:rsid w:val="00FF78B2"/>
    <w:rsid w:val="012B9B53"/>
    <w:rsid w:val="01402D0F"/>
    <w:rsid w:val="018B898C"/>
    <w:rsid w:val="01DFD7D7"/>
    <w:rsid w:val="01E87668"/>
    <w:rsid w:val="0241D98F"/>
    <w:rsid w:val="026E1351"/>
    <w:rsid w:val="0271D4EC"/>
    <w:rsid w:val="02802A4E"/>
    <w:rsid w:val="030F239F"/>
    <w:rsid w:val="03411E25"/>
    <w:rsid w:val="03662EE6"/>
    <w:rsid w:val="03786248"/>
    <w:rsid w:val="03E9B0A7"/>
    <w:rsid w:val="03EF7D67"/>
    <w:rsid w:val="0484730B"/>
    <w:rsid w:val="0497F183"/>
    <w:rsid w:val="0498F475"/>
    <w:rsid w:val="04AFDBC4"/>
    <w:rsid w:val="04EC84B2"/>
    <w:rsid w:val="0515E28E"/>
    <w:rsid w:val="051E35EB"/>
    <w:rsid w:val="054A40CA"/>
    <w:rsid w:val="06033DEC"/>
    <w:rsid w:val="061F768E"/>
    <w:rsid w:val="066159A5"/>
    <w:rsid w:val="06918048"/>
    <w:rsid w:val="06B1959F"/>
    <w:rsid w:val="06BFBDD4"/>
    <w:rsid w:val="06ED5E88"/>
    <w:rsid w:val="0701600D"/>
    <w:rsid w:val="0712BA90"/>
    <w:rsid w:val="0757C801"/>
    <w:rsid w:val="0777DE8B"/>
    <w:rsid w:val="0802427C"/>
    <w:rsid w:val="081CEBDE"/>
    <w:rsid w:val="08328993"/>
    <w:rsid w:val="08585AB9"/>
    <w:rsid w:val="085A973F"/>
    <w:rsid w:val="09156D67"/>
    <w:rsid w:val="092CA34C"/>
    <w:rsid w:val="0971DD76"/>
    <w:rsid w:val="097DDA54"/>
    <w:rsid w:val="099DBD45"/>
    <w:rsid w:val="09A6F3BD"/>
    <w:rsid w:val="0A061EF4"/>
    <w:rsid w:val="0A06679A"/>
    <w:rsid w:val="0A23E9BF"/>
    <w:rsid w:val="0A56C9B0"/>
    <w:rsid w:val="0A5B4329"/>
    <w:rsid w:val="0A7634C6"/>
    <w:rsid w:val="0ACCF830"/>
    <w:rsid w:val="0B54048F"/>
    <w:rsid w:val="0BC94151"/>
    <w:rsid w:val="0BCDD8AC"/>
    <w:rsid w:val="0C36F207"/>
    <w:rsid w:val="0C751381"/>
    <w:rsid w:val="0CF2D3F3"/>
    <w:rsid w:val="0D826DE9"/>
    <w:rsid w:val="0DAC86D3"/>
    <w:rsid w:val="0DF93E7C"/>
    <w:rsid w:val="0E4A7596"/>
    <w:rsid w:val="0E8F48A7"/>
    <w:rsid w:val="0EBAA1AA"/>
    <w:rsid w:val="0F1F88CF"/>
    <w:rsid w:val="0F8F923C"/>
    <w:rsid w:val="0FD51AA8"/>
    <w:rsid w:val="10139BF3"/>
    <w:rsid w:val="104C763F"/>
    <w:rsid w:val="10C63A8B"/>
    <w:rsid w:val="10EDA501"/>
    <w:rsid w:val="10FB1A93"/>
    <w:rsid w:val="110BDD2E"/>
    <w:rsid w:val="1111F811"/>
    <w:rsid w:val="1114E343"/>
    <w:rsid w:val="1130ADA7"/>
    <w:rsid w:val="114C29A1"/>
    <w:rsid w:val="117EED6F"/>
    <w:rsid w:val="11BF2D99"/>
    <w:rsid w:val="1244A313"/>
    <w:rsid w:val="1250495D"/>
    <w:rsid w:val="127787B4"/>
    <w:rsid w:val="12859711"/>
    <w:rsid w:val="128F99AA"/>
    <w:rsid w:val="12FB29C6"/>
    <w:rsid w:val="1341018F"/>
    <w:rsid w:val="143A9E56"/>
    <w:rsid w:val="14645DCF"/>
    <w:rsid w:val="14CEB524"/>
    <w:rsid w:val="15ABCD14"/>
    <w:rsid w:val="15D4D427"/>
    <w:rsid w:val="16281E0D"/>
    <w:rsid w:val="167D3770"/>
    <w:rsid w:val="16A8FF85"/>
    <w:rsid w:val="16C38B67"/>
    <w:rsid w:val="174C302A"/>
    <w:rsid w:val="17560EC8"/>
    <w:rsid w:val="17632C12"/>
    <w:rsid w:val="182AC150"/>
    <w:rsid w:val="18677AF2"/>
    <w:rsid w:val="18D485DB"/>
    <w:rsid w:val="19310AC4"/>
    <w:rsid w:val="1958BB7E"/>
    <w:rsid w:val="1962D8C8"/>
    <w:rsid w:val="1A436559"/>
    <w:rsid w:val="1A6359B9"/>
    <w:rsid w:val="1AA3013E"/>
    <w:rsid w:val="1AE756E7"/>
    <w:rsid w:val="1B16DD54"/>
    <w:rsid w:val="1B22F902"/>
    <w:rsid w:val="1BBE4420"/>
    <w:rsid w:val="1BCE7650"/>
    <w:rsid w:val="1BD1DA8E"/>
    <w:rsid w:val="1C40B173"/>
    <w:rsid w:val="1C7742AD"/>
    <w:rsid w:val="1C9A8D67"/>
    <w:rsid w:val="1CBF8BD1"/>
    <w:rsid w:val="1CDC9CB0"/>
    <w:rsid w:val="1D296506"/>
    <w:rsid w:val="1D6AAC76"/>
    <w:rsid w:val="1D743424"/>
    <w:rsid w:val="1D91E4CB"/>
    <w:rsid w:val="1E42B759"/>
    <w:rsid w:val="1E678177"/>
    <w:rsid w:val="1E70274E"/>
    <w:rsid w:val="1EA07B7B"/>
    <w:rsid w:val="1F06CAD2"/>
    <w:rsid w:val="1FB5939C"/>
    <w:rsid w:val="1FCB14CD"/>
    <w:rsid w:val="1FCE1439"/>
    <w:rsid w:val="200B538F"/>
    <w:rsid w:val="2069AE94"/>
    <w:rsid w:val="212C6781"/>
    <w:rsid w:val="216454A2"/>
    <w:rsid w:val="21B23704"/>
    <w:rsid w:val="224B8139"/>
    <w:rsid w:val="226BC832"/>
    <w:rsid w:val="226DB697"/>
    <w:rsid w:val="22744D10"/>
    <w:rsid w:val="22892905"/>
    <w:rsid w:val="22C639DC"/>
    <w:rsid w:val="22E6718B"/>
    <w:rsid w:val="23611B55"/>
    <w:rsid w:val="23BAF9B3"/>
    <w:rsid w:val="23C8F0F8"/>
    <w:rsid w:val="240BCC98"/>
    <w:rsid w:val="241D7D4B"/>
    <w:rsid w:val="2499A629"/>
    <w:rsid w:val="24A44FF2"/>
    <w:rsid w:val="24C002CD"/>
    <w:rsid w:val="251772B9"/>
    <w:rsid w:val="2529E168"/>
    <w:rsid w:val="258FA431"/>
    <w:rsid w:val="266EA5B7"/>
    <w:rsid w:val="26983B27"/>
    <w:rsid w:val="26C3AF89"/>
    <w:rsid w:val="26CA2FB2"/>
    <w:rsid w:val="26F6D812"/>
    <w:rsid w:val="26FAFB36"/>
    <w:rsid w:val="27AB04B8"/>
    <w:rsid w:val="283DD54A"/>
    <w:rsid w:val="28B803A6"/>
    <w:rsid w:val="28DB21F6"/>
    <w:rsid w:val="28FE3C54"/>
    <w:rsid w:val="2936091C"/>
    <w:rsid w:val="29620B9B"/>
    <w:rsid w:val="297614EA"/>
    <w:rsid w:val="2A11F1B6"/>
    <w:rsid w:val="2A42ED90"/>
    <w:rsid w:val="2A822303"/>
    <w:rsid w:val="2AFFD5ED"/>
    <w:rsid w:val="2B268ADB"/>
    <w:rsid w:val="2B5F5AEE"/>
    <w:rsid w:val="2B800CD3"/>
    <w:rsid w:val="2B8D7472"/>
    <w:rsid w:val="2BC67B72"/>
    <w:rsid w:val="2C1A1D3E"/>
    <w:rsid w:val="2C3CC9B1"/>
    <w:rsid w:val="2C4D1CBD"/>
    <w:rsid w:val="2C5E616D"/>
    <w:rsid w:val="2CEB97B0"/>
    <w:rsid w:val="2D1E61DB"/>
    <w:rsid w:val="2D7E3F22"/>
    <w:rsid w:val="2D82BF98"/>
    <w:rsid w:val="2DA9AEC0"/>
    <w:rsid w:val="2DBC566A"/>
    <w:rsid w:val="2E0C23AD"/>
    <w:rsid w:val="2E7C6E3F"/>
    <w:rsid w:val="2ED0E9DC"/>
    <w:rsid w:val="2EF13161"/>
    <w:rsid w:val="2EF79227"/>
    <w:rsid w:val="2F26C440"/>
    <w:rsid w:val="2F6E67B1"/>
    <w:rsid w:val="2F94CCE3"/>
    <w:rsid w:val="2FFC9AD1"/>
    <w:rsid w:val="3001C8BE"/>
    <w:rsid w:val="302F1714"/>
    <w:rsid w:val="30424832"/>
    <w:rsid w:val="307651BB"/>
    <w:rsid w:val="30B968A7"/>
    <w:rsid w:val="30FA05AF"/>
    <w:rsid w:val="310D0D28"/>
    <w:rsid w:val="311DA6B2"/>
    <w:rsid w:val="3176236E"/>
    <w:rsid w:val="31FD2FF4"/>
    <w:rsid w:val="3252DBBF"/>
    <w:rsid w:val="3368FCAA"/>
    <w:rsid w:val="33C93A88"/>
    <w:rsid w:val="33D9161D"/>
    <w:rsid w:val="33FB3AE1"/>
    <w:rsid w:val="341628D3"/>
    <w:rsid w:val="3434A2AE"/>
    <w:rsid w:val="34FC9ED1"/>
    <w:rsid w:val="35625C50"/>
    <w:rsid w:val="358B99F4"/>
    <w:rsid w:val="35AEE25C"/>
    <w:rsid w:val="35E553ED"/>
    <w:rsid w:val="35FAD359"/>
    <w:rsid w:val="364FD8E0"/>
    <w:rsid w:val="36BE9926"/>
    <w:rsid w:val="36DE3CEA"/>
    <w:rsid w:val="37554F2C"/>
    <w:rsid w:val="379CD889"/>
    <w:rsid w:val="37AC392D"/>
    <w:rsid w:val="37B9022B"/>
    <w:rsid w:val="37D6A104"/>
    <w:rsid w:val="37DC0D7C"/>
    <w:rsid w:val="37E7869D"/>
    <w:rsid w:val="380CFA1A"/>
    <w:rsid w:val="3825E827"/>
    <w:rsid w:val="383BC41A"/>
    <w:rsid w:val="38566BA7"/>
    <w:rsid w:val="386D9DFA"/>
    <w:rsid w:val="38785369"/>
    <w:rsid w:val="38B14709"/>
    <w:rsid w:val="39037C1F"/>
    <w:rsid w:val="39257F30"/>
    <w:rsid w:val="392D0A9F"/>
    <w:rsid w:val="392F0891"/>
    <w:rsid w:val="397A96AF"/>
    <w:rsid w:val="398160CB"/>
    <w:rsid w:val="39D2B1DB"/>
    <w:rsid w:val="3A0719A6"/>
    <w:rsid w:val="3A2EB8F0"/>
    <w:rsid w:val="3A54B476"/>
    <w:rsid w:val="3A6F502A"/>
    <w:rsid w:val="3A99F143"/>
    <w:rsid w:val="3B314BCD"/>
    <w:rsid w:val="3B3DACD9"/>
    <w:rsid w:val="3BA585DB"/>
    <w:rsid w:val="3C4FDD5A"/>
    <w:rsid w:val="3C53ECEE"/>
    <w:rsid w:val="3CF24100"/>
    <w:rsid w:val="3D79B251"/>
    <w:rsid w:val="3DBD8A66"/>
    <w:rsid w:val="3DCCCE8E"/>
    <w:rsid w:val="3DCDC4DA"/>
    <w:rsid w:val="3E2676B1"/>
    <w:rsid w:val="3E53F470"/>
    <w:rsid w:val="3E5B9B96"/>
    <w:rsid w:val="3E5C290C"/>
    <w:rsid w:val="3E79980E"/>
    <w:rsid w:val="3EC3442D"/>
    <w:rsid w:val="3F34D80B"/>
    <w:rsid w:val="3F8253C7"/>
    <w:rsid w:val="3FAA91CA"/>
    <w:rsid w:val="3FD7AFB0"/>
    <w:rsid w:val="40477BBF"/>
    <w:rsid w:val="4109AFD6"/>
    <w:rsid w:val="412F03DA"/>
    <w:rsid w:val="414217EF"/>
    <w:rsid w:val="41BBC6AF"/>
    <w:rsid w:val="41E645F5"/>
    <w:rsid w:val="41E7FC8B"/>
    <w:rsid w:val="41F87888"/>
    <w:rsid w:val="423BE2AC"/>
    <w:rsid w:val="42411069"/>
    <w:rsid w:val="427ED277"/>
    <w:rsid w:val="429C2B0D"/>
    <w:rsid w:val="42CE8A1D"/>
    <w:rsid w:val="4308272B"/>
    <w:rsid w:val="43AEDBA5"/>
    <w:rsid w:val="43E6506C"/>
    <w:rsid w:val="440AA6F1"/>
    <w:rsid w:val="44398077"/>
    <w:rsid w:val="443F87E0"/>
    <w:rsid w:val="445C3A70"/>
    <w:rsid w:val="44B86118"/>
    <w:rsid w:val="44C1BCE3"/>
    <w:rsid w:val="44FE6071"/>
    <w:rsid w:val="45135F39"/>
    <w:rsid w:val="45DD5CB6"/>
    <w:rsid w:val="463AB5C5"/>
    <w:rsid w:val="466E2AE9"/>
    <w:rsid w:val="46B1C2F6"/>
    <w:rsid w:val="46C7D32C"/>
    <w:rsid w:val="46E40550"/>
    <w:rsid w:val="47430C65"/>
    <w:rsid w:val="47E8B75B"/>
    <w:rsid w:val="484FDCC7"/>
    <w:rsid w:val="486B9DC4"/>
    <w:rsid w:val="48DACCFA"/>
    <w:rsid w:val="49583F35"/>
    <w:rsid w:val="496568E0"/>
    <w:rsid w:val="4A278715"/>
    <w:rsid w:val="4A36C329"/>
    <w:rsid w:val="4A7C724B"/>
    <w:rsid w:val="4AB4261E"/>
    <w:rsid w:val="4ABB2BD3"/>
    <w:rsid w:val="4ACFA528"/>
    <w:rsid w:val="4B22073F"/>
    <w:rsid w:val="4B5E7176"/>
    <w:rsid w:val="4B81914D"/>
    <w:rsid w:val="4C34CD3A"/>
    <w:rsid w:val="4C4E601B"/>
    <w:rsid w:val="4C69F9A9"/>
    <w:rsid w:val="4CC293EF"/>
    <w:rsid w:val="4CCFCDFC"/>
    <w:rsid w:val="4CD17E96"/>
    <w:rsid w:val="4CE34D76"/>
    <w:rsid w:val="4D5330C3"/>
    <w:rsid w:val="4D6A89E1"/>
    <w:rsid w:val="4DF8A2DF"/>
    <w:rsid w:val="4E1FC689"/>
    <w:rsid w:val="4E202108"/>
    <w:rsid w:val="4E8AAEAB"/>
    <w:rsid w:val="4F242BA8"/>
    <w:rsid w:val="4F6F56D3"/>
    <w:rsid w:val="5001F791"/>
    <w:rsid w:val="501B6D24"/>
    <w:rsid w:val="50300312"/>
    <w:rsid w:val="50436462"/>
    <w:rsid w:val="5069DC2B"/>
    <w:rsid w:val="506A07C3"/>
    <w:rsid w:val="508CBA1B"/>
    <w:rsid w:val="509D3E00"/>
    <w:rsid w:val="514E933D"/>
    <w:rsid w:val="515785E4"/>
    <w:rsid w:val="51A41056"/>
    <w:rsid w:val="51E46D19"/>
    <w:rsid w:val="5268B478"/>
    <w:rsid w:val="52D09777"/>
    <w:rsid w:val="53BE23AF"/>
    <w:rsid w:val="53E4C891"/>
    <w:rsid w:val="543141F5"/>
    <w:rsid w:val="547EA689"/>
    <w:rsid w:val="54A55128"/>
    <w:rsid w:val="54FFB4FA"/>
    <w:rsid w:val="5534338B"/>
    <w:rsid w:val="55548C0E"/>
    <w:rsid w:val="555B2BE9"/>
    <w:rsid w:val="55996AA1"/>
    <w:rsid w:val="55B35E7F"/>
    <w:rsid w:val="55D840F8"/>
    <w:rsid w:val="55E78AC6"/>
    <w:rsid w:val="563002FE"/>
    <w:rsid w:val="5650904B"/>
    <w:rsid w:val="5657CF48"/>
    <w:rsid w:val="573CBED8"/>
    <w:rsid w:val="57786CEA"/>
    <w:rsid w:val="579AB02A"/>
    <w:rsid w:val="57E19721"/>
    <w:rsid w:val="583C97AA"/>
    <w:rsid w:val="589665E1"/>
    <w:rsid w:val="58E09592"/>
    <w:rsid w:val="58F2A07D"/>
    <w:rsid w:val="590061A6"/>
    <w:rsid w:val="59C49102"/>
    <w:rsid w:val="5A231AC1"/>
    <w:rsid w:val="5A48D3EC"/>
    <w:rsid w:val="5ACB04F5"/>
    <w:rsid w:val="5B03921D"/>
    <w:rsid w:val="5B0BF139"/>
    <w:rsid w:val="5B377BD4"/>
    <w:rsid w:val="5B47F6E8"/>
    <w:rsid w:val="5B927AEA"/>
    <w:rsid w:val="5B9F95FF"/>
    <w:rsid w:val="5BBFBA6C"/>
    <w:rsid w:val="5BD20B3D"/>
    <w:rsid w:val="5BFCE6A5"/>
    <w:rsid w:val="5D1A72A9"/>
    <w:rsid w:val="5D4BA6D0"/>
    <w:rsid w:val="5DE908A1"/>
    <w:rsid w:val="5DFF97BB"/>
    <w:rsid w:val="5E681190"/>
    <w:rsid w:val="5E7FFA87"/>
    <w:rsid w:val="5E8A1E55"/>
    <w:rsid w:val="5EA20C58"/>
    <w:rsid w:val="5EDBB0FB"/>
    <w:rsid w:val="5F9707DF"/>
    <w:rsid w:val="6017FE3D"/>
    <w:rsid w:val="603DFFCE"/>
    <w:rsid w:val="605D12D5"/>
    <w:rsid w:val="607AD060"/>
    <w:rsid w:val="613E1550"/>
    <w:rsid w:val="614B3292"/>
    <w:rsid w:val="61549F84"/>
    <w:rsid w:val="61C96D80"/>
    <w:rsid w:val="61EBE701"/>
    <w:rsid w:val="61F6EE96"/>
    <w:rsid w:val="623FBA3D"/>
    <w:rsid w:val="627DD3A2"/>
    <w:rsid w:val="62B50F70"/>
    <w:rsid w:val="62F10108"/>
    <w:rsid w:val="6306E795"/>
    <w:rsid w:val="635D19DB"/>
    <w:rsid w:val="6363B815"/>
    <w:rsid w:val="63D4D3B9"/>
    <w:rsid w:val="6430A549"/>
    <w:rsid w:val="64442C00"/>
    <w:rsid w:val="644B673D"/>
    <w:rsid w:val="645037E7"/>
    <w:rsid w:val="648E27B8"/>
    <w:rsid w:val="64A6C425"/>
    <w:rsid w:val="64A9F697"/>
    <w:rsid w:val="64AD7A8B"/>
    <w:rsid w:val="64DFFB4C"/>
    <w:rsid w:val="64F2E1BA"/>
    <w:rsid w:val="652BA5DF"/>
    <w:rsid w:val="65725DCD"/>
    <w:rsid w:val="65B2C94C"/>
    <w:rsid w:val="65C168E2"/>
    <w:rsid w:val="65D1B7BB"/>
    <w:rsid w:val="65FE7322"/>
    <w:rsid w:val="6629A5E6"/>
    <w:rsid w:val="666362E0"/>
    <w:rsid w:val="6673706A"/>
    <w:rsid w:val="671C469E"/>
    <w:rsid w:val="6723D46D"/>
    <w:rsid w:val="674B618A"/>
    <w:rsid w:val="67598457"/>
    <w:rsid w:val="6769F69D"/>
    <w:rsid w:val="678DEC8D"/>
    <w:rsid w:val="67CDA185"/>
    <w:rsid w:val="67CEB857"/>
    <w:rsid w:val="67D9D4E2"/>
    <w:rsid w:val="67E3BFF2"/>
    <w:rsid w:val="6821202E"/>
    <w:rsid w:val="68515A95"/>
    <w:rsid w:val="6A17469D"/>
    <w:rsid w:val="6A96291F"/>
    <w:rsid w:val="6A9A171A"/>
    <w:rsid w:val="6AA898AE"/>
    <w:rsid w:val="6AB5937D"/>
    <w:rsid w:val="6AC842A6"/>
    <w:rsid w:val="6B2C8B40"/>
    <w:rsid w:val="6B3C1A39"/>
    <w:rsid w:val="6B4F7C6D"/>
    <w:rsid w:val="6B5FE350"/>
    <w:rsid w:val="6BAD7487"/>
    <w:rsid w:val="6BEE99D3"/>
    <w:rsid w:val="6C090F3B"/>
    <w:rsid w:val="6C14896F"/>
    <w:rsid w:val="6C36FF4C"/>
    <w:rsid w:val="6C9CF46D"/>
    <w:rsid w:val="6CB18C73"/>
    <w:rsid w:val="6CECD9DA"/>
    <w:rsid w:val="6D1A264A"/>
    <w:rsid w:val="6E1E11CE"/>
    <w:rsid w:val="6E4BE815"/>
    <w:rsid w:val="6EBE5060"/>
    <w:rsid w:val="6FB8B1C3"/>
    <w:rsid w:val="705490B1"/>
    <w:rsid w:val="7073E3D0"/>
    <w:rsid w:val="7085B321"/>
    <w:rsid w:val="70CE86F7"/>
    <w:rsid w:val="7125E4F1"/>
    <w:rsid w:val="713938B8"/>
    <w:rsid w:val="71BE6502"/>
    <w:rsid w:val="71CFD22F"/>
    <w:rsid w:val="71F595A2"/>
    <w:rsid w:val="7213B2D7"/>
    <w:rsid w:val="725034E8"/>
    <w:rsid w:val="72642211"/>
    <w:rsid w:val="728C8DB4"/>
    <w:rsid w:val="72A9A1FC"/>
    <w:rsid w:val="737604C0"/>
    <w:rsid w:val="737BBC59"/>
    <w:rsid w:val="73C6693A"/>
    <w:rsid w:val="73CA5A10"/>
    <w:rsid w:val="7454CD4A"/>
    <w:rsid w:val="7477F91E"/>
    <w:rsid w:val="747BA778"/>
    <w:rsid w:val="74AC9527"/>
    <w:rsid w:val="74F0D5B7"/>
    <w:rsid w:val="74F6CF82"/>
    <w:rsid w:val="752E700F"/>
    <w:rsid w:val="7559870A"/>
    <w:rsid w:val="75D95111"/>
    <w:rsid w:val="7623DF7B"/>
    <w:rsid w:val="7627536A"/>
    <w:rsid w:val="77125676"/>
    <w:rsid w:val="77B81EC0"/>
    <w:rsid w:val="786B4BE5"/>
    <w:rsid w:val="7884B3AB"/>
    <w:rsid w:val="78E0FA71"/>
    <w:rsid w:val="795DDAB9"/>
    <w:rsid w:val="798C5085"/>
    <w:rsid w:val="79E397DF"/>
    <w:rsid w:val="79EC1B90"/>
    <w:rsid w:val="7A03516C"/>
    <w:rsid w:val="7A84F29C"/>
    <w:rsid w:val="7ADEB6EE"/>
    <w:rsid w:val="7B623318"/>
    <w:rsid w:val="7B8D2515"/>
    <w:rsid w:val="7B94D607"/>
    <w:rsid w:val="7BB277CA"/>
    <w:rsid w:val="7C7661CF"/>
    <w:rsid w:val="7D083999"/>
    <w:rsid w:val="7D32E910"/>
    <w:rsid w:val="7E0B3801"/>
    <w:rsid w:val="7E0C65CC"/>
    <w:rsid w:val="7E0E4BA0"/>
    <w:rsid w:val="7E1C0494"/>
    <w:rsid w:val="7E820B1B"/>
    <w:rsid w:val="7E922FB2"/>
    <w:rsid w:val="7EBDE8AF"/>
    <w:rsid w:val="7ECCEF6D"/>
    <w:rsid w:val="7F10C8D5"/>
    <w:rsid w:val="7F297F18"/>
    <w:rsid w:val="7F31C495"/>
    <w:rsid w:val="7F811CA6"/>
    <w:rsid w:val="7F935EEB"/>
    <w:rsid w:val="7F9C52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57EE1"/>
    <w:pPr>
      <w:keepNext/>
      <w:keepLines/>
      <w:spacing w:before="1800" w:after="0" w:line="1000" w:lineRule="exact"/>
      <w:outlineLvl w:val="0"/>
    </w:pPr>
    <w:rPr>
      <w:rFonts w:ascii="Aptos Display" w:eastAsiaTheme="majorEastAsia" w:hAnsi="Aptos Display" w:cs="Segoe UI"/>
      <w:color w:val="FFFFFF" w:themeColor="background1"/>
      <w:spacing w:val="-22"/>
      <w:kern w:val="40"/>
      <w:sz w:val="44"/>
      <w:szCs w:val="68"/>
    </w:rPr>
  </w:style>
  <w:style w:type="paragraph" w:styleId="Heading2">
    <w:name w:val="heading 2"/>
    <w:basedOn w:val="Normal"/>
    <w:next w:val="Normal"/>
    <w:link w:val="Heading2Char"/>
    <w:uiPriority w:val="9"/>
    <w:unhideWhenUsed/>
    <w:qFormat/>
    <w:rsid w:val="002A1A42"/>
    <w:pPr>
      <w:keepNext/>
      <w:keepLines/>
      <w:spacing w:before="720"/>
      <w:outlineLvl w:val="1"/>
    </w:pPr>
    <w:rPr>
      <w:rFonts w:asciiTheme="majorHAnsi" w:eastAsiaTheme="majorEastAsia" w:hAnsiTheme="majorHAnsi" w:cstheme="majorBidi"/>
      <w:b/>
      <w:color w:val="0D2C6C" w:themeColor="text1"/>
      <w:sz w:val="44"/>
      <w:szCs w:val="26"/>
    </w:rPr>
  </w:style>
  <w:style w:type="paragraph" w:styleId="Heading3">
    <w:name w:val="heading 3"/>
    <w:basedOn w:val="Normal"/>
    <w:next w:val="Normal"/>
    <w:link w:val="Heading3Char"/>
    <w:uiPriority w:val="9"/>
    <w:unhideWhenUsed/>
    <w:qFormat/>
    <w:rsid w:val="0005154B"/>
    <w:pPr>
      <w:keepNext/>
      <w:keepLines/>
      <w:spacing w:before="320" w:after="60"/>
      <w:outlineLvl w:val="2"/>
    </w:pPr>
    <w:rPr>
      <w:rFonts w:asciiTheme="majorHAnsi" w:eastAsiaTheme="majorEastAsia" w:hAnsiTheme="majorHAnsi" w:cstheme="majorBidi"/>
      <w:b/>
      <w:color w:val="009B9F" w:themeColor="background2"/>
      <w:sz w:val="32"/>
      <w:szCs w:val="24"/>
    </w:rPr>
  </w:style>
  <w:style w:type="paragraph" w:styleId="Heading4">
    <w:name w:val="heading 4"/>
    <w:basedOn w:val="Normal"/>
    <w:next w:val="Normal"/>
    <w:link w:val="Heading4Char"/>
    <w:uiPriority w:val="9"/>
    <w:unhideWhenUsed/>
    <w:qFormat/>
    <w:rsid w:val="00857EE1"/>
    <w:pPr>
      <w:keepNext/>
      <w:keepLines/>
      <w:spacing w:before="360" w:after="0"/>
      <w:outlineLvl w:val="3"/>
    </w:pPr>
    <w:rPr>
      <w:rFonts w:asciiTheme="majorHAnsi" w:eastAsiaTheme="majorEastAsia" w:hAnsiTheme="majorHAnsi" w:cstheme="majorBidi"/>
      <w:b/>
      <w:iCs/>
      <w:color w:val="404246" w:themeColor="text2"/>
      <w:sz w:val="44"/>
    </w:rPr>
  </w:style>
  <w:style w:type="paragraph" w:styleId="Heading5">
    <w:name w:val="heading 5"/>
    <w:basedOn w:val="Normal"/>
    <w:next w:val="Normal"/>
    <w:link w:val="Heading5Char"/>
    <w:uiPriority w:val="9"/>
    <w:unhideWhenUsed/>
    <w:qFormat/>
    <w:rsid w:val="00345387"/>
    <w:pPr>
      <w:keepNext/>
      <w:keepLines/>
      <w:spacing w:before="40" w:after="0"/>
      <w:outlineLvl w:val="4"/>
    </w:pPr>
    <w:rPr>
      <w:rFonts w:asciiTheme="majorHAnsi" w:eastAsiaTheme="majorEastAsia" w:hAnsiTheme="majorHAnsi" w:cstheme="majorBidi"/>
      <w:b/>
      <w:color w:val="404246" w:themeColor="text2"/>
      <w:sz w:val="32"/>
    </w:rPr>
  </w:style>
  <w:style w:type="paragraph" w:styleId="Heading6">
    <w:name w:val="heading 6"/>
    <w:basedOn w:val="Normal"/>
    <w:next w:val="Normal"/>
    <w:link w:val="Heading6Char"/>
    <w:uiPriority w:val="9"/>
    <w:unhideWhenUsed/>
    <w:qFormat/>
    <w:rsid w:val="003C6B59"/>
    <w:pPr>
      <w:keepNext/>
      <w:keepLines/>
      <w:spacing w:before="40" w:after="0"/>
      <w:outlineLvl w:val="5"/>
    </w:pPr>
    <w:rPr>
      <w:rFonts w:asciiTheme="majorHAnsi" w:eastAsiaTheme="majorEastAsia" w:hAnsiTheme="majorHAnsi" w:cstheme="majorBidi"/>
      <w:b/>
      <w:color w:val="656DA9" w:themeColor="accen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656DA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2A1A42"/>
    <w:rPr>
      <w:color w:val="0D2C6C" w:themeColor="text1"/>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24686"/>
    <w:pPr>
      <w:tabs>
        <w:tab w:val="center" w:pos="4513"/>
        <w:tab w:val="right" w:pos="9026"/>
      </w:tabs>
      <w:spacing w:after="0"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basedOn w:val="TableNormal"/>
    <w:uiPriority w:val="39"/>
    <w:rsid w:val="007C4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center"/>
      </w:tcPr>
    </w:tblStylePr>
  </w:style>
  <w:style w:type="character" w:customStyle="1" w:styleId="Heading1Char">
    <w:name w:val="Heading 1 Char"/>
    <w:basedOn w:val="DefaultParagraphFont"/>
    <w:link w:val="Heading1"/>
    <w:uiPriority w:val="9"/>
    <w:rsid w:val="00857EE1"/>
    <w:rPr>
      <w:rFonts w:ascii="Aptos Display" w:eastAsiaTheme="majorEastAsia" w:hAnsi="Aptos Display" w:cs="Segoe UI"/>
      <w:color w:val="FFFFFF" w:themeColor="background1"/>
      <w:spacing w:val="-22"/>
      <w:kern w:val="40"/>
      <w:sz w:val="44"/>
      <w:szCs w:val="68"/>
    </w:rPr>
  </w:style>
  <w:style w:type="character" w:customStyle="1" w:styleId="Heading2Char">
    <w:name w:val="Heading 2 Char"/>
    <w:basedOn w:val="DefaultParagraphFont"/>
    <w:link w:val="Heading2"/>
    <w:uiPriority w:val="9"/>
    <w:rsid w:val="002A1A42"/>
    <w:rPr>
      <w:rFonts w:asciiTheme="majorHAnsi" w:eastAsiaTheme="majorEastAsia" w:hAnsiTheme="majorHAnsi" w:cstheme="majorBidi"/>
      <w:b/>
      <w:color w:val="0D2C6C" w:themeColor="text1"/>
      <w:sz w:val="44"/>
      <w:szCs w:val="26"/>
    </w:rPr>
  </w:style>
  <w:style w:type="character" w:customStyle="1" w:styleId="Heading3Char">
    <w:name w:val="Heading 3 Char"/>
    <w:basedOn w:val="DefaultParagraphFont"/>
    <w:link w:val="Heading3"/>
    <w:uiPriority w:val="9"/>
    <w:rsid w:val="0005154B"/>
    <w:rPr>
      <w:rFonts w:asciiTheme="majorHAnsi" w:eastAsiaTheme="majorEastAsia" w:hAnsiTheme="majorHAnsi" w:cstheme="majorBidi"/>
      <w:b/>
      <w:color w:val="009B9F" w:themeColor="background2"/>
      <w:sz w:val="32"/>
      <w:szCs w:val="24"/>
    </w:rPr>
  </w:style>
  <w:style w:type="character" w:customStyle="1" w:styleId="Heading4Char">
    <w:name w:val="Heading 4 Char"/>
    <w:basedOn w:val="DefaultParagraphFont"/>
    <w:link w:val="Heading4"/>
    <w:uiPriority w:val="9"/>
    <w:rsid w:val="00857EE1"/>
    <w:rPr>
      <w:rFonts w:asciiTheme="majorHAnsi" w:eastAsiaTheme="majorEastAsia" w:hAnsiTheme="majorHAnsi" w:cstheme="majorBidi"/>
      <w:b/>
      <w:iCs/>
      <w:color w:val="404246" w:themeColor="text2"/>
      <w:sz w:val="44"/>
    </w:rPr>
  </w:style>
  <w:style w:type="character" w:customStyle="1" w:styleId="Heading5Char">
    <w:name w:val="Heading 5 Char"/>
    <w:basedOn w:val="DefaultParagraphFont"/>
    <w:link w:val="Heading5"/>
    <w:uiPriority w:val="9"/>
    <w:rsid w:val="00345387"/>
    <w:rPr>
      <w:rFonts w:asciiTheme="majorHAnsi" w:eastAsiaTheme="majorEastAsia" w:hAnsiTheme="majorHAnsi" w:cstheme="majorBidi"/>
      <w:b/>
      <w:color w:val="404246" w:themeColor="text2"/>
      <w:sz w:val="32"/>
    </w:rPr>
  </w:style>
  <w:style w:type="character" w:customStyle="1" w:styleId="Heading6Char">
    <w:name w:val="Heading 6 Char"/>
    <w:basedOn w:val="DefaultParagraphFont"/>
    <w:link w:val="Heading6"/>
    <w:uiPriority w:val="9"/>
    <w:rsid w:val="003C6B59"/>
    <w:rPr>
      <w:rFonts w:asciiTheme="majorHAnsi" w:eastAsiaTheme="majorEastAsia" w:hAnsiTheme="majorHAnsi" w:cstheme="majorBidi"/>
      <w:b/>
      <w:color w:val="656DA9" w:themeColor="accent2"/>
    </w:rPr>
  </w:style>
  <w:style w:type="paragraph" w:styleId="Caption">
    <w:name w:val="caption"/>
    <w:basedOn w:val="Normal"/>
    <w:next w:val="Normal"/>
    <w:uiPriority w:val="16"/>
    <w:qFormat/>
    <w:rsid w:val="007F1DDB"/>
    <w:pPr>
      <w:spacing w:after="120" w:line="240" w:lineRule="auto"/>
    </w:pPr>
    <w:rPr>
      <w:b/>
      <w:iCs/>
      <w:color w:val="009B9F" w:themeColor="background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656DA9" w:themeColor="accent2"/>
    </w:rPr>
  </w:style>
  <w:style w:type="paragraph" w:styleId="Subtitle">
    <w:name w:val="Subtitle"/>
    <w:basedOn w:val="Normal"/>
    <w:next w:val="Normal"/>
    <w:link w:val="SubtitleChar"/>
    <w:uiPriority w:val="8"/>
    <w:qFormat/>
    <w:rsid w:val="004877A0"/>
    <w:pPr>
      <w:numPr>
        <w:ilvl w:val="1"/>
      </w:numPr>
      <w:spacing w:before="960" w:after="140"/>
    </w:pPr>
    <w:rPr>
      <w:rFonts w:ascii="Segoe UI" w:eastAsiaTheme="minorEastAsia" w:hAnsi="Segoe UI"/>
      <w:color w:val="DEE0ED"/>
      <w:sz w:val="40"/>
    </w:rPr>
  </w:style>
  <w:style w:type="character" w:customStyle="1" w:styleId="SubtitleChar">
    <w:name w:val="Subtitle Char"/>
    <w:basedOn w:val="DefaultParagraphFont"/>
    <w:link w:val="Subtitle"/>
    <w:uiPriority w:val="8"/>
    <w:rsid w:val="004877A0"/>
    <w:rPr>
      <w:rFonts w:ascii="Segoe UI" w:eastAsiaTheme="minorEastAsia" w:hAnsi="Segoe UI"/>
      <w:color w:val="DEE0ED"/>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D51C0B"/>
    <w:pPr>
      <w:spacing w:before="100" w:beforeAutospacing="1" w:after="100" w:afterAutospacing="1"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left"/>
      </w:pPr>
      <w:rPr>
        <w:rFonts w:ascii="Yu Mincho" w:hAnsi="Yu Mincho"/>
        <w:b/>
        <w:color w:val="FFFFFF" w:themeColor="background1"/>
        <w:sz w:val="22"/>
      </w:rPr>
      <w:tblPr/>
      <w:tcPr>
        <w:shd w:val="clear" w:color="auto" w:fill="0D2C6C" w:themeFill="text1"/>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D6400A"/>
    <w:pPr>
      <w:spacing w:after="100"/>
    </w:pPr>
  </w:style>
  <w:style w:type="paragraph" w:styleId="TOC2">
    <w:name w:val="toc 2"/>
    <w:basedOn w:val="Normal"/>
    <w:next w:val="Normal"/>
    <w:autoRedefine/>
    <w:uiPriority w:val="39"/>
    <w:unhideWhenUsed/>
    <w:rsid w:val="00D6400A"/>
    <w:pPr>
      <w:spacing w:after="100"/>
      <w:ind w:left="220"/>
    </w:pPr>
  </w:style>
  <w:style w:type="paragraph" w:styleId="TOC3">
    <w:name w:val="toc 3"/>
    <w:basedOn w:val="Normal"/>
    <w:next w:val="Normal"/>
    <w:autoRedefine/>
    <w:uiPriority w:val="39"/>
    <w:unhideWhenUsed/>
    <w:rsid w:val="00D6400A"/>
    <w:pPr>
      <w:spacing w:after="100"/>
    </w:pPr>
  </w:style>
  <w:style w:type="paragraph" w:styleId="TOCHeading">
    <w:name w:val="TOC Heading"/>
    <w:basedOn w:val="Heading1"/>
    <w:next w:val="Normal"/>
    <w:uiPriority w:val="39"/>
    <w:unhideWhenUsed/>
    <w:qFormat/>
    <w:rsid w:val="007F1DDB"/>
    <w:pPr>
      <w:spacing w:before="0" w:after="240" w:line="259" w:lineRule="auto"/>
      <w:outlineLvl w:val="9"/>
    </w:pPr>
    <w:rPr>
      <w:rFonts w:asciiTheme="majorHAnsi" w:hAnsiTheme="majorHAnsi"/>
      <w:color w:val="009B9F" w:themeColor="background2"/>
      <w:lang w:val="en-US"/>
    </w:rPr>
  </w:style>
  <w:style w:type="character" w:customStyle="1" w:styleId="Heading1-Blue">
    <w:name w:val="Heading 1 - Blue"/>
    <w:basedOn w:val="DefaultParagraphFont"/>
    <w:uiPriority w:val="1"/>
    <w:qFormat/>
    <w:rsid w:val="00D97E35"/>
    <w:rPr>
      <w:rFonts w:ascii="Segoe UI" w:hAnsi="Segoe UI" w:cs="Segoe UI"/>
      <w:color w:val="404246" w:themeColor="text2"/>
      <w:spacing w:val="-20"/>
      <w:kern w:val="40"/>
      <w:sz w:val="68"/>
      <w:szCs w:val="68"/>
    </w:rPr>
  </w:style>
  <w:style w:type="character" w:customStyle="1" w:styleId="Heading1-Lastline">
    <w:name w:val="Heading 1 - Last line"/>
    <w:basedOn w:val="DefaultParagraphFont"/>
    <w:uiPriority w:val="1"/>
    <w:qFormat/>
    <w:rsid w:val="00D97E35"/>
    <w:rPr>
      <w:position w:val="6"/>
    </w:rPr>
  </w:style>
  <w:style w:type="paragraph" w:customStyle="1" w:styleId="Date-FrontCover">
    <w:name w:val="Date - Front Cover"/>
    <w:basedOn w:val="Normal"/>
    <w:qFormat/>
    <w:rsid w:val="009435BC"/>
    <w:rPr>
      <w:color w:val="FFFFFF" w:themeColor="background1"/>
      <w:sz w:val="24"/>
    </w:rPr>
  </w:style>
  <w:style w:type="paragraph" w:styleId="ListParagraph">
    <w:name w:val="List Paragraph"/>
    <w:basedOn w:val="Normal"/>
    <w:uiPriority w:val="34"/>
    <w:qFormat/>
    <w:rsid w:val="00857EE1"/>
    <w:pPr>
      <w:spacing w:after="200" w:line="360" w:lineRule="auto"/>
      <w:ind w:left="720"/>
      <w:contextualSpacing/>
    </w:pPr>
  </w:style>
  <w:style w:type="character" w:styleId="FootnoteReference">
    <w:name w:val="footnote reference"/>
    <w:basedOn w:val="DefaultParagraphFont"/>
    <w:uiPriority w:val="99"/>
    <w:semiHidden/>
    <w:unhideWhenUsed/>
    <w:rsid w:val="00857EE1"/>
    <w:rPr>
      <w:vertAlign w:val="superscript"/>
    </w:rPr>
  </w:style>
  <w:style w:type="character" w:customStyle="1" w:styleId="FootnoteTextChar">
    <w:name w:val="Footnote Text Char"/>
    <w:basedOn w:val="DefaultParagraphFont"/>
    <w:link w:val="FootnoteText"/>
    <w:uiPriority w:val="99"/>
    <w:semiHidden/>
    <w:rsid w:val="00857EE1"/>
    <w:rPr>
      <w:sz w:val="20"/>
      <w:szCs w:val="20"/>
    </w:rPr>
  </w:style>
  <w:style w:type="paragraph" w:styleId="FootnoteText">
    <w:name w:val="footnote text"/>
    <w:basedOn w:val="Normal"/>
    <w:link w:val="FootnoteTextChar"/>
    <w:uiPriority w:val="99"/>
    <w:semiHidden/>
    <w:unhideWhenUsed/>
    <w:rsid w:val="00857EE1"/>
    <w:pPr>
      <w:spacing w:after="0" w:line="240" w:lineRule="auto"/>
    </w:pPr>
    <w:rPr>
      <w:sz w:val="20"/>
      <w:szCs w:val="20"/>
    </w:rPr>
  </w:style>
  <w:style w:type="character" w:customStyle="1" w:styleId="FootnoteTextChar1">
    <w:name w:val="Footnote Text Char1"/>
    <w:basedOn w:val="DefaultParagraphFont"/>
    <w:uiPriority w:val="99"/>
    <w:semiHidden/>
    <w:rsid w:val="00857EE1"/>
    <w:rPr>
      <w:sz w:val="20"/>
      <w:szCs w:val="20"/>
    </w:rPr>
  </w:style>
  <w:style w:type="character" w:styleId="CommentReference">
    <w:name w:val="annotation reference"/>
    <w:basedOn w:val="DefaultParagraphFont"/>
    <w:uiPriority w:val="99"/>
    <w:semiHidden/>
    <w:unhideWhenUsed/>
    <w:rsid w:val="00857EE1"/>
    <w:rPr>
      <w:sz w:val="16"/>
      <w:szCs w:val="16"/>
    </w:rPr>
  </w:style>
  <w:style w:type="paragraph" w:styleId="CommentText">
    <w:name w:val="annotation text"/>
    <w:basedOn w:val="Normal"/>
    <w:link w:val="CommentTextChar"/>
    <w:uiPriority w:val="99"/>
    <w:unhideWhenUsed/>
    <w:rsid w:val="00857EE1"/>
    <w:pPr>
      <w:spacing w:after="200" w:line="240" w:lineRule="auto"/>
    </w:pPr>
    <w:rPr>
      <w:sz w:val="20"/>
      <w:szCs w:val="20"/>
    </w:rPr>
  </w:style>
  <w:style w:type="character" w:customStyle="1" w:styleId="CommentTextChar">
    <w:name w:val="Comment Text Char"/>
    <w:basedOn w:val="DefaultParagraphFont"/>
    <w:link w:val="CommentText"/>
    <w:uiPriority w:val="99"/>
    <w:rsid w:val="00857EE1"/>
    <w:rPr>
      <w:sz w:val="20"/>
      <w:szCs w:val="20"/>
    </w:rPr>
  </w:style>
  <w:style w:type="character" w:customStyle="1" w:styleId="normaltextrun">
    <w:name w:val="normaltextrun"/>
    <w:basedOn w:val="DefaultParagraphFont"/>
    <w:rsid w:val="00D626D2"/>
    <w:rPr>
      <w:rFonts w:asciiTheme="minorHAnsi" w:hAnsiTheme="minorHAnsi"/>
      <w:sz w:val="22"/>
    </w:rPr>
  </w:style>
  <w:style w:type="table" w:styleId="GridTable5Dark-Accent3">
    <w:name w:val="Grid Table 5 Dark Accent 3"/>
    <w:basedOn w:val="TableNormal"/>
    <w:uiPriority w:val="50"/>
    <w:rsid w:val="001528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B" w:themeFill="accent3" w:themeFillTint="33"/>
    </w:tcPr>
    <w:tblStylePr w:type="firstRow">
      <w:rPr>
        <w:b/>
        <w:bCs/>
        <w:color w:val="FFFFFF" w:themeColor="background1"/>
      </w:rPr>
      <w:tblPr>
        <w:jc w:val="center"/>
      </w:tblPr>
      <w:trPr>
        <w:jc w:val="center"/>
      </w:trPr>
      <w:tcPr>
        <w:shd w:val="clear" w:color="auto" w:fill="0D2C6C" w:themeFill="text1"/>
        <w:vAlign w:val="center"/>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E0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E0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E0ED" w:themeFill="accent3"/>
      </w:tcPr>
    </w:tblStylePr>
    <w:tblStylePr w:type="band1Vert">
      <w:tblPr/>
      <w:tcPr>
        <w:shd w:val="clear" w:color="auto" w:fill="F1F2F7" w:themeFill="accent3" w:themeFillTint="66"/>
      </w:tcPr>
    </w:tblStylePr>
    <w:tblStylePr w:type="band1Horz">
      <w:tblPr/>
      <w:tcPr>
        <w:shd w:val="clear" w:color="auto" w:fill="F1F2F7" w:themeFill="accent3" w:themeFillTint="66"/>
      </w:tcPr>
    </w:tblStylePr>
  </w:style>
  <w:style w:type="paragraph" w:styleId="Title">
    <w:name w:val="Title"/>
    <w:basedOn w:val="Normal"/>
    <w:next w:val="Normal"/>
    <w:link w:val="TitleChar"/>
    <w:uiPriority w:val="7"/>
    <w:qFormat/>
    <w:rsid w:val="009042DA"/>
    <w:pPr>
      <w:spacing w:before="324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9042DA"/>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9042DA"/>
    <w:rPr>
      <w:color w:val="605E5C"/>
      <w:shd w:val="clear" w:color="auto" w:fill="E1DFDD"/>
    </w:rPr>
  </w:style>
  <w:style w:type="table" w:customStyle="1" w:styleId="DESE">
    <w:name w:val="DESE"/>
    <w:basedOn w:val="TableNormal"/>
    <w:uiPriority w:val="99"/>
    <w:rsid w:val="009042D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904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2DA"/>
    <w:rPr>
      <w:rFonts w:ascii="Segoe UI" w:hAnsi="Segoe UI" w:cs="Segoe UI"/>
      <w:sz w:val="18"/>
      <w:szCs w:val="18"/>
    </w:rPr>
  </w:style>
  <w:style w:type="paragraph" w:customStyle="1" w:styleId="numberedpara">
    <w:name w:val="numbered para"/>
    <w:basedOn w:val="Normal"/>
    <w:rsid w:val="009042DA"/>
    <w:pPr>
      <w:numPr>
        <w:numId w:val="21"/>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042DA"/>
    <w:rPr>
      <w:color w:val="DFE1DF" w:themeColor="followedHyperlink"/>
      <w:u w:val="single"/>
    </w:rPr>
  </w:style>
  <w:style w:type="paragraph" w:styleId="Revision">
    <w:name w:val="Revision"/>
    <w:hidden/>
    <w:uiPriority w:val="99"/>
    <w:semiHidden/>
    <w:rsid w:val="009042DA"/>
    <w:pPr>
      <w:spacing w:after="0" w:line="240" w:lineRule="auto"/>
    </w:pPr>
  </w:style>
  <w:style w:type="paragraph" w:styleId="CommentSubject">
    <w:name w:val="annotation subject"/>
    <w:basedOn w:val="CommentText"/>
    <w:next w:val="CommentText"/>
    <w:link w:val="CommentSubjectChar"/>
    <w:uiPriority w:val="99"/>
    <w:semiHidden/>
    <w:unhideWhenUsed/>
    <w:rsid w:val="009042DA"/>
    <w:rPr>
      <w:b/>
      <w:bCs/>
    </w:rPr>
  </w:style>
  <w:style w:type="character" w:customStyle="1" w:styleId="CommentSubjectChar">
    <w:name w:val="Comment Subject Char"/>
    <w:basedOn w:val="CommentTextChar"/>
    <w:link w:val="CommentSubject"/>
    <w:uiPriority w:val="99"/>
    <w:semiHidden/>
    <w:rsid w:val="009042DA"/>
    <w:rPr>
      <w:b/>
      <w:bCs/>
      <w:sz w:val="20"/>
      <w:szCs w:val="20"/>
    </w:rPr>
  </w:style>
  <w:style w:type="character" w:customStyle="1" w:styleId="cf01">
    <w:name w:val="cf01"/>
    <w:basedOn w:val="DefaultParagraphFont"/>
    <w:rsid w:val="009042DA"/>
    <w:rPr>
      <w:rFonts w:ascii="Segoe UI" w:hAnsi="Segoe UI" w:cs="Segoe UI" w:hint="default"/>
      <w:sz w:val="18"/>
      <w:szCs w:val="18"/>
    </w:rPr>
  </w:style>
  <w:style w:type="character" w:customStyle="1" w:styleId="cf11">
    <w:name w:val="cf11"/>
    <w:basedOn w:val="DefaultParagraphFont"/>
    <w:rsid w:val="009042DA"/>
    <w:rPr>
      <w:rFonts w:ascii="Segoe UI" w:hAnsi="Segoe UI" w:cs="Segoe UI" w:hint="default"/>
      <w:i/>
      <w:iCs/>
      <w:sz w:val="18"/>
      <w:szCs w:val="18"/>
    </w:rPr>
  </w:style>
  <w:style w:type="character" w:styleId="Mention">
    <w:name w:val="Mention"/>
    <w:basedOn w:val="DefaultParagraphFont"/>
    <w:uiPriority w:val="99"/>
    <w:unhideWhenUsed/>
    <w:rsid w:val="009042DA"/>
    <w:rPr>
      <w:color w:val="2B579A"/>
      <w:shd w:val="clear" w:color="auto" w:fill="E1DFDD"/>
    </w:rPr>
  </w:style>
  <w:style w:type="character" w:customStyle="1" w:styleId="ui-provider">
    <w:name w:val="ui-provider"/>
    <w:basedOn w:val="DefaultParagraphFont"/>
    <w:rsid w:val="009042DA"/>
  </w:style>
  <w:style w:type="paragraph" w:styleId="NormalWeb">
    <w:name w:val="Normal (Web)"/>
    <w:basedOn w:val="Normal"/>
    <w:uiPriority w:val="99"/>
    <w:unhideWhenUsed/>
    <w:rsid w:val="009042D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indent(a)"/>
    <w:basedOn w:val="Normal"/>
    <w:link w:val="paragraphChar"/>
    <w:rsid w:val="009042D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9042DA"/>
  </w:style>
  <w:style w:type="character" w:styleId="Emphasis">
    <w:name w:val="Emphasis"/>
    <w:basedOn w:val="DefaultParagraphFont"/>
    <w:uiPriority w:val="20"/>
    <w:qFormat/>
    <w:rsid w:val="009042DA"/>
    <w:rPr>
      <w:i/>
      <w:iCs/>
    </w:rPr>
  </w:style>
  <w:style w:type="character" w:customStyle="1" w:styleId="aranob">
    <w:name w:val="aranob"/>
    <w:basedOn w:val="DefaultParagraphFont"/>
    <w:rsid w:val="009042DA"/>
  </w:style>
  <w:style w:type="character" w:customStyle="1" w:styleId="paragraphChar">
    <w:name w:val="paragraph Char"/>
    <w:aliases w:val="a Char"/>
    <w:basedOn w:val="DefaultParagraphFont"/>
    <w:link w:val="paragraph"/>
    <w:rsid w:val="009042DA"/>
    <w:rPr>
      <w:rFonts w:ascii="Times New Roman" w:eastAsia="Times New Roman" w:hAnsi="Times New Roman" w:cs="Times New Roman"/>
      <w:sz w:val="24"/>
      <w:szCs w:val="24"/>
      <w:lang w:eastAsia="en-AU"/>
    </w:rPr>
  </w:style>
  <w:style w:type="character" w:customStyle="1" w:styleId="EndnoteTextChar1">
    <w:name w:val="Endnote Text Char1"/>
    <w:basedOn w:val="DefaultParagraphFont"/>
    <w:uiPriority w:val="99"/>
    <w:semiHidden/>
    <w:rsid w:val="009042DA"/>
    <w:rPr>
      <w:sz w:val="20"/>
      <w:szCs w:val="20"/>
    </w:rPr>
  </w:style>
  <w:style w:type="paragraph" w:styleId="EndnoteText">
    <w:name w:val="endnote text"/>
    <w:basedOn w:val="Normal"/>
    <w:link w:val="EndnoteTextChar"/>
    <w:uiPriority w:val="99"/>
    <w:semiHidden/>
    <w:unhideWhenUsed/>
    <w:rsid w:val="009042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42DA"/>
    <w:rPr>
      <w:sz w:val="20"/>
      <w:szCs w:val="20"/>
    </w:rPr>
  </w:style>
  <w:style w:type="character" w:styleId="EndnoteReference">
    <w:name w:val="endnote reference"/>
    <w:basedOn w:val="DefaultParagraphFont"/>
    <w:uiPriority w:val="99"/>
    <w:semiHidden/>
    <w:unhideWhenUsed/>
    <w:rsid w:val="009042DA"/>
    <w:rPr>
      <w:vertAlign w:val="superscript"/>
    </w:rPr>
  </w:style>
  <w:style w:type="paragraph" w:customStyle="1" w:styleId="pf1">
    <w:name w:val="pf1"/>
    <w:basedOn w:val="Normal"/>
    <w:rsid w:val="009042DA"/>
    <w:pPr>
      <w:spacing w:before="100" w:beforeAutospacing="1" w:after="100" w:afterAutospacing="1" w:line="240" w:lineRule="auto"/>
      <w:ind w:left="20"/>
    </w:pPr>
    <w:rPr>
      <w:rFonts w:ascii="Times New Roman" w:eastAsia="Times New Roman" w:hAnsi="Times New Roman" w:cs="Times New Roman"/>
      <w:sz w:val="24"/>
      <w:szCs w:val="24"/>
      <w:lang w:eastAsia="en-AU"/>
    </w:rPr>
  </w:style>
  <w:style w:type="paragraph" w:customStyle="1" w:styleId="pf0">
    <w:name w:val="pf0"/>
    <w:basedOn w:val="Normal"/>
    <w:rsid w:val="009042D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31">
    <w:name w:val="cf31"/>
    <w:basedOn w:val="DefaultParagraphFont"/>
    <w:rsid w:val="009042DA"/>
    <w:rPr>
      <w:rFonts w:ascii="Segoe UI" w:hAnsi="Segoe UI" w:cs="Segoe UI" w:hint="default"/>
      <w:color w:val="222222"/>
      <w:sz w:val="18"/>
      <w:szCs w:val="18"/>
      <w:shd w:val="clear" w:color="auto" w:fill="FFFFFF"/>
    </w:rPr>
  </w:style>
  <w:style w:type="character" w:customStyle="1" w:styleId="cf41">
    <w:name w:val="cf41"/>
    <w:basedOn w:val="DefaultParagraphFont"/>
    <w:rsid w:val="009042DA"/>
    <w:rPr>
      <w:rFonts w:ascii="Segoe UI" w:hAnsi="Segoe UI" w:cs="Segoe UI" w:hint="default"/>
      <w:sz w:val="18"/>
      <w:szCs w:val="18"/>
      <w:shd w:val="clear" w:color="auto" w:fill="FFFFFF"/>
    </w:rPr>
  </w:style>
  <w:style w:type="character" w:customStyle="1" w:styleId="findhit">
    <w:name w:val="findhit"/>
    <w:basedOn w:val="DefaultParagraphFont"/>
    <w:rsid w:val="009042DA"/>
  </w:style>
  <w:style w:type="paragraph" w:styleId="TOC4">
    <w:name w:val="toc 4"/>
    <w:basedOn w:val="Normal"/>
    <w:next w:val="Normal"/>
    <w:autoRedefine/>
    <w:uiPriority w:val="39"/>
    <w:unhideWhenUsed/>
    <w:rsid w:val="009042DA"/>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9042DA"/>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9042DA"/>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9042DA"/>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9042DA"/>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9042DA"/>
    <w:pPr>
      <w:spacing w:after="100" w:line="278" w:lineRule="auto"/>
      <w:ind w:left="1920"/>
    </w:pPr>
    <w:rPr>
      <w:rFonts w:eastAsiaTheme="minorEastAsia"/>
      <w:kern w:val="2"/>
      <w:sz w:val="24"/>
      <w:szCs w:val="24"/>
      <w:lang w:eastAsia="en-AU"/>
      <w14:ligatures w14:val="standardContextual"/>
    </w:rPr>
  </w:style>
  <w:style w:type="paragraph" w:customStyle="1" w:styleId="Style1">
    <w:name w:val="Style1"/>
    <w:basedOn w:val="NoSpacing"/>
    <w:next w:val="NoSpacing"/>
    <w:link w:val="Style1Char"/>
    <w:qFormat/>
    <w:rsid w:val="009042DA"/>
    <w:rPr>
      <w:sz w:val="2"/>
      <w:szCs w:val="2"/>
    </w:rPr>
  </w:style>
  <w:style w:type="paragraph" w:styleId="NoSpacing">
    <w:name w:val="No Spacing"/>
    <w:link w:val="NoSpacingChar"/>
    <w:uiPriority w:val="1"/>
    <w:semiHidden/>
    <w:rsid w:val="009042DA"/>
    <w:pPr>
      <w:spacing w:after="0" w:line="240" w:lineRule="auto"/>
    </w:pPr>
  </w:style>
  <w:style w:type="character" w:customStyle="1" w:styleId="NoSpacingChar">
    <w:name w:val="No Spacing Char"/>
    <w:basedOn w:val="DefaultParagraphFont"/>
    <w:link w:val="NoSpacing"/>
    <w:uiPriority w:val="1"/>
    <w:semiHidden/>
    <w:rsid w:val="009042DA"/>
  </w:style>
  <w:style w:type="character" w:customStyle="1" w:styleId="Style1Char">
    <w:name w:val="Style1 Char"/>
    <w:basedOn w:val="NoSpacingChar"/>
    <w:link w:val="Style1"/>
    <w:rsid w:val="009042DA"/>
    <w:rPr>
      <w:sz w:val="2"/>
      <w:szCs w:val="2"/>
    </w:rPr>
  </w:style>
  <w:style w:type="table" w:styleId="GridTable5Dark-Accent6">
    <w:name w:val="Grid Table 5 Dark Accent 6"/>
    <w:basedOn w:val="TableNormal"/>
    <w:uiPriority w:val="50"/>
    <w:rsid w:val="009042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D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A7A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A7A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A7A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A7A9" w:themeFill="accent6"/>
      </w:tcPr>
    </w:tblStylePr>
    <w:tblStylePr w:type="band1Vert">
      <w:tblPr/>
      <w:tcPr>
        <w:shd w:val="clear" w:color="auto" w:fill="DADBDC" w:themeFill="accent6" w:themeFillTint="66"/>
      </w:tcPr>
    </w:tblStylePr>
    <w:tblStylePr w:type="band1Horz">
      <w:tblPr/>
      <w:tcPr>
        <w:shd w:val="clear" w:color="auto" w:fill="DADBDC" w:themeFill="accent6" w:themeFillTint="66"/>
      </w:tcPr>
    </w:tblStylePr>
  </w:style>
  <w:style w:type="character" w:styleId="IntenseReference">
    <w:name w:val="Intense Reference"/>
    <w:basedOn w:val="DefaultParagraphFont"/>
    <w:uiPriority w:val="32"/>
    <w:qFormat/>
    <w:rsid w:val="009042DA"/>
    <w:rPr>
      <w:b/>
      <w:bCs/>
      <w:smallCaps/>
      <w:color w:val="2A326B" w:themeColor="accent1" w:themeShade="BF"/>
      <w:spacing w:val="5"/>
    </w:rPr>
  </w:style>
  <w:style w:type="table" w:styleId="GridTable1Light-Accent4">
    <w:name w:val="Grid Table 1 Light Accent 4"/>
    <w:basedOn w:val="TableNormal"/>
    <w:uiPriority w:val="46"/>
    <w:rsid w:val="00FF200C"/>
    <w:pPr>
      <w:spacing w:after="0" w:line="240" w:lineRule="auto"/>
    </w:pPr>
    <w:tblPr>
      <w:tblStyleRowBandSize w:val="1"/>
      <w:tblStyleColBandSize w:val="1"/>
      <w:tblBorders>
        <w:top w:val="single" w:sz="4" w:space="0" w:color="F2F3F2" w:themeColor="accent4" w:themeTint="66"/>
        <w:left w:val="single" w:sz="4" w:space="0" w:color="F2F3F2" w:themeColor="accent4" w:themeTint="66"/>
        <w:bottom w:val="single" w:sz="4" w:space="0" w:color="F2F3F2" w:themeColor="accent4" w:themeTint="66"/>
        <w:right w:val="single" w:sz="4" w:space="0" w:color="F2F3F2" w:themeColor="accent4" w:themeTint="66"/>
        <w:insideH w:val="single" w:sz="4" w:space="0" w:color="F2F3F2" w:themeColor="accent4" w:themeTint="66"/>
        <w:insideV w:val="single" w:sz="4" w:space="0" w:color="F2F3F2" w:themeColor="accent4" w:themeTint="66"/>
      </w:tblBorders>
    </w:tblPr>
    <w:tblStylePr w:type="firstRow">
      <w:rPr>
        <w:b/>
        <w:bCs/>
      </w:rPr>
      <w:tblPr/>
      <w:tcPr>
        <w:tcBorders>
          <w:bottom w:val="single" w:sz="12" w:space="0" w:color="EBEDEB" w:themeColor="accent4" w:themeTint="99"/>
        </w:tcBorders>
      </w:tcPr>
    </w:tblStylePr>
    <w:tblStylePr w:type="lastRow">
      <w:rPr>
        <w:b/>
        <w:bCs/>
      </w:rPr>
      <w:tblPr/>
      <w:tcPr>
        <w:tcBorders>
          <w:top w:val="double" w:sz="2" w:space="0" w:color="EBEDEB" w:themeColor="accent4" w:themeTint="99"/>
        </w:tcBorders>
      </w:tcPr>
    </w:tblStylePr>
    <w:tblStylePr w:type="firstCol">
      <w:rPr>
        <w:b/>
        <w:bCs/>
      </w:rPr>
    </w:tblStylePr>
    <w:tblStylePr w:type="lastCol">
      <w:rPr>
        <w:b/>
        <w:bCs/>
      </w:rPr>
    </w:tblStylePr>
  </w:style>
  <w:style w:type="paragraph" w:customStyle="1" w:styleId="NoSpacing1">
    <w:name w:val="No Spacing1"/>
    <w:basedOn w:val="NoSpacing"/>
    <w:qFormat/>
    <w:rsid w:val="000F001A"/>
    <w:rPr>
      <w:b/>
      <w:bCs/>
    </w:rPr>
  </w:style>
  <w:style w:type="table" w:customStyle="1" w:styleId="Style2">
    <w:name w:val="Style2"/>
    <w:basedOn w:val="TableNormal"/>
    <w:uiPriority w:val="99"/>
    <w:rsid w:val="00731B28"/>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409167">
      <w:bodyDiv w:val="1"/>
      <w:marLeft w:val="0"/>
      <w:marRight w:val="0"/>
      <w:marTop w:val="0"/>
      <w:marBottom w:val="0"/>
      <w:divBdr>
        <w:top w:val="none" w:sz="0" w:space="0" w:color="auto"/>
        <w:left w:val="none" w:sz="0" w:space="0" w:color="auto"/>
        <w:bottom w:val="none" w:sz="0" w:space="0" w:color="auto"/>
        <w:right w:val="none" w:sz="0" w:space="0" w:color="auto"/>
      </w:divBdr>
    </w:div>
    <w:div w:id="1501001499">
      <w:bodyDiv w:val="1"/>
      <w:marLeft w:val="0"/>
      <w:marRight w:val="0"/>
      <w:marTop w:val="0"/>
      <w:marBottom w:val="0"/>
      <w:divBdr>
        <w:top w:val="none" w:sz="0" w:space="0" w:color="auto"/>
        <w:left w:val="none" w:sz="0" w:space="0" w:color="auto"/>
        <w:bottom w:val="none" w:sz="0" w:space="0" w:color="auto"/>
        <w:right w:val="none" w:sz="0" w:space="0" w:color="auto"/>
      </w:divBdr>
    </w:div>
    <w:div w:id="1605191510">
      <w:bodyDiv w:val="1"/>
      <w:marLeft w:val="0"/>
      <w:marRight w:val="0"/>
      <w:marTop w:val="0"/>
      <w:marBottom w:val="0"/>
      <w:divBdr>
        <w:top w:val="none" w:sz="0" w:space="0" w:color="auto"/>
        <w:left w:val="none" w:sz="0" w:space="0" w:color="auto"/>
        <w:bottom w:val="none" w:sz="0" w:space="0" w:color="auto"/>
        <w:right w:val="none" w:sz="0" w:space="0" w:color="auto"/>
      </w:divBdr>
    </w:div>
    <w:div w:id="162307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ifeline.org.au/" TargetMode="External"/><Relationship Id="rId21" Type="http://schemas.openxmlformats.org/officeDocument/2006/relationships/image" Target="media/image6.png"/><Relationship Id="rId42" Type="http://schemas.openxmlformats.org/officeDocument/2006/relationships/image" Target="media/image19.png"/><Relationship Id="rId47" Type="http://schemas.openxmlformats.org/officeDocument/2006/relationships/image" Target="media/image24.svg"/><Relationship Id="rId63" Type="http://schemas.openxmlformats.org/officeDocument/2006/relationships/image" Target="media/image36.png"/><Relationship Id="rId68" Type="http://schemas.openxmlformats.org/officeDocument/2006/relationships/chart" Target="charts/chart4.xml"/><Relationship Id="rId84" Type="http://schemas.openxmlformats.org/officeDocument/2006/relationships/hyperlink" Target="https://www.safeworkaustralia.gov.au/sites/default/files/2021-12/return-to-work-2021-headline-measures-report.pdf" TargetMode="External"/><Relationship Id="rId89" Type="http://schemas.openxmlformats.org/officeDocument/2006/relationships/image" Target="media/image53.png"/><Relationship Id="rId16" Type="http://schemas.openxmlformats.org/officeDocument/2006/relationships/header" Target="header2.xml"/><Relationship Id="rId11" Type="http://schemas.openxmlformats.org/officeDocument/2006/relationships/footer" Target="footer1.xml"/><Relationship Id="rId32" Type="http://schemas.openxmlformats.org/officeDocument/2006/relationships/image" Target="media/image9.png"/><Relationship Id="rId37" Type="http://schemas.openxmlformats.org/officeDocument/2006/relationships/image" Target="media/image14.svg"/><Relationship Id="rId53" Type="http://schemas.openxmlformats.org/officeDocument/2006/relationships/image" Target="media/image30.svg"/><Relationship Id="rId74" Type="http://schemas.openxmlformats.org/officeDocument/2006/relationships/image" Target="media/image42.png"/><Relationship Id="rId79" Type="http://schemas.openxmlformats.org/officeDocument/2006/relationships/image" Target="media/image47.png"/><Relationship Id="rId5" Type="http://schemas.openxmlformats.org/officeDocument/2006/relationships/webSettings" Target="webSettings.xml"/><Relationship Id="rId90" Type="http://schemas.openxmlformats.org/officeDocument/2006/relationships/header" Target="header6.xml"/><Relationship Id="rId95" Type="http://schemas.openxmlformats.org/officeDocument/2006/relationships/theme" Target="theme/theme1.xml"/><Relationship Id="rId14" Type="http://schemas.openxmlformats.org/officeDocument/2006/relationships/hyperlink" Target="https://creativecommons.org/licenses/by/4.0/" TargetMode="External"/><Relationship Id="rId22" Type="http://schemas.openxmlformats.org/officeDocument/2006/relationships/image" Target="media/image7.png"/><Relationship Id="rId27" Type="http://schemas.openxmlformats.org/officeDocument/2006/relationships/hyperlink" Target="https://www.beyondblue.org.au/" TargetMode="External"/><Relationship Id="rId30" Type="http://schemas.openxmlformats.org/officeDocument/2006/relationships/footer" Target="footer3.xml"/><Relationship Id="rId35" Type="http://schemas.openxmlformats.org/officeDocument/2006/relationships/image" Target="media/image12.svg"/><Relationship Id="rId43" Type="http://schemas.openxmlformats.org/officeDocument/2006/relationships/image" Target="media/image20.svg"/><Relationship Id="rId48" Type="http://schemas.openxmlformats.org/officeDocument/2006/relationships/image" Target="media/image25.png"/><Relationship Id="rId56" Type="http://schemas.openxmlformats.org/officeDocument/2006/relationships/image" Target="media/image32.png"/><Relationship Id="rId64" Type="http://schemas.openxmlformats.org/officeDocument/2006/relationships/hyperlink" Target="https://www.comcare.gov.au/scheme-legislation/scheme-performance/overview" TargetMode="External"/><Relationship Id="rId69" Type="http://schemas.openxmlformats.org/officeDocument/2006/relationships/image" Target="media/image37.png"/><Relationship Id="rId77" Type="http://schemas.openxmlformats.org/officeDocument/2006/relationships/image" Target="media/image45.png"/><Relationship Id="rId8" Type="http://schemas.openxmlformats.org/officeDocument/2006/relationships/image" Target="media/image1.jpeg"/><Relationship Id="rId51" Type="http://schemas.openxmlformats.org/officeDocument/2006/relationships/image" Target="media/image28.svg"/><Relationship Id="rId72" Type="http://schemas.openxmlformats.org/officeDocument/2006/relationships/image" Target="media/image40.png"/><Relationship Id="rId80" Type="http://schemas.openxmlformats.org/officeDocument/2006/relationships/image" Target="media/image48.png"/><Relationship Id="rId85" Type="http://schemas.openxmlformats.org/officeDocument/2006/relationships/image" Target="media/image51.png"/><Relationship Id="rId93" Type="http://schemas.openxmlformats.org/officeDocument/2006/relationships/header" Target="head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dewr.gov.au/workers-compensation/resources/safety-rehabilitation-and-compensation-act-review-final-report-mr-peter-hanks-qc" TargetMode="External"/><Relationship Id="rId25" Type="http://schemas.openxmlformats.org/officeDocument/2006/relationships/hyperlink" Target="https://consultations.dewr.gov.au/"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67" Type="http://schemas.openxmlformats.org/officeDocument/2006/relationships/chart" Target="charts/chart3.xml"/><Relationship Id="rId20" Type="http://schemas.openxmlformats.org/officeDocument/2006/relationships/image" Target="media/image5.svg"/><Relationship Id="rId41" Type="http://schemas.openxmlformats.org/officeDocument/2006/relationships/image" Target="media/image18.svg"/><Relationship Id="rId54" Type="http://schemas.openxmlformats.org/officeDocument/2006/relationships/chart" Target="charts/chart1.xml"/><Relationship Id="rId62" Type="http://schemas.openxmlformats.org/officeDocument/2006/relationships/image" Target="media/image35.png"/><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hyperlink" Target="https://www.safeworkaustralia.gov.au/sites/default/files/2021-12/return-to-work-2021-headline-measures-report.pdf" TargetMode="External"/><Relationship Id="rId88" Type="http://schemas.openxmlformats.org/officeDocument/2006/relationships/hyperlink" Target="https://www.comcare.gov.au/scheme-legislation/scheme-performance/overview" TargetMode="External"/><Relationship Id="rId9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legalcode" TargetMode="External"/><Relationship Id="rId23" Type="http://schemas.openxmlformats.org/officeDocument/2006/relationships/image" Target="media/image8.png"/><Relationship Id="rId28" Type="http://schemas.openxmlformats.org/officeDocument/2006/relationships/hyperlink" Target="https://www.beyondblue.org.au/" TargetMode="External"/><Relationship Id="rId36" Type="http://schemas.openxmlformats.org/officeDocument/2006/relationships/image" Target="media/image13.png"/><Relationship Id="rId49" Type="http://schemas.openxmlformats.org/officeDocument/2006/relationships/image" Target="media/image26.svg"/><Relationship Id="rId57" Type="http://schemas.openxmlformats.org/officeDocument/2006/relationships/image" Target="media/image33.png"/><Relationship Id="rId10" Type="http://schemas.openxmlformats.org/officeDocument/2006/relationships/header" Target="header1.xml"/><Relationship Id="rId31" Type="http://schemas.openxmlformats.org/officeDocument/2006/relationships/header" Target="header5.xml"/><Relationship Id="rId44" Type="http://schemas.openxmlformats.org/officeDocument/2006/relationships/image" Target="media/image21.png"/><Relationship Id="rId52" Type="http://schemas.openxmlformats.org/officeDocument/2006/relationships/image" Target="media/image29.png"/><Relationship Id="rId65" Type="http://schemas.openxmlformats.org/officeDocument/2006/relationships/hyperlink" Target="https://www.comcare.gov.au/scheme-legislation/scheme-performance/overview" TargetMode="External"/><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image" Target="media/image52.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hyperlink" Target="https://www.dewr.gov.au/australian-building-and-construction-industry/resources/safety-rehabilitation-and-compensation-act-review-report-dr-allan-hawke-ac" TargetMode="External"/><Relationship Id="rId39" Type="http://schemas.openxmlformats.org/officeDocument/2006/relationships/image" Target="media/image16.svg"/><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1.png"/><Relationship Id="rId76"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hyperlink" Target="http://www.dewr.gov.au" TargetMode="External"/><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header" Target="header3.xml"/><Relationship Id="rId40" Type="http://schemas.openxmlformats.org/officeDocument/2006/relationships/image" Target="media/image17.png"/><Relationship Id="rId45" Type="http://schemas.openxmlformats.org/officeDocument/2006/relationships/image" Target="media/image22.svg"/><Relationship Id="rId66" Type="http://schemas.openxmlformats.org/officeDocument/2006/relationships/chart" Target="charts/chart2.xml"/><Relationship Id="rId87" Type="http://schemas.openxmlformats.org/officeDocument/2006/relationships/hyperlink" Target="https://www.comcare.gov.au/scheme-legislation/scheme-performance/overview" TargetMode="External"/><Relationship Id="rId61" Type="http://schemas.openxmlformats.org/officeDocument/2006/relationships/image" Target="media/image34.png"/><Relationship Id="rId82" Type="http://schemas.openxmlformats.org/officeDocument/2006/relationships/image" Target="media/image50.png"/><Relationship Id="rId19" Type="http://schemas.openxmlformats.org/officeDocument/2006/relationships/image" Target="media/image4.png"/></Relationships>
</file>

<file path=word/_rels/footnotes.xml.rels><?xml version="1.0" encoding="UTF-8" standalone="yes"?>
<Relationships xmlns="http://schemas.openxmlformats.org/package/2006/relationships"><Relationship Id="rId13" Type="http://schemas.openxmlformats.org/officeDocument/2006/relationships/hyperlink" Target="https://www.comcare.gov.au/scheme-legislation/premium-payers/premium-performance" TargetMode="External"/><Relationship Id="rId18" Type="http://schemas.openxmlformats.org/officeDocument/2006/relationships/hyperlink" Target="https://www.srcc.gov.au/current-self-insurers/list-of-current-and-former-self-insurers" TargetMode="External"/><Relationship Id="rId26" Type="http://schemas.openxmlformats.org/officeDocument/2006/relationships/hyperlink" Target="https://www.comcare.gov.au/about/forms-pubs/docs/pubs/research/NRTWS-factsheet.pdf" TargetMode="External"/><Relationship Id="rId3" Type="http://schemas.openxmlformats.org/officeDocument/2006/relationships/hyperlink" Target="https://www.dewr.gov.au/australian-building-and-construction-industry/resources/safety-rehabilitation-and-compensation-act-review-report-dr-allan-hawke-ac" TargetMode="External"/><Relationship Id="rId21" Type="http://schemas.openxmlformats.org/officeDocument/2006/relationships/hyperlink" Target="https://www.safeworkaustralia.gov.au/sites/default/files/2024-04/comparison_of_workers_compensation_arrangements_in_australia_and_new_zealand_29th_edition_2023.pdf" TargetMode="External"/><Relationship Id="rId34" Type="http://schemas.openxmlformats.org/officeDocument/2006/relationships/hyperlink" Target="https://www.anao.gov.au/work/performance-audit/comcares-administration-its-workers-compensation-scheme-claims" TargetMode="External"/><Relationship Id="rId7" Type="http://schemas.openxmlformats.org/officeDocument/2006/relationships/hyperlink" Target="https://www.comcare.gov.au/scheme-legislation/scheme-performance/overview" TargetMode="External"/><Relationship Id="rId12" Type="http://schemas.openxmlformats.org/officeDocument/2006/relationships/hyperlink" Target="https://www.comcare.gov.au/scheme-legislation/premium-payers/premium-performance" TargetMode="External"/><Relationship Id="rId17" Type="http://schemas.openxmlformats.org/officeDocument/2006/relationships/hyperlink" Target="https://www.abs.gov.au/statistics/labour/jobs/multiple-job-holders/latest-release" TargetMode="External"/><Relationship Id="rId25" Type="http://schemas.openxmlformats.org/officeDocument/2006/relationships/hyperlink" Target="https://www.comcare.gov.au/safe-healthy-work/healthy-workplace/intervene-early" TargetMode="External"/><Relationship Id="rId33" Type="http://schemas.openxmlformats.org/officeDocument/2006/relationships/hyperlink" Target="https://www.anao.gov.au/work/performance-audit/comcares-administration-its-workers-compensation-scheme-claims" TargetMode="External"/><Relationship Id="rId2" Type="http://schemas.openxmlformats.org/officeDocument/2006/relationships/hyperlink" Target="https://www.pc.gov.au/inquiries/completed/workers-compensation/report" TargetMode="External"/><Relationship Id="rId16" Type="http://schemas.openxmlformats.org/officeDocument/2006/relationships/hyperlink" Target="https://www.aph.gov.au/Parliamentary_Business/Committees/Senate/Education_and_Employment/Mentalhealth/Report" TargetMode="External"/><Relationship Id="rId20" Type="http://schemas.openxmlformats.org/officeDocument/2006/relationships/hyperlink" Target="https://www.comcare.gov.au/about/forms-pubs/docs/pubs/corporate-publications/comcare-srcc-annual-report-2022-23.PDF" TargetMode="External"/><Relationship Id="rId29" Type="http://schemas.openxmlformats.org/officeDocument/2006/relationships/hyperlink" Target="https://www.safeworkaustralia.gov.au/sites/default/files/2022-02/2021%20National%20Return%20to%20Work%20Survey%20Report.pdf" TargetMode="External"/><Relationship Id="rId1" Type="http://schemas.openxmlformats.org/officeDocument/2006/relationships/hyperlink" Target="https://www.dewr.gov.au/workers-compensation/independent-review-safety-rehabilitation-and-compensation-act-1988" TargetMode="External"/><Relationship Id="rId6" Type="http://schemas.openxmlformats.org/officeDocument/2006/relationships/hyperlink" Target="https://defenceveteransuicide.royalcommission.gov.au/publications/final-report" TargetMode="External"/><Relationship Id="rId11" Type="http://schemas.openxmlformats.org/officeDocument/2006/relationships/hyperlink" Target="https://www.comcare.gov.au/scheme-legislation/scheme-performance/overview" TargetMode="External"/><Relationship Id="rId24" Type="http://schemas.openxmlformats.org/officeDocument/2006/relationships/hyperlink" Target="https://www.comcare.gov.au/scheme-legislation/scheme-performance/overview" TargetMode="External"/><Relationship Id="rId32" Type="http://schemas.openxmlformats.org/officeDocument/2006/relationships/hyperlink" Target="https://www.anao.gov.au/work/performance-audit/comcares-administration-its-workers-compensation-scheme-claims" TargetMode="External"/><Relationship Id="rId5" Type="http://schemas.openxmlformats.org/officeDocument/2006/relationships/hyperlink" Target="https://www.safeworkaustralia.gov.au/system/files/documents/1909/national_return_to_work_strategy_2020-2030.pdf" TargetMode="External"/><Relationship Id="rId15" Type="http://schemas.openxmlformats.org/officeDocument/2006/relationships/hyperlink" Target="https://data.safeworkaustralia.gov.au/insights/key-whs-stats-2023" TargetMode="External"/><Relationship Id="rId23" Type="http://schemas.openxmlformats.org/officeDocument/2006/relationships/hyperlink" Target="https://www.safeworkaustralia.gov.au/sites/default/files/2024-04/comparison_of_workers_compensation_arrangements_in_australia_and_new_zealand_29th_edition_2023.pdf" TargetMode="External"/><Relationship Id="rId28" Type="http://schemas.openxmlformats.org/officeDocument/2006/relationships/hyperlink" Target="https://www.monash.edu/__data/assets/pdf_file/0012/2928747/Comparison-of-Return-to-Work-Practices-and-Outcomes-in-Self-Insured-and-Scheme-Insured-Organisations.pdf" TargetMode="External"/><Relationship Id="rId10" Type="http://schemas.openxmlformats.org/officeDocument/2006/relationships/hyperlink" Target="https://www.safeworkaustralia.gov.au/doc/research-causes-and-impact-stigma-workplaces-and-approaches-creating-positive-workplace" TargetMode="External"/><Relationship Id="rId19" Type="http://schemas.openxmlformats.org/officeDocument/2006/relationships/hyperlink" Target="https://www.pc.gov.au/inquiries/completed/workers-compensation/report/workerscomp.pdf" TargetMode="External"/><Relationship Id="rId31" Type="http://schemas.openxmlformats.org/officeDocument/2006/relationships/hyperlink" Target="https://www.safeworkaustralia.gov.au/sites/default/files/2022-12/cpm_24_-_workers_compensation_disputes.pdf" TargetMode="External"/><Relationship Id="rId4" Type="http://schemas.openxmlformats.org/officeDocument/2006/relationships/hyperlink" Target="https://www.dewr.gov.au/workers-compensation/resources/safety-rehabilitation-and-compensation-act-review-final-report-mr-peter-hanks-qc" TargetMode="External"/><Relationship Id="rId9" Type="http://schemas.openxmlformats.org/officeDocument/2006/relationships/hyperlink" Target="https://www.comcare.gov.au/scheme-legislation/scheme-performance/claims-performance" TargetMode="External"/><Relationship Id="rId14" Type="http://schemas.openxmlformats.org/officeDocument/2006/relationships/hyperlink" Target="https://www.comcare.gov.au/scheme-legislation/scheme-performance/overview" TargetMode="External"/><Relationship Id="rId22" Type="http://schemas.openxmlformats.org/officeDocument/2006/relationships/hyperlink" Target="https://www.comcare.gov.au/about/forms-pubs/docs/pubs/corporate-publications/comcare-srcc-annual-report-2022-23.PDF" TargetMode="External"/><Relationship Id="rId27" Type="http://schemas.openxmlformats.org/officeDocument/2006/relationships/hyperlink" Target="https://www.comcare.gov.au/about/governance/annual-report" TargetMode="External"/><Relationship Id="rId30" Type="http://schemas.openxmlformats.org/officeDocument/2006/relationships/hyperlink" Target="https://www.safeworkaustralia.gov.au/doc/2021-national-return-work-survey-summary-report" TargetMode="External"/><Relationship Id="rId35" Type="http://schemas.openxmlformats.org/officeDocument/2006/relationships/hyperlink" Target="https://www.comcare.gov.au/scheme-legislation/src-act/guidance/best-practice-decision-making" TargetMode="External"/><Relationship Id="rId8" Type="http://schemas.openxmlformats.org/officeDocument/2006/relationships/hyperlink" Target="https://www.comcare.gov.au/about/forms-pubs/docs/pubs/corporate-publications/comcare-srcc-annual-report-2022-23.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75000"/>
                  </a:schemeClr>
                </a:solidFill>
                <a:latin typeface="+mn-lt"/>
                <a:ea typeface="+mn-ea"/>
                <a:cs typeface="+mn-cs"/>
              </a:defRPr>
            </a:pPr>
            <a:r>
              <a:rPr lang="en-US" sz="1200" b="1">
                <a:solidFill>
                  <a:schemeClr val="accent2"/>
                </a:solidFill>
              </a:rPr>
              <a:t>Claims</a:t>
            </a:r>
            <a:r>
              <a:rPr lang="en-US" sz="1200" b="1" baseline="0">
                <a:solidFill>
                  <a:schemeClr val="accent2"/>
                </a:solidFill>
              </a:rPr>
              <a:t> accepted </a:t>
            </a:r>
            <a:r>
              <a:rPr lang="en-US" sz="1200" b="1">
                <a:solidFill>
                  <a:schemeClr val="accent2"/>
                </a:solidFill>
              </a:rPr>
              <a:t>per 1000 FTE</a:t>
            </a:r>
          </a:p>
        </c:rich>
      </c:tx>
      <c:layout>
        <c:manualLayout>
          <c:xMode val="edge"/>
          <c:yMode val="edge"/>
          <c:x val="4.6512094399037161E-2"/>
          <c:y val="3.548196333530455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7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Claims per 1000FTE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Sheet1!$B$2:$B$12</c:f>
              <c:numCache>
                <c:formatCode>General</c:formatCode>
                <c:ptCount val="11"/>
                <c:pt idx="0">
                  <c:v>17.7</c:v>
                </c:pt>
                <c:pt idx="1">
                  <c:v>15.5</c:v>
                </c:pt>
                <c:pt idx="2">
                  <c:v>12.5</c:v>
                </c:pt>
                <c:pt idx="3">
                  <c:v>11.8</c:v>
                </c:pt>
                <c:pt idx="4">
                  <c:v>11.4</c:v>
                </c:pt>
                <c:pt idx="5">
                  <c:v>11.5</c:v>
                </c:pt>
                <c:pt idx="6">
                  <c:v>11.4</c:v>
                </c:pt>
                <c:pt idx="7">
                  <c:v>11.2</c:v>
                </c:pt>
                <c:pt idx="8">
                  <c:v>9.6999999999999993</c:v>
                </c:pt>
                <c:pt idx="9">
                  <c:v>10</c:v>
                </c:pt>
                <c:pt idx="10">
                  <c:v>10.199999999999999</c:v>
                </c:pt>
              </c:numCache>
            </c:numRef>
          </c:val>
          <c:smooth val="0"/>
          <c:extLst>
            <c:ext xmlns:c16="http://schemas.microsoft.com/office/drawing/2014/chart" uri="{C3380CC4-5D6E-409C-BE32-E72D297353CC}">
              <c16:uniqueId val="{00000000-22E2-48BA-99E5-4E853814A68F}"/>
            </c:ext>
          </c:extLst>
        </c:ser>
        <c:dLbls>
          <c:dLblPos val="t"/>
          <c:showLegendKey val="0"/>
          <c:showVal val="1"/>
          <c:showCatName val="0"/>
          <c:showSerName val="0"/>
          <c:showPercent val="0"/>
          <c:showBubbleSize val="0"/>
        </c:dLbls>
        <c:marker val="1"/>
        <c:smooth val="0"/>
        <c:axId val="1610176128"/>
        <c:axId val="1602470240"/>
      </c:lineChart>
      <c:catAx>
        <c:axId val="1610176128"/>
        <c:scaling>
          <c:orientation val="minMax"/>
        </c:scaling>
        <c:delete val="0"/>
        <c:axPos val="b"/>
        <c:numFmt formatCode="General" sourceLinked="1"/>
        <c:majorTickMark val="none"/>
        <c:minorTickMark val="none"/>
        <c:tickLblPos val="nextTo"/>
        <c:spPr>
          <a:no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rot="-2700000" spcFirstLastPara="1" vertOverflow="ellipsis" wrap="square" anchor="ctr" anchorCtr="1"/>
          <a:lstStyle/>
          <a:p>
            <a:pPr>
              <a:defRPr sz="900" b="0" i="0" u="none" strike="noStrike" kern="1200" baseline="0">
                <a:solidFill>
                  <a:schemeClr val="tx1">
                    <a:lumMod val="75000"/>
                  </a:schemeClr>
                </a:solidFill>
                <a:latin typeface="+mn-lt"/>
                <a:ea typeface="+mn-ea"/>
                <a:cs typeface="+mn-cs"/>
              </a:defRPr>
            </a:pPr>
            <a:endParaRPr lang="en-US"/>
          </a:p>
        </c:txPr>
        <c:crossAx val="1602470240"/>
        <c:crosses val="autoZero"/>
        <c:auto val="1"/>
        <c:lblAlgn val="ctr"/>
        <c:lblOffset val="100"/>
        <c:noMultiLvlLbl val="0"/>
      </c:catAx>
      <c:valAx>
        <c:axId val="160247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75000"/>
                  </a:schemeClr>
                </a:solidFill>
                <a:latin typeface="+mn-lt"/>
                <a:ea typeface="+mn-ea"/>
                <a:cs typeface="+mn-cs"/>
              </a:defRPr>
            </a:pPr>
            <a:endParaRPr lang="en-US"/>
          </a:p>
        </c:txPr>
        <c:crossAx val="1610176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75000"/>
            </a:schemeClr>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accent2"/>
                </a:solidFill>
              </a:rPr>
              <a:t>Serious claims accepted per 1000 FTE</a:t>
            </a:r>
          </a:p>
        </c:rich>
      </c:tx>
      <c:layout>
        <c:manualLayout>
          <c:xMode val="edge"/>
          <c:yMode val="edge"/>
          <c:x val="5.5887691092930923E-2"/>
          <c:y val="4.05267837902772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770262297231347"/>
          <c:y val="0.23908575202124197"/>
          <c:w val="0.84159432429873182"/>
          <c:h val="0.55412617686039101"/>
        </c:manualLayout>
      </c:layout>
      <c:lineChart>
        <c:grouping val="standard"/>
        <c:varyColors val="0"/>
        <c:ser>
          <c:idx val="0"/>
          <c:order val="0"/>
          <c:tx>
            <c:strRef>
              <c:f>Sheet1!$B$1</c:f>
              <c:strCache>
                <c:ptCount val="1"/>
                <c:pt idx="0">
                  <c:v>Series claims received per 1000 FTE by financial year (scheme)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Sheet1!$B$2:$B$12</c:f>
              <c:numCache>
                <c:formatCode>0.0;\-0.0</c:formatCode>
                <c:ptCount val="11"/>
                <c:pt idx="0">
                  <c:v>8.3755791768874399</c:v>
                </c:pt>
                <c:pt idx="1">
                  <c:v>7.2899984943675697</c:v>
                </c:pt>
                <c:pt idx="2">
                  <c:v>6.2354299775513704</c:v>
                </c:pt>
                <c:pt idx="3">
                  <c:v>5.8092470551605997</c:v>
                </c:pt>
                <c:pt idx="4">
                  <c:v>5.5991185903638403</c:v>
                </c:pt>
                <c:pt idx="5">
                  <c:v>6.3362728053455104</c:v>
                </c:pt>
                <c:pt idx="6">
                  <c:v>6.4137795414551002</c:v>
                </c:pt>
                <c:pt idx="7">
                  <c:v>6.6674789813573803</c:v>
                </c:pt>
                <c:pt idx="8">
                  <c:v>5.9967697639149904</c:v>
                </c:pt>
                <c:pt idx="9">
                  <c:v>5.8600705077985902</c:v>
                </c:pt>
                <c:pt idx="10">
                  <c:v>6.2199424252259803</c:v>
                </c:pt>
              </c:numCache>
            </c:numRef>
          </c:val>
          <c:smooth val="0"/>
          <c:extLst>
            <c:ext xmlns:c16="http://schemas.microsoft.com/office/drawing/2014/chart" uri="{C3380CC4-5D6E-409C-BE32-E72D297353CC}">
              <c16:uniqueId val="{00000000-CD25-483B-A958-4666A931ED60}"/>
            </c:ext>
          </c:extLst>
        </c:ser>
        <c:dLbls>
          <c:dLblPos val="t"/>
          <c:showLegendKey val="0"/>
          <c:showVal val="1"/>
          <c:showCatName val="0"/>
          <c:showSerName val="0"/>
          <c:showPercent val="0"/>
          <c:showBubbleSize val="0"/>
        </c:dLbls>
        <c:marker val="1"/>
        <c:smooth val="0"/>
        <c:axId val="1198094591"/>
        <c:axId val="1198105151"/>
      </c:lineChart>
      <c:catAx>
        <c:axId val="1198094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105151"/>
        <c:crosses val="autoZero"/>
        <c:auto val="1"/>
        <c:lblAlgn val="ctr"/>
        <c:lblOffset val="100"/>
        <c:noMultiLvlLbl val="0"/>
      </c:catAx>
      <c:valAx>
        <c:axId val="1198105151"/>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0945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14454622585572"/>
          <c:y val="6.3090359319120201E-2"/>
          <c:w val="0.83879942825757237"/>
          <c:h val="0.64065939126030302"/>
        </c:manualLayout>
      </c:layout>
      <c:lineChart>
        <c:grouping val="standard"/>
        <c:varyColors val="0"/>
        <c:ser>
          <c:idx val="0"/>
          <c:order val="0"/>
          <c:tx>
            <c:strRef>
              <c:f>'1(ii)'!$B$30</c:f>
              <c:strCache>
                <c:ptCount val="1"/>
                <c:pt idx="0">
                  <c:v>Scheme</c:v>
                </c:pt>
              </c:strCache>
            </c:strRef>
          </c:tx>
          <c:spPr>
            <a:ln w="28575" cap="rnd">
              <a:solidFill>
                <a:srgbClr val="7030A0"/>
              </a:solidFill>
              <a:round/>
            </a:ln>
            <a:effectLst/>
          </c:spPr>
          <c:marker>
            <c:symbol val="none"/>
          </c:marker>
          <c:dLbls>
            <c:dLbl>
              <c:idx val="2"/>
              <c:layout>
                <c:manualLayout>
                  <c:x val="-3.5029288791731221E-2"/>
                  <c:y val="-3.2632160173061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B0-4FA6-8084-B127F4D2AB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'1(ii)'!$C$29:$L$29</c:f>
              <c:strCache>
                <c:ptCount val="10"/>
                <c:pt idx="0">
                  <c:v>2014-15</c:v>
                </c:pt>
                <c:pt idx="1">
                  <c:v>2015-16</c:v>
                </c:pt>
                <c:pt idx="2">
                  <c:v>2016-17</c:v>
                </c:pt>
                <c:pt idx="3">
                  <c:v>2017-18</c:v>
                </c:pt>
                <c:pt idx="4">
                  <c:v>2018-19</c:v>
                </c:pt>
                <c:pt idx="5">
                  <c:v>2019-20</c:v>
                </c:pt>
                <c:pt idx="6">
                  <c:v>2020-21</c:v>
                </c:pt>
                <c:pt idx="7">
                  <c:v>2021-22</c:v>
                </c:pt>
                <c:pt idx="8">
                  <c:v>2022-23</c:v>
                </c:pt>
                <c:pt idx="9">
                  <c:v>2023-24</c:v>
                </c:pt>
              </c:strCache>
            </c:strRef>
          </c:cat>
          <c:val>
            <c:numRef>
              <c:f>'1(ii)'!$C$30:$L$30</c:f>
              <c:numCache>
                <c:formatCode>0.0</c:formatCode>
                <c:ptCount val="10"/>
                <c:pt idx="0">
                  <c:v>5.4815899999999997</c:v>
                </c:pt>
                <c:pt idx="1">
                  <c:v>5.4</c:v>
                </c:pt>
                <c:pt idx="2">
                  <c:v>5.6</c:v>
                </c:pt>
                <c:pt idx="3">
                  <c:v>5.3550000000000004</c:v>
                </c:pt>
                <c:pt idx="4">
                  <c:v>5.31</c:v>
                </c:pt>
                <c:pt idx="5">
                  <c:v>5.3899800000000004</c:v>
                </c:pt>
                <c:pt idx="6">
                  <c:v>6</c:v>
                </c:pt>
                <c:pt idx="7">
                  <c:v>6.2</c:v>
                </c:pt>
                <c:pt idx="8">
                  <c:v>6.11</c:v>
                </c:pt>
                <c:pt idx="9">
                  <c:v>6.7101749999999996</c:v>
                </c:pt>
              </c:numCache>
            </c:numRef>
          </c:val>
          <c:smooth val="0"/>
          <c:extLst>
            <c:ext xmlns:c16="http://schemas.microsoft.com/office/drawing/2014/chart" uri="{C3380CC4-5D6E-409C-BE32-E72D297353CC}">
              <c16:uniqueId val="{00000000-1666-4295-B0A4-75AC10550111}"/>
            </c:ext>
          </c:extLst>
        </c:ser>
        <c:ser>
          <c:idx val="1"/>
          <c:order val="1"/>
          <c:tx>
            <c:strRef>
              <c:f>'1(ii)'!$B$31</c:f>
              <c:strCache>
                <c:ptCount val="1"/>
                <c:pt idx="0">
                  <c:v>Licensees</c:v>
                </c:pt>
              </c:strCache>
            </c:strRef>
          </c:tx>
          <c:spPr>
            <a:ln w="28575" cap="rnd">
              <a:solidFill>
                <a:schemeClr val="bg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'1(ii)'!$C$29:$L$29</c:f>
              <c:strCache>
                <c:ptCount val="10"/>
                <c:pt idx="0">
                  <c:v>2014-15</c:v>
                </c:pt>
                <c:pt idx="1">
                  <c:v>2015-16</c:v>
                </c:pt>
                <c:pt idx="2">
                  <c:v>2016-17</c:v>
                </c:pt>
                <c:pt idx="3">
                  <c:v>2017-18</c:v>
                </c:pt>
                <c:pt idx="4">
                  <c:v>2018-19</c:v>
                </c:pt>
                <c:pt idx="5">
                  <c:v>2019-20</c:v>
                </c:pt>
                <c:pt idx="6">
                  <c:v>2020-21</c:v>
                </c:pt>
                <c:pt idx="7">
                  <c:v>2021-22</c:v>
                </c:pt>
                <c:pt idx="8">
                  <c:v>2022-23</c:v>
                </c:pt>
                <c:pt idx="9">
                  <c:v>2023-24</c:v>
                </c:pt>
              </c:strCache>
            </c:strRef>
          </c:cat>
          <c:val>
            <c:numRef>
              <c:f>'1(ii)'!$C$31:$L$31</c:f>
              <c:numCache>
                <c:formatCode>0.0</c:formatCode>
                <c:ptCount val="10"/>
                <c:pt idx="0">
                  <c:v>4.5406550000000001</c:v>
                </c:pt>
                <c:pt idx="1">
                  <c:v>4.8</c:v>
                </c:pt>
                <c:pt idx="2">
                  <c:v>5.2</c:v>
                </c:pt>
                <c:pt idx="3">
                  <c:v>4.8890899999999995</c:v>
                </c:pt>
                <c:pt idx="4">
                  <c:v>4.5599999999999996</c:v>
                </c:pt>
                <c:pt idx="5">
                  <c:v>4.6470549999999999</c:v>
                </c:pt>
                <c:pt idx="6">
                  <c:v>5.28</c:v>
                </c:pt>
                <c:pt idx="7">
                  <c:v>5.5911549999999997</c:v>
                </c:pt>
                <c:pt idx="8">
                  <c:v>5.4196200000000001</c:v>
                </c:pt>
                <c:pt idx="9">
                  <c:v>5.89</c:v>
                </c:pt>
              </c:numCache>
            </c:numRef>
          </c:val>
          <c:smooth val="0"/>
          <c:extLst>
            <c:ext xmlns:c16="http://schemas.microsoft.com/office/drawing/2014/chart" uri="{C3380CC4-5D6E-409C-BE32-E72D297353CC}">
              <c16:uniqueId val="{00000001-1666-4295-B0A4-75AC10550111}"/>
            </c:ext>
          </c:extLst>
        </c:ser>
        <c:ser>
          <c:idx val="2"/>
          <c:order val="2"/>
          <c:tx>
            <c:strRef>
              <c:f>'1(ii)'!$B$32</c:f>
              <c:strCache>
                <c:ptCount val="1"/>
                <c:pt idx="0">
                  <c:v>Premium payers</c:v>
                </c:pt>
              </c:strCache>
            </c:strRef>
          </c:tx>
          <c:spPr>
            <a:ln w="28575"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'1(ii)'!$C$29:$L$29</c:f>
              <c:strCache>
                <c:ptCount val="10"/>
                <c:pt idx="0">
                  <c:v>2014-15</c:v>
                </c:pt>
                <c:pt idx="1">
                  <c:v>2015-16</c:v>
                </c:pt>
                <c:pt idx="2">
                  <c:v>2016-17</c:v>
                </c:pt>
                <c:pt idx="3">
                  <c:v>2017-18</c:v>
                </c:pt>
                <c:pt idx="4">
                  <c:v>2018-19</c:v>
                </c:pt>
                <c:pt idx="5">
                  <c:v>2019-20</c:v>
                </c:pt>
                <c:pt idx="6">
                  <c:v>2020-21</c:v>
                </c:pt>
                <c:pt idx="7">
                  <c:v>2021-22</c:v>
                </c:pt>
                <c:pt idx="8">
                  <c:v>2022-23</c:v>
                </c:pt>
                <c:pt idx="9">
                  <c:v>2023-24</c:v>
                </c:pt>
              </c:strCache>
            </c:strRef>
          </c:cat>
          <c:val>
            <c:numRef>
              <c:f>'1(ii)'!$C$32:$L$32</c:f>
              <c:numCache>
                <c:formatCode>0.0</c:formatCode>
                <c:ptCount val="10"/>
                <c:pt idx="0">
                  <c:v>7.6933299999999996</c:v>
                </c:pt>
                <c:pt idx="1">
                  <c:v>7.426215</c:v>
                </c:pt>
                <c:pt idx="2">
                  <c:v>6.95</c:v>
                </c:pt>
                <c:pt idx="3">
                  <c:v>6.9870850000000004</c:v>
                </c:pt>
                <c:pt idx="4">
                  <c:v>8.4745999999999988</c:v>
                </c:pt>
                <c:pt idx="5">
                  <c:v>9.1319800000000004</c:v>
                </c:pt>
                <c:pt idx="6">
                  <c:v>11.56</c:v>
                </c:pt>
                <c:pt idx="7">
                  <c:v>11.989989999999999</c:v>
                </c:pt>
                <c:pt idx="8">
                  <c:v>13.2</c:v>
                </c:pt>
                <c:pt idx="9">
                  <c:v>13.213329999999999</c:v>
                </c:pt>
              </c:numCache>
            </c:numRef>
          </c:val>
          <c:smooth val="0"/>
          <c:extLst>
            <c:ext xmlns:c16="http://schemas.microsoft.com/office/drawing/2014/chart" uri="{C3380CC4-5D6E-409C-BE32-E72D297353CC}">
              <c16:uniqueId val="{00000002-1666-4295-B0A4-75AC10550111}"/>
            </c:ext>
          </c:extLst>
        </c:ser>
        <c:dLbls>
          <c:dLblPos val="ctr"/>
          <c:showLegendKey val="0"/>
          <c:showVal val="1"/>
          <c:showCatName val="0"/>
          <c:showSerName val="0"/>
          <c:showPercent val="0"/>
          <c:showBubbleSize val="0"/>
        </c:dLbls>
        <c:smooth val="0"/>
        <c:axId val="390791168"/>
        <c:axId val="390792704"/>
      </c:lineChart>
      <c:catAx>
        <c:axId val="39079116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168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792704"/>
        <c:crosses val="autoZero"/>
        <c:auto val="1"/>
        <c:lblAlgn val="ctr"/>
        <c:lblOffset val="100"/>
        <c:noMultiLvlLbl val="0"/>
      </c:catAx>
      <c:valAx>
        <c:axId val="390792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Median incapacity (weeks)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79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48902043832966"/>
          <c:y val="0.13444372001270541"/>
          <c:w val="0.81769148497683275"/>
          <c:h val="0.63775080662687877"/>
        </c:manualLayout>
      </c:layout>
      <c:lineChart>
        <c:grouping val="standard"/>
        <c:varyColors val="0"/>
        <c:ser>
          <c:idx val="0"/>
          <c:order val="0"/>
          <c:tx>
            <c:strRef>
              <c:f>Sheet1!$B$1</c:f>
              <c:strCache>
                <c:ptCount val="1"/>
                <c:pt idx="0">
                  <c:v>Scheme</c:v>
                </c:pt>
              </c:strCache>
            </c:strRef>
          </c:tx>
          <c:spPr>
            <a:ln w="28575" cap="rnd">
              <a:solidFill>
                <a:srgbClr val="9900CC"/>
              </a:solidFill>
              <a:round/>
            </a:ln>
            <a:effectLst/>
          </c:spPr>
          <c:marker>
            <c:symbol val="circle"/>
            <c:size val="5"/>
            <c:spPr>
              <a:solidFill>
                <a:srgbClr val="9900CC"/>
              </a:solidFill>
              <a:ln w="9525">
                <a:noFill/>
              </a:ln>
              <a:effectLst/>
            </c:spPr>
          </c:marker>
          <c:dLbls>
            <c:dLbl>
              <c:idx val="0"/>
              <c:layout>
                <c:manualLayout>
                  <c:x val="-6.5403698691926027E-2"/>
                  <c:y val="1.28127134793082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28E-427D-AD26-368E274CD55E}"/>
                </c:ext>
              </c:extLst>
            </c:dLbl>
            <c:dLbl>
              <c:idx val="1"/>
              <c:layout>
                <c:manualLayout>
                  <c:x val="-3.8340099233198054E-2"/>
                  <c:y val="2.7424585625426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28E-427D-AD26-368E274CD55E}"/>
                </c:ext>
              </c:extLst>
            </c:dLbl>
            <c:dLbl>
              <c:idx val="2"/>
              <c:layout>
                <c:manualLayout>
                  <c:x val="-4.5105999097880101E-2"/>
                  <c:y val="-3.4675870995577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28E-427D-AD26-368E274CD55E}"/>
                </c:ext>
              </c:extLst>
            </c:dLbl>
            <c:dLbl>
              <c:idx val="3"/>
              <c:layout>
                <c:manualLayout>
                  <c:x val="-4.0595399188092018E-2"/>
                  <c:y val="-2.73699349225182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28E-427D-AD26-368E274CD55E}"/>
                </c:ext>
              </c:extLst>
            </c:dLbl>
            <c:dLbl>
              <c:idx val="4"/>
              <c:layout>
                <c:manualLayout>
                  <c:x val="-3.8340099233198012E-2"/>
                  <c:y val="-2.73699349225182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28E-427D-AD26-368E274CD55E}"/>
                </c:ext>
              </c:extLst>
            </c:dLbl>
            <c:dLbl>
              <c:idx val="5"/>
              <c:layout>
                <c:manualLayout>
                  <c:x val="-3.8340099233198095E-2"/>
                  <c:y val="-3.4675870995577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28E-427D-AD26-368E274CD55E}"/>
                </c:ext>
              </c:extLst>
            </c:dLbl>
            <c:dLbl>
              <c:idx val="6"/>
              <c:layout>
                <c:manualLayout>
                  <c:x val="-3.8340099233198012E-2"/>
                  <c:y val="-3.4675870995577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28E-427D-AD26-368E274CD55E}"/>
                </c:ext>
              </c:extLst>
            </c:dLbl>
            <c:dLbl>
              <c:idx val="7"/>
              <c:layout>
                <c:manualLayout>
                  <c:x val="-4.0595399188091935E-2"/>
                  <c:y val="-3.1022902959047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28E-427D-AD26-368E274CD55E}"/>
                </c:ext>
              </c:extLst>
            </c:dLbl>
            <c:dLbl>
              <c:idx val="8"/>
              <c:layout>
                <c:manualLayout>
                  <c:x val="-4.0595399188092018E-2"/>
                  <c:y val="-3.8328839032107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28E-427D-AD26-368E274CD55E}"/>
                </c:ext>
              </c:extLst>
            </c:dLbl>
            <c:dLbl>
              <c:idx val="9"/>
              <c:layout>
                <c:manualLayout>
                  <c:x val="-4.0595399188092018E-2"/>
                  <c:y val="-4.1981807068637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28E-427D-AD26-368E274CD5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2014-15</c:v>
                </c:pt>
                <c:pt idx="1">
                  <c:v>2015-16</c:v>
                </c:pt>
                <c:pt idx="2">
                  <c:v>2016-17</c:v>
                </c:pt>
                <c:pt idx="3">
                  <c:v>2017-18</c:v>
                </c:pt>
                <c:pt idx="4">
                  <c:v>2018-19</c:v>
                </c:pt>
                <c:pt idx="5">
                  <c:v>2019-20</c:v>
                </c:pt>
                <c:pt idx="6">
                  <c:v>2020-21</c:v>
                </c:pt>
                <c:pt idx="7">
                  <c:v>2021-22</c:v>
                </c:pt>
                <c:pt idx="8">
                  <c:v>2022-23</c:v>
                </c:pt>
                <c:pt idx="9">
                  <c:v>2023-24</c:v>
                </c:pt>
              </c:strCache>
            </c:strRef>
          </c:cat>
          <c:val>
            <c:numRef>
              <c:f>Sheet1!$B$2:$B$11</c:f>
              <c:numCache>
                <c:formatCode>0.0</c:formatCode>
                <c:ptCount val="10"/>
                <c:pt idx="0">
                  <c:v>16</c:v>
                </c:pt>
                <c:pt idx="1">
                  <c:v>15.055759999999999</c:v>
                </c:pt>
                <c:pt idx="2">
                  <c:v>15.552665000000001</c:v>
                </c:pt>
                <c:pt idx="3">
                  <c:v>19.01651</c:v>
                </c:pt>
                <c:pt idx="4">
                  <c:v>19.8</c:v>
                </c:pt>
                <c:pt idx="5">
                  <c:v>18.286670000000001</c:v>
                </c:pt>
                <c:pt idx="6">
                  <c:v>21.03125</c:v>
                </c:pt>
                <c:pt idx="7">
                  <c:v>19.945</c:v>
                </c:pt>
                <c:pt idx="8">
                  <c:v>20.8</c:v>
                </c:pt>
                <c:pt idx="9">
                  <c:v>19.339970000000001</c:v>
                </c:pt>
              </c:numCache>
            </c:numRef>
          </c:val>
          <c:smooth val="0"/>
          <c:extLst>
            <c:ext xmlns:c16="http://schemas.microsoft.com/office/drawing/2014/chart" uri="{C3380CC4-5D6E-409C-BE32-E72D297353CC}">
              <c16:uniqueId val="{00000000-DC3E-4112-BCBC-B5DA5343F807}"/>
            </c:ext>
          </c:extLst>
        </c:ser>
        <c:ser>
          <c:idx val="1"/>
          <c:order val="1"/>
          <c:tx>
            <c:strRef>
              <c:f>Sheet1!$C$1</c:f>
              <c:strCache>
                <c:ptCount val="1"/>
                <c:pt idx="0">
                  <c:v>Licensees</c:v>
                </c:pt>
              </c:strCache>
            </c:strRef>
          </c:tx>
          <c:spPr>
            <a:ln w="28575" cap="rnd">
              <a:solidFill>
                <a:schemeClr val="bg2"/>
              </a:solidFill>
              <a:round/>
            </a:ln>
            <a:effectLst/>
          </c:spPr>
          <c:marker>
            <c:symbol val="circle"/>
            <c:size val="5"/>
            <c:spPr>
              <a:solidFill>
                <a:schemeClr val="bg2"/>
              </a:solidFill>
              <a:ln w="9525">
                <a:noFill/>
              </a:ln>
              <a:effectLst/>
            </c:spPr>
          </c:marker>
          <c:dLbls>
            <c:dLbl>
              <c:idx val="0"/>
              <c:layout>
                <c:manualLayout>
                  <c:x val="-3.6084799278303992E-2"/>
                  <c:y val="4.20364577715456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28E-427D-AD26-368E274CD55E}"/>
                </c:ext>
              </c:extLst>
            </c:dLbl>
            <c:dLbl>
              <c:idx val="1"/>
              <c:layout>
                <c:manualLayout>
                  <c:x val="-3.8340099233198054E-2"/>
                  <c:y val="3.10775536619567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8E-427D-AD26-368E274CD55E}"/>
                </c:ext>
              </c:extLst>
            </c:dLbl>
            <c:dLbl>
              <c:idx val="2"/>
              <c:layout>
                <c:manualLayout>
                  <c:x val="-2.4808299503834091E-2"/>
                  <c:y val="2.37716175888972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8E-427D-AD26-368E274CD55E}"/>
                </c:ext>
              </c:extLst>
            </c:dLbl>
            <c:dLbl>
              <c:idx val="3"/>
              <c:layout>
                <c:manualLayout>
                  <c:x val="-3.1574199368516097E-2"/>
                  <c:y val="2.7424585625426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8E-427D-AD26-368E274CD55E}"/>
                </c:ext>
              </c:extLst>
            </c:dLbl>
            <c:dLbl>
              <c:idx val="4"/>
              <c:layout>
                <c:manualLayout>
                  <c:x val="-4.5105999097880101E-2"/>
                  <c:y val="3.8383489735015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8E-427D-AD26-368E274CD55E}"/>
                </c:ext>
              </c:extLst>
            </c:dLbl>
            <c:dLbl>
              <c:idx val="5"/>
              <c:layout>
                <c:manualLayout>
                  <c:x val="-3.8340099233198095E-2"/>
                  <c:y val="2.194513357063243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5.1871898962562023E-2"/>
                      <c:h val="4.7433933771977133E-2"/>
                    </c:manualLayout>
                  </c15:layout>
                </c:ext>
                <c:ext xmlns:c16="http://schemas.microsoft.com/office/drawing/2014/chart" uri="{C3380CC4-5D6E-409C-BE32-E72D297353CC}">
                  <c16:uniqueId val="{00000004-428E-427D-AD26-368E274CD55E}"/>
                </c:ext>
              </c:extLst>
            </c:dLbl>
            <c:dLbl>
              <c:idx val="6"/>
              <c:layout>
                <c:manualLayout>
                  <c:x val="-2.7063599458728011E-2"/>
                  <c:y val="2.7424585625426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8E-427D-AD26-368E274CD55E}"/>
                </c:ext>
              </c:extLst>
            </c:dLbl>
            <c:dLbl>
              <c:idx val="7"/>
              <c:layout>
                <c:manualLayout>
                  <c:x val="-3.1574199368516014E-2"/>
                  <c:y val="3.1077553661956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8E-427D-AD26-368E274CD55E}"/>
                </c:ext>
              </c:extLst>
            </c:dLbl>
            <c:dLbl>
              <c:idx val="8"/>
              <c:layout>
                <c:manualLayout>
                  <c:x val="-4.2850699142986018E-2"/>
                  <c:y val="3.1077553661956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8E-427D-AD26-368E274CD55E}"/>
                </c:ext>
              </c:extLst>
            </c:dLbl>
            <c:dLbl>
              <c:idx val="9"/>
              <c:layout>
                <c:manualLayout>
                  <c:x val="-4.2850699142986018E-2"/>
                  <c:y val="2.7424585625426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28E-427D-AD26-368E274CD5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2014-15</c:v>
                </c:pt>
                <c:pt idx="1">
                  <c:v>2015-16</c:v>
                </c:pt>
                <c:pt idx="2">
                  <c:v>2016-17</c:v>
                </c:pt>
                <c:pt idx="3">
                  <c:v>2017-18</c:v>
                </c:pt>
                <c:pt idx="4">
                  <c:v>2018-19</c:v>
                </c:pt>
                <c:pt idx="5">
                  <c:v>2019-20</c:v>
                </c:pt>
                <c:pt idx="6">
                  <c:v>2020-21</c:v>
                </c:pt>
                <c:pt idx="7">
                  <c:v>2021-22</c:v>
                </c:pt>
                <c:pt idx="8">
                  <c:v>2022-23</c:v>
                </c:pt>
                <c:pt idx="9">
                  <c:v>2023-24</c:v>
                </c:pt>
              </c:strCache>
            </c:strRef>
          </c:cat>
          <c:val>
            <c:numRef>
              <c:f>Sheet1!$C$2:$C$11</c:f>
              <c:numCache>
                <c:formatCode>0.0</c:formatCode>
                <c:ptCount val="10"/>
                <c:pt idx="0">
                  <c:v>14.21936</c:v>
                </c:pt>
                <c:pt idx="1">
                  <c:v>10.46452</c:v>
                </c:pt>
                <c:pt idx="2">
                  <c:v>12.5</c:v>
                </c:pt>
                <c:pt idx="3">
                  <c:v>15.991555000000002</c:v>
                </c:pt>
                <c:pt idx="4">
                  <c:v>17.415125</c:v>
                </c:pt>
                <c:pt idx="5">
                  <c:v>12.4</c:v>
                </c:pt>
                <c:pt idx="6">
                  <c:v>14</c:v>
                </c:pt>
                <c:pt idx="7">
                  <c:v>15.8</c:v>
                </c:pt>
                <c:pt idx="8">
                  <c:v>15.763</c:v>
                </c:pt>
                <c:pt idx="9">
                  <c:v>12.787739999999999</c:v>
                </c:pt>
              </c:numCache>
            </c:numRef>
          </c:val>
          <c:smooth val="0"/>
          <c:extLst>
            <c:ext xmlns:c16="http://schemas.microsoft.com/office/drawing/2014/chart" uri="{C3380CC4-5D6E-409C-BE32-E72D297353CC}">
              <c16:uniqueId val="{00000001-DC3E-4112-BCBC-B5DA5343F807}"/>
            </c:ext>
          </c:extLst>
        </c:ser>
        <c:ser>
          <c:idx val="2"/>
          <c:order val="2"/>
          <c:tx>
            <c:strRef>
              <c:f>Sheet1!$D$1</c:f>
              <c:strCache>
                <c:ptCount val="1"/>
                <c:pt idx="0">
                  <c:v>Premium payers</c:v>
                </c:pt>
              </c:strCache>
            </c:strRef>
          </c:tx>
          <c:spPr>
            <a:ln w="28575" cap="rnd">
              <a:solidFill>
                <a:schemeClr val="tx1"/>
              </a:solidFill>
              <a:round/>
            </a:ln>
            <a:effectLst/>
          </c:spPr>
          <c:marker>
            <c:symbol val="circle"/>
            <c:size val="5"/>
            <c:spPr>
              <a:solidFill>
                <a:schemeClr val="tx1"/>
              </a:solidFill>
              <a:ln w="9525">
                <a:noFill/>
              </a:ln>
              <a:effectLst/>
            </c:spPr>
          </c:marker>
          <c:dLbls>
            <c:dLbl>
              <c:idx val="0"/>
              <c:layout>
                <c:manualLayout>
                  <c:x val="-4.2850699142986018E-2"/>
                  <c:y val="-4.5634775105166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28E-427D-AD26-368E274CD55E}"/>
                </c:ext>
              </c:extLst>
            </c:dLbl>
            <c:dLbl>
              <c:idx val="1"/>
              <c:layout>
                <c:manualLayout>
                  <c:x val="-4.2850699142986018E-2"/>
                  <c:y val="-3.8328839032107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28E-427D-AD26-368E274CD55E}"/>
                </c:ext>
              </c:extLst>
            </c:dLbl>
            <c:dLbl>
              <c:idx val="7"/>
              <c:layout>
                <c:manualLayout>
                  <c:x val="-4.0595399188091935E-2"/>
                  <c:y val="-3.46758709955776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28E-427D-AD26-368E274CD55E}"/>
                </c:ext>
              </c:extLst>
            </c:dLbl>
            <c:dLbl>
              <c:idx val="8"/>
              <c:layout>
                <c:manualLayout>
                  <c:x val="-4.0595399188092018E-2"/>
                  <c:y val="-3.83288390321073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28E-427D-AD26-368E274CD5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2014-15</c:v>
                </c:pt>
                <c:pt idx="1">
                  <c:v>2015-16</c:v>
                </c:pt>
                <c:pt idx="2">
                  <c:v>2016-17</c:v>
                </c:pt>
                <c:pt idx="3">
                  <c:v>2017-18</c:v>
                </c:pt>
                <c:pt idx="4">
                  <c:v>2018-19</c:v>
                </c:pt>
                <c:pt idx="5">
                  <c:v>2019-20</c:v>
                </c:pt>
                <c:pt idx="6">
                  <c:v>2020-21</c:v>
                </c:pt>
                <c:pt idx="7">
                  <c:v>2021-22</c:v>
                </c:pt>
                <c:pt idx="8">
                  <c:v>2022-23</c:v>
                </c:pt>
                <c:pt idx="9">
                  <c:v>2023-24</c:v>
                </c:pt>
              </c:strCache>
            </c:strRef>
          </c:cat>
          <c:val>
            <c:numRef>
              <c:f>Sheet1!$D$2:$D$11</c:f>
              <c:numCache>
                <c:formatCode>0.0</c:formatCode>
                <c:ptCount val="10"/>
                <c:pt idx="0">
                  <c:v>16.773330000000001</c:v>
                </c:pt>
                <c:pt idx="1">
                  <c:v>16.01136</c:v>
                </c:pt>
                <c:pt idx="2">
                  <c:v>19.350004999999999</c:v>
                </c:pt>
                <c:pt idx="3">
                  <c:v>22.52</c:v>
                </c:pt>
                <c:pt idx="4">
                  <c:v>23.236730000000001</c:v>
                </c:pt>
                <c:pt idx="5">
                  <c:v>25.129555</c:v>
                </c:pt>
                <c:pt idx="6">
                  <c:v>26.42</c:v>
                </c:pt>
                <c:pt idx="7">
                  <c:v>31.052630000000001</c:v>
                </c:pt>
                <c:pt idx="8">
                  <c:v>31.50667</c:v>
                </c:pt>
                <c:pt idx="9">
                  <c:v>26.98</c:v>
                </c:pt>
              </c:numCache>
            </c:numRef>
          </c:val>
          <c:smooth val="0"/>
          <c:extLst>
            <c:ext xmlns:c16="http://schemas.microsoft.com/office/drawing/2014/chart" uri="{C3380CC4-5D6E-409C-BE32-E72D297353CC}">
              <c16:uniqueId val="{00000002-DC3E-4112-BCBC-B5DA5343F807}"/>
            </c:ext>
          </c:extLst>
        </c:ser>
        <c:dLbls>
          <c:dLblPos val="t"/>
          <c:showLegendKey val="0"/>
          <c:showVal val="1"/>
          <c:showCatName val="0"/>
          <c:showSerName val="0"/>
          <c:showPercent val="0"/>
          <c:showBubbleSize val="0"/>
        </c:dLbls>
        <c:marker val="1"/>
        <c:smooth val="0"/>
        <c:axId val="1780246656"/>
        <c:axId val="208121023"/>
      </c:lineChart>
      <c:catAx>
        <c:axId val="178024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121023"/>
        <c:crosses val="autoZero"/>
        <c:auto val="0"/>
        <c:lblAlgn val="ctr"/>
        <c:lblOffset val="100"/>
        <c:noMultiLvlLbl val="0"/>
      </c:catAx>
      <c:valAx>
        <c:axId val="2081210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024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0.02054</cdr:x>
      <cdr:y>0.10719</cdr:y>
    </cdr:from>
    <cdr:to>
      <cdr:x>0.07916</cdr:x>
      <cdr:y>0.80151</cdr:y>
    </cdr:to>
    <cdr:sp macro="" textlink="">
      <cdr:nvSpPr>
        <cdr:cNvPr id="2" name="Text Box 2"/>
        <cdr:cNvSpPr txBox="1">
          <a:spLocks xmlns:a="http://schemas.openxmlformats.org/drawingml/2006/main" noChangeArrowheads="1"/>
        </cdr:cNvSpPr>
      </cdr:nvSpPr>
      <cdr:spPr bwMode="auto">
        <a:xfrm xmlns:a="http://schemas.openxmlformats.org/drawingml/2006/main" rot="16200000">
          <a:off x="-790760" y="1213357"/>
          <a:ext cx="2076619" cy="29108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15000"/>
            </a:lnSpc>
            <a:spcAft>
              <a:spcPts val="800"/>
            </a:spcAft>
          </a:pPr>
          <a:r>
            <a:rPr lang="en-AU" sz="1100" kern="100">
              <a:effectLst/>
              <a:latin typeface="Aptos" panose="020B0004020202020204" pitchFamily="34" charset="0"/>
              <a:ea typeface="Times New Roman" panose="02020603050405020304" pitchFamily="18" charset="0"/>
              <a:cs typeface="Times New Roman" panose="02020603050405020304" pitchFamily="18" charset="0"/>
            </a:rPr>
            <a:t>Median</a:t>
          </a:r>
          <a:r>
            <a:rPr lang="en-AU" sz="1100" kern="100" baseline="0">
              <a:effectLst/>
              <a:latin typeface="Aptos" panose="020B0004020202020204" pitchFamily="34" charset="0"/>
              <a:ea typeface="Times New Roman" panose="02020603050405020304" pitchFamily="18" charset="0"/>
              <a:cs typeface="Times New Roman" panose="02020603050405020304" pitchFamily="18" charset="0"/>
            </a:rPr>
            <a:t> incapacity (weeks)</a:t>
          </a:r>
          <a:endParaRPr lang="en-AU" sz="1100" kern="100">
            <a:effectLst/>
            <a:latin typeface="Aptos" panose="020B0004020202020204" pitchFamily="34" charset="0"/>
            <a:ea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SRC REVIEW ACT">
      <a:dk1>
        <a:srgbClr val="0D2C6C"/>
      </a:dk1>
      <a:lt1>
        <a:sysClr val="window" lastClr="FFFFFF"/>
      </a:lt1>
      <a:dk2>
        <a:srgbClr val="404246"/>
      </a:dk2>
      <a:lt2>
        <a:srgbClr val="009B9F"/>
      </a:lt2>
      <a:accent1>
        <a:srgbClr val="394390"/>
      </a:accent1>
      <a:accent2>
        <a:srgbClr val="656DA9"/>
      </a:accent2>
      <a:accent3>
        <a:srgbClr val="DEE0ED"/>
      </a:accent3>
      <a:accent4>
        <a:srgbClr val="DFE1DF"/>
      </a:accent4>
      <a:accent5>
        <a:srgbClr val="777778"/>
      </a:accent5>
      <a:accent6>
        <a:srgbClr val="A4A7A9"/>
      </a:accent6>
      <a:hlink>
        <a:srgbClr val="009B9F"/>
      </a:hlink>
      <a:folHlink>
        <a:srgbClr val="DFE1D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12696</Words>
  <Characters>72368</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84895</CharactersWithSpaces>
  <SharedDoc>false</SharedDoc>
  <HLinks>
    <vt:vector size="384" baseType="variant">
      <vt:variant>
        <vt:i4>2228279</vt:i4>
      </vt:variant>
      <vt:variant>
        <vt:i4>132</vt:i4>
      </vt:variant>
      <vt:variant>
        <vt:i4>0</vt:i4>
      </vt:variant>
      <vt:variant>
        <vt:i4>5</vt:i4>
      </vt:variant>
      <vt:variant>
        <vt:lpwstr>http://www.dewr.gov.au/</vt:lpwstr>
      </vt:variant>
      <vt:variant>
        <vt:lpwstr/>
      </vt:variant>
      <vt:variant>
        <vt:i4>6881317</vt:i4>
      </vt:variant>
      <vt:variant>
        <vt:i4>129</vt:i4>
      </vt:variant>
      <vt:variant>
        <vt:i4>0</vt:i4>
      </vt:variant>
      <vt:variant>
        <vt:i4>5</vt:i4>
      </vt:variant>
      <vt:variant>
        <vt:lpwstr>https://www.beyondblue.org.au/</vt:lpwstr>
      </vt:variant>
      <vt:variant>
        <vt:lpwstr/>
      </vt:variant>
      <vt:variant>
        <vt:i4>6881317</vt:i4>
      </vt:variant>
      <vt:variant>
        <vt:i4>126</vt:i4>
      </vt:variant>
      <vt:variant>
        <vt:i4>0</vt:i4>
      </vt:variant>
      <vt:variant>
        <vt:i4>5</vt:i4>
      </vt:variant>
      <vt:variant>
        <vt:lpwstr>https://www.beyondblue.org.au/</vt:lpwstr>
      </vt:variant>
      <vt:variant>
        <vt:lpwstr/>
      </vt:variant>
      <vt:variant>
        <vt:i4>917583</vt:i4>
      </vt:variant>
      <vt:variant>
        <vt:i4>123</vt:i4>
      </vt:variant>
      <vt:variant>
        <vt:i4>0</vt:i4>
      </vt:variant>
      <vt:variant>
        <vt:i4>5</vt:i4>
      </vt:variant>
      <vt:variant>
        <vt:lpwstr>https://www.lifeline.org.au/</vt:lpwstr>
      </vt:variant>
      <vt:variant>
        <vt:lpwstr/>
      </vt:variant>
      <vt:variant>
        <vt:i4>6357037</vt:i4>
      </vt:variant>
      <vt:variant>
        <vt:i4>117</vt:i4>
      </vt:variant>
      <vt:variant>
        <vt:i4>0</vt:i4>
      </vt:variant>
      <vt:variant>
        <vt:i4>5</vt:i4>
      </vt:variant>
      <vt:variant>
        <vt:lpwstr>https://consultations.dewr.gov.au/</vt:lpwstr>
      </vt:variant>
      <vt:variant>
        <vt:lpwstr/>
      </vt:variant>
      <vt:variant>
        <vt:i4>6684724</vt:i4>
      </vt:variant>
      <vt:variant>
        <vt:i4>114</vt:i4>
      </vt:variant>
      <vt:variant>
        <vt:i4>0</vt:i4>
      </vt:variant>
      <vt:variant>
        <vt:i4>5</vt:i4>
      </vt:variant>
      <vt:variant>
        <vt:lpwstr>https://www.dewr.gov.au/australian-building-and-construction-industry/resources/safety-rehabilitation-and-compensation-act-review-report-dr-allan-hawke-ac</vt:lpwstr>
      </vt:variant>
      <vt:variant>
        <vt:lpwstr/>
      </vt:variant>
      <vt:variant>
        <vt:i4>6881327</vt:i4>
      </vt:variant>
      <vt:variant>
        <vt:i4>111</vt:i4>
      </vt:variant>
      <vt:variant>
        <vt:i4>0</vt:i4>
      </vt:variant>
      <vt:variant>
        <vt:i4>5</vt:i4>
      </vt:variant>
      <vt:variant>
        <vt:lpwstr>https://www.dewr.gov.au/workers-compensation/resources/safety-rehabilitation-and-compensation-act-review-final-report-mr-peter-hanks-qc</vt:lpwstr>
      </vt:variant>
      <vt:variant>
        <vt:lpwstr>:~:text=Mr%20Peter%20Hanks%20QC%20%2D%20the,injured%20workers%20and%20their%20employers.</vt:lpwstr>
      </vt:variant>
      <vt:variant>
        <vt:i4>1769520</vt:i4>
      </vt:variant>
      <vt:variant>
        <vt:i4>104</vt:i4>
      </vt:variant>
      <vt:variant>
        <vt:i4>0</vt:i4>
      </vt:variant>
      <vt:variant>
        <vt:i4>5</vt:i4>
      </vt:variant>
      <vt:variant>
        <vt:lpwstr/>
      </vt:variant>
      <vt:variant>
        <vt:lpwstr>_Toc180174619</vt:lpwstr>
      </vt:variant>
      <vt:variant>
        <vt:i4>1769520</vt:i4>
      </vt:variant>
      <vt:variant>
        <vt:i4>98</vt:i4>
      </vt:variant>
      <vt:variant>
        <vt:i4>0</vt:i4>
      </vt:variant>
      <vt:variant>
        <vt:i4>5</vt:i4>
      </vt:variant>
      <vt:variant>
        <vt:lpwstr/>
      </vt:variant>
      <vt:variant>
        <vt:lpwstr>_Toc180174618</vt:lpwstr>
      </vt:variant>
      <vt:variant>
        <vt:i4>1769520</vt:i4>
      </vt:variant>
      <vt:variant>
        <vt:i4>92</vt:i4>
      </vt:variant>
      <vt:variant>
        <vt:i4>0</vt:i4>
      </vt:variant>
      <vt:variant>
        <vt:i4>5</vt:i4>
      </vt:variant>
      <vt:variant>
        <vt:lpwstr/>
      </vt:variant>
      <vt:variant>
        <vt:lpwstr>_Toc180174617</vt:lpwstr>
      </vt:variant>
      <vt:variant>
        <vt:i4>1769520</vt:i4>
      </vt:variant>
      <vt:variant>
        <vt:i4>86</vt:i4>
      </vt:variant>
      <vt:variant>
        <vt:i4>0</vt:i4>
      </vt:variant>
      <vt:variant>
        <vt:i4>5</vt:i4>
      </vt:variant>
      <vt:variant>
        <vt:lpwstr/>
      </vt:variant>
      <vt:variant>
        <vt:lpwstr>_Toc180174616</vt:lpwstr>
      </vt:variant>
      <vt:variant>
        <vt:i4>1769520</vt:i4>
      </vt:variant>
      <vt:variant>
        <vt:i4>80</vt:i4>
      </vt:variant>
      <vt:variant>
        <vt:i4>0</vt:i4>
      </vt:variant>
      <vt:variant>
        <vt:i4>5</vt:i4>
      </vt:variant>
      <vt:variant>
        <vt:lpwstr/>
      </vt:variant>
      <vt:variant>
        <vt:lpwstr>_Toc180174615</vt:lpwstr>
      </vt:variant>
      <vt:variant>
        <vt:i4>1769520</vt:i4>
      </vt:variant>
      <vt:variant>
        <vt:i4>74</vt:i4>
      </vt:variant>
      <vt:variant>
        <vt:i4>0</vt:i4>
      </vt:variant>
      <vt:variant>
        <vt:i4>5</vt:i4>
      </vt:variant>
      <vt:variant>
        <vt:lpwstr/>
      </vt:variant>
      <vt:variant>
        <vt:lpwstr>_Toc180174614</vt:lpwstr>
      </vt:variant>
      <vt:variant>
        <vt:i4>1769520</vt:i4>
      </vt:variant>
      <vt:variant>
        <vt:i4>68</vt:i4>
      </vt:variant>
      <vt:variant>
        <vt:i4>0</vt:i4>
      </vt:variant>
      <vt:variant>
        <vt:i4>5</vt:i4>
      </vt:variant>
      <vt:variant>
        <vt:lpwstr/>
      </vt:variant>
      <vt:variant>
        <vt:lpwstr>_Toc180174613</vt:lpwstr>
      </vt:variant>
      <vt:variant>
        <vt:i4>1769520</vt:i4>
      </vt:variant>
      <vt:variant>
        <vt:i4>62</vt:i4>
      </vt:variant>
      <vt:variant>
        <vt:i4>0</vt:i4>
      </vt:variant>
      <vt:variant>
        <vt:i4>5</vt:i4>
      </vt:variant>
      <vt:variant>
        <vt:lpwstr/>
      </vt:variant>
      <vt:variant>
        <vt:lpwstr>_Toc180174612</vt:lpwstr>
      </vt:variant>
      <vt:variant>
        <vt:i4>1769520</vt:i4>
      </vt:variant>
      <vt:variant>
        <vt:i4>56</vt:i4>
      </vt:variant>
      <vt:variant>
        <vt:i4>0</vt:i4>
      </vt:variant>
      <vt:variant>
        <vt:i4>5</vt:i4>
      </vt:variant>
      <vt:variant>
        <vt:lpwstr/>
      </vt:variant>
      <vt:variant>
        <vt:lpwstr>_Toc180174611</vt:lpwstr>
      </vt:variant>
      <vt:variant>
        <vt:i4>1769520</vt:i4>
      </vt:variant>
      <vt:variant>
        <vt:i4>50</vt:i4>
      </vt:variant>
      <vt:variant>
        <vt:i4>0</vt:i4>
      </vt:variant>
      <vt:variant>
        <vt:i4>5</vt:i4>
      </vt:variant>
      <vt:variant>
        <vt:lpwstr/>
      </vt:variant>
      <vt:variant>
        <vt:lpwstr>_Toc180174610</vt:lpwstr>
      </vt:variant>
      <vt:variant>
        <vt:i4>1703984</vt:i4>
      </vt:variant>
      <vt:variant>
        <vt:i4>44</vt:i4>
      </vt:variant>
      <vt:variant>
        <vt:i4>0</vt:i4>
      </vt:variant>
      <vt:variant>
        <vt:i4>5</vt:i4>
      </vt:variant>
      <vt:variant>
        <vt:lpwstr/>
      </vt:variant>
      <vt:variant>
        <vt:lpwstr>_Toc180174609</vt:lpwstr>
      </vt:variant>
      <vt:variant>
        <vt:i4>1703984</vt:i4>
      </vt:variant>
      <vt:variant>
        <vt:i4>38</vt:i4>
      </vt:variant>
      <vt:variant>
        <vt:i4>0</vt:i4>
      </vt:variant>
      <vt:variant>
        <vt:i4>5</vt:i4>
      </vt:variant>
      <vt:variant>
        <vt:lpwstr/>
      </vt:variant>
      <vt:variant>
        <vt:lpwstr>_Toc180174608</vt:lpwstr>
      </vt:variant>
      <vt:variant>
        <vt:i4>1703984</vt:i4>
      </vt:variant>
      <vt:variant>
        <vt:i4>32</vt:i4>
      </vt:variant>
      <vt:variant>
        <vt:i4>0</vt:i4>
      </vt:variant>
      <vt:variant>
        <vt:i4>5</vt:i4>
      </vt:variant>
      <vt:variant>
        <vt:lpwstr/>
      </vt:variant>
      <vt:variant>
        <vt:lpwstr>_Toc180174607</vt:lpwstr>
      </vt:variant>
      <vt:variant>
        <vt:i4>1703984</vt:i4>
      </vt:variant>
      <vt:variant>
        <vt:i4>26</vt:i4>
      </vt:variant>
      <vt:variant>
        <vt:i4>0</vt:i4>
      </vt:variant>
      <vt:variant>
        <vt:i4>5</vt:i4>
      </vt:variant>
      <vt:variant>
        <vt:lpwstr/>
      </vt:variant>
      <vt:variant>
        <vt:lpwstr>_Toc180174606</vt:lpwstr>
      </vt:variant>
      <vt:variant>
        <vt:i4>1703984</vt:i4>
      </vt:variant>
      <vt:variant>
        <vt:i4>20</vt:i4>
      </vt:variant>
      <vt:variant>
        <vt:i4>0</vt:i4>
      </vt:variant>
      <vt:variant>
        <vt:i4>5</vt:i4>
      </vt:variant>
      <vt:variant>
        <vt:lpwstr/>
      </vt:variant>
      <vt:variant>
        <vt:lpwstr>_Toc180174605</vt:lpwstr>
      </vt:variant>
      <vt:variant>
        <vt:i4>1703984</vt:i4>
      </vt:variant>
      <vt:variant>
        <vt:i4>14</vt:i4>
      </vt:variant>
      <vt:variant>
        <vt:i4>0</vt:i4>
      </vt:variant>
      <vt:variant>
        <vt:i4>5</vt:i4>
      </vt:variant>
      <vt:variant>
        <vt:lpwstr/>
      </vt:variant>
      <vt:variant>
        <vt:lpwstr>_Toc180174604</vt:lpwstr>
      </vt:variant>
      <vt:variant>
        <vt:i4>1703984</vt:i4>
      </vt:variant>
      <vt:variant>
        <vt:i4>8</vt:i4>
      </vt:variant>
      <vt:variant>
        <vt:i4>0</vt:i4>
      </vt:variant>
      <vt:variant>
        <vt:i4>5</vt:i4>
      </vt:variant>
      <vt:variant>
        <vt:lpwstr/>
      </vt:variant>
      <vt:variant>
        <vt:lpwstr>_Toc180174603</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5373975</vt:i4>
      </vt:variant>
      <vt:variant>
        <vt:i4>102</vt:i4>
      </vt:variant>
      <vt:variant>
        <vt:i4>0</vt:i4>
      </vt:variant>
      <vt:variant>
        <vt:i4>5</vt:i4>
      </vt:variant>
      <vt:variant>
        <vt:lpwstr>https://www.comcare.gov.au/scheme-legislation/src-act/guidance/best-practice-decision-making</vt:lpwstr>
      </vt:variant>
      <vt:variant>
        <vt:lpwstr/>
      </vt:variant>
      <vt:variant>
        <vt:i4>393295</vt:i4>
      </vt:variant>
      <vt:variant>
        <vt:i4>99</vt:i4>
      </vt:variant>
      <vt:variant>
        <vt:i4>0</vt:i4>
      </vt:variant>
      <vt:variant>
        <vt:i4>5</vt:i4>
      </vt:variant>
      <vt:variant>
        <vt:lpwstr>https://www.anao.gov.au/work/performance-audit/comcares-administration-its-workers-compensation-scheme-claims</vt:lpwstr>
      </vt:variant>
      <vt:variant>
        <vt:lpwstr>footnote-016-backlink</vt:lpwstr>
      </vt:variant>
      <vt:variant>
        <vt:i4>393295</vt:i4>
      </vt:variant>
      <vt:variant>
        <vt:i4>96</vt:i4>
      </vt:variant>
      <vt:variant>
        <vt:i4>0</vt:i4>
      </vt:variant>
      <vt:variant>
        <vt:i4>5</vt:i4>
      </vt:variant>
      <vt:variant>
        <vt:lpwstr>https://www.anao.gov.au/work/performance-audit/comcares-administration-its-workers-compensation-scheme-claims</vt:lpwstr>
      </vt:variant>
      <vt:variant>
        <vt:lpwstr>footnote-016-backlink</vt:lpwstr>
      </vt:variant>
      <vt:variant>
        <vt:i4>393295</vt:i4>
      </vt:variant>
      <vt:variant>
        <vt:i4>93</vt:i4>
      </vt:variant>
      <vt:variant>
        <vt:i4>0</vt:i4>
      </vt:variant>
      <vt:variant>
        <vt:i4>5</vt:i4>
      </vt:variant>
      <vt:variant>
        <vt:lpwstr>https://www.anao.gov.au/work/performance-audit/comcares-administration-its-workers-compensation-scheme-claims</vt:lpwstr>
      </vt:variant>
      <vt:variant>
        <vt:lpwstr>footnote-016-backlink</vt:lpwstr>
      </vt:variant>
      <vt:variant>
        <vt:i4>327726</vt:i4>
      </vt:variant>
      <vt:variant>
        <vt:i4>90</vt:i4>
      </vt:variant>
      <vt:variant>
        <vt:i4>0</vt:i4>
      </vt:variant>
      <vt:variant>
        <vt:i4>5</vt:i4>
      </vt:variant>
      <vt:variant>
        <vt:lpwstr>https://www.safeworkaustralia.gov.au/sites/default/files/2022-12/cpm_24_-_workers_compensation_disputes.pdf</vt:lpwstr>
      </vt:variant>
      <vt:variant>
        <vt:lpwstr/>
      </vt:variant>
      <vt:variant>
        <vt:i4>5636160</vt:i4>
      </vt:variant>
      <vt:variant>
        <vt:i4>87</vt:i4>
      </vt:variant>
      <vt:variant>
        <vt:i4>0</vt:i4>
      </vt:variant>
      <vt:variant>
        <vt:i4>5</vt:i4>
      </vt:variant>
      <vt:variant>
        <vt:lpwstr>https://www.safeworkaustralia.gov.au/doc/2021-national-return-work-survey-summary-report</vt:lpwstr>
      </vt:variant>
      <vt:variant>
        <vt:lpwstr/>
      </vt:variant>
      <vt:variant>
        <vt:i4>4063337</vt:i4>
      </vt:variant>
      <vt:variant>
        <vt:i4>84</vt:i4>
      </vt:variant>
      <vt:variant>
        <vt:i4>0</vt:i4>
      </vt:variant>
      <vt:variant>
        <vt:i4>5</vt:i4>
      </vt:variant>
      <vt:variant>
        <vt:lpwstr>https://www.safeworkaustralia.gov.au/sites/default/files/2022-02/2021 National Return to Work Survey Report.pdf</vt:lpwstr>
      </vt:variant>
      <vt:variant>
        <vt:lpwstr/>
      </vt:variant>
      <vt:variant>
        <vt:i4>6094899</vt:i4>
      </vt:variant>
      <vt:variant>
        <vt:i4>81</vt:i4>
      </vt:variant>
      <vt:variant>
        <vt:i4>0</vt:i4>
      </vt:variant>
      <vt:variant>
        <vt:i4>5</vt:i4>
      </vt:variant>
      <vt:variant>
        <vt:lpwstr>https://www.monash.edu/__data/assets/pdf_file/0012/2928747/Comparison-of-Return-to-Work-Practices-and-Outcomes-in-Self-Insured-and-Scheme-Insured-Organisations.pdf</vt:lpwstr>
      </vt:variant>
      <vt:variant>
        <vt:lpwstr/>
      </vt:variant>
      <vt:variant>
        <vt:i4>2031627</vt:i4>
      </vt:variant>
      <vt:variant>
        <vt:i4>78</vt:i4>
      </vt:variant>
      <vt:variant>
        <vt:i4>0</vt:i4>
      </vt:variant>
      <vt:variant>
        <vt:i4>5</vt:i4>
      </vt:variant>
      <vt:variant>
        <vt:lpwstr>https://www.comcare.gov.au/about/governance/annual-report</vt:lpwstr>
      </vt:variant>
      <vt:variant>
        <vt:lpwstr/>
      </vt:variant>
      <vt:variant>
        <vt:i4>3080316</vt:i4>
      </vt:variant>
      <vt:variant>
        <vt:i4>75</vt:i4>
      </vt:variant>
      <vt:variant>
        <vt:i4>0</vt:i4>
      </vt:variant>
      <vt:variant>
        <vt:i4>5</vt:i4>
      </vt:variant>
      <vt:variant>
        <vt:lpwstr>https://www.comcare.gov.au/about/forms-pubs/docs/pubs/research/NRTWS-factsheet.pdf</vt:lpwstr>
      </vt:variant>
      <vt:variant>
        <vt:lpwstr/>
      </vt:variant>
      <vt:variant>
        <vt:i4>2621540</vt:i4>
      </vt:variant>
      <vt:variant>
        <vt:i4>72</vt:i4>
      </vt:variant>
      <vt:variant>
        <vt:i4>0</vt:i4>
      </vt:variant>
      <vt:variant>
        <vt:i4>5</vt:i4>
      </vt:variant>
      <vt:variant>
        <vt:lpwstr>https://www.comcare.gov.au/safe-healthy-work/healthy-workplace/intervene-early</vt:lpwstr>
      </vt:variant>
      <vt:variant>
        <vt:lpwstr/>
      </vt:variant>
      <vt:variant>
        <vt:i4>5373954</vt:i4>
      </vt:variant>
      <vt:variant>
        <vt:i4>69</vt:i4>
      </vt:variant>
      <vt:variant>
        <vt:i4>0</vt:i4>
      </vt:variant>
      <vt:variant>
        <vt:i4>5</vt:i4>
      </vt:variant>
      <vt:variant>
        <vt:lpwstr>https://www.comcare.gov.au/scheme-legislation/scheme-performance/overview</vt:lpwstr>
      </vt:variant>
      <vt:variant>
        <vt:lpwstr/>
      </vt:variant>
      <vt:variant>
        <vt:i4>1310813</vt:i4>
      </vt:variant>
      <vt:variant>
        <vt:i4>66</vt:i4>
      </vt:variant>
      <vt:variant>
        <vt:i4>0</vt:i4>
      </vt:variant>
      <vt:variant>
        <vt:i4>5</vt:i4>
      </vt:variant>
      <vt:variant>
        <vt:lpwstr>https://www.safeworkaustralia.gov.au/sites/default/files/2024-04/comparison_of_workers_compensation_arrangements_in_australia_and_new_zealand_29th_edition_2023.pdf</vt:lpwstr>
      </vt:variant>
      <vt:variant>
        <vt:lpwstr/>
      </vt:variant>
      <vt:variant>
        <vt:i4>7078003</vt:i4>
      </vt:variant>
      <vt:variant>
        <vt:i4>63</vt:i4>
      </vt:variant>
      <vt:variant>
        <vt:i4>0</vt:i4>
      </vt:variant>
      <vt:variant>
        <vt:i4>5</vt:i4>
      </vt:variant>
      <vt:variant>
        <vt:lpwstr>https://www.comcare.gov.au/about/forms-pubs/docs/pubs/corporate-publications/comcare-srcc-annual-report-2022-23.PDF</vt:lpwstr>
      </vt:variant>
      <vt:variant>
        <vt:lpwstr/>
      </vt:variant>
      <vt:variant>
        <vt:i4>1310813</vt:i4>
      </vt:variant>
      <vt:variant>
        <vt:i4>60</vt:i4>
      </vt:variant>
      <vt:variant>
        <vt:i4>0</vt:i4>
      </vt:variant>
      <vt:variant>
        <vt:i4>5</vt:i4>
      </vt:variant>
      <vt:variant>
        <vt:lpwstr>https://www.safeworkaustralia.gov.au/sites/default/files/2024-04/comparison_of_workers_compensation_arrangements_in_australia_and_new_zealand_29th_edition_2023.pdf</vt:lpwstr>
      </vt:variant>
      <vt:variant>
        <vt:lpwstr/>
      </vt:variant>
      <vt:variant>
        <vt:i4>7078003</vt:i4>
      </vt:variant>
      <vt:variant>
        <vt:i4>57</vt:i4>
      </vt:variant>
      <vt:variant>
        <vt:i4>0</vt:i4>
      </vt:variant>
      <vt:variant>
        <vt:i4>5</vt:i4>
      </vt:variant>
      <vt:variant>
        <vt:lpwstr>https://www.comcare.gov.au/about/forms-pubs/docs/pubs/corporate-publications/comcare-srcc-annual-report-2022-23.PDF</vt:lpwstr>
      </vt:variant>
      <vt:variant>
        <vt:lpwstr/>
      </vt:variant>
      <vt:variant>
        <vt:i4>4587534</vt:i4>
      </vt:variant>
      <vt:variant>
        <vt:i4>54</vt:i4>
      </vt:variant>
      <vt:variant>
        <vt:i4>0</vt:i4>
      </vt:variant>
      <vt:variant>
        <vt:i4>5</vt:i4>
      </vt:variant>
      <vt:variant>
        <vt:lpwstr>https://www.pc.gov.au/inquiries/completed/workers-compensation/report/workerscomp.pdf</vt:lpwstr>
      </vt:variant>
      <vt:variant>
        <vt:lpwstr/>
      </vt:variant>
      <vt:variant>
        <vt:i4>6488161</vt:i4>
      </vt:variant>
      <vt:variant>
        <vt:i4>51</vt:i4>
      </vt:variant>
      <vt:variant>
        <vt:i4>0</vt:i4>
      </vt:variant>
      <vt:variant>
        <vt:i4>5</vt:i4>
      </vt:variant>
      <vt:variant>
        <vt:lpwstr>https://www.srcc.gov.au/current-self-insurers/list-of-current-and-former-self-insurers</vt:lpwstr>
      </vt:variant>
      <vt:variant>
        <vt:lpwstr/>
      </vt:variant>
      <vt:variant>
        <vt:i4>1245214</vt:i4>
      </vt:variant>
      <vt:variant>
        <vt:i4>48</vt:i4>
      </vt:variant>
      <vt:variant>
        <vt:i4>0</vt:i4>
      </vt:variant>
      <vt:variant>
        <vt:i4>5</vt:i4>
      </vt:variant>
      <vt:variant>
        <vt:lpwstr>https://www.abs.gov.au/statistics/labour/jobs/multiple-job-holders/latest-release</vt:lpwstr>
      </vt:variant>
      <vt:variant>
        <vt:lpwstr/>
      </vt:variant>
      <vt:variant>
        <vt:i4>131133</vt:i4>
      </vt:variant>
      <vt:variant>
        <vt:i4>45</vt:i4>
      </vt:variant>
      <vt:variant>
        <vt:i4>0</vt:i4>
      </vt:variant>
      <vt:variant>
        <vt:i4>5</vt:i4>
      </vt:variant>
      <vt:variant>
        <vt:lpwstr>https://www.aph.gov.au/Parliamentary_Business/Committees/Senate/Education_and_Employment/Mentalhealth/Report</vt:lpwstr>
      </vt:variant>
      <vt:variant>
        <vt:lpwstr/>
      </vt:variant>
      <vt:variant>
        <vt:i4>8323181</vt:i4>
      </vt:variant>
      <vt:variant>
        <vt:i4>42</vt:i4>
      </vt:variant>
      <vt:variant>
        <vt:i4>0</vt:i4>
      </vt:variant>
      <vt:variant>
        <vt:i4>5</vt:i4>
      </vt:variant>
      <vt:variant>
        <vt:lpwstr>https://data.safeworkaustralia.gov.au/insights/key-whs-stats-2023</vt:lpwstr>
      </vt:variant>
      <vt:variant>
        <vt:lpwstr>:~:text=The%20findings%20from%20the%20latest,account%20for%20most%20fatalities%2C%20and</vt:lpwstr>
      </vt:variant>
      <vt:variant>
        <vt:i4>5373954</vt:i4>
      </vt:variant>
      <vt:variant>
        <vt:i4>39</vt:i4>
      </vt:variant>
      <vt:variant>
        <vt:i4>0</vt:i4>
      </vt:variant>
      <vt:variant>
        <vt:i4>5</vt:i4>
      </vt:variant>
      <vt:variant>
        <vt:lpwstr>https://www.comcare.gov.au/scheme-legislation/scheme-performance/overview</vt:lpwstr>
      </vt:variant>
      <vt:variant>
        <vt:lpwstr/>
      </vt:variant>
      <vt:variant>
        <vt:i4>589849</vt:i4>
      </vt:variant>
      <vt:variant>
        <vt:i4>36</vt:i4>
      </vt:variant>
      <vt:variant>
        <vt:i4>0</vt:i4>
      </vt:variant>
      <vt:variant>
        <vt:i4>5</vt:i4>
      </vt:variant>
      <vt:variant>
        <vt:lpwstr>https://www.comcare.gov.au/scheme-legislation/premium-payers/premium-performance</vt:lpwstr>
      </vt:variant>
      <vt:variant>
        <vt:lpwstr/>
      </vt:variant>
      <vt:variant>
        <vt:i4>589849</vt:i4>
      </vt:variant>
      <vt:variant>
        <vt:i4>33</vt:i4>
      </vt:variant>
      <vt:variant>
        <vt:i4>0</vt:i4>
      </vt:variant>
      <vt:variant>
        <vt:i4>5</vt:i4>
      </vt:variant>
      <vt:variant>
        <vt:lpwstr>https://www.comcare.gov.au/scheme-legislation/premium-payers/premium-performance</vt:lpwstr>
      </vt:variant>
      <vt:variant>
        <vt:lpwstr/>
      </vt:variant>
      <vt:variant>
        <vt:i4>5373954</vt:i4>
      </vt:variant>
      <vt:variant>
        <vt:i4>30</vt:i4>
      </vt:variant>
      <vt:variant>
        <vt:i4>0</vt:i4>
      </vt:variant>
      <vt:variant>
        <vt:i4>5</vt:i4>
      </vt:variant>
      <vt:variant>
        <vt:lpwstr>https://www.comcare.gov.au/scheme-legislation/scheme-performance/overview</vt:lpwstr>
      </vt:variant>
      <vt:variant>
        <vt:lpwstr/>
      </vt:variant>
      <vt:variant>
        <vt:i4>1966101</vt:i4>
      </vt:variant>
      <vt:variant>
        <vt:i4>27</vt:i4>
      </vt:variant>
      <vt:variant>
        <vt:i4>0</vt:i4>
      </vt:variant>
      <vt:variant>
        <vt:i4>5</vt:i4>
      </vt:variant>
      <vt:variant>
        <vt:lpwstr>https://www.safeworkaustralia.gov.au/doc/research-causes-and-impact-stigma-workplaces-and-approaches-creating-positive-workplace</vt:lpwstr>
      </vt:variant>
      <vt:variant>
        <vt:lpwstr/>
      </vt:variant>
      <vt:variant>
        <vt:i4>7995511</vt:i4>
      </vt:variant>
      <vt:variant>
        <vt:i4>24</vt:i4>
      </vt:variant>
      <vt:variant>
        <vt:i4>0</vt:i4>
      </vt:variant>
      <vt:variant>
        <vt:i4>5</vt:i4>
      </vt:variant>
      <vt:variant>
        <vt:lpwstr>https://www.comcare.gov.au/scheme-legislation/scheme-performance/claims-performance</vt:lpwstr>
      </vt:variant>
      <vt:variant>
        <vt:lpwstr/>
      </vt:variant>
      <vt:variant>
        <vt:i4>7078003</vt:i4>
      </vt:variant>
      <vt:variant>
        <vt:i4>21</vt:i4>
      </vt:variant>
      <vt:variant>
        <vt:i4>0</vt:i4>
      </vt:variant>
      <vt:variant>
        <vt:i4>5</vt:i4>
      </vt:variant>
      <vt:variant>
        <vt:lpwstr>https://www.comcare.gov.au/about/forms-pubs/docs/pubs/corporate-publications/comcare-srcc-annual-report-2022-23.PDF</vt:lpwstr>
      </vt:variant>
      <vt:variant>
        <vt:lpwstr/>
      </vt:variant>
      <vt:variant>
        <vt:i4>5373954</vt:i4>
      </vt:variant>
      <vt:variant>
        <vt:i4>18</vt:i4>
      </vt:variant>
      <vt:variant>
        <vt:i4>0</vt:i4>
      </vt:variant>
      <vt:variant>
        <vt:i4>5</vt:i4>
      </vt:variant>
      <vt:variant>
        <vt:lpwstr>https://www.comcare.gov.au/scheme-legislation/scheme-performance/overview</vt:lpwstr>
      </vt:variant>
      <vt:variant>
        <vt:lpwstr/>
      </vt:variant>
      <vt:variant>
        <vt:i4>3539062</vt:i4>
      </vt:variant>
      <vt:variant>
        <vt:i4>15</vt:i4>
      </vt:variant>
      <vt:variant>
        <vt:i4>0</vt:i4>
      </vt:variant>
      <vt:variant>
        <vt:i4>5</vt:i4>
      </vt:variant>
      <vt:variant>
        <vt:lpwstr>https://defenceveteransuicide.royalcommission.gov.au/publications/final-report</vt:lpwstr>
      </vt:variant>
      <vt:variant>
        <vt:lpwstr/>
      </vt:variant>
      <vt:variant>
        <vt:i4>655458</vt:i4>
      </vt:variant>
      <vt:variant>
        <vt:i4>12</vt:i4>
      </vt:variant>
      <vt:variant>
        <vt:i4>0</vt:i4>
      </vt:variant>
      <vt:variant>
        <vt:i4>5</vt:i4>
      </vt:variant>
      <vt:variant>
        <vt:lpwstr>https://www.safeworkaustralia.gov.au/system/files/documents/1909/national_return_to_work_strategy_2020-2030.pdf</vt:lpwstr>
      </vt:variant>
      <vt:variant>
        <vt:lpwstr/>
      </vt:variant>
      <vt:variant>
        <vt:i4>6881327</vt:i4>
      </vt:variant>
      <vt:variant>
        <vt:i4>9</vt:i4>
      </vt:variant>
      <vt:variant>
        <vt:i4>0</vt:i4>
      </vt:variant>
      <vt:variant>
        <vt:i4>5</vt:i4>
      </vt:variant>
      <vt:variant>
        <vt:lpwstr>https://www.dewr.gov.au/workers-compensation/resources/safety-rehabilitation-and-compensation-act-review-final-report-mr-peter-hanks-qc</vt:lpwstr>
      </vt:variant>
      <vt:variant>
        <vt:lpwstr>:~:text=Mr%20Peter%20Hanks%20QC%20%2D%20the,injured%20workers%20and%20their%20employers.</vt:lpwstr>
      </vt:variant>
      <vt:variant>
        <vt:i4>6684724</vt:i4>
      </vt:variant>
      <vt:variant>
        <vt:i4>6</vt:i4>
      </vt:variant>
      <vt:variant>
        <vt:i4>0</vt:i4>
      </vt:variant>
      <vt:variant>
        <vt:i4>5</vt:i4>
      </vt:variant>
      <vt:variant>
        <vt:lpwstr>https://www.dewr.gov.au/australian-building-and-construction-industry/resources/safety-rehabilitation-and-compensation-act-review-report-dr-allan-hawke-ac</vt:lpwstr>
      </vt:variant>
      <vt:variant>
        <vt:lpwstr/>
      </vt:variant>
      <vt:variant>
        <vt:i4>5963782</vt:i4>
      </vt:variant>
      <vt:variant>
        <vt:i4>3</vt:i4>
      </vt:variant>
      <vt:variant>
        <vt:i4>0</vt:i4>
      </vt:variant>
      <vt:variant>
        <vt:i4>5</vt:i4>
      </vt:variant>
      <vt:variant>
        <vt:lpwstr>https://www.pc.gov.au/inquiries/completed/workers-compensation/report</vt:lpwstr>
      </vt:variant>
      <vt:variant>
        <vt:lpwstr/>
      </vt:variant>
      <vt:variant>
        <vt:i4>6357046</vt:i4>
      </vt:variant>
      <vt:variant>
        <vt:i4>0</vt:i4>
      </vt:variant>
      <vt:variant>
        <vt:i4>0</vt:i4>
      </vt:variant>
      <vt:variant>
        <vt:i4>5</vt:i4>
      </vt:variant>
      <vt:variant>
        <vt:lpwstr>https://www.dewr.gov.au/workers-compensation/independent-review-safety-rehabilitation-and-compensation-act-1988</vt:lpwstr>
      </vt:variant>
      <vt:variant>
        <vt:lpwstr/>
      </vt:variant>
      <vt:variant>
        <vt:i4>4718619</vt:i4>
      </vt:variant>
      <vt:variant>
        <vt:i4>6</vt:i4>
      </vt:variant>
      <vt:variant>
        <vt:i4>0</vt:i4>
      </vt:variant>
      <vt:variant>
        <vt:i4>5</vt:i4>
      </vt:variant>
      <vt:variant>
        <vt:lpwstr>https://www.comcare.gov.au/scheme-legislation/scheme-performance/overview</vt:lpwstr>
      </vt:variant>
      <vt:variant>
        <vt:lpwstr>overview</vt:lpwstr>
      </vt:variant>
      <vt:variant>
        <vt:i4>6160390</vt:i4>
      </vt:variant>
      <vt:variant>
        <vt:i4>3</vt:i4>
      </vt:variant>
      <vt:variant>
        <vt:i4>0</vt:i4>
      </vt:variant>
      <vt:variant>
        <vt:i4>5</vt:i4>
      </vt:variant>
      <vt:variant>
        <vt:lpwstr>https://www.safeworkaustralia.gov.au/sites/default/files/2021-12/return-to-work-2021-headline-measures-report.pdf</vt:lpwstr>
      </vt:variant>
      <vt:variant>
        <vt:lpwstr/>
      </vt:variant>
      <vt:variant>
        <vt:i4>4718619</vt:i4>
      </vt:variant>
      <vt:variant>
        <vt:i4>0</vt:i4>
      </vt:variant>
      <vt:variant>
        <vt:i4>0</vt:i4>
      </vt:variant>
      <vt:variant>
        <vt:i4>5</vt:i4>
      </vt:variant>
      <vt:variant>
        <vt:lpwstr>https://www.comcare.gov.au/scheme-legislation/scheme-performance/overview</vt:lpwstr>
      </vt:variant>
      <vt:variant>
        <vt:lpwstr>overview</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the best outcomes for injured workers – Public consultation issues paper</dc:title>
  <dc:subject/>
  <dc:creator/>
  <cp:keywords/>
  <dc:description/>
  <cp:lastModifiedBy/>
  <cp:revision>1</cp:revision>
  <dcterms:created xsi:type="dcterms:W3CDTF">2024-10-25T05:11:00Z</dcterms:created>
  <dcterms:modified xsi:type="dcterms:W3CDTF">2024-10-25T05:12:00Z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2024-10-25T05:12:24Z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d6afa1db-8fc4-4303-9799-a42c9d1fbb7d</vt:lpwstr>
  </property>
  <property fmtid="{D5CDD505-2E9C-101B-9397-08002B2CF9AE}" pid="8" name="MSIP_Label_79d889eb-932f-4752-8739-64d25806ef64_ContentBits">
    <vt:lpwstr>0</vt:lpwstr>
  </property>
</Properties>
</file>