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DA7E" w14:textId="77777777" w:rsidR="00067075" w:rsidRDefault="003A2EFF" w:rsidP="00E14881">
      <w:r>
        <w:rPr>
          <w:noProof/>
        </w:rPr>
        <w:drawing>
          <wp:inline distT="0" distB="0" distL="0" distR="0" wp14:anchorId="3515FE32" wp14:editId="27C59B8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62EC824D" wp14:editId="264FB245">
            <wp:simplePos x="0" y="0"/>
            <wp:positionH relativeFrom="character">
              <wp:posOffset>-900430</wp:posOffset>
            </wp:positionH>
            <wp:positionV relativeFrom="paragraph">
              <wp:posOffset>-540385</wp:posOffset>
            </wp:positionV>
            <wp:extent cx="7560000" cy="16776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560000" cy="1677600"/>
                    </a:xfrm>
                    <a:prstGeom prst="rect">
                      <a:avLst/>
                    </a:prstGeom>
                  </pic:spPr>
                </pic:pic>
              </a:graphicData>
            </a:graphic>
            <wp14:sizeRelH relativeFrom="page">
              <wp14:pctWidth>0</wp14:pctWidth>
            </wp14:sizeRelH>
            <wp14:sizeRelV relativeFrom="page">
              <wp14:pctHeight>0</wp14:pctHeight>
            </wp14:sizeRelV>
          </wp:anchor>
        </w:drawing>
      </w:r>
    </w:p>
    <w:p w14:paraId="58B1DD21" w14:textId="77777777" w:rsidR="00EC6A53" w:rsidRDefault="00EC6A53" w:rsidP="00122E94">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76B5F492" w14:textId="77777777" w:rsidR="007F46F3" w:rsidRDefault="007F46F3" w:rsidP="007F46F3"/>
    <w:p w14:paraId="511040D3" w14:textId="77777777" w:rsidR="00C20608" w:rsidRDefault="00C20608" w:rsidP="00C20608">
      <w:pPr>
        <w:pStyle w:val="Heading5"/>
      </w:pPr>
    </w:p>
    <w:p w14:paraId="7C8FF160" w14:textId="66F7B901" w:rsidR="00E26634" w:rsidRPr="00D91406" w:rsidRDefault="00906934" w:rsidP="0096229C">
      <w:pPr>
        <w:pStyle w:val="Heading5"/>
        <w:spacing w:before="120" w:after="120"/>
        <w:rPr>
          <w:rFonts w:eastAsia="Aptos Display" w:cs="Aptos Display"/>
          <w:color w:val="auto"/>
          <w:sz w:val="48"/>
          <w:szCs w:val="48"/>
        </w:rPr>
      </w:pPr>
      <w:r w:rsidRPr="1780F6DA">
        <w:rPr>
          <w:rFonts w:eastAsia="Aptos Display" w:cs="Aptos Display"/>
          <w:color w:val="auto"/>
          <w:sz w:val="48"/>
          <w:szCs w:val="48"/>
        </w:rPr>
        <w:t xml:space="preserve">International education </w:t>
      </w:r>
      <w:r w:rsidR="00D91406" w:rsidRPr="1780F6DA">
        <w:rPr>
          <w:rFonts w:eastAsia="Aptos Display" w:cs="Aptos Display"/>
          <w:color w:val="auto"/>
          <w:sz w:val="48"/>
          <w:szCs w:val="48"/>
        </w:rPr>
        <w:t xml:space="preserve">and </w:t>
      </w:r>
      <w:r w:rsidRPr="1780F6DA">
        <w:rPr>
          <w:rFonts w:eastAsia="Aptos Display" w:cs="Aptos Display"/>
          <w:color w:val="auto"/>
          <w:sz w:val="48"/>
          <w:szCs w:val="48"/>
        </w:rPr>
        <w:t>m</w:t>
      </w:r>
      <w:r w:rsidR="00670D58" w:rsidRPr="1780F6DA">
        <w:rPr>
          <w:rFonts w:eastAsia="Aptos Display" w:cs="Aptos Display"/>
          <w:color w:val="auto"/>
          <w:sz w:val="48"/>
          <w:szCs w:val="48"/>
        </w:rPr>
        <w:t xml:space="preserve">anaged </w:t>
      </w:r>
      <w:r w:rsidRPr="1780F6DA">
        <w:rPr>
          <w:rFonts w:eastAsia="Aptos Display" w:cs="Aptos Display"/>
          <w:color w:val="auto"/>
          <w:sz w:val="48"/>
          <w:szCs w:val="48"/>
        </w:rPr>
        <w:t>g</w:t>
      </w:r>
      <w:r w:rsidR="00670D58" w:rsidRPr="1780F6DA">
        <w:rPr>
          <w:rFonts w:eastAsia="Aptos Display" w:cs="Aptos Display"/>
          <w:color w:val="auto"/>
          <w:sz w:val="48"/>
          <w:szCs w:val="48"/>
        </w:rPr>
        <w:t>rowth</w:t>
      </w:r>
      <w:r w:rsidR="273A45E3" w:rsidRPr="1780F6DA">
        <w:rPr>
          <w:rFonts w:eastAsia="Aptos Display" w:cs="Aptos Display"/>
          <w:color w:val="auto"/>
          <w:sz w:val="48"/>
          <w:szCs w:val="48"/>
        </w:rPr>
        <w:t xml:space="preserve"> arrangements for </w:t>
      </w:r>
      <w:r w:rsidR="00B255F5" w:rsidRPr="1780F6DA">
        <w:rPr>
          <w:rFonts w:eastAsia="Aptos Display" w:cs="Aptos Display"/>
          <w:color w:val="auto"/>
          <w:sz w:val="48"/>
          <w:szCs w:val="48"/>
        </w:rPr>
        <w:t xml:space="preserve">2026 </w:t>
      </w:r>
      <w:r w:rsidR="00D91406" w:rsidRPr="1780F6DA">
        <w:rPr>
          <w:rFonts w:eastAsia="Aptos Display" w:cs="Aptos Display"/>
          <w:color w:val="auto"/>
          <w:sz w:val="48"/>
          <w:szCs w:val="48"/>
        </w:rPr>
        <w:t xml:space="preserve">– </w:t>
      </w:r>
      <w:r w:rsidR="00B255F5" w:rsidRPr="1780F6DA">
        <w:rPr>
          <w:rFonts w:eastAsia="Aptos Display" w:cs="Aptos Display"/>
          <w:color w:val="auto"/>
          <w:sz w:val="48"/>
          <w:szCs w:val="48"/>
        </w:rPr>
        <w:t xml:space="preserve">VET providers </w:t>
      </w:r>
      <w:r w:rsidRPr="1780F6DA">
        <w:rPr>
          <w:rFonts w:eastAsia="Aptos Display" w:cs="Aptos Display"/>
          <w:color w:val="auto"/>
          <w:sz w:val="48"/>
          <w:szCs w:val="48"/>
        </w:rPr>
        <w:t>and the small provider pool</w:t>
      </w:r>
    </w:p>
    <w:p w14:paraId="718B1294" w14:textId="71BFCCFC" w:rsidR="00D91406" w:rsidRDefault="00D91406" w:rsidP="00D91406">
      <w:pPr>
        <w:pStyle w:val="paragraph"/>
        <w:spacing w:before="0" w:beforeAutospacing="0" w:after="0" w:afterAutospacing="0"/>
        <w:textAlignment w:val="baseline"/>
        <w:rPr>
          <w:rFonts w:ascii="Segoe UI" w:hAnsi="Segoe UI" w:cs="Segoe UI"/>
          <w:sz w:val="18"/>
          <w:szCs w:val="18"/>
        </w:rPr>
      </w:pPr>
    </w:p>
    <w:p w14:paraId="7F54A42F" w14:textId="2112278D" w:rsidR="00D91406" w:rsidRPr="00C01C6E" w:rsidRDefault="00D91406" w:rsidP="00BF2FA8">
      <w:pPr>
        <w:pStyle w:val="paragraph"/>
        <w:spacing w:before="0" w:beforeAutospacing="0" w:after="0" w:afterAutospacing="0" w:line="276" w:lineRule="auto"/>
        <w:textAlignment w:val="baseline"/>
        <w:rPr>
          <w:rStyle w:val="normaltextrun"/>
          <w:rFonts w:ascii="Aptos" w:eastAsia="Aptos Display" w:hAnsi="Aptos" w:cs="Aptos Display"/>
          <w:sz w:val="22"/>
          <w:szCs w:val="22"/>
        </w:rPr>
      </w:pPr>
      <w:r w:rsidRPr="00C01C6E">
        <w:rPr>
          <w:rStyle w:val="normaltextrun"/>
          <w:rFonts w:ascii="Aptos" w:eastAsia="Aptos Display" w:hAnsi="Aptos" w:cs="Aptos Display"/>
          <w:sz w:val="22"/>
          <w:szCs w:val="22"/>
        </w:rPr>
        <w:t xml:space="preserve">The Australian Government remains committed to a high quality, resilient international education sector with modest growth over time. A managed growth approach has been effective in returning student numbers to a more sustainable level in 2025 and the Government has now determined arrangements for 2026, including for small VET providers. </w:t>
      </w:r>
    </w:p>
    <w:p w14:paraId="64BA1960" w14:textId="20187412" w:rsidR="00D91406" w:rsidRDefault="00D91406" w:rsidP="29A6EF93">
      <w:pPr>
        <w:spacing w:after="0"/>
        <w:rPr>
          <w:rStyle w:val="normaltextrun"/>
          <w:rFonts w:eastAsia="Aptos Display" w:cs="Aptos Display"/>
          <w:color w:val="000000" w:themeColor="text1"/>
        </w:rPr>
      </w:pPr>
    </w:p>
    <w:p w14:paraId="417D4A2D" w14:textId="2CF0B9C8" w:rsidR="05C26BA8" w:rsidRDefault="05C26BA8" w:rsidP="29A6EF93">
      <w:pPr>
        <w:spacing w:after="0"/>
      </w:pPr>
      <w:r w:rsidRPr="29A6EF93">
        <w:rPr>
          <w:rStyle w:val="normaltextrun"/>
          <w:rFonts w:eastAsia="Aptos Display" w:cs="Aptos Display"/>
          <w:color w:val="000000" w:themeColor="text1"/>
        </w:rPr>
        <w:t xml:space="preserve">More information about the </w:t>
      </w:r>
      <w:hyperlink r:id="rId13">
        <w:r w:rsidRPr="29A6EF93">
          <w:rPr>
            <w:rStyle w:val="Hyperlink"/>
            <w:rFonts w:eastAsia="Aptos Display" w:cs="Aptos Display"/>
          </w:rPr>
          <w:t>Government's managed growth arrangements for 2026</w:t>
        </w:r>
      </w:hyperlink>
      <w:r w:rsidRPr="29A6EF93">
        <w:rPr>
          <w:rStyle w:val="normaltextrun"/>
          <w:rFonts w:eastAsia="Aptos Display" w:cs="Aptos Display"/>
          <w:color w:val="000000" w:themeColor="text1"/>
        </w:rPr>
        <w:t xml:space="preserve"> is published by the Department of Education.   </w:t>
      </w:r>
    </w:p>
    <w:p w14:paraId="4F0913E9" w14:textId="51B5B273" w:rsidR="29A6EF93" w:rsidRDefault="29A6EF93" w:rsidP="29A6EF93">
      <w:pPr>
        <w:pStyle w:val="paragraph"/>
        <w:spacing w:before="0" w:beforeAutospacing="0" w:after="0" w:afterAutospacing="0" w:line="276" w:lineRule="auto"/>
        <w:rPr>
          <w:rFonts w:ascii="Aptos" w:eastAsia="Aptos Display" w:hAnsi="Aptos" w:cs="Aptos Display"/>
          <w:sz w:val="18"/>
          <w:szCs w:val="18"/>
        </w:rPr>
      </w:pPr>
    </w:p>
    <w:p w14:paraId="73B01F4A" w14:textId="15A2E6E3" w:rsidR="00D91406" w:rsidRPr="00C01C6E" w:rsidRDefault="00D91406" w:rsidP="00BF2FA8">
      <w:pPr>
        <w:pStyle w:val="paragraph"/>
        <w:spacing w:before="0" w:beforeAutospacing="0" w:after="0" w:afterAutospacing="0" w:line="276" w:lineRule="auto"/>
        <w:textAlignment w:val="baseline"/>
        <w:rPr>
          <w:rFonts w:ascii="Aptos" w:eastAsia="Aptos Display" w:hAnsi="Aptos" w:cs="Aptos Display"/>
          <w:color w:val="000000"/>
          <w:sz w:val="22"/>
          <w:szCs w:val="22"/>
        </w:rPr>
      </w:pPr>
      <w:hyperlink r:id="rId14">
        <w:r w:rsidRPr="00C01C6E">
          <w:rPr>
            <w:rStyle w:val="normaltextrun"/>
            <w:rFonts w:ascii="Aptos" w:eastAsia="Aptos Display" w:hAnsi="Aptos" w:cs="Aptos Display"/>
            <w:color w:val="287DB2"/>
            <w:sz w:val="22"/>
            <w:szCs w:val="22"/>
            <w:u w:val="single"/>
          </w:rPr>
          <w:t>Allocations for all VET providers for 2026</w:t>
        </w:r>
      </w:hyperlink>
      <w:r w:rsidRPr="00C01C6E">
        <w:rPr>
          <w:rStyle w:val="normaltextrun"/>
          <w:rFonts w:ascii="Aptos" w:eastAsia="Aptos Display" w:hAnsi="Aptos" w:cs="Aptos Display"/>
          <w:color w:val="000000" w:themeColor="text1"/>
          <w:sz w:val="22"/>
          <w:szCs w:val="22"/>
        </w:rPr>
        <w:t xml:space="preserve"> were published on 4 August 2025 (and continue to be available in PRISMS) and provider progress against allocations will continue to inform prioritisation for offshore student visa processing.</w:t>
      </w:r>
      <w:r w:rsidRPr="00C01C6E">
        <w:rPr>
          <w:rStyle w:val="eop"/>
          <w:rFonts w:ascii="Aptos" w:eastAsia="Aptos Display" w:hAnsi="Aptos" w:cs="Aptos Display"/>
          <w:color w:val="000000" w:themeColor="text1"/>
          <w:sz w:val="22"/>
          <w:szCs w:val="22"/>
        </w:rPr>
        <w:t> </w:t>
      </w:r>
    </w:p>
    <w:p w14:paraId="09C8A0C3" w14:textId="27B03D02" w:rsidR="00D91406" w:rsidRPr="00D91406" w:rsidRDefault="00D91406" w:rsidP="00BF2FA8">
      <w:pPr>
        <w:pStyle w:val="Heading6"/>
        <w:rPr>
          <w:rFonts w:ascii="Aptos Display" w:eastAsia="Aptos Display" w:hAnsi="Aptos Display" w:cs="Aptos Display"/>
          <w:b/>
          <w:i/>
          <w:color w:val="auto"/>
        </w:rPr>
      </w:pPr>
      <w:r w:rsidRPr="1780F6DA">
        <w:rPr>
          <w:rFonts w:ascii="Aptos Display" w:eastAsia="Aptos Display" w:hAnsi="Aptos Display" w:cs="Aptos Display"/>
          <w:b/>
          <w:i/>
          <w:color w:val="auto"/>
        </w:rPr>
        <w:t>What is the small provider pool?</w:t>
      </w:r>
    </w:p>
    <w:p w14:paraId="2D634CFE" w14:textId="15FB8FF9" w:rsidR="00D755AE" w:rsidRPr="00372570" w:rsidRDefault="00D755AE" w:rsidP="00BF2FA8">
      <w:pPr>
        <w:spacing w:after="160"/>
        <w:rPr>
          <w:rStyle w:val="normaltextrun"/>
          <w:rFonts w:ascii="Aptos" w:hAnsi="Aptos"/>
          <w:color w:val="000000" w:themeColor="text1"/>
          <w:lang w:eastAsia="en-AU"/>
        </w:rPr>
      </w:pPr>
      <w:r w:rsidRPr="00372570">
        <w:rPr>
          <w:rStyle w:val="normaltextrun"/>
          <w:rFonts w:ascii="Aptos" w:hAnsi="Aptos"/>
          <w:lang w:eastAsia="en-AU"/>
        </w:rPr>
        <w:t xml:space="preserve">To ensure fair and flexible prioritisation for offshore student visa processing, the arrangements for 2026 will include the pooling of allocations for all small VET providers. The small provider pool will support small </w:t>
      </w:r>
      <w:r w:rsidR="00452014" w:rsidRPr="00372570">
        <w:rPr>
          <w:rStyle w:val="normaltextrun"/>
          <w:rFonts w:ascii="Aptos" w:hAnsi="Aptos"/>
          <w:lang w:eastAsia="en-AU"/>
        </w:rPr>
        <w:t xml:space="preserve">VET </w:t>
      </w:r>
      <w:r w:rsidRPr="00372570">
        <w:rPr>
          <w:rStyle w:val="normaltextrun"/>
          <w:rFonts w:ascii="Aptos" w:hAnsi="Aptos"/>
          <w:lang w:eastAsia="en-AU"/>
        </w:rPr>
        <w:t xml:space="preserve">providers by increasing their access to high-priority </w:t>
      </w:r>
      <w:r w:rsidR="00872903" w:rsidRPr="00372570">
        <w:rPr>
          <w:rStyle w:val="normaltextrun"/>
          <w:rFonts w:ascii="Aptos" w:hAnsi="Aptos"/>
          <w:lang w:eastAsia="en-AU"/>
        </w:rPr>
        <w:t xml:space="preserve">processing of offshore student </w:t>
      </w:r>
      <w:r w:rsidRPr="00372570">
        <w:rPr>
          <w:rStyle w:val="normaltextrun"/>
          <w:rFonts w:ascii="Aptos" w:hAnsi="Aptos"/>
          <w:lang w:eastAsia="en-AU"/>
        </w:rPr>
        <w:t>visa</w:t>
      </w:r>
      <w:r w:rsidR="00872903" w:rsidRPr="00372570">
        <w:rPr>
          <w:rStyle w:val="normaltextrun"/>
          <w:rFonts w:ascii="Aptos" w:hAnsi="Aptos"/>
          <w:lang w:eastAsia="en-AU"/>
        </w:rPr>
        <w:t xml:space="preserve"> applications</w:t>
      </w:r>
      <w:r w:rsidRPr="00372570">
        <w:rPr>
          <w:rStyle w:val="normaltextrun"/>
          <w:rFonts w:ascii="Aptos" w:hAnsi="Aptos"/>
          <w:lang w:eastAsia="en-AU"/>
        </w:rPr>
        <w:t xml:space="preserve">, while improving their overall utilisation of places. </w:t>
      </w:r>
    </w:p>
    <w:p w14:paraId="40C64D8D" w14:textId="2A9D678E" w:rsidR="00D755AE" w:rsidRPr="00FD7A8E" w:rsidRDefault="00D755AE" w:rsidP="00BF2FA8">
      <w:pPr>
        <w:pStyle w:val="Heading6"/>
        <w:rPr>
          <w:rFonts w:ascii="Aptos Display" w:eastAsia="Aptos Display" w:hAnsi="Aptos Display" w:cs="Aptos Display"/>
          <w:b/>
          <w:i/>
          <w:color w:val="auto"/>
        </w:rPr>
      </w:pPr>
      <w:r w:rsidRPr="1780F6DA">
        <w:rPr>
          <w:rFonts w:ascii="Aptos Display" w:eastAsia="Aptos Display" w:hAnsi="Aptos Display" w:cs="Aptos Display"/>
          <w:b/>
          <w:i/>
          <w:color w:val="auto"/>
        </w:rPr>
        <w:t>How will the small provider pool operate?</w:t>
      </w:r>
    </w:p>
    <w:p w14:paraId="54D185FB" w14:textId="1A21A61E" w:rsidR="00B3618E" w:rsidRPr="00FD7A8E" w:rsidRDefault="009177AA" w:rsidP="00BF2FA8">
      <w:pPr>
        <w:spacing w:after="160"/>
        <w:rPr>
          <w:rFonts w:eastAsia="Aptos Display" w:cs="Aptos Display"/>
        </w:rPr>
      </w:pPr>
      <w:r w:rsidRPr="1780F6DA">
        <w:rPr>
          <w:rFonts w:eastAsia="Aptos Display" w:cs="Aptos Display"/>
        </w:rPr>
        <w:t>A</w:t>
      </w:r>
      <w:r w:rsidR="009B0DFA" w:rsidRPr="1780F6DA">
        <w:rPr>
          <w:rFonts w:eastAsia="Aptos Display" w:cs="Aptos Display"/>
        </w:rPr>
        <w:t xml:space="preserve">ll </w:t>
      </w:r>
      <w:r w:rsidR="00D755AE" w:rsidRPr="1780F6DA">
        <w:rPr>
          <w:rFonts w:eastAsia="Aptos Display" w:cs="Aptos Display"/>
        </w:rPr>
        <w:t>VET</w:t>
      </w:r>
      <w:r w:rsidR="2E32CAFC" w:rsidRPr="1780F6DA">
        <w:rPr>
          <w:rFonts w:eastAsia="Aptos Display" w:cs="Aptos Display"/>
        </w:rPr>
        <w:t xml:space="preserve"> provider</w:t>
      </w:r>
      <w:r w:rsidR="142B6E40" w:rsidRPr="1780F6DA">
        <w:rPr>
          <w:rFonts w:eastAsia="Aptos Display" w:cs="Aptos Display"/>
        </w:rPr>
        <w:t>s</w:t>
      </w:r>
      <w:r w:rsidR="2E32CAFC" w:rsidRPr="1780F6DA">
        <w:rPr>
          <w:rFonts w:eastAsia="Aptos Display" w:cs="Aptos Display"/>
        </w:rPr>
        <w:t xml:space="preserve"> with a</w:t>
      </w:r>
      <w:r w:rsidR="00452014" w:rsidRPr="1780F6DA">
        <w:rPr>
          <w:rFonts w:eastAsia="Aptos Display" w:cs="Aptos Display"/>
        </w:rPr>
        <w:t xml:space="preserve"> 2026 </w:t>
      </w:r>
      <w:r w:rsidR="2E32CAFC" w:rsidRPr="1780F6DA">
        <w:rPr>
          <w:rFonts w:eastAsia="Aptos Display" w:cs="Aptos Display"/>
        </w:rPr>
        <w:t xml:space="preserve">allocation of not more than 100 </w:t>
      </w:r>
      <w:r w:rsidR="00D755AE" w:rsidRPr="1780F6DA">
        <w:rPr>
          <w:rFonts w:eastAsia="Aptos Display" w:cs="Aptos Display"/>
        </w:rPr>
        <w:t>N</w:t>
      </w:r>
      <w:r w:rsidR="00D91406" w:rsidRPr="1780F6DA">
        <w:rPr>
          <w:rFonts w:eastAsia="Aptos Display" w:cs="Aptos Display"/>
        </w:rPr>
        <w:t xml:space="preserve">ew </w:t>
      </w:r>
      <w:r w:rsidR="00D755AE" w:rsidRPr="1780F6DA">
        <w:rPr>
          <w:rFonts w:eastAsia="Aptos Display" w:cs="Aptos Display"/>
        </w:rPr>
        <w:t>O</w:t>
      </w:r>
      <w:r w:rsidR="00D91406" w:rsidRPr="1780F6DA">
        <w:rPr>
          <w:rFonts w:eastAsia="Aptos Display" w:cs="Aptos Display"/>
        </w:rPr>
        <w:t xml:space="preserve">verseas </w:t>
      </w:r>
      <w:r w:rsidR="00D755AE" w:rsidRPr="1780F6DA">
        <w:rPr>
          <w:rFonts w:eastAsia="Aptos Display" w:cs="Aptos Display"/>
        </w:rPr>
        <w:t>S</w:t>
      </w:r>
      <w:r w:rsidR="00D91406" w:rsidRPr="1780F6DA">
        <w:rPr>
          <w:rFonts w:eastAsia="Aptos Display" w:cs="Aptos Display"/>
        </w:rPr>
        <w:t xml:space="preserve">tudent </w:t>
      </w:r>
      <w:r w:rsidR="00D755AE" w:rsidRPr="1780F6DA">
        <w:rPr>
          <w:rFonts w:eastAsia="Aptos Display" w:cs="Aptos Display"/>
        </w:rPr>
        <w:t>C</w:t>
      </w:r>
      <w:r w:rsidR="00D91406" w:rsidRPr="1780F6DA">
        <w:rPr>
          <w:rFonts w:eastAsia="Aptos Display" w:cs="Aptos Display"/>
        </w:rPr>
        <w:t>ommencements (NOSCs)</w:t>
      </w:r>
      <w:r w:rsidR="2E32CAFC" w:rsidRPr="1780F6DA">
        <w:rPr>
          <w:rFonts w:eastAsia="Aptos Display" w:cs="Aptos Display"/>
        </w:rPr>
        <w:t xml:space="preserve"> and wh</w:t>
      </w:r>
      <w:r w:rsidR="5CD3F9A9" w:rsidRPr="1780F6DA">
        <w:rPr>
          <w:rFonts w:eastAsia="Aptos Display" w:cs="Aptos Display"/>
        </w:rPr>
        <w:t>o</w:t>
      </w:r>
      <w:r w:rsidR="2E32CAFC" w:rsidRPr="1780F6DA">
        <w:rPr>
          <w:rFonts w:eastAsia="Aptos Display" w:cs="Aptos Display"/>
        </w:rPr>
        <w:t xml:space="preserve"> </w:t>
      </w:r>
      <w:r w:rsidR="70DC1282" w:rsidRPr="1780F6DA">
        <w:rPr>
          <w:rFonts w:eastAsia="Aptos Display" w:cs="Aptos Display"/>
        </w:rPr>
        <w:t>are</w:t>
      </w:r>
      <w:r w:rsidR="2E32CAFC" w:rsidRPr="1780F6DA">
        <w:rPr>
          <w:rFonts w:eastAsia="Aptos Display" w:cs="Aptos Display"/>
        </w:rPr>
        <w:t xml:space="preserve"> recorded in PRISMS as a </w:t>
      </w:r>
      <w:r w:rsidR="00452014" w:rsidRPr="1780F6DA">
        <w:rPr>
          <w:rFonts w:eastAsia="Aptos Display" w:cs="Aptos Display"/>
        </w:rPr>
        <w:t>s</w:t>
      </w:r>
      <w:r w:rsidR="2E32CAFC" w:rsidRPr="1780F6DA">
        <w:rPr>
          <w:rFonts w:eastAsia="Aptos Display" w:cs="Aptos Display"/>
        </w:rPr>
        <w:t xml:space="preserve">mall </w:t>
      </w:r>
      <w:r w:rsidR="00452014" w:rsidRPr="1780F6DA">
        <w:rPr>
          <w:rFonts w:eastAsia="Aptos Display" w:cs="Aptos Display"/>
        </w:rPr>
        <w:t>p</w:t>
      </w:r>
      <w:r w:rsidR="2E32CAFC" w:rsidRPr="1780F6DA">
        <w:rPr>
          <w:rFonts w:eastAsia="Aptos Display" w:cs="Aptos Display"/>
        </w:rPr>
        <w:t>rovider</w:t>
      </w:r>
      <w:r w:rsidR="00D91406" w:rsidRPr="1780F6DA">
        <w:rPr>
          <w:rFonts w:eastAsia="Aptos Display" w:cs="Aptos Display"/>
        </w:rPr>
        <w:t>,</w:t>
      </w:r>
      <w:r w:rsidR="71E23BA6" w:rsidRPr="1780F6DA">
        <w:rPr>
          <w:rFonts w:eastAsia="Aptos Display" w:cs="Aptos Display"/>
        </w:rPr>
        <w:t xml:space="preserve"> will be placed in the small provider pool</w:t>
      </w:r>
      <w:r w:rsidR="00CB2AE6" w:rsidRPr="1780F6DA">
        <w:rPr>
          <w:rFonts w:eastAsia="Aptos Display" w:cs="Aptos Display"/>
        </w:rPr>
        <w:t>. T</w:t>
      </w:r>
      <w:r w:rsidR="4FB02A79" w:rsidRPr="1780F6DA">
        <w:rPr>
          <w:rFonts w:eastAsia="Aptos Display" w:cs="Aptos Display"/>
        </w:rPr>
        <w:t xml:space="preserve">heir allocations </w:t>
      </w:r>
      <w:r w:rsidR="00CB2AE6" w:rsidRPr="1780F6DA">
        <w:rPr>
          <w:rFonts w:eastAsia="Aptos Display" w:cs="Aptos Display"/>
        </w:rPr>
        <w:t xml:space="preserve">will be </w:t>
      </w:r>
      <w:r w:rsidR="4FB02A79" w:rsidRPr="1780F6DA">
        <w:rPr>
          <w:rFonts w:eastAsia="Aptos Display" w:cs="Aptos Display"/>
        </w:rPr>
        <w:t>combined</w:t>
      </w:r>
      <w:r w:rsidR="002E464A" w:rsidRPr="1780F6DA">
        <w:rPr>
          <w:rFonts w:eastAsia="Aptos Display" w:cs="Aptos Display"/>
        </w:rPr>
        <w:t xml:space="preserve"> </w:t>
      </w:r>
      <w:r w:rsidR="002876B0" w:rsidRPr="1780F6DA">
        <w:rPr>
          <w:rFonts w:eastAsia="Aptos Display" w:cs="Aptos Display"/>
        </w:rPr>
        <w:t xml:space="preserve">and </w:t>
      </w:r>
      <w:r w:rsidR="002A0BFD" w:rsidRPr="1780F6DA">
        <w:rPr>
          <w:rFonts w:eastAsia="Aptos Display" w:cs="Aptos Display"/>
        </w:rPr>
        <w:t>accessible</w:t>
      </w:r>
      <w:r w:rsidR="00BF2C5E" w:rsidRPr="1780F6DA">
        <w:rPr>
          <w:rFonts w:eastAsia="Aptos Display" w:cs="Aptos Display"/>
        </w:rPr>
        <w:t xml:space="preserve"> to </w:t>
      </w:r>
      <w:r w:rsidR="002A0BFD" w:rsidRPr="1780F6DA">
        <w:rPr>
          <w:rFonts w:eastAsia="Aptos Display" w:cs="Aptos Display"/>
        </w:rPr>
        <w:t>all providers in the pool</w:t>
      </w:r>
      <w:r w:rsidR="4FB02A79" w:rsidRPr="1780F6DA">
        <w:rPr>
          <w:rFonts w:eastAsia="Aptos Display" w:cs="Aptos Display"/>
        </w:rPr>
        <w:t xml:space="preserve">. </w:t>
      </w:r>
    </w:p>
    <w:p w14:paraId="39DACBAB" w14:textId="2D612B4E" w:rsidR="0096229C" w:rsidRPr="00FD7A8E" w:rsidRDefault="0096229C" w:rsidP="00BF2FA8">
      <w:pPr>
        <w:spacing w:after="0"/>
        <w:rPr>
          <w:rFonts w:eastAsia="Aptos Display" w:cs="Aptos Display"/>
          <w:i/>
          <w:color w:val="000000" w:themeColor="text1"/>
        </w:rPr>
      </w:pPr>
      <w:r w:rsidRPr="1780F6DA">
        <w:rPr>
          <w:rFonts w:eastAsia="Aptos Display" w:cs="Aptos Display"/>
          <w:i/>
          <w:color w:val="000000" w:themeColor="text1"/>
        </w:rPr>
        <w:t xml:space="preserve">For individual </w:t>
      </w:r>
      <w:r w:rsidR="00D91406" w:rsidRPr="1780F6DA">
        <w:rPr>
          <w:rFonts w:eastAsia="Aptos Display" w:cs="Aptos Display"/>
          <w:i/>
          <w:color w:val="000000" w:themeColor="text1"/>
        </w:rPr>
        <w:t>small</w:t>
      </w:r>
      <w:r w:rsidRPr="1780F6DA">
        <w:rPr>
          <w:rFonts w:eastAsia="Aptos Display" w:cs="Aptos Display"/>
          <w:i/>
          <w:color w:val="000000" w:themeColor="text1"/>
        </w:rPr>
        <w:t xml:space="preserve"> providers</w:t>
      </w:r>
    </w:p>
    <w:p w14:paraId="56F4ACF7" w14:textId="199F8A61" w:rsidR="0096229C" w:rsidRPr="00FD7A8E" w:rsidRDefault="6ADB7C15" w:rsidP="00BF2FA8">
      <w:pPr>
        <w:spacing w:after="0"/>
        <w:rPr>
          <w:rFonts w:eastAsia="Aptos Display" w:cs="Aptos Display"/>
          <w:lang w:val="en-GB"/>
        </w:rPr>
      </w:pPr>
      <w:r w:rsidRPr="1780F6DA">
        <w:rPr>
          <w:rFonts w:eastAsia="Aptos Display" w:cs="Aptos Display"/>
          <w:color w:val="000000" w:themeColor="text1"/>
        </w:rPr>
        <w:t xml:space="preserve">In the small provider pool, 100 NOSC becomes </w:t>
      </w:r>
      <w:r w:rsidR="5E7DEAC7" w:rsidRPr="1780F6DA">
        <w:rPr>
          <w:rFonts w:eastAsia="Aptos Display" w:cs="Aptos Display"/>
          <w:color w:val="000000" w:themeColor="text1"/>
        </w:rPr>
        <w:t>a</w:t>
      </w:r>
      <w:r w:rsidRPr="1780F6DA">
        <w:rPr>
          <w:rFonts w:eastAsia="Aptos Display" w:cs="Aptos Display"/>
          <w:color w:val="000000" w:themeColor="text1"/>
        </w:rPr>
        <w:t xml:space="preserve"> provider’s </w:t>
      </w:r>
      <w:r w:rsidRPr="1780F6DA">
        <w:rPr>
          <w:rFonts w:eastAsia="Aptos Display" w:cs="Aptos Display"/>
          <w:i/>
          <w:color w:val="000000" w:themeColor="text1"/>
        </w:rPr>
        <w:t>de facto</w:t>
      </w:r>
      <w:r w:rsidRPr="1780F6DA">
        <w:rPr>
          <w:rFonts w:eastAsia="Aptos Display" w:cs="Aptos Display"/>
          <w:color w:val="000000" w:themeColor="text1"/>
        </w:rPr>
        <w:t xml:space="preserve"> allocation and 80</w:t>
      </w:r>
      <w:r w:rsidR="00E26F63" w:rsidRPr="1780F6DA">
        <w:rPr>
          <w:rFonts w:eastAsia="Aptos Display" w:cs="Aptos Display"/>
          <w:color w:val="000000" w:themeColor="text1"/>
        </w:rPr>
        <w:t xml:space="preserve"> NOSC</w:t>
      </w:r>
      <w:r w:rsidRPr="1780F6DA">
        <w:rPr>
          <w:rFonts w:eastAsia="Aptos Display" w:cs="Aptos Display"/>
          <w:color w:val="000000" w:themeColor="text1"/>
        </w:rPr>
        <w:t xml:space="preserve"> its individual prioritisation threshold</w:t>
      </w:r>
      <w:r w:rsidR="4D2098FF" w:rsidRPr="1780F6DA">
        <w:rPr>
          <w:rFonts w:eastAsia="Aptos Display" w:cs="Aptos Display"/>
          <w:color w:val="000000" w:themeColor="text1"/>
        </w:rPr>
        <w:t xml:space="preserve">. This is </w:t>
      </w:r>
      <w:r w:rsidR="00E26F63" w:rsidRPr="1780F6DA">
        <w:rPr>
          <w:rFonts w:eastAsia="Aptos Display" w:cs="Aptos Display"/>
          <w:color w:val="000000" w:themeColor="text1"/>
        </w:rPr>
        <w:t>consistent with the</w:t>
      </w:r>
      <w:r w:rsidR="4D2098FF" w:rsidRPr="1780F6DA">
        <w:rPr>
          <w:rFonts w:eastAsia="Aptos Display" w:cs="Aptos Display"/>
          <w:color w:val="000000" w:themeColor="text1"/>
        </w:rPr>
        <w:t xml:space="preserve"> </w:t>
      </w:r>
      <w:r w:rsidR="00ED4584" w:rsidRPr="1780F6DA">
        <w:rPr>
          <w:rFonts w:eastAsia="Aptos Display" w:cs="Aptos Display"/>
          <w:color w:val="000000" w:themeColor="text1"/>
        </w:rPr>
        <w:t xml:space="preserve">method for calculating </w:t>
      </w:r>
      <w:r w:rsidR="4D2098FF" w:rsidRPr="1780F6DA">
        <w:rPr>
          <w:rFonts w:eastAsia="Aptos Display" w:cs="Aptos Display"/>
          <w:color w:val="000000" w:themeColor="text1"/>
        </w:rPr>
        <w:t>prioritisation threshold</w:t>
      </w:r>
      <w:r w:rsidR="00ED4584" w:rsidRPr="1780F6DA">
        <w:rPr>
          <w:rFonts w:eastAsia="Aptos Display" w:cs="Aptos Display"/>
          <w:color w:val="000000" w:themeColor="text1"/>
        </w:rPr>
        <w:t>s</w:t>
      </w:r>
      <w:r w:rsidR="4D2098FF" w:rsidRPr="1780F6DA">
        <w:rPr>
          <w:rFonts w:eastAsia="Aptos Display" w:cs="Aptos Display"/>
          <w:color w:val="000000" w:themeColor="text1"/>
        </w:rPr>
        <w:t xml:space="preserve"> </w:t>
      </w:r>
      <w:r w:rsidR="00ED4584" w:rsidRPr="1780F6DA">
        <w:rPr>
          <w:rFonts w:eastAsia="Aptos Display" w:cs="Aptos Display"/>
          <w:color w:val="000000" w:themeColor="text1"/>
        </w:rPr>
        <w:t>for</w:t>
      </w:r>
      <w:r w:rsidR="4D2098FF" w:rsidRPr="1780F6DA">
        <w:rPr>
          <w:rFonts w:eastAsia="Aptos Display" w:cs="Aptos Display"/>
          <w:color w:val="000000" w:themeColor="text1"/>
        </w:rPr>
        <w:t xml:space="preserve"> all providers</w:t>
      </w:r>
      <w:r w:rsidR="00E26F63" w:rsidRPr="1780F6DA">
        <w:rPr>
          <w:rFonts w:eastAsia="Aptos Display" w:cs="Aptos Display"/>
          <w:color w:val="000000" w:themeColor="text1"/>
        </w:rPr>
        <w:t xml:space="preserve"> </w:t>
      </w:r>
      <w:r w:rsidR="00955307" w:rsidRPr="1780F6DA">
        <w:rPr>
          <w:rFonts w:eastAsia="Aptos Display" w:cs="Aptos Display"/>
          <w:color w:val="000000" w:themeColor="text1"/>
        </w:rPr>
        <w:t>(</w:t>
      </w:r>
      <w:r w:rsidR="00F64EE9">
        <w:rPr>
          <w:rFonts w:eastAsia="Aptos Display" w:cs="Aptos Display"/>
          <w:color w:val="000000" w:themeColor="text1"/>
        </w:rPr>
        <w:t xml:space="preserve">that is, </w:t>
      </w:r>
      <w:r w:rsidR="00955307" w:rsidRPr="1780F6DA">
        <w:rPr>
          <w:rFonts w:eastAsia="Aptos Display" w:cs="Aptos Display"/>
          <w:color w:val="000000" w:themeColor="text1"/>
        </w:rPr>
        <w:t xml:space="preserve">80% of </w:t>
      </w:r>
      <w:r w:rsidR="00F028C8">
        <w:rPr>
          <w:rFonts w:eastAsia="Aptos Display" w:cs="Aptos Display"/>
          <w:color w:val="000000" w:themeColor="text1"/>
        </w:rPr>
        <w:t xml:space="preserve">a provider’s </w:t>
      </w:r>
      <w:r w:rsidR="00955307" w:rsidRPr="1780F6DA">
        <w:rPr>
          <w:rFonts w:eastAsia="Aptos Display" w:cs="Aptos Display"/>
          <w:color w:val="000000" w:themeColor="text1"/>
        </w:rPr>
        <w:t xml:space="preserve">allocation) </w:t>
      </w:r>
      <w:r w:rsidR="00E26F63" w:rsidRPr="1780F6DA">
        <w:rPr>
          <w:rFonts w:eastAsia="Aptos Display" w:cs="Aptos Display"/>
          <w:color w:val="000000" w:themeColor="text1"/>
        </w:rPr>
        <w:t xml:space="preserve">for the prioritisation of </w:t>
      </w:r>
      <w:r w:rsidR="00D91406" w:rsidRPr="1780F6DA">
        <w:rPr>
          <w:rFonts w:eastAsia="Aptos Display" w:cs="Aptos Display"/>
          <w:color w:val="000000" w:themeColor="text1"/>
        </w:rPr>
        <w:t xml:space="preserve">student </w:t>
      </w:r>
      <w:r w:rsidR="00E26F63" w:rsidRPr="1780F6DA">
        <w:rPr>
          <w:rFonts w:eastAsia="Aptos Display" w:cs="Aptos Display"/>
          <w:color w:val="000000" w:themeColor="text1"/>
        </w:rPr>
        <w:t>visa processing</w:t>
      </w:r>
      <w:r w:rsidR="00E26F63" w:rsidRPr="1780F6DA">
        <w:rPr>
          <w:rFonts w:eastAsia="Aptos Display" w:cs="Aptos Display"/>
          <w:lang w:val="en-GB"/>
        </w:rPr>
        <w:t xml:space="preserve">. </w:t>
      </w:r>
      <w:r w:rsidR="0096229C" w:rsidRPr="1780F6DA">
        <w:rPr>
          <w:rFonts w:eastAsia="Aptos Display" w:cs="Aptos Display"/>
          <w:lang w:val="en-GB"/>
        </w:rPr>
        <w:t>The following rules will apply for individual providers:</w:t>
      </w:r>
    </w:p>
    <w:p w14:paraId="7894A75D" w14:textId="3855C16D" w:rsidR="0096229C" w:rsidRPr="00FD7A8E" w:rsidRDefault="00E26F63" w:rsidP="00BF2FA8">
      <w:pPr>
        <w:pStyle w:val="ListParagraph"/>
        <w:numPr>
          <w:ilvl w:val="0"/>
          <w:numId w:val="25"/>
        </w:numPr>
        <w:spacing w:after="160" w:line="276" w:lineRule="auto"/>
        <w:contextualSpacing w:val="0"/>
        <w:rPr>
          <w:rFonts w:eastAsia="Aptos Display" w:cs="Aptos Display"/>
          <w:lang w:val="en-GB"/>
        </w:rPr>
      </w:pPr>
      <w:r w:rsidRPr="1780F6DA">
        <w:rPr>
          <w:rFonts w:eastAsia="Aptos Display" w:cs="Aptos Display"/>
          <w:lang w:val="en-GB"/>
        </w:rPr>
        <w:t>Individual</w:t>
      </w:r>
      <w:r w:rsidR="7CD95C87" w:rsidRPr="1780F6DA">
        <w:rPr>
          <w:rFonts w:eastAsia="Aptos Display" w:cs="Aptos Display"/>
          <w:lang w:val="en-GB"/>
        </w:rPr>
        <w:t xml:space="preserve"> p</w:t>
      </w:r>
      <w:r w:rsidR="007F46F3" w:rsidRPr="1780F6DA">
        <w:rPr>
          <w:rFonts w:eastAsia="Aptos Display" w:cs="Aptos Display"/>
          <w:lang w:val="en-GB"/>
        </w:rPr>
        <w:t xml:space="preserve">roviders </w:t>
      </w:r>
      <w:r w:rsidRPr="1780F6DA">
        <w:rPr>
          <w:rFonts w:eastAsia="Aptos Display" w:cs="Aptos Display"/>
          <w:lang w:val="en-GB"/>
        </w:rPr>
        <w:t xml:space="preserve">can </w:t>
      </w:r>
      <w:r w:rsidR="007F46F3" w:rsidRPr="1780F6DA">
        <w:rPr>
          <w:rFonts w:eastAsia="Aptos Display" w:cs="Aptos Display"/>
          <w:lang w:val="en-GB"/>
        </w:rPr>
        <w:t xml:space="preserve">draw down on the </w:t>
      </w:r>
      <w:r w:rsidRPr="1780F6DA">
        <w:rPr>
          <w:rFonts w:eastAsia="Aptos Display" w:cs="Aptos Display"/>
          <w:lang w:val="en-GB"/>
        </w:rPr>
        <w:t xml:space="preserve">total </w:t>
      </w:r>
      <w:r w:rsidR="007F46F3" w:rsidRPr="1780F6DA">
        <w:rPr>
          <w:rFonts w:eastAsia="Aptos Display" w:cs="Aptos Display"/>
          <w:lang w:val="en-GB"/>
        </w:rPr>
        <w:t>pool</w:t>
      </w:r>
      <w:r w:rsidRPr="1780F6DA">
        <w:rPr>
          <w:rFonts w:eastAsia="Aptos Display" w:cs="Aptos Display"/>
          <w:lang w:val="en-GB"/>
        </w:rPr>
        <w:t xml:space="preserve"> allocation to acce</w:t>
      </w:r>
      <w:r w:rsidR="079EA33A" w:rsidRPr="1780F6DA">
        <w:rPr>
          <w:rFonts w:eastAsia="Aptos Display" w:cs="Aptos Display"/>
          <w:lang w:val="en-GB"/>
        </w:rPr>
        <w:t xml:space="preserve">ss Priority 1 visa processing </w:t>
      </w:r>
      <w:r w:rsidR="493B7697" w:rsidRPr="1780F6DA">
        <w:rPr>
          <w:rFonts w:eastAsia="Aptos Display" w:cs="Aptos Display"/>
          <w:lang w:val="en-GB"/>
        </w:rPr>
        <w:t xml:space="preserve">for offshore applicants </w:t>
      </w:r>
      <w:r w:rsidR="007F46F3" w:rsidRPr="1780F6DA">
        <w:rPr>
          <w:rFonts w:eastAsia="Aptos Display" w:cs="Aptos Display"/>
          <w:lang w:val="en-GB"/>
        </w:rPr>
        <w:t>until they reach 80 NOSC</w:t>
      </w:r>
      <w:r w:rsidR="001328DC" w:rsidRPr="1780F6DA">
        <w:rPr>
          <w:rFonts w:eastAsia="Aptos Display" w:cs="Aptos Display"/>
          <w:lang w:val="en-GB"/>
        </w:rPr>
        <w:t>.</w:t>
      </w:r>
    </w:p>
    <w:p w14:paraId="4B75390D" w14:textId="4CEA3775" w:rsidR="0096229C" w:rsidRPr="00FD7A8E" w:rsidRDefault="007F46F3" w:rsidP="00BF2FA8">
      <w:pPr>
        <w:pStyle w:val="ListParagraph"/>
        <w:numPr>
          <w:ilvl w:val="0"/>
          <w:numId w:val="25"/>
        </w:numPr>
        <w:spacing w:after="160" w:line="276" w:lineRule="auto"/>
        <w:contextualSpacing w:val="0"/>
        <w:rPr>
          <w:rFonts w:eastAsia="Aptos Display" w:cs="Aptos Display"/>
          <w:lang w:val="en-GB"/>
        </w:rPr>
      </w:pPr>
      <w:r w:rsidRPr="1780F6DA">
        <w:rPr>
          <w:rFonts w:eastAsia="Aptos Display" w:cs="Aptos Display"/>
        </w:rPr>
        <w:t>Once a</w:t>
      </w:r>
      <w:r w:rsidR="2C59D717" w:rsidRPr="1780F6DA">
        <w:rPr>
          <w:rFonts w:eastAsia="Aptos Display" w:cs="Aptos Display"/>
        </w:rPr>
        <w:t>n individual</w:t>
      </w:r>
      <w:r w:rsidRPr="1780F6DA">
        <w:rPr>
          <w:rFonts w:eastAsia="Aptos Display" w:cs="Aptos Display"/>
        </w:rPr>
        <w:t xml:space="preserve"> provider reaches 80 NOSC</w:t>
      </w:r>
      <w:r w:rsidR="247D6FFD" w:rsidRPr="1780F6DA">
        <w:rPr>
          <w:rFonts w:eastAsia="Aptos Display" w:cs="Aptos Display"/>
        </w:rPr>
        <w:t xml:space="preserve"> within the calendar year</w:t>
      </w:r>
      <w:r w:rsidR="00A36A9A" w:rsidRPr="1780F6DA">
        <w:rPr>
          <w:rFonts w:eastAsia="Aptos Display" w:cs="Aptos Display"/>
        </w:rPr>
        <w:t>, t</w:t>
      </w:r>
      <w:r w:rsidRPr="1780F6DA">
        <w:rPr>
          <w:rFonts w:eastAsia="Aptos Display" w:cs="Aptos Display"/>
        </w:rPr>
        <w:t>h</w:t>
      </w:r>
      <w:r w:rsidR="1BE51426" w:rsidRPr="1780F6DA">
        <w:rPr>
          <w:rFonts w:eastAsia="Aptos Display" w:cs="Aptos Display"/>
        </w:rPr>
        <w:t xml:space="preserve">e provider is no longer </w:t>
      </w:r>
      <w:r w:rsidR="00A36A9A" w:rsidRPr="1780F6DA">
        <w:rPr>
          <w:rFonts w:eastAsia="Aptos Display" w:cs="Aptos Display"/>
        </w:rPr>
        <w:t>identified</w:t>
      </w:r>
      <w:r w:rsidR="1BE51426" w:rsidRPr="1780F6DA">
        <w:rPr>
          <w:rFonts w:eastAsia="Aptos Display" w:cs="Aptos Display"/>
        </w:rPr>
        <w:t xml:space="preserve"> in PRISMS as a </w:t>
      </w:r>
      <w:r w:rsidR="00A36A9A" w:rsidRPr="1780F6DA">
        <w:rPr>
          <w:rFonts w:eastAsia="Aptos Display" w:cs="Aptos Display"/>
        </w:rPr>
        <w:t>s</w:t>
      </w:r>
      <w:r w:rsidR="1BE51426" w:rsidRPr="1780F6DA">
        <w:rPr>
          <w:rFonts w:eastAsia="Aptos Display" w:cs="Aptos Display"/>
        </w:rPr>
        <w:t xml:space="preserve">mall </w:t>
      </w:r>
      <w:r w:rsidR="00A36A9A" w:rsidRPr="1780F6DA">
        <w:rPr>
          <w:rFonts w:eastAsia="Aptos Display" w:cs="Aptos Display"/>
        </w:rPr>
        <w:t>p</w:t>
      </w:r>
      <w:r w:rsidR="1BE51426" w:rsidRPr="1780F6DA">
        <w:rPr>
          <w:rFonts w:eastAsia="Aptos Display" w:cs="Aptos Display"/>
        </w:rPr>
        <w:t>rovider</w:t>
      </w:r>
      <w:r w:rsidR="001328DC" w:rsidRPr="1780F6DA">
        <w:rPr>
          <w:rFonts w:eastAsia="Aptos Display" w:cs="Aptos Display"/>
        </w:rPr>
        <w:t>.</w:t>
      </w:r>
    </w:p>
    <w:p w14:paraId="14F951E6" w14:textId="2AD290E3" w:rsidR="00EF083B" w:rsidRPr="00EF083B" w:rsidRDefault="0096229C" w:rsidP="00BF2FA8">
      <w:pPr>
        <w:pStyle w:val="ListParagraph"/>
        <w:numPr>
          <w:ilvl w:val="0"/>
          <w:numId w:val="25"/>
        </w:numPr>
        <w:spacing w:after="160" w:line="276" w:lineRule="auto"/>
        <w:contextualSpacing w:val="0"/>
        <w:rPr>
          <w:rFonts w:eastAsia="Aptos Display" w:cs="Aptos Display"/>
          <w:lang w:val="en-GB"/>
        </w:rPr>
      </w:pPr>
      <w:r w:rsidRPr="1780F6DA">
        <w:rPr>
          <w:rFonts w:eastAsia="Aptos Display" w:cs="Aptos Display"/>
        </w:rPr>
        <w:lastRenderedPageBreak/>
        <w:t xml:space="preserve">Once a provider is no longer identified in PRISMS as a small provider </w:t>
      </w:r>
      <w:r w:rsidR="00BE639D" w:rsidRPr="1780F6DA">
        <w:rPr>
          <w:rFonts w:eastAsia="Aptos Display" w:cs="Aptos Display"/>
        </w:rPr>
        <w:t xml:space="preserve">(that is, once they reach 80 NOSC), that provider </w:t>
      </w:r>
      <w:r w:rsidR="00732D0A">
        <w:rPr>
          <w:rFonts w:eastAsia="Aptos Display" w:cs="Aptos Display"/>
        </w:rPr>
        <w:t>is automatically moved o</w:t>
      </w:r>
      <w:r w:rsidR="0023492B" w:rsidRPr="1780F6DA">
        <w:rPr>
          <w:rFonts w:eastAsia="Aptos Display" w:cs="Aptos Display"/>
        </w:rPr>
        <w:t>ut of the pool</w:t>
      </w:r>
      <w:r w:rsidR="000F0D04" w:rsidRPr="1780F6DA">
        <w:rPr>
          <w:rFonts w:eastAsia="Aptos Display" w:cs="Aptos Display"/>
        </w:rPr>
        <w:t xml:space="preserve">. </w:t>
      </w:r>
    </w:p>
    <w:p w14:paraId="5D679ACB" w14:textId="6ABDF8A9" w:rsidR="002E0F40" w:rsidRPr="00481150" w:rsidRDefault="00D129FA" w:rsidP="00BF2FA8">
      <w:pPr>
        <w:pStyle w:val="ListParagraph"/>
        <w:numPr>
          <w:ilvl w:val="0"/>
          <w:numId w:val="25"/>
        </w:numPr>
        <w:spacing w:after="160" w:line="276" w:lineRule="auto"/>
        <w:contextualSpacing w:val="0"/>
        <w:rPr>
          <w:rFonts w:eastAsia="Aptos Display" w:cs="Aptos Display"/>
          <w:lang w:val="en-GB"/>
        </w:rPr>
      </w:pPr>
      <w:r w:rsidRPr="1780F6DA">
        <w:rPr>
          <w:rFonts w:eastAsia="Aptos Display" w:cs="Aptos Display"/>
        </w:rPr>
        <w:t xml:space="preserve">At this point, </w:t>
      </w:r>
      <w:r w:rsidR="007A64B3" w:rsidRPr="1780F6DA">
        <w:rPr>
          <w:rFonts w:eastAsia="Aptos Display" w:cs="Aptos Display"/>
        </w:rPr>
        <w:t xml:space="preserve">the provider </w:t>
      </w:r>
      <w:r w:rsidR="00586A89" w:rsidRPr="1780F6DA">
        <w:rPr>
          <w:rFonts w:eastAsia="Aptos Display" w:cs="Aptos Display"/>
        </w:rPr>
        <w:t>will no longer have access to P</w:t>
      </w:r>
      <w:r w:rsidR="00406326" w:rsidRPr="1780F6DA">
        <w:rPr>
          <w:rFonts w:eastAsia="Aptos Display" w:cs="Aptos Display"/>
        </w:rPr>
        <w:t xml:space="preserve">riority 1 processing and </w:t>
      </w:r>
      <w:r w:rsidR="00D91406" w:rsidRPr="1780F6DA">
        <w:rPr>
          <w:rFonts w:eastAsia="Aptos Display" w:cs="Aptos Display"/>
        </w:rPr>
        <w:t xml:space="preserve">will be subject to the same </w:t>
      </w:r>
      <w:r w:rsidR="00263F6F" w:rsidRPr="1780F6DA">
        <w:rPr>
          <w:rFonts w:eastAsia="Aptos Display" w:cs="Aptos Display"/>
        </w:rPr>
        <w:t xml:space="preserve">arrangements for </w:t>
      </w:r>
      <w:r w:rsidR="00D91406" w:rsidRPr="1780F6DA">
        <w:rPr>
          <w:rFonts w:eastAsia="Aptos Display" w:cs="Aptos Display"/>
        </w:rPr>
        <w:t>prioritisation of student visa processing as</w:t>
      </w:r>
      <w:r w:rsidR="00953A09" w:rsidRPr="1780F6DA">
        <w:rPr>
          <w:rFonts w:eastAsia="Aptos Display" w:cs="Aptos Display"/>
        </w:rPr>
        <w:t xml:space="preserve"> </w:t>
      </w:r>
      <w:r w:rsidR="00031C0B" w:rsidRPr="1780F6DA">
        <w:rPr>
          <w:rFonts w:eastAsia="Aptos Display" w:cs="Aptos Display"/>
        </w:rPr>
        <w:t xml:space="preserve">any other </w:t>
      </w:r>
      <w:r w:rsidR="00D91406" w:rsidRPr="1780F6DA">
        <w:rPr>
          <w:rFonts w:eastAsia="Aptos Display" w:cs="Aptos Display"/>
        </w:rPr>
        <w:t xml:space="preserve">VET </w:t>
      </w:r>
      <w:r w:rsidR="00031C0B" w:rsidRPr="1780F6DA">
        <w:rPr>
          <w:rFonts w:eastAsia="Aptos Display" w:cs="Aptos Display"/>
        </w:rPr>
        <w:t>provider</w:t>
      </w:r>
      <w:r w:rsidR="00053E9C" w:rsidRPr="1780F6DA">
        <w:rPr>
          <w:rFonts w:eastAsia="Aptos Display" w:cs="Aptos Display"/>
        </w:rPr>
        <w:t xml:space="preserve">. </w:t>
      </w:r>
    </w:p>
    <w:p w14:paraId="2FEEFA73" w14:textId="165402A4" w:rsidR="09EE8BDB" w:rsidRPr="00FD7A8E" w:rsidRDefault="09EE8BDB" w:rsidP="00BF2FA8">
      <w:pPr>
        <w:spacing w:after="160"/>
        <w:rPr>
          <w:rFonts w:eastAsia="Aptos Display" w:cs="Aptos Display"/>
        </w:rPr>
      </w:pPr>
      <w:r w:rsidRPr="1780F6DA">
        <w:rPr>
          <w:rFonts w:eastAsia="Aptos Display" w:cs="Aptos Display"/>
        </w:rPr>
        <w:t xml:space="preserve">This </w:t>
      </w:r>
      <w:r w:rsidR="00A36A9A" w:rsidRPr="004C2F97">
        <w:rPr>
          <w:rFonts w:eastAsia="Aptos Display" w:cs="Aptos Display"/>
        </w:rPr>
        <w:t xml:space="preserve">process </w:t>
      </w:r>
      <w:r w:rsidR="00651D5A" w:rsidRPr="004C2F97">
        <w:rPr>
          <w:rFonts w:eastAsia="Aptos Display" w:cs="Aptos Display"/>
        </w:rPr>
        <w:t>ensures</w:t>
      </w:r>
      <w:r w:rsidR="00D34EDE" w:rsidRPr="004C2F97">
        <w:rPr>
          <w:rFonts w:eastAsia="Aptos Display" w:cs="Aptos Display"/>
        </w:rPr>
        <w:t xml:space="preserve"> that </w:t>
      </w:r>
      <w:r w:rsidRPr="004C2F97">
        <w:rPr>
          <w:rFonts w:eastAsia="Aptos Display" w:cs="Aptos Display"/>
        </w:rPr>
        <w:t>a</w:t>
      </w:r>
      <w:r w:rsidRPr="1780F6DA">
        <w:rPr>
          <w:rFonts w:eastAsia="Aptos Display" w:cs="Aptos Display"/>
        </w:rPr>
        <w:t xml:space="preserve"> small number of providers cannot use all the NOSC in the pool</w:t>
      </w:r>
      <w:r w:rsidR="00A36A9A" w:rsidRPr="1780F6DA">
        <w:rPr>
          <w:rFonts w:eastAsia="Aptos Display" w:cs="Aptos Display"/>
        </w:rPr>
        <w:t xml:space="preserve">, ensuring </w:t>
      </w:r>
      <w:r w:rsidRPr="1780F6DA">
        <w:rPr>
          <w:rFonts w:eastAsia="Aptos Display" w:cs="Aptos Display"/>
        </w:rPr>
        <w:t>equitable access to Priority 1 processing</w:t>
      </w:r>
      <w:r w:rsidR="00A36A9A" w:rsidRPr="1780F6DA">
        <w:rPr>
          <w:rFonts w:eastAsia="Aptos Display" w:cs="Aptos Display"/>
        </w:rPr>
        <w:t xml:space="preserve"> for all small providers</w:t>
      </w:r>
      <w:r w:rsidRPr="1780F6DA">
        <w:rPr>
          <w:rFonts w:eastAsia="Aptos Display" w:cs="Aptos Display"/>
        </w:rPr>
        <w:t>.</w:t>
      </w:r>
    </w:p>
    <w:p w14:paraId="3EA6BD21" w14:textId="5C6BDCA7" w:rsidR="00BE639D" w:rsidRPr="00FD7A8E" w:rsidRDefault="00BE639D" w:rsidP="00BF2FA8">
      <w:pPr>
        <w:pStyle w:val="Heading6"/>
        <w:spacing w:before="0"/>
        <w:rPr>
          <w:rFonts w:ascii="Aptos Display" w:eastAsia="Aptos Display" w:hAnsi="Aptos Display" w:cs="Aptos Display"/>
          <w:i/>
          <w:color w:val="auto"/>
        </w:rPr>
      </w:pPr>
      <w:r w:rsidRPr="1780F6DA">
        <w:rPr>
          <w:rFonts w:ascii="Aptos Display" w:eastAsia="Aptos Display" w:hAnsi="Aptos Display" w:cs="Aptos Display"/>
          <w:i/>
          <w:color w:val="auto"/>
        </w:rPr>
        <w:t xml:space="preserve">For all small providers </w:t>
      </w:r>
      <w:r w:rsidR="00D9050E" w:rsidRPr="1780F6DA">
        <w:rPr>
          <w:rFonts w:ascii="Aptos Display" w:eastAsia="Aptos Display" w:hAnsi="Aptos Display" w:cs="Aptos Display"/>
          <w:i/>
          <w:color w:val="auto"/>
        </w:rPr>
        <w:t xml:space="preserve">as a </w:t>
      </w:r>
      <w:r w:rsidR="00C05224">
        <w:rPr>
          <w:rFonts w:ascii="Aptos Display" w:eastAsia="Aptos Display" w:hAnsi="Aptos Display" w:cs="Aptos Display"/>
          <w:i/>
          <w:color w:val="auto"/>
        </w:rPr>
        <w:t>group</w:t>
      </w:r>
    </w:p>
    <w:p w14:paraId="6185195C" w14:textId="0032ABDE" w:rsidR="00D5406E" w:rsidRPr="00FD7A8E" w:rsidRDefault="606689AC" w:rsidP="0070359B">
      <w:pPr>
        <w:pStyle w:val="Heading6"/>
        <w:spacing w:before="0"/>
        <w:rPr>
          <w:rFonts w:ascii="Aptos Display" w:eastAsia="Aptos Display" w:hAnsi="Aptos Display" w:cs="Aptos Display"/>
          <w:color w:val="000000" w:themeColor="text1"/>
        </w:rPr>
      </w:pPr>
      <w:r w:rsidRPr="1780F6DA">
        <w:rPr>
          <w:rFonts w:ascii="Aptos Display" w:eastAsia="Aptos Display" w:hAnsi="Aptos Display" w:cs="Aptos Display"/>
          <w:color w:val="000000" w:themeColor="text1"/>
        </w:rPr>
        <w:t>If at any point</w:t>
      </w:r>
      <w:r w:rsidR="00BE639D" w:rsidRPr="1780F6DA">
        <w:rPr>
          <w:rFonts w:ascii="Aptos Display" w:eastAsia="Aptos Display" w:hAnsi="Aptos Display" w:cs="Aptos Display"/>
          <w:color w:val="000000" w:themeColor="text1"/>
        </w:rPr>
        <w:t>, all</w:t>
      </w:r>
      <w:r w:rsidRPr="1780F6DA">
        <w:rPr>
          <w:rFonts w:ascii="Aptos Display" w:eastAsia="Aptos Display" w:hAnsi="Aptos Display" w:cs="Aptos Display"/>
          <w:color w:val="000000" w:themeColor="text1"/>
        </w:rPr>
        <w:t xml:space="preserve"> providers in the small provider pool</w:t>
      </w:r>
      <w:r w:rsidR="00BE639D" w:rsidRPr="1780F6DA">
        <w:rPr>
          <w:rFonts w:ascii="Aptos Display" w:eastAsia="Aptos Display" w:hAnsi="Aptos Display" w:cs="Aptos Display"/>
          <w:color w:val="000000" w:themeColor="text1"/>
        </w:rPr>
        <w:t xml:space="preserve"> have</w:t>
      </w:r>
      <w:r w:rsidRPr="1780F6DA">
        <w:rPr>
          <w:rFonts w:ascii="Aptos Display" w:eastAsia="Aptos Display" w:hAnsi="Aptos Display" w:cs="Aptos Display"/>
          <w:color w:val="000000" w:themeColor="text1"/>
        </w:rPr>
        <w:t xml:space="preserve"> collectively </w:t>
      </w:r>
      <w:r w:rsidR="00BE639D" w:rsidRPr="1780F6DA">
        <w:rPr>
          <w:rFonts w:ascii="Aptos Display" w:eastAsia="Aptos Display" w:hAnsi="Aptos Display" w:cs="Aptos Display"/>
          <w:color w:val="000000" w:themeColor="text1"/>
        </w:rPr>
        <w:t>used</w:t>
      </w:r>
      <w:r w:rsidRPr="1780F6DA">
        <w:rPr>
          <w:rFonts w:ascii="Aptos Display" w:eastAsia="Aptos Display" w:hAnsi="Aptos Display" w:cs="Aptos Display"/>
          <w:color w:val="000000" w:themeColor="text1"/>
        </w:rPr>
        <w:t xml:space="preserve"> 80% of the total NOSC available in the pool, all remaining providers in the pool will move </w:t>
      </w:r>
      <w:r w:rsidR="00B77887" w:rsidRPr="1780F6DA">
        <w:rPr>
          <w:rFonts w:ascii="Aptos Display" w:eastAsia="Aptos Display" w:hAnsi="Aptos Display" w:cs="Aptos Display"/>
          <w:color w:val="000000" w:themeColor="text1"/>
        </w:rPr>
        <w:t>out of the pool and no longer have access to Priority 1 processing.</w:t>
      </w:r>
      <w:r w:rsidR="0070359B">
        <w:rPr>
          <w:rFonts w:ascii="Aptos Display" w:eastAsia="Aptos Display" w:hAnsi="Aptos Display" w:cs="Aptos Display"/>
          <w:color w:val="000000" w:themeColor="text1"/>
        </w:rPr>
        <w:t xml:space="preserve">  </w:t>
      </w:r>
      <w:r w:rsidR="00D5406E" w:rsidRPr="1780F6DA">
        <w:rPr>
          <w:rFonts w:ascii="Aptos Display" w:eastAsia="Aptos Display" w:hAnsi="Aptos Display" w:cs="Aptos Display"/>
          <w:color w:val="000000" w:themeColor="text1"/>
        </w:rPr>
        <w:t xml:space="preserve">These providers will cease to be small providers for the purposes of </w:t>
      </w:r>
      <w:r w:rsidR="00D577B6">
        <w:rPr>
          <w:rFonts w:ascii="Aptos Display" w:eastAsia="Aptos Display" w:hAnsi="Aptos Display" w:cs="Aptos Display"/>
          <w:color w:val="000000" w:themeColor="text1"/>
        </w:rPr>
        <w:t xml:space="preserve">student </w:t>
      </w:r>
      <w:r w:rsidR="00D5406E" w:rsidRPr="1780F6DA">
        <w:rPr>
          <w:rFonts w:ascii="Aptos Display" w:eastAsia="Aptos Display" w:hAnsi="Aptos Display" w:cs="Aptos Display"/>
          <w:color w:val="000000" w:themeColor="text1"/>
        </w:rPr>
        <w:t>visa prioritisation and will no longer be recorded in PRISMS as such.</w:t>
      </w:r>
      <w:r w:rsidR="00F546AB" w:rsidRPr="1780F6DA">
        <w:rPr>
          <w:rFonts w:ascii="Aptos Display" w:eastAsia="Aptos Display" w:hAnsi="Aptos Display" w:cs="Aptos Display"/>
          <w:color w:val="000000" w:themeColor="text1"/>
        </w:rPr>
        <w:t xml:space="preserve"> </w:t>
      </w:r>
    </w:p>
    <w:p w14:paraId="1D4B441F" w14:textId="7CB55856" w:rsidR="007F46F3" w:rsidRPr="00FD7A8E" w:rsidRDefault="00D9050E" w:rsidP="00BF2FA8">
      <w:pPr>
        <w:pStyle w:val="Heading6"/>
        <w:rPr>
          <w:rFonts w:ascii="Aptos Display" w:eastAsia="Aptos Display" w:hAnsi="Aptos Display" w:cs="Aptos Display"/>
          <w:i/>
          <w:color w:val="auto"/>
        </w:rPr>
      </w:pPr>
      <w:r w:rsidRPr="1780F6DA">
        <w:rPr>
          <w:rFonts w:ascii="Aptos Display" w:eastAsia="Aptos Display" w:hAnsi="Aptos Display" w:cs="Aptos Display"/>
          <w:i/>
          <w:color w:val="auto"/>
        </w:rPr>
        <w:t>For n</w:t>
      </w:r>
      <w:r w:rsidR="00D755AE" w:rsidRPr="1780F6DA">
        <w:rPr>
          <w:rFonts w:ascii="Aptos Display" w:eastAsia="Aptos Display" w:hAnsi="Aptos Display" w:cs="Aptos Display"/>
          <w:i/>
          <w:color w:val="auto"/>
        </w:rPr>
        <w:t>ew small VET providers</w:t>
      </w:r>
    </w:p>
    <w:p w14:paraId="76574D46" w14:textId="513E00A3" w:rsidR="2A4EB94B" w:rsidRPr="00FD7A8E" w:rsidRDefault="00E3248D" w:rsidP="00BF2FA8">
      <w:pPr>
        <w:rPr>
          <w:rFonts w:eastAsia="Aptos Display" w:cs="Aptos Display"/>
        </w:rPr>
      </w:pPr>
      <w:r w:rsidRPr="1780F6DA">
        <w:rPr>
          <w:rFonts w:eastAsia="Aptos Display" w:cs="Aptos Display"/>
        </w:rPr>
        <w:t xml:space="preserve">Newly registered </w:t>
      </w:r>
      <w:r w:rsidR="004D7003">
        <w:rPr>
          <w:rFonts w:eastAsia="Aptos Display" w:cs="Aptos Display"/>
        </w:rPr>
        <w:t xml:space="preserve">VET </w:t>
      </w:r>
      <w:r w:rsidRPr="1780F6DA">
        <w:rPr>
          <w:rFonts w:eastAsia="Aptos Display" w:cs="Aptos Display"/>
        </w:rPr>
        <w:t>p</w:t>
      </w:r>
      <w:r w:rsidR="007F46F3" w:rsidRPr="1780F6DA">
        <w:rPr>
          <w:rFonts w:eastAsia="Aptos Display" w:cs="Aptos Display"/>
        </w:rPr>
        <w:t>roviders w</w:t>
      </w:r>
      <w:r w:rsidR="4672933D" w:rsidRPr="1780F6DA">
        <w:rPr>
          <w:rFonts w:eastAsia="Aptos Display" w:cs="Aptos Display"/>
        </w:rPr>
        <w:t>ill</w:t>
      </w:r>
      <w:r w:rsidR="007F46F3" w:rsidRPr="1780F6DA">
        <w:rPr>
          <w:rFonts w:eastAsia="Aptos Display" w:cs="Aptos Display"/>
        </w:rPr>
        <w:t xml:space="preserve"> be </w:t>
      </w:r>
      <w:r w:rsidR="004D7003">
        <w:rPr>
          <w:rFonts w:eastAsia="Aptos Display" w:cs="Aptos Display"/>
        </w:rPr>
        <w:t>given</w:t>
      </w:r>
      <w:r w:rsidR="56EBF252" w:rsidRPr="1780F6DA">
        <w:rPr>
          <w:rFonts w:eastAsia="Aptos Display" w:cs="Aptos Display"/>
        </w:rPr>
        <w:t xml:space="preserve"> an individual allocation and then </w:t>
      </w:r>
      <w:r w:rsidR="007F46F3" w:rsidRPr="1780F6DA">
        <w:rPr>
          <w:rFonts w:eastAsia="Aptos Display" w:cs="Aptos Display"/>
        </w:rPr>
        <w:t>assigned to the small provider pool.</w:t>
      </w:r>
    </w:p>
    <w:p w14:paraId="46AFFF2B" w14:textId="77777777" w:rsidR="59199F83" w:rsidRPr="00FD7A8E" w:rsidRDefault="59199F83" w:rsidP="004D7003">
      <w:pPr>
        <w:spacing w:after="0"/>
        <w:contextualSpacing/>
        <w:rPr>
          <w:rFonts w:eastAsia="Aptos Display" w:cs="Aptos Display"/>
          <w:b/>
          <w:i/>
        </w:rPr>
      </w:pPr>
      <w:r w:rsidRPr="1780F6DA">
        <w:rPr>
          <w:rFonts w:eastAsia="Aptos Display" w:cs="Aptos Display"/>
          <w:b/>
          <w:i/>
        </w:rPr>
        <w:t>How will I know if I am a small provider?</w:t>
      </w:r>
    </w:p>
    <w:p w14:paraId="5C76B1A5" w14:textId="3F94B351" w:rsidR="00D9050E" w:rsidRPr="004D7003" w:rsidRDefault="59199F83" w:rsidP="004D7003">
      <w:pPr>
        <w:spacing w:after="0"/>
        <w:contextualSpacing/>
        <w:rPr>
          <w:rFonts w:eastAsia="Aptos Display" w:cs="Aptos Display"/>
          <w:b/>
          <w:i/>
        </w:rPr>
      </w:pPr>
      <w:r w:rsidRPr="1780F6DA">
        <w:rPr>
          <w:rFonts w:eastAsia="Aptos Display" w:cs="Aptos Display"/>
        </w:rPr>
        <w:t xml:space="preserve">Providers that meet the </w:t>
      </w:r>
      <w:r w:rsidR="00817577" w:rsidRPr="1780F6DA">
        <w:rPr>
          <w:rFonts w:eastAsia="Aptos Display" w:cs="Aptos Display"/>
        </w:rPr>
        <w:t xml:space="preserve">criteria for </w:t>
      </w:r>
      <w:r w:rsidR="00331A0B" w:rsidRPr="1780F6DA">
        <w:rPr>
          <w:rFonts w:eastAsia="Aptos Display" w:cs="Aptos Display"/>
        </w:rPr>
        <w:t xml:space="preserve">classifying </w:t>
      </w:r>
      <w:r w:rsidRPr="1780F6DA">
        <w:rPr>
          <w:rFonts w:eastAsia="Aptos Display" w:cs="Aptos Display"/>
        </w:rPr>
        <w:t xml:space="preserve">small </w:t>
      </w:r>
      <w:r w:rsidR="31431D22" w:rsidRPr="1780F6DA">
        <w:rPr>
          <w:rFonts w:eastAsia="Aptos Display" w:cs="Aptos Display"/>
        </w:rPr>
        <w:t>provider</w:t>
      </w:r>
      <w:r w:rsidR="00817577" w:rsidRPr="1780F6DA">
        <w:rPr>
          <w:rFonts w:eastAsia="Aptos Display" w:cs="Aptos Display"/>
        </w:rPr>
        <w:t>s</w:t>
      </w:r>
      <w:r w:rsidR="31431D22" w:rsidRPr="1780F6DA">
        <w:rPr>
          <w:rFonts w:eastAsia="Aptos Display" w:cs="Aptos Display"/>
        </w:rPr>
        <w:t xml:space="preserve"> will</w:t>
      </w:r>
      <w:r w:rsidRPr="1780F6DA">
        <w:rPr>
          <w:rFonts w:eastAsia="Aptos Display" w:cs="Aptos Display"/>
        </w:rPr>
        <w:t xml:space="preserve"> be informed of this in PRISMS in the</w:t>
      </w:r>
      <w:r w:rsidR="19E625BC" w:rsidRPr="1780F6DA">
        <w:rPr>
          <w:rFonts w:eastAsia="Aptos Display" w:cs="Aptos Display"/>
        </w:rPr>
        <w:t>ir</w:t>
      </w:r>
      <w:r w:rsidRPr="1780F6DA">
        <w:rPr>
          <w:rFonts w:eastAsia="Aptos Display" w:cs="Aptos Display"/>
        </w:rPr>
        <w:t xml:space="preserve"> NOSC home screen display. </w:t>
      </w:r>
      <w:r w:rsidR="00D9050E" w:rsidRPr="1780F6DA">
        <w:rPr>
          <w:rFonts w:eastAsia="Aptos Display" w:cs="Aptos Display"/>
        </w:rPr>
        <w:t xml:space="preserve"> Providers</w:t>
      </w:r>
      <w:r w:rsidR="009827AD" w:rsidRPr="1780F6DA">
        <w:rPr>
          <w:rFonts w:eastAsia="Aptos Display" w:cs="Aptos Display"/>
        </w:rPr>
        <w:t xml:space="preserve"> will be identified as small providers in PRISMS and included in the small provider pool when they meet the</w:t>
      </w:r>
      <w:r w:rsidR="00D9050E" w:rsidRPr="1780F6DA">
        <w:rPr>
          <w:rFonts w:eastAsia="Aptos Display" w:cs="Aptos Display"/>
        </w:rPr>
        <w:t xml:space="preserve"> following criteria</w:t>
      </w:r>
      <w:r w:rsidR="1FCCF888" w:rsidRPr="1780F6DA">
        <w:rPr>
          <w:rFonts w:eastAsia="Aptos Display" w:cs="Aptos Display"/>
        </w:rPr>
        <w:t>:</w:t>
      </w:r>
    </w:p>
    <w:p w14:paraId="55EA019F" w14:textId="03162A4A" w:rsidR="0BDFD202" w:rsidRPr="00FD7A8E" w:rsidRDefault="009827AD" w:rsidP="00BF2FA8">
      <w:pPr>
        <w:pStyle w:val="ListParagraph"/>
        <w:numPr>
          <w:ilvl w:val="0"/>
          <w:numId w:val="25"/>
        </w:numPr>
        <w:spacing w:after="160" w:line="276" w:lineRule="auto"/>
        <w:contextualSpacing w:val="0"/>
        <w:rPr>
          <w:rFonts w:eastAsia="Aptos Display" w:cs="Aptos Display"/>
          <w:lang w:val="en-GB"/>
        </w:rPr>
      </w:pPr>
      <w:r w:rsidRPr="1780F6DA">
        <w:rPr>
          <w:rFonts w:eastAsia="Aptos Display" w:cs="Aptos Display"/>
          <w:lang w:val="en-GB"/>
        </w:rPr>
        <w:t xml:space="preserve">They have </w:t>
      </w:r>
      <w:r w:rsidR="00D7144C" w:rsidRPr="1780F6DA">
        <w:rPr>
          <w:rFonts w:eastAsia="Aptos Display" w:cs="Aptos Display"/>
          <w:lang w:val="en-GB"/>
        </w:rPr>
        <w:t xml:space="preserve">a </w:t>
      </w:r>
      <w:r w:rsidR="0041388E" w:rsidRPr="1780F6DA">
        <w:rPr>
          <w:rFonts w:eastAsia="Aptos Display" w:cs="Aptos Display"/>
          <w:lang w:val="en-GB"/>
        </w:rPr>
        <w:t xml:space="preserve">VET allocation </w:t>
      </w:r>
      <w:r w:rsidR="003C1EF6" w:rsidRPr="1780F6DA">
        <w:rPr>
          <w:rFonts w:eastAsia="Aptos Display" w:cs="Aptos Display"/>
          <w:lang w:val="en-GB"/>
        </w:rPr>
        <w:t xml:space="preserve">or, for dual sector providers, a </w:t>
      </w:r>
      <w:r w:rsidR="00C25D5A" w:rsidRPr="1780F6DA">
        <w:rPr>
          <w:rFonts w:eastAsia="Aptos Display" w:cs="Aptos Display"/>
          <w:lang w:val="en-GB"/>
        </w:rPr>
        <w:t xml:space="preserve">combined </w:t>
      </w:r>
      <w:r w:rsidR="00E91BF6" w:rsidRPr="1780F6DA">
        <w:rPr>
          <w:rFonts w:eastAsia="Aptos Display" w:cs="Aptos Display"/>
          <w:lang w:val="en-GB"/>
        </w:rPr>
        <w:t xml:space="preserve">VET and </w:t>
      </w:r>
      <w:r w:rsidR="004D7003">
        <w:rPr>
          <w:rFonts w:eastAsia="Aptos Display" w:cs="Aptos Display"/>
          <w:lang w:val="en-GB"/>
        </w:rPr>
        <w:t>h</w:t>
      </w:r>
      <w:r w:rsidR="00E91BF6" w:rsidRPr="1780F6DA">
        <w:rPr>
          <w:rFonts w:eastAsia="Aptos Display" w:cs="Aptos Display"/>
          <w:lang w:val="en-GB"/>
        </w:rPr>
        <w:t xml:space="preserve">igher </w:t>
      </w:r>
      <w:r w:rsidR="004D7003">
        <w:rPr>
          <w:rFonts w:eastAsia="Aptos Display" w:cs="Aptos Display"/>
          <w:lang w:val="en-GB"/>
        </w:rPr>
        <w:t>e</w:t>
      </w:r>
      <w:r w:rsidR="00E91BF6" w:rsidRPr="1780F6DA">
        <w:rPr>
          <w:rFonts w:eastAsia="Aptos Display" w:cs="Aptos Display"/>
          <w:lang w:val="en-GB"/>
        </w:rPr>
        <w:t>ducation</w:t>
      </w:r>
      <w:r w:rsidR="4CCD608C" w:rsidRPr="1780F6DA">
        <w:rPr>
          <w:rFonts w:eastAsia="Aptos Display" w:cs="Aptos Display"/>
          <w:lang w:val="en-GB"/>
        </w:rPr>
        <w:t xml:space="preserve"> allocation</w:t>
      </w:r>
      <w:r w:rsidR="003C1EF6" w:rsidRPr="1780F6DA">
        <w:rPr>
          <w:rFonts w:eastAsia="Aptos Display" w:cs="Aptos Display"/>
          <w:lang w:val="en-GB"/>
        </w:rPr>
        <w:t>,</w:t>
      </w:r>
      <w:r w:rsidR="4CCD608C" w:rsidRPr="1780F6DA">
        <w:rPr>
          <w:rFonts w:eastAsia="Aptos Display" w:cs="Aptos Display"/>
          <w:lang w:val="en-GB"/>
        </w:rPr>
        <w:t xml:space="preserve"> </w:t>
      </w:r>
      <w:r w:rsidRPr="1780F6DA">
        <w:rPr>
          <w:rFonts w:eastAsia="Aptos Display" w:cs="Aptos Display"/>
          <w:lang w:val="en-GB"/>
        </w:rPr>
        <w:t xml:space="preserve">that is </w:t>
      </w:r>
      <w:r w:rsidR="00A81AC5" w:rsidRPr="1780F6DA">
        <w:rPr>
          <w:rFonts w:eastAsia="Aptos Display" w:cs="Aptos Display"/>
          <w:lang w:val="en-GB"/>
        </w:rPr>
        <w:t>not more</w:t>
      </w:r>
      <w:r w:rsidR="4CCD608C" w:rsidRPr="1780F6DA">
        <w:rPr>
          <w:rFonts w:eastAsia="Aptos Display" w:cs="Aptos Display"/>
          <w:lang w:val="en-GB"/>
        </w:rPr>
        <w:t xml:space="preserve"> than 100 NOSC</w:t>
      </w:r>
      <w:r w:rsidR="00466731">
        <w:rPr>
          <w:rFonts w:eastAsia="Aptos Display" w:cs="Aptos Display"/>
          <w:lang w:val="en-GB"/>
        </w:rPr>
        <w:t>, and</w:t>
      </w:r>
    </w:p>
    <w:p w14:paraId="30586230" w14:textId="55F391EA" w:rsidR="2D3371A3" w:rsidRPr="00FD7A8E" w:rsidRDefault="009827AD" w:rsidP="00BF2FA8">
      <w:pPr>
        <w:pStyle w:val="ListParagraph"/>
        <w:numPr>
          <w:ilvl w:val="0"/>
          <w:numId w:val="25"/>
        </w:numPr>
        <w:spacing w:after="160" w:line="276" w:lineRule="auto"/>
        <w:contextualSpacing w:val="0"/>
        <w:rPr>
          <w:rFonts w:eastAsia="Aptos Display" w:cs="Aptos Display"/>
          <w:lang w:val="en-GB"/>
        </w:rPr>
      </w:pPr>
      <w:r w:rsidRPr="1780F6DA">
        <w:rPr>
          <w:rFonts w:eastAsia="Aptos Display" w:cs="Aptos Display"/>
          <w:lang w:val="en-GB"/>
        </w:rPr>
        <w:t>The</w:t>
      </w:r>
      <w:r w:rsidR="00F20E3C" w:rsidRPr="1780F6DA">
        <w:rPr>
          <w:rFonts w:eastAsia="Aptos Display" w:cs="Aptos Display"/>
          <w:lang w:val="en-GB"/>
        </w:rPr>
        <w:t>y</w:t>
      </w:r>
      <w:r w:rsidRPr="1780F6DA">
        <w:rPr>
          <w:rFonts w:eastAsia="Aptos Display" w:cs="Aptos Display"/>
          <w:lang w:val="en-GB"/>
        </w:rPr>
        <w:t xml:space="preserve"> have used </w:t>
      </w:r>
      <w:r w:rsidR="00F20E3C" w:rsidRPr="1780F6DA">
        <w:rPr>
          <w:rFonts w:eastAsia="Aptos Display" w:cs="Aptos Display"/>
          <w:lang w:val="en-GB"/>
        </w:rPr>
        <w:t>fewer</w:t>
      </w:r>
      <w:r w:rsidRPr="1780F6DA">
        <w:rPr>
          <w:rFonts w:eastAsia="Aptos Display" w:cs="Aptos Display"/>
          <w:lang w:val="en-GB"/>
        </w:rPr>
        <w:t xml:space="preserve"> than </w:t>
      </w:r>
      <w:r w:rsidR="4CCD608C" w:rsidRPr="1780F6DA">
        <w:rPr>
          <w:rFonts w:eastAsia="Aptos Display" w:cs="Aptos Display"/>
          <w:lang w:val="en-GB"/>
        </w:rPr>
        <w:t>80</w:t>
      </w:r>
      <w:r w:rsidR="243BC48D" w:rsidRPr="1780F6DA">
        <w:rPr>
          <w:rFonts w:eastAsia="Aptos Display" w:cs="Aptos Display"/>
          <w:lang w:val="en-GB"/>
        </w:rPr>
        <w:t xml:space="preserve"> </w:t>
      </w:r>
      <w:r w:rsidRPr="1780F6DA">
        <w:rPr>
          <w:rFonts w:eastAsia="Aptos Display" w:cs="Aptos Display"/>
          <w:lang w:val="en-GB"/>
        </w:rPr>
        <w:t>NOSC.</w:t>
      </w:r>
    </w:p>
    <w:p w14:paraId="07C541F4" w14:textId="5A426716" w:rsidR="4E33608E" w:rsidRPr="00FD7A8E" w:rsidRDefault="4E33608E" w:rsidP="00BF2FA8">
      <w:pPr>
        <w:spacing w:after="0"/>
        <w:rPr>
          <w:rFonts w:eastAsia="Aptos Display" w:cs="Aptos Display"/>
          <w:b/>
          <w:i/>
        </w:rPr>
      </w:pPr>
      <w:r w:rsidRPr="1780F6DA">
        <w:rPr>
          <w:rFonts w:eastAsia="Aptos Display" w:cs="Aptos Display"/>
          <w:b/>
          <w:i/>
        </w:rPr>
        <w:t>What</w:t>
      </w:r>
      <w:r w:rsidR="3E7A0DBF" w:rsidRPr="1780F6DA">
        <w:rPr>
          <w:rFonts w:eastAsia="Aptos Display" w:cs="Aptos Display"/>
          <w:b/>
          <w:i/>
        </w:rPr>
        <w:t xml:space="preserve"> </w:t>
      </w:r>
      <w:r w:rsidRPr="1780F6DA">
        <w:rPr>
          <w:rFonts w:eastAsia="Aptos Display" w:cs="Aptos Display"/>
          <w:b/>
          <w:i/>
        </w:rPr>
        <w:t>happen</w:t>
      </w:r>
      <w:r w:rsidR="7902E5C1" w:rsidRPr="1780F6DA">
        <w:rPr>
          <w:rFonts w:eastAsia="Aptos Display" w:cs="Aptos Display"/>
          <w:b/>
          <w:i/>
        </w:rPr>
        <w:t>s</w:t>
      </w:r>
      <w:r w:rsidRPr="1780F6DA">
        <w:rPr>
          <w:rFonts w:eastAsia="Aptos Display" w:cs="Aptos Display"/>
          <w:b/>
          <w:i/>
        </w:rPr>
        <w:t xml:space="preserve"> </w:t>
      </w:r>
      <w:r w:rsidR="00F643D9" w:rsidRPr="1780F6DA">
        <w:rPr>
          <w:rFonts w:eastAsia="Aptos Display" w:cs="Aptos Display"/>
          <w:b/>
          <w:i/>
        </w:rPr>
        <w:t>when</w:t>
      </w:r>
      <w:r w:rsidRPr="1780F6DA">
        <w:rPr>
          <w:rFonts w:eastAsia="Aptos Display" w:cs="Aptos Display"/>
          <w:b/>
          <w:i/>
        </w:rPr>
        <w:t xml:space="preserve"> I </w:t>
      </w:r>
      <w:r w:rsidR="00F643D9" w:rsidRPr="1780F6DA">
        <w:rPr>
          <w:rFonts w:eastAsia="Aptos Display" w:cs="Aptos Display"/>
          <w:b/>
          <w:i/>
        </w:rPr>
        <w:t>use 80 NOSC? A</w:t>
      </w:r>
      <w:r w:rsidRPr="1780F6DA">
        <w:rPr>
          <w:rFonts w:eastAsia="Aptos Display" w:cs="Aptos Display"/>
          <w:b/>
          <w:i/>
        </w:rPr>
        <w:t xml:space="preserve">m </w:t>
      </w:r>
      <w:r w:rsidR="00F643D9" w:rsidRPr="1780F6DA">
        <w:rPr>
          <w:rFonts w:eastAsia="Aptos Display" w:cs="Aptos Display"/>
          <w:b/>
          <w:i/>
        </w:rPr>
        <w:t xml:space="preserve">I </w:t>
      </w:r>
      <w:r w:rsidRPr="1780F6DA">
        <w:rPr>
          <w:rFonts w:eastAsia="Aptos Display" w:cs="Aptos Display"/>
          <w:b/>
          <w:i/>
        </w:rPr>
        <w:t xml:space="preserve">removed from the pool? </w:t>
      </w:r>
    </w:p>
    <w:p w14:paraId="6263E824" w14:textId="787F6454" w:rsidR="00D9050E" w:rsidRPr="00FD7A8E" w:rsidRDefault="3664866B" w:rsidP="00BF2FA8">
      <w:pPr>
        <w:spacing w:after="0"/>
        <w:rPr>
          <w:rFonts w:eastAsia="Aptos Display" w:cs="Aptos Display"/>
        </w:rPr>
      </w:pPr>
      <w:r w:rsidRPr="1780F6DA">
        <w:rPr>
          <w:rFonts w:eastAsia="Aptos Display" w:cs="Aptos Display"/>
        </w:rPr>
        <w:t xml:space="preserve">If a </w:t>
      </w:r>
      <w:r w:rsidR="00D91406" w:rsidRPr="1780F6DA">
        <w:rPr>
          <w:rFonts w:eastAsia="Aptos Display" w:cs="Aptos Display"/>
        </w:rPr>
        <w:t>small</w:t>
      </w:r>
      <w:r w:rsidRPr="1780F6DA">
        <w:rPr>
          <w:rFonts w:eastAsia="Aptos Display" w:cs="Aptos Display"/>
        </w:rPr>
        <w:t xml:space="preserve"> provider’s NOSC </w:t>
      </w:r>
      <w:r w:rsidR="6C6D6F62" w:rsidRPr="1780F6DA">
        <w:rPr>
          <w:rFonts w:eastAsia="Aptos Display" w:cs="Aptos Display"/>
        </w:rPr>
        <w:t>reaches 80</w:t>
      </w:r>
      <w:r w:rsidR="41DBB947" w:rsidRPr="1780F6DA">
        <w:rPr>
          <w:rFonts w:eastAsia="Aptos Display" w:cs="Aptos Display"/>
        </w:rPr>
        <w:t>,</w:t>
      </w:r>
      <w:r w:rsidR="6C6D6F62" w:rsidRPr="1780F6DA">
        <w:rPr>
          <w:rFonts w:eastAsia="Aptos Display" w:cs="Aptos Display"/>
        </w:rPr>
        <w:t xml:space="preserve"> </w:t>
      </w:r>
      <w:r w:rsidR="7958FCCF" w:rsidRPr="1780F6DA">
        <w:rPr>
          <w:rFonts w:eastAsia="Aptos Display" w:cs="Aptos Display"/>
        </w:rPr>
        <w:t xml:space="preserve">they </w:t>
      </w:r>
      <w:r w:rsidR="6C6D6F62" w:rsidRPr="1780F6DA">
        <w:rPr>
          <w:rFonts w:eastAsia="Aptos Display" w:cs="Aptos Display"/>
        </w:rPr>
        <w:t xml:space="preserve">will no longer be recorded in PRISMS as a </w:t>
      </w:r>
      <w:r w:rsidR="009827AD" w:rsidRPr="1780F6DA">
        <w:rPr>
          <w:rFonts w:eastAsia="Aptos Display" w:cs="Aptos Display"/>
        </w:rPr>
        <w:t>s</w:t>
      </w:r>
      <w:r w:rsidR="6C6D6F62" w:rsidRPr="1780F6DA">
        <w:rPr>
          <w:rFonts w:eastAsia="Aptos Display" w:cs="Aptos Display"/>
        </w:rPr>
        <w:t xml:space="preserve">mall </w:t>
      </w:r>
      <w:r w:rsidR="009827AD" w:rsidRPr="1780F6DA">
        <w:rPr>
          <w:rFonts w:eastAsia="Aptos Display" w:cs="Aptos Display"/>
        </w:rPr>
        <w:t>p</w:t>
      </w:r>
      <w:r w:rsidR="6C6D6F62" w:rsidRPr="1780F6DA">
        <w:rPr>
          <w:rFonts w:eastAsia="Aptos Display" w:cs="Aptos Display"/>
        </w:rPr>
        <w:t xml:space="preserve">rovider. </w:t>
      </w:r>
      <w:r w:rsidR="141DBB55" w:rsidRPr="1780F6DA">
        <w:rPr>
          <w:rFonts w:eastAsia="Aptos Display" w:cs="Aptos Display"/>
        </w:rPr>
        <w:t xml:space="preserve">This will be visible in the provider’s NOSC home screen display. </w:t>
      </w:r>
      <w:r w:rsidR="009827AD" w:rsidRPr="1780F6DA">
        <w:rPr>
          <w:rFonts w:eastAsia="Aptos Display" w:cs="Aptos Display"/>
        </w:rPr>
        <w:t>When this occurs, the provider can continue</w:t>
      </w:r>
      <w:r w:rsidR="7F0B9F57" w:rsidRPr="1780F6DA">
        <w:rPr>
          <w:rFonts w:eastAsia="Aptos Display" w:cs="Aptos Display"/>
        </w:rPr>
        <w:t xml:space="preserve"> to enrol new overseas </w:t>
      </w:r>
      <w:r w:rsidR="45433958" w:rsidRPr="1780F6DA">
        <w:rPr>
          <w:rFonts w:eastAsia="Aptos Display" w:cs="Aptos Display"/>
        </w:rPr>
        <w:t>students</w:t>
      </w:r>
      <w:r w:rsidR="009827AD" w:rsidRPr="1780F6DA">
        <w:rPr>
          <w:rFonts w:eastAsia="Aptos Display" w:cs="Aptos Display"/>
        </w:rPr>
        <w:t xml:space="preserve"> as </w:t>
      </w:r>
      <w:r w:rsidR="00C63743" w:rsidRPr="1780F6DA">
        <w:rPr>
          <w:rFonts w:eastAsia="Aptos Display" w:cs="Aptos Display"/>
        </w:rPr>
        <w:t>normal</w:t>
      </w:r>
      <w:r w:rsidR="00D91406" w:rsidRPr="1780F6DA">
        <w:rPr>
          <w:rFonts w:eastAsia="Aptos Display" w:cs="Aptos Display"/>
        </w:rPr>
        <w:t>, but</w:t>
      </w:r>
      <w:r w:rsidR="009827AD" w:rsidRPr="1780F6DA">
        <w:rPr>
          <w:rFonts w:eastAsia="Aptos Display" w:cs="Aptos Display"/>
        </w:rPr>
        <w:t xml:space="preserve"> </w:t>
      </w:r>
      <w:r w:rsidR="765E5C70" w:rsidRPr="29A6EF93">
        <w:rPr>
          <w:rFonts w:eastAsia="Aptos Display" w:cs="Aptos Display"/>
        </w:rPr>
        <w:t xml:space="preserve">offshore </w:t>
      </w:r>
      <w:r w:rsidR="00E02FAE" w:rsidRPr="1780F6DA">
        <w:rPr>
          <w:rFonts w:eastAsia="Aptos Display" w:cs="Aptos Display"/>
        </w:rPr>
        <w:t xml:space="preserve">visa applications for these students will </w:t>
      </w:r>
      <w:r w:rsidR="00D91406" w:rsidRPr="1780F6DA">
        <w:rPr>
          <w:rFonts w:eastAsia="Aptos Display" w:cs="Aptos Display"/>
        </w:rPr>
        <w:t xml:space="preserve">no longer </w:t>
      </w:r>
      <w:r w:rsidR="00E02FAE" w:rsidRPr="1780F6DA">
        <w:rPr>
          <w:rFonts w:eastAsia="Aptos Display" w:cs="Aptos Display"/>
        </w:rPr>
        <w:t xml:space="preserve">be processed as Priority </w:t>
      </w:r>
      <w:r w:rsidR="00D91406" w:rsidRPr="1780F6DA">
        <w:rPr>
          <w:rFonts w:eastAsia="Aptos Display" w:cs="Aptos Display"/>
        </w:rPr>
        <w:t>1. These visa applications will be subject to</w:t>
      </w:r>
      <w:r w:rsidR="00B70CDE" w:rsidRPr="1780F6DA">
        <w:rPr>
          <w:rFonts w:eastAsia="Aptos Display" w:cs="Aptos Display"/>
        </w:rPr>
        <w:t xml:space="preserve"> the </w:t>
      </w:r>
      <w:r w:rsidR="00D91406" w:rsidRPr="1780F6DA">
        <w:rPr>
          <w:rFonts w:eastAsia="Aptos Display" w:cs="Aptos Display"/>
        </w:rPr>
        <w:t xml:space="preserve">same </w:t>
      </w:r>
      <w:r w:rsidR="00804960" w:rsidRPr="1780F6DA">
        <w:rPr>
          <w:rFonts w:eastAsia="Aptos Display" w:cs="Aptos Display"/>
        </w:rPr>
        <w:t>arrangements for</w:t>
      </w:r>
      <w:r w:rsidR="00D91406" w:rsidRPr="1780F6DA">
        <w:rPr>
          <w:rFonts w:eastAsia="Aptos Display" w:cs="Aptos Display"/>
        </w:rPr>
        <w:t xml:space="preserve"> </w:t>
      </w:r>
      <w:r w:rsidR="004D7003">
        <w:rPr>
          <w:rFonts w:eastAsia="Aptos Display" w:cs="Aptos Display"/>
        </w:rPr>
        <w:t xml:space="preserve">the </w:t>
      </w:r>
      <w:r w:rsidR="00D91406" w:rsidRPr="1780F6DA">
        <w:rPr>
          <w:rFonts w:eastAsia="Aptos Display" w:cs="Aptos Display"/>
        </w:rPr>
        <w:t xml:space="preserve">prioritisation of student visa processing as for any other VET </w:t>
      </w:r>
      <w:r w:rsidR="00B70CDE" w:rsidRPr="1780F6DA">
        <w:rPr>
          <w:rFonts w:eastAsia="Aptos Display" w:cs="Aptos Display"/>
        </w:rPr>
        <w:t>provider</w:t>
      </w:r>
      <w:r w:rsidR="00D91406" w:rsidRPr="1780F6DA">
        <w:rPr>
          <w:rFonts w:eastAsia="Aptos Display" w:cs="Aptos Display"/>
        </w:rPr>
        <w:t>.</w:t>
      </w:r>
    </w:p>
    <w:p w14:paraId="58CE51C0" w14:textId="77777777" w:rsidR="00D16B63" w:rsidRPr="00FD7A8E" w:rsidRDefault="00D16B63" w:rsidP="00BF2FA8">
      <w:pPr>
        <w:spacing w:after="0"/>
        <w:rPr>
          <w:rFonts w:eastAsia="Aptos Display" w:cs="Aptos Display"/>
        </w:rPr>
      </w:pPr>
    </w:p>
    <w:p w14:paraId="28C27057" w14:textId="33DD0DAE" w:rsidR="1CEB3E83" w:rsidRPr="00FD7A8E" w:rsidRDefault="1CEB3E83" w:rsidP="00BF2FA8">
      <w:pPr>
        <w:spacing w:after="0"/>
        <w:rPr>
          <w:rFonts w:eastAsia="Aptos Display" w:cs="Aptos Display"/>
          <w:b/>
          <w:i/>
        </w:rPr>
      </w:pPr>
      <w:r w:rsidRPr="1780F6DA">
        <w:rPr>
          <w:rFonts w:eastAsia="Aptos Display" w:cs="Aptos Display"/>
          <w:b/>
          <w:i/>
        </w:rPr>
        <w:t>Will I lose my Priorit</w:t>
      </w:r>
      <w:r w:rsidR="5000FFB6" w:rsidRPr="1780F6DA">
        <w:rPr>
          <w:rFonts w:eastAsia="Aptos Display" w:cs="Aptos Display"/>
          <w:b/>
          <w:i/>
        </w:rPr>
        <w:t>y 1 access</w:t>
      </w:r>
      <w:r w:rsidRPr="1780F6DA">
        <w:rPr>
          <w:rFonts w:eastAsia="Aptos Display" w:cs="Aptos Display"/>
          <w:b/>
          <w:i/>
        </w:rPr>
        <w:t xml:space="preserve"> if too many NOSC are used </w:t>
      </w:r>
      <w:r w:rsidR="00F643D9" w:rsidRPr="1780F6DA">
        <w:rPr>
          <w:rFonts w:eastAsia="Aptos Display" w:cs="Aptos Display"/>
          <w:b/>
          <w:i/>
        </w:rPr>
        <w:t>from</w:t>
      </w:r>
      <w:r w:rsidRPr="1780F6DA">
        <w:rPr>
          <w:rFonts w:eastAsia="Aptos Display" w:cs="Aptos Display"/>
          <w:b/>
          <w:i/>
        </w:rPr>
        <w:t xml:space="preserve"> the </w:t>
      </w:r>
      <w:r w:rsidR="00D16B63" w:rsidRPr="1780F6DA">
        <w:rPr>
          <w:rFonts w:eastAsia="Aptos Display" w:cs="Aptos Display"/>
          <w:b/>
          <w:i/>
        </w:rPr>
        <w:t>p</w:t>
      </w:r>
      <w:r w:rsidRPr="1780F6DA">
        <w:rPr>
          <w:rFonts w:eastAsia="Aptos Display" w:cs="Aptos Display"/>
          <w:b/>
          <w:i/>
        </w:rPr>
        <w:t>ool</w:t>
      </w:r>
      <w:r w:rsidR="00FD7A8E" w:rsidRPr="1780F6DA">
        <w:rPr>
          <w:rFonts w:eastAsia="Aptos Display" w:cs="Aptos Display"/>
          <w:b/>
          <w:i/>
        </w:rPr>
        <w:t>, even if I haven’t reached my individual 80% threshold?</w:t>
      </w:r>
    </w:p>
    <w:p w14:paraId="0B6B5311" w14:textId="24614550" w:rsidR="2A4EB94B" w:rsidRDefault="001E72DB" w:rsidP="00BF2FA8">
      <w:pPr>
        <w:spacing w:after="0"/>
        <w:rPr>
          <w:rFonts w:eastAsia="Aptos Display" w:cs="Aptos Display"/>
        </w:rPr>
      </w:pPr>
      <w:r>
        <w:rPr>
          <w:rFonts w:eastAsia="Aptos Display" w:cs="Aptos Display"/>
        </w:rPr>
        <w:t>Small</w:t>
      </w:r>
      <w:r w:rsidR="00FD7A8E" w:rsidRPr="1780F6DA">
        <w:rPr>
          <w:rFonts w:eastAsia="Aptos Display" w:cs="Aptos Display"/>
        </w:rPr>
        <w:t xml:space="preserve"> providers will no longer receive access to Priority 1 processing if at any point,</w:t>
      </w:r>
      <w:r w:rsidR="17C0E39C" w:rsidRPr="1780F6DA">
        <w:rPr>
          <w:rFonts w:eastAsia="Aptos Display" w:cs="Aptos Display"/>
        </w:rPr>
        <w:t xml:space="preserve"> 80% of the combined </w:t>
      </w:r>
      <w:r w:rsidR="00FD7A8E" w:rsidRPr="1780F6DA">
        <w:rPr>
          <w:rFonts w:eastAsia="Aptos Display" w:cs="Aptos Display"/>
        </w:rPr>
        <w:t xml:space="preserve">total small provider </w:t>
      </w:r>
      <w:r w:rsidR="17C0E39C" w:rsidRPr="1780F6DA">
        <w:rPr>
          <w:rFonts w:eastAsia="Aptos Display" w:cs="Aptos Display"/>
        </w:rPr>
        <w:t>pool allocatio</w:t>
      </w:r>
      <w:r w:rsidR="2ED3037E" w:rsidRPr="1780F6DA">
        <w:rPr>
          <w:rFonts w:eastAsia="Aptos Display" w:cs="Aptos Display"/>
        </w:rPr>
        <w:t xml:space="preserve">n has been </w:t>
      </w:r>
      <w:r w:rsidR="00FD7A8E" w:rsidRPr="1780F6DA">
        <w:rPr>
          <w:rFonts w:eastAsia="Aptos Display" w:cs="Aptos Display"/>
        </w:rPr>
        <w:t>used. At this point, PRISMS will treat all small providers as if they were one individual provider with an allocation that is equal to the total pool allocation. Because 80% of the combined total small provider pool allocation has been used, all</w:t>
      </w:r>
      <w:r w:rsidR="2ED3037E" w:rsidRPr="1780F6DA">
        <w:rPr>
          <w:rFonts w:eastAsia="Aptos Display" w:cs="Aptos Display"/>
        </w:rPr>
        <w:t xml:space="preserve"> remaining providers in the pool wi</w:t>
      </w:r>
      <w:r w:rsidR="7907977D" w:rsidRPr="1780F6DA">
        <w:rPr>
          <w:rFonts w:eastAsia="Aptos Display" w:cs="Aptos Display"/>
        </w:rPr>
        <w:t xml:space="preserve">ll </w:t>
      </w:r>
      <w:r w:rsidR="00FD7A8E" w:rsidRPr="1780F6DA">
        <w:rPr>
          <w:rFonts w:eastAsia="Aptos Display" w:cs="Aptos Display"/>
        </w:rPr>
        <w:t xml:space="preserve">no longer be recorded in PRISMS as small providers and will </w:t>
      </w:r>
      <w:r w:rsidR="2ED3037E" w:rsidRPr="1780F6DA">
        <w:rPr>
          <w:rFonts w:eastAsia="Aptos Display" w:cs="Aptos Display"/>
        </w:rPr>
        <w:t xml:space="preserve">automatically be </w:t>
      </w:r>
      <w:r w:rsidR="00D91406" w:rsidRPr="1780F6DA">
        <w:rPr>
          <w:rFonts w:eastAsia="Aptos Display" w:cs="Aptos Display"/>
        </w:rPr>
        <w:t>removed from the pool.</w:t>
      </w:r>
      <w:r w:rsidR="00FD7A8E" w:rsidRPr="1780F6DA">
        <w:rPr>
          <w:rFonts w:eastAsia="Aptos Display" w:cs="Aptos Display"/>
        </w:rPr>
        <w:t xml:space="preserve"> </w:t>
      </w:r>
      <w:r w:rsidR="34B7063C" w:rsidRPr="1780F6DA">
        <w:rPr>
          <w:rFonts w:eastAsia="Aptos Display" w:cs="Aptos Display"/>
        </w:rPr>
        <w:t>This will be visible on the provider’s NOSC home screen display</w:t>
      </w:r>
      <w:r w:rsidR="00907E7C">
        <w:rPr>
          <w:rFonts w:eastAsia="Aptos Display" w:cs="Aptos Display"/>
        </w:rPr>
        <w:t xml:space="preserve"> in PRISMS</w:t>
      </w:r>
      <w:r w:rsidR="34B7063C" w:rsidRPr="1780F6DA">
        <w:rPr>
          <w:rFonts w:eastAsia="Aptos Display" w:cs="Aptos Display"/>
        </w:rPr>
        <w:t>.</w:t>
      </w:r>
    </w:p>
    <w:p w14:paraId="232CDDDE" w14:textId="77777777" w:rsidR="00467AA9" w:rsidRPr="00FD7A8E" w:rsidRDefault="00467AA9" w:rsidP="00FD7A8E">
      <w:pPr>
        <w:spacing w:after="0"/>
        <w:contextualSpacing/>
        <w:rPr>
          <w:rFonts w:eastAsia="Aptos Display" w:cs="Aptos Display"/>
        </w:rPr>
      </w:pPr>
    </w:p>
    <w:sectPr w:rsidR="00467AA9" w:rsidRPr="00FD7A8E" w:rsidSect="00122E94">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B0B7" w14:textId="77777777" w:rsidR="008113E6" w:rsidRDefault="008113E6" w:rsidP="0051352E">
      <w:pPr>
        <w:spacing w:after="0" w:line="240" w:lineRule="auto"/>
      </w:pPr>
      <w:r>
        <w:separator/>
      </w:r>
    </w:p>
  </w:endnote>
  <w:endnote w:type="continuationSeparator" w:id="0">
    <w:p w14:paraId="0517E836" w14:textId="77777777" w:rsidR="008113E6" w:rsidRDefault="008113E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0493"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3B7B94EF" wp14:editId="0F0D586A">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5"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073B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9CAB"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0E0587D8" wp14:editId="053918D4">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4"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3A7C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97DB" w14:textId="77777777" w:rsidR="008113E6" w:rsidRDefault="008113E6" w:rsidP="0051352E">
      <w:pPr>
        <w:spacing w:after="0" w:line="240" w:lineRule="auto"/>
      </w:pPr>
      <w:r>
        <w:separator/>
      </w:r>
    </w:p>
  </w:footnote>
  <w:footnote w:type="continuationSeparator" w:id="0">
    <w:p w14:paraId="28BDD71A" w14:textId="77777777" w:rsidR="008113E6" w:rsidRDefault="008113E6"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899380D"/>
    <w:multiLevelType w:val="multilevel"/>
    <w:tmpl w:val="B0AE9FA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1368F3"/>
    <w:multiLevelType w:val="hybridMultilevel"/>
    <w:tmpl w:val="BCAED7CA"/>
    <w:lvl w:ilvl="0" w:tplc="0AF84530">
      <w:start w:val="1"/>
      <w:numFmt w:val="bullet"/>
      <w:lvlText w:val=""/>
      <w:lvlJc w:val="left"/>
      <w:pPr>
        <w:ind w:left="360" w:hanging="360"/>
      </w:pPr>
      <w:rPr>
        <w:rFonts w:ascii="Symbol" w:hAnsi="Symbol" w:hint="default"/>
      </w:rPr>
    </w:lvl>
    <w:lvl w:ilvl="1" w:tplc="C6788EEC">
      <w:start w:val="1"/>
      <w:numFmt w:val="bullet"/>
      <w:lvlText w:val="o"/>
      <w:lvlJc w:val="left"/>
      <w:pPr>
        <w:ind w:left="1080" w:hanging="360"/>
      </w:pPr>
      <w:rPr>
        <w:rFonts w:ascii="Courier New" w:hAnsi="Courier New" w:hint="default"/>
      </w:rPr>
    </w:lvl>
    <w:lvl w:ilvl="2" w:tplc="715E936C">
      <w:start w:val="1"/>
      <w:numFmt w:val="bullet"/>
      <w:lvlText w:val=""/>
      <w:lvlJc w:val="left"/>
      <w:pPr>
        <w:ind w:left="1800" w:hanging="360"/>
      </w:pPr>
      <w:rPr>
        <w:rFonts w:ascii="Wingdings" w:hAnsi="Wingdings" w:hint="default"/>
      </w:rPr>
    </w:lvl>
    <w:lvl w:ilvl="3" w:tplc="3CCE1FF8">
      <w:start w:val="1"/>
      <w:numFmt w:val="bullet"/>
      <w:lvlText w:val=""/>
      <w:lvlJc w:val="left"/>
      <w:pPr>
        <w:ind w:left="2520" w:hanging="360"/>
      </w:pPr>
      <w:rPr>
        <w:rFonts w:ascii="Symbol" w:hAnsi="Symbol" w:hint="default"/>
      </w:rPr>
    </w:lvl>
    <w:lvl w:ilvl="4" w:tplc="E7924E6E">
      <w:start w:val="1"/>
      <w:numFmt w:val="bullet"/>
      <w:lvlText w:val="o"/>
      <w:lvlJc w:val="left"/>
      <w:pPr>
        <w:ind w:left="3240" w:hanging="360"/>
      </w:pPr>
      <w:rPr>
        <w:rFonts w:ascii="Courier New" w:hAnsi="Courier New" w:hint="default"/>
      </w:rPr>
    </w:lvl>
    <w:lvl w:ilvl="5" w:tplc="4A16A034">
      <w:start w:val="1"/>
      <w:numFmt w:val="bullet"/>
      <w:lvlText w:val=""/>
      <w:lvlJc w:val="left"/>
      <w:pPr>
        <w:ind w:left="3960" w:hanging="360"/>
      </w:pPr>
      <w:rPr>
        <w:rFonts w:ascii="Wingdings" w:hAnsi="Wingdings" w:hint="default"/>
      </w:rPr>
    </w:lvl>
    <w:lvl w:ilvl="6" w:tplc="8A6A6570">
      <w:start w:val="1"/>
      <w:numFmt w:val="bullet"/>
      <w:lvlText w:val=""/>
      <w:lvlJc w:val="left"/>
      <w:pPr>
        <w:ind w:left="4680" w:hanging="360"/>
      </w:pPr>
      <w:rPr>
        <w:rFonts w:ascii="Symbol" w:hAnsi="Symbol" w:hint="default"/>
      </w:rPr>
    </w:lvl>
    <w:lvl w:ilvl="7" w:tplc="14F2D57C">
      <w:start w:val="1"/>
      <w:numFmt w:val="bullet"/>
      <w:lvlText w:val="o"/>
      <w:lvlJc w:val="left"/>
      <w:pPr>
        <w:ind w:left="5400" w:hanging="360"/>
      </w:pPr>
      <w:rPr>
        <w:rFonts w:ascii="Courier New" w:hAnsi="Courier New" w:hint="default"/>
      </w:rPr>
    </w:lvl>
    <w:lvl w:ilvl="8" w:tplc="71008066">
      <w:start w:val="1"/>
      <w:numFmt w:val="bullet"/>
      <w:lvlText w:val=""/>
      <w:lvlJc w:val="left"/>
      <w:pPr>
        <w:ind w:left="6120" w:hanging="360"/>
      </w:pPr>
      <w:rPr>
        <w:rFonts w:ascii="Wingdings" w:hAnsi="Wingding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9D7E1C"/>
    <w:multiLevelType w:val="multilevel"/>
    <w:tmpl w:val="7ED6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4A18FF"/>
    <w:multiLevelType w:val="multilevel"/>
    <w:tmpl w:val="52F2A25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3CD3ED8"/>
    <w:multiLevelType w:val="multilevel"/>
    <w:tmpl w:val="CDBAF6A0"/>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6B3F2CD0"/>
    <w:multiLevelType w:val="hybridMultilevel"/>
    <w:tmpl w:val="E84E9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AA1D27"/>
    <w:multiLevelType w:val="multilevel"/>
    <w:tmpl w:val="359890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79646471">
    <w:abstractNumId w:val="14"/>
  </w:num>
  <w:num w:numId="2" w16cid:durableId="1057360396">
    <w:abstractNumId w:val="9"/>
  </w:num>
  <w:num w:numId="3" w16cid:durableId="342510552">
    <w:abstractNumId w:val="7"/>
  </w:num>
  <w:num w:numId="4" w16cid:durableId="1594895232">
    <w:abstractNumId w:val="6"/>
  </w:num>
  <w:num w:numId="5" w16cid:durableId="1820461966">
    <w:abstractNumId w:val="5"/>
  </w:num>
  <w:num w:numId="6" w16cid:durableId="1501845443">
    <w:abstractNumId w:val="4"/>
  </w:num>
  <w:num w:numId="7" w16cid:durableId="729040880">
    <w:abstractNumId w:val="8"/>
  </w:num>
  <w:num w:numId="8" w16cid:durableId="278419321">
    <w:abstractNumId w:val="3"/>
  </w:num>
  <w:num w:numId="9" w16cid:durableId="574701396">
    <w:abstractNumId w:val="2"/>
  </w:num>
  <w:num w:numId="10" w16cid:durableId="2082634113">
    <w:abstractNumId w:val="1"/>
  </w:num>
  <w:num w:numId="11" w16cid:durableId="806321090">
    <w:abstractNumId w:val="0"/>
  </w:num>
  <w:num w:numId="12" w16cid:durableId="63377158">
    <w:abstractNumId w:val="10"/>
  </w:num>
  <w:num w:numId="13" w16cid:durableId="1523323380">
    <w:abstractNumId w:val="13"/>
  </w:num>
  <w:num w:numId="14" w16cid:durableId="933829800">
    <w:abstractNumId w:val="15"/>
  </w:num>
  <w:num w:numId="15" w16cid:durableId="118181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5928808">
    <w:abstractNumId w:val="13"/>
  </w:num>
  <w:num w:numId="17" w16cid:durableId="1166021225">
    <w:abstractNumId w:val="15"/>
  </w:num>
  <w:num w:numId="18" w16cid:durableId="1814981661">
    <w:abstractNumId w:val="10"/>
  </w:num>
  <w:num w:numId="19" w16cid:durableId="982806026">
    <w:abstractNumId w:val="17"/>
  </w:num>
  <w:num w:numId="20" w16cid:durableId="487719583">
    <w:abstractNumId w:val="20"/>
  </w:num>
  <w:num w:numId="21" w16cid:durableId="1038622818">
    <w:abstractNumId w:val="16"/>
  </w:num>
  <w:num w:numId="22" w16cid:durableId="1404183075">
    <w:abstractNumId w:val="11"/>
  </w:num>
  <w:num w:numId="23" w16cid:durableId="66267697">
    <w:abstractNumId w:val="12"/>
  </w:num>
  <w:num w:numId="24" w16cid:durableId="801852460">
    <w:abstractNumId w:val="18"/>
  </w:num>
  <w:num w:numId="25" w16cid:durableId="7508546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DA"/>
    <w:rsid w:val="00012E84"/>
    <w:rsid w:val="00013B9C"/>
    <w:rsid w:val="00030762"/>
    <w:rsid w:val="00031C0B"/>
    <w:rsid w:val="0003210B"/>
    <w:rsid w:val="00034AA9"/>
    <w:rsid w:val="00034FB6"/>
    <w:rsid w:val="000358B9"/>
    <w:rsid w:val="00037638"/>
    <w:rsid w:val="0004036F"/>
    <w:rsid w:val="0004544F"/>
    <w:rsid w:val="000515EE"/>
    <w:rsid w:val="00052BBC"/>
    <w:rsid w:val="00052C4D"/>
    <w:rsid w:val="00053E9C"/>
    <w:rsid w:val="00057685"/>
    <w:rsid w:val="000628D0"/>
    <w:rsid w:val="00064C9D"/>
    <w:rsid w:val="00064F93"/>
    <w:rsid w:val="00067075"/>
    <w:rsid w:val="000702EE"/>
    <w:rsid w:val="00070563"/>
    <w:rsid w:val="00070735"/>
    <w:rsid w:val="00073135"/>
    <w:rsid w:val="00075C29"/>
    <w:rsid w:val="00082B44"/>
    <w:rsid w:val="00085EBA"/>
    <w:rsid w:val="00086DC6"/>
    <w:rsid w:val="00093813"/>
    <w:rsid w:val="000A293E"/>
    <w:rsid w:val="000A3C8D"/>
    <w:rsid w:val="000A3D88"/>
    <w:rsid w:val="000A453D"/>
    <w:rsid w:val="000A62DA"/>
    <w:rsid w:val="000A794A"/>
    <w:rsid w:val="000C3D28"/>
    <w:rsid w:val="000C66EC"/>
    <w:rsid w:val="000C7826"/>
    <w:rsid w:val="000C7F60"/>
    <w:rsid w:val="000D270B"/>
    <w:rsid w:val="000D3DD3"/>
    <w:rsid w:val="000D70E5"/>
    <w:rsid w:val="000E57EE"/>
    <w:rsid w:val="000E704E"/>
    <w:rsid w:val="000E736A"/>
    <w:rsid w:val="000F0D04"/>
    <w:rsid w:val="000F320A"/>
    <w:rsid w:val="000F4DAC"/>
    <w:rsid w:val="000F69E0"/>
    <w:rsid w:val="000F7A92"/>
    <w:rsid w:val="00105AF5"/>
    <w:rsid w:val="00107E24"/>
    <w:rsid w:val="00111085"/>
    <w:rsid w:val="0011168C"/>
    <w:rsid w:val="00117110"/>
    <w:rsid w:val="00122E94"/>
    <w:rsid w:val="0012755A"/>
    <w:rsid w:val="00127A2F"/>
    <w:rsid w:val="00127D2C"/>
    <w:rsid w:val="001328DC"/>
    <w:rsid w:val="00132DDB"/>
    <w:rsid w:val="00134958"/>
    <w:rsid w:val="00140A92"/>
    <w:rsid w:val="00141EF8"/>
    <w:rsid w:val="00146E95"/>
    <w:rsid w:val="00155DF1"/>
    <w:rsid w:val="00157F35"/>
    <w:rsid w:val="00160851"/>
    <w:rsid w:val="00164CD4"/>
    <w:rsid w:val="0017307B"/>
    <w:rsid w:val="00175358"/>
    <w:rsid w:val="0019200B"/>
    <w:rsid w:val="00194049"/>
    <w:rsid w:val="001976EF"/>
    <w:rsid w:val="001A5FA5"/>
    <w:rsid w:val="001A7820"/>
    <w:rsid w:val="001B0AD2"/>
    <w:rsid w:val="001B2327"/>
    <w:rsid w:val="001B3813"/>
    <w:rsid w:val="001B55D9"/>
    <w:rsid w:val="001C31D0"/>
    <w:rsid w:val="001C351F"/>
    <w:rsid w:val="001C4A60"/>
    <w:rsid w:val="001C77EF"/>
    <w:rsid w:val="001D0DD3"/>
    <w:rsid w:val="001E0E14"/>
    <w:rsid w:val="001E3751"/>
    <w:rsid w:val="001E4E67"/>
    <w:rsid w:val="001E629E"/>
    <w:rsid w:val="001E72DB"/>
    <w:rsid w:val="001E7B79"/>
    <w:rsid w:val="00201300"/>
    <w:rsid w:val="00201B9C"/>
    <w:rsid w:val="00217EAB"/>
    <w:rsid w:val="00223BA6"/>
    <w:rsid w:val="0022498C"/>
    <w:rsid w:val="0022626C"/>
    <w:rsid w:val="002305D6"/>
    <w:rsid w:val="00231A47"/>
    <w:rsid w:val="002334EC"/>
    <w:rsid w:val="0023492B"/>
    <w:rsid w:val="00236B61"/>
    <w:rsid w:val="00242829"/>
    <w:rsid w:val="00243AEE"/>
    <w:rsid w:val="00244487"/>
    <w:rsid w:val="00263F6F"/>
    <w:rsid w:val="0026704D"/>
    <w:rsid w:val="00267DDD"/>
    <w:rsid w:val="002724D0"/>
    <w:rsid w:val="002817D0"/>
    <w:rsid w:val="002876B0"/>
    <w:rsid w:val="0028781E"/>
    <w:rsid w:val="0028787A"/>
    <w:rsid w:val="00287C42"/>
    <w:rsid w:val="00294C3A"/>
    <w:rsid w:val="002A0BFD"/>
    <w:rsid w:val="002A7840"/>
    <w:rsid w:val="002B1CE5"/>
    <w:rsid w:val="002B4703"/>
    <w:rsid w:val="002C0650"/>
    <w:rsid w:val="002D2239"/>
    <w:rsid w:val="002D2EDF"/>
    <w:rsid w:val="002D397B"/>
    <w:rsid w:val="002E0F40"/>
    <w:rsid w:val="002E464A"/>
    <w:rsid w:val="002E51BB"/>
    <w:rsid w:val="002F1F45"/>
    <w:rsid w:val="002F4DB3"/>
    <w:rsid w:val="00301DFA"/>
    <w:rsid w:val="00307829"/>
    <w:rsid w:val="0031360E"/>
    <w:rsid w:val="0032114E"/>
    <w:rsid w:val="0032450F"/>
    <w:rsid w:val="00327F44"/>
    <w:rsid w:val="0033012F"/>
    <w:rsid w:val="00331A0B"/>
    <w:rsid w:val="00336B05"/>
    <w:rsid w:val="00336FA4"/>
    <w:rsid w:val="00341F91"/>
    <w:rsid w:val="00342D06"/>
    <w:rsid w:val="0034384D"/>
    <w:rsid w:val="0034643E"/>
    <w:rsid w:val="00350FFA"/>
    <w:rsid w:val="003524CB"/>
    <w:rsid w:val="00363B4F"/>
    <w:rsid w:val="003646AF"/>
    <w:rsid w:val="00372570"/>
    <w:rsid w:val="00374F10"/>
    <w:rsid w:val="00382F07"/>
    <w:rsid w:val="00383254"/>
    <w:rsid w:val="0038354C"/>
    <w:rsid w:val="0038556C"/>
    <w:rsid w:val="00386054"/>
    <w:rsid w:val="00392CAD"/>
    <w:rsid w:val="003A19B4"/>
    <w:rsid w:val="003A2EFF"/>
    <w:rsid w:val="003A797C"/>
    <w:rsid w:val="003B2CE9"/>
    <w:rsid w:val="003B40B3"/>
    <w:rsid w:val="003C1CC8"/>
    <w:rsid w:val="003C1DFE"/>
    <w:rsid w:val="003C1EF6"/>
    <w:rsid w:val="003C205C"/>
    <w:rsid w:val="003C3572"/>
    <w:rsid w:val="003D297C"/>
    <w:rsid w:val="003D57DA"/>
    <w:rsid w:val="003D7D86"/>
    <w:rsid w:val="003E2EE9"/>
    <w:rsid w:val="003E3C55"/>
    <w:rsid w:val="003E5D8C"/>
    <w:rsid w:val="003F4BEE"/>
    <w:rsid w:val="003F5890"/>
    <w:rsid w:val="0040036F"/>
    <w:rsid w:val="00406326"/>
    <w:rsid w:val="0041388E"/>
    <w:rsid w:val="00414677"/>
    <w:rsid w:val="004172FB"/>
    <w:rsid w:val="00431A88"/>
    <w:rsid w:val="004320B4"/>
    <w:rsid w:val="00434D0E"/>
    <w:rsid w:val="00440EEA"/>
    <w:rsid w:val="004448A0"/>
    <w:rsid w:val="00452014"/>
    <w:rsid w:val="00453C04"/>
    <w:rsid w:val="00453FAA"/>
    <w:rsid w:val="00456DAF"/>
    <w:rsid w:val="00457339"/>
    <w:rsid w:val="0046022C"/>
    <w:rsid w:val="0046441D"/>
    <w:rsid w:val="00466731"/>
    <w:rsid w:val="00466D1A"/>
    <w:rsid w:val="00467AA9"/>
    <w:rsid w:val="0048095A"/>
    <w:rsid w:val="00481150"/>
    <w:rsid w:val="004818DD"/>
    <w:rsid w:val="00487BFF"/>
    <w:rsid w:val="004949B2"/>
    <w:rsid w:val="00495658"/>
    <w:rsid w:val="00495A5D"/>
    <w:rsid w:val="00497764"/>
    <w:rsid w:val="004A30DB"/>
    <w:rsid w:val="004A483B"/>
    <w:rsid w:val="004B15E2"/>
    <w:rsid w:val="004B5D93"/>
    <w:rsid w:val="004B5F11"/>
    <w:rsid w:val="004C1721"/>
    <w:rsid w:val="004C27E9"/>
    <w:rsid w:val="004C2F97"/>
    <w:rsid w:val="004D0033"/>
    <w:rsid w:val="004D18DA"/>
    <w:rsid w:val="004D7003"/>
    <w:rsid w:val="004E09C9"/>
    <w:rsid w:val="004E116C"/>
    <w:rsid w:val="004E40C7"/>
    <w:rsid w:val="004F202B"/>
    <w:rsid w:val="004F5617"/>
    <w:rsid w:val="005040E5"/>
    <w:rsid w:val="0051352E"/>
    <w:rsid w:val="00513B3C"/>
    <w:rsid w:val="00513E45"/>
    <w:rsid w:val="00517DA7"/>
    <w:rsid w:val="00520A33"/>
    <w:rsid w:val="00521722"/>
    <w:rsid w:val="005264AB"/>
    <w:rsid w:val="00526F3E"/>
    <w:rsid w:val="005271AC"/>
    <w:rsid w:val="00527AE4"/>
    <w:rsid w:val="00531067"/>
    <w:rsid w:val="005317EB"/>
    <w:rsid w:val="00534773"/>
    <w:rsid w:val="0053481E"/>
    <w:rsid w:val="00536EBF"/>
    <w:rsid w:val="00540233"/>
    <w:rsid w:val="00546118"/>
    <w:rsid w:val="00546AAB"/>
    <w:rsid w:val="00546CE2"/>
    <w:rsid w:val="0054734F"/>
    <w:rsid w:val="00550DFE"/>
    <w:rsid w:val="00551B37"/>
    <w:rsid w:val="0055569D"/>
    <w:rsid w:val="0056376E"/>
    <w:rsid w:val="005730DC"/>
    <w:rsid w:val="005772B5"/>
    <w:rsid w:val="00586A89"/>
    <w:rsid w:val="00587A6D"/>
    <w:rsid w:val="00592EFB"/>
    <w:rsid w:val="005969A7"/>
    <w:rsid w:val="00596A88"/>
    <w:rsid w:val="00596CAD"/>
    <w:rsid w:val="005A0243"/>
    <w:rsid w:val="005A12E5"/>
    <w:rsid w:val="005A1E3C"/>
    <w:rsid w:val="005A4F44"/>
    <w:rsid w:val="005A57D9"/>
    <w:rsid w:val="005B168B"/>
    <w:rsid w:val="005B3D62"/>
    <w:rsid w:val="005B4329"/>
    <w:rsid w:val="005C375E"/>
    <w:rsid w:val="005C3E0E"/>
    <w:rsid w:val="005D7CE7"/>
    <w:rsid w:val="005E6BB4"/>
    <w:rsid w:val="005F4091"/>
    <w:rsid w:val="005F5D59"/>
    <w:rsid w:val="00600A69"/>
    <w:rsid w:val="006020EA"/>
    <w:rsid w:val="00603D46"/>
    <w:rsid w:val="006047DD"/>
    <w:rsid w:val="00607B50"/>
    <w:rsid w:val="00610A38"/>
    <w:rsid w:val="00612D11"/>
    <w:rsid w:val="0062065A"/>
    <w:rsid w:val="00623167"/>
    <w:rsid w:val="0062356B"/>
    <w:rsid w:val="00625746"/>
    <w:rsid w:val="006277C9"/>
    <w:rsid w:val="00630DDF"/>
    <w:rsid w:val="00642270"/>
    <w:rsid w:val="00642B5B"/>
    <w:rsid w:val="00644938"/>
    <w:rsid w:val="00651D5A"/>
    <w:rsid w:val="00651FD8"/>
    <w:rsid w:val="00661210"/>
    <w:rsid w:val="00662A42"/>
    <w:rsid w:val="00670D58"/>
    <w:rsid w:val="006721F4"/>
    <w:rsid w:val="0067383B"/>
    <w:rsid w:val="0067652F"/>
    <w:rsid w:val="00676AF4"/>
    <w:rsid w:val="006842F3"/>
    <w:rsid w:val="006869B4"/>
    <w:rsid w:val="006A3B8B"/>
    <w:rsid w:val="006A3D60"/>
    <w:rsid w:val="006B0B39"/>
    <w:rsid w:val="006B1262"/>
    <w:rsid w:val="006B2DDA"/>
    <w:rsid w:val="006B6666"/>
    <w:rsid w:val="006C57FB"/>
    <w:rsid w:val="006C6820"/>
    <w:rsid w:val="006C7713"/>
    <w:rsid w:val="006D154E"/>
    <w:rsid w:val="006D5B30"/>
    <w:rsid w:val="006E00D6"/>
    <w:rsid w:val="006E2B56"/>
    <w:rsid w:val="006E3A35"/>
    <w:rsid w:val="006E5D6E"/>
    <w:rsid w:val="006E6973"/>
    <w:rsid w:val="006EC4FF"/>
    <w:rsid w:val="006F0916"/>
    <w:rsid w:val="006F5F7C"/>
    <w:rsid w:val="0070322B"/>
    <w:rsid w:val="0070359B"/>
    <w:rsid w:val="00704585"/>
    <w:rsid w:val="00715362"/>
    <w:rsid w:val="0071663D"/>
    <w:rsid w:val="00716FBB"/>
    <w:rsid w:val="007202B4"/>
    <w:rsid w:val="00721B03"/>
    <w:rsid w:val="00723D2A"/>
    <w:rsid w:val="00730AB1"/>
    <w:rsid w:val="00732D0A"/>
    <w:rsid w:val="007402B2"/>
    <w:rsid w:val="00744E13"/>
    <w:rsid w:val="00746C89"/>
    <w:rsid w:val="00752C63"/>
    <w:rsid w:val="007570DC"/>
    <w:rsid w:val="00762BE8"/>
    <w:rsid w:val="00764334"/>
    <w:rsid w:val="00764E67"/>
    <w:rsid w:val="00770119"/>
    <w:rsid w:val="007703D8"/>
    <w:rsid w:val="007764C3"/>
    <w:rsid w:val="00782CA4"/>
    <w:rsid w:val="00786D2B"/>
    <w:rsid w:val="007922CA"/>
    <w:rsid w:val="00795789"/>
    <w:rsid w:val="007A226A"/>
    <w:rsid w:val="007A64B3"/>
    <w:rsid w:val="007B05BF"/>
    <w:rsid w:val="007B091A"/>
    <w:rsid w:val="007B1ABA"/>
    <w:rsid w:val="007B74C5"/>
    <w:rsid w:val="007C759D"/>
    <w:rsid w:val="007C792B"/>
    <w:rsid w:val="007D0FE3"/>
    <w:rsid w:val="007D5A91"/>
    <w:rsid w:val="007F083F"/>
    <w:rsid w:val="007F3D6D"/>
    <w:rsid w:val="007F46F3"/>
    <w:rsid w:val="007F4824"/>
    <w:rsid w:val="0080076B"/>
    <w:rsid w:val="0080144A"/>
    <w:rsid w:val="00804960"/>
    <w:rsid w:val="008113E6"/>
    <w:rsid w:val="00817577"/>
    <w:rsid w:val="00817694"/>
    <w:rsid w:val="0082021B"/>
    <w:rsid w:val="00820508"/>
    <w:rsid w:val="00821D1B"/>
    <w:rsid w:val="00832206"/>
    <w:rsid w:val="0083313C"/>
    <w:rsid w:val="00833157"/>
    <w:rsid w:val="00837E0F"/>
    <w:rsid w:val="008408C8"/>
    <w:rsid w:val="00840D46"/>
    <w:rsid w:val="00842C50"/>
    <w:rsid w:val="00843F4E"/>
    <w:rsid w:val="008507C1"/>
    <w:rsid w:val="008572E6"/>
    <w:rsid w:val="00857410"/>
    <w:rsid w:val="00861934"/>
    <w:rsid w:val="00861BE0"/>
    <w:rsid w:val="00872903"/>
    <w:rsid w:val="00880E2C"/>
    <w:rsid w:val="00883CEC"/>
    <w:rsid w:val="008863BF"/>
    <w:rsid w:val="008911B8"/>
    <w:rsid w:val="008A35CE"/>
    <w:rsid w:val="008A442F"/>
    <w:rsid w:val="008B00B6"/>
    <w:rsid w:val="008B6852"/>
    <w:rsid w:val="008B796D"/>
    <w:rsid w:val="008C2E8C"/>
    <w:rsid w:val="008C6286"/>
    <w:rsid w:val="008C7AF8"/>
    <w:rsid w:val="008D117C"/>
    <w:rsid w:val="008D24E0"/>
    <w:rsid w:val="008D36C3"/>
    <w:rsid w:val="008D5D1B"/>
    <w:rsid w:val="008E22BA"/>
    <w:rsid w:val="008F0AC9"/>
    <w:rsid w:val="008F1E1B"/>
    <w:rsid w:val="008F2C93"/>
    <w:rsid w:val="00900F7F"/>
    <w:rsid w:val="009060F6"/>
    <w:rsid w:val="00906934"/>
    <w:rsid w:val="00907E7C"/>
    <w:rsid w:val="00915A0B"/>
    <w:rsid w:val="009177AA"/>
    <w:rsid w:val="00924F64"/>
    <w:rsid w:val="00926EA4"/>
    <w:rsid w:val="00927AA9"/>
    <w:rsid w:val="00933C93"/>
    <w:rsid w:val="009345A4"/>
    <w:rsid w:val="0093473D"/>
    <w:rsid w:val="00934CA9"/>
    <w:rsid w:val="00935E6A"/>
    <w:rsid w:val="00941207"/>
    <w:rsid w:val="00942CB7"/>
    <w:rsid w:val="00944ECC"/>
    <w:rsid w:val="00946EA2"/>
    <w:rsid w:val="00950EDD"/>
    <w:rsid w:val="00953A09"/>
    <w:rsid w:val="00955307"/>
    <w:rsid w:val="009570F3"/>
    <w:rsid w:val="0096229C"/>
    <w:rsid w:val="00966368"/>
    <w:rsid w:val="00967423"/>
    <w:rsid w:val="00972F57"/>
    <w:rsid w:val="00973449"/>
    <w:rsid w:val="0097640C"/>
    <w:rsid w:val="00976AB3"/>
    <w:rsid w:val="00980898"/>
    <w:rsid w:val="009827AD"/>
    <w:rsid w:val="00982B00"/>
    <w:rsid w:val="00983BAF"/>
    <w:rsid w:val="00987CD4"/>
    <w:rsid w:val="00995280"/>
    <w:rsid w:val="00995BB5"/>
    <w:rsid w:val="009A30DE"/>
    <w:rsid w:val="009B0DFA"/>
    <w:rsid w:val="009B2D49"/>
    <w:rsid w:val="009B34D6"/>
    <w:rsid w:val="009B43BD"/>
    <w:rsid w:val="009C2572"/>
    <w:rsid w:val="009D3F02"/>
    <w:rsid w:val="009D4D09"/>
    <w:rsid w:val="009D579D"/>
    <w:rsid w:val="009D79F9"/>
    <w:rsid w:val="009E6A23"/>
    <w:rsid w:val="009F16A8"/>
    <w:rsid w:val="009F657B"/>
    <w:rsid w:val="009F7A02"/>
    <w:rsid w:val="00A05EE4"/>
    <w:rsid w:val="00A0627B"/>
    <w:rsid w:val="00A118A1"/>
    <w:rsid w:val="00A146D2"/>
    <w:rsid w:val="00A14B02"/>
    <w:rsid w:val="00A24E6E"/>
    <w:rsid w:val="00A301AF"/>
    <w:rsid w:val="00A36A9A"/>
    <w:rsid w:val="00A43694"/>
    <w:rsid w:val="00A50DA3"/>
    <w:rsid w:val="00A54A74"/>
    <w:rsid w:val="00A56FC7"/>
    <w:rsid w:val="00A63151"/>
    <w:rsid w:val="00A668BF"/>
    <w:rsid w:val="00A72575"/>
    <w:rsid w:val="00A72EA1"/>
    <w:rsid w:val="00A74071"/>
    <w:rsid w:val="00A754E4"/>
    <w:rsid w:val="00A76C8D"/>
    <w:rsid w:val="00A81AC5"/>
    <w:rsid w:val="00A83120"/>
    <w:rsid w:val="00A845FA"/>
    <w:rsid w:val="00A8D480"/>
    <w:rsid w:val="00A94701"/>
    <w:rsid w:val="00A97395"/>
    <w:rsid w:val="00AA124A"/>
    <w:rsid w:val="00AA1B4C"/>
    <w:rsid w:val="00AA2A96"/>
    <w:rsid w:val="00AB3F04"/>
    <w:rsid w:val="00AC06EF"/>
    <w:rsid w:val="00AC58CA"/>
    <w:rsid w:val="00AC6778"/>
    <w:rsid w:val="00AC7FEB"/>
    <w:rsid w:val="00AD04C7"/>
    <w:rsid w:val="00AD0E36"/>
    <w:rsid w:val="00AD6498"/>
    <w:rsid w:val="00AD6E98"/>
    <w:rsid w:val="00AE3395"/>
    <w:rsid w:val="00AE4293"/>
    <w:rsid w:val="00AE5B2B"/>
    <w:rsid w:val="00AF24D8"/>
    <w:rsid w:val="00AF376A"/>
    <w:rsid w:val="00B02225"/>
    <w:rsid w:val="00B02B3F"/>
    <w:rsid w:val="00B100CC"/>
    <w:rsid w:val="00B14575"/>
    <w:rsid w:val="00B1487E"/>
    <w:rsid w:val="00B21856"/>
    <w:rsid w:val="00B255F5"/>
    <w:rsid w:val="00B27EDD"/>
    <w:rsid w:val="00B33235"/>
    <w:rsid w:val="00B3618E"/>
    <w:rsid w:val="00B40AE5"/>
    <w:rsid w:val="00B43283"/>
    <w:rsid w:val="00B43E2E"/>
    <w:rsid w:val="00B44399"/>
    <w:rsid w:val="00B456C5"/>
    <w:rsid w:val="00B46586"/>
    <w:rsid w:val="00B54FC3"/>
    <w:rsid w:val="00B55668"/>
    <w:rsid w:val="00B6130F"/>
    <w:rsid w:val="00B6689D"/>
    <w:rsid w:val="00B70365"/>
    <w:rsid w:val="00B70CDE"/>
    <w:rsid w:val="00B7125D"/>
    <w:rsid w:val="00B72368"/>
    <w:rsid w:val="00B77887"/>
    <w:rsid w:val="00B81382"/>
    <w:rsid w:val="00B81A6F"/>
    <w:rsid w:val="00B85E72"/>
    <w:rsid w:val="00B86192"/>
    <w:rsid w:val="00BA04E1"/>
    <w:rsid w:val="00BB2361"/>
    <w:rsid w:val="00BB77ED"/>
    <w:rsid w:val="00BD1893"/>
    <w:rsid w:val="00BE2A23"/>
    <w:rsid w:val="00BE4B2D"/>
    <w:rsid w:val="00BE4D06"/>
    <w:rsid w:val="00BE639D"/>
    <w:rsid w:val="00BF058D"/>
    <w:rsid w:val="00BF07A4"/>
    <w:rsid w:val="00BF2C5E"/>
    <w:rsid w:val="00BF2FA8"/>
    <w:rsid w:val="00C003E2"/>
    <w:rsid w:val="00C01C6E"/>
    <w:rsid w:val="00C04102"/>
    <w:rsid w:val="00C05224"/>
    <w:rsid w:val="00C20608"/>
    <w:rsid w:val="00C25D5A"/>
    <w:rsid w:val="00C43A7B"/>
    <w:rsid w:val="00C4781D"/>
    <w:rsid w:val="00C525DD"/>
    <w:rsid w:val="00C54083"/>
    <w:rsid w:val="00C54D58"/>
    <w:rsid w:val="00C573E1"/>
    <w:rsid w:val="00C60222"/>
    <w:rsid w:val="00C6154E"/>
    <w:rsid w:val="00C63743"/>
    <w:rsid w:val="00C64CBC"/>
    <w:rsid w:val="00C65060"/>
    <w:rsid w:val="00C736D3"/>
    <w:rsid w:val="00C76E26"/>
    <w:rsid w:val="00C85FEE"/>
    <w:rsid w:val="00C90635"/>
    <w:rsid w:val="00C937C0"/>
    <w:rsid w:val="00C93CC8"/>
    <w:rsid w:val="00C943B6"/>
    <w:rsid w:val="00C95DF6"/>
    <w:rsid w:val="00C97ECB"/>
    <w:rsid w:val="00CA5174"/>
    <w:rsid w:val="00CB038E"/>
    <w:rsid w:val="00CB2AE6"/>
    <w:rsid w:val="00CB67CD"/>
    <w:rsid w:val="00CC1633"/>
    <w:rsid w:val="00CC3BA4"/>
    <w:rsid w:val="00CD0877"/>
    <w:rsid w:val="00CD2D8F"/>
    <w:rsid w:val="00CF1500"/>
    <w:rsid w:val="00CF39A5"/>
    <w:rsid w:val="00CF4DFD"/>
    <w:rsid w:val="00CF6E93"/>
    <w:rsid w:val="00D00E28"/>
    <w:rsid w:val="00D015FE"/>
    <w:rsid w:val="00D01A36"/>
    <w:rsid w:val="00D023C7"/>
    <w:rsid w:val="00D05D91"/>
    <w:rsid w:val="00D129FA"/>
    <w:rsid w:val="00D16B63"/>
    <w:rsid w:val="00D213E2"/>
    <w:rsid w:val="00D2422E"/>
    <w:rsid w:val="00D24E17"/>
    <w:rsid w:val="00D312E5"/>
    <w:rsid w:val="00D332A7"/>
    <w:rsid w:val="00D34EDE"/>
    <w:rsid w:val="00D401A6"/>
    <w:rsid w:val="00D47FB0"/>
    <w:rsid w:val="00D52C78"/>
    <w:rsid w:val="00D5406E"/>
    <w:rsid w:val="00D577B6"/>
    <w:rsid w:val="00D64C51"/>
    <w:rsid w:val="00D6B20E"/>
    <w:rsid w:val="00D704B2"/>
    <w:rsid w:val="00D7144C"/>
    <w:rsid w:val="00D73AB1"/>
    <w:rsid w:val="00D74271"/>
    <w:rsid w:val="00D755AE"/>
    <w:rsid w:val="00D7726A"/>
    <w:rsid w:val="00D863E1"/>
    <w:rsid w:val="00D9050E"/>
    <w:rsid w:val="00D91406"/>
    <w:rsid w:val="00D9425B"/>
    <w:rsid w:val="00DA085E"/>
    <w:rsid w:val="00DA1B7B"/>
    <w:rsid w:val="00DB529B"/>
    <w:rsid w:val="00DB79DF"/>
    <w:rsid w:val="00DC3442"/>
    <w:rsid w:val="00DC64B3"/>
    <w:rsid w:val="00DC69D2"/>
    <w:rsid w:val="00DC7812"/>
    <w:rsid w:val="00DE0402"/>
    <w:rsid w:val="00DE1D12"/>
    <w:rsid w:val="00DE4EB0"/>
    <w:rsid w:val="00DE5A21"/>
    <w:rsid w:val="00DF1C98"/>
    <w:rsid w:val="00DF2EB6"/>
    <w:rsid w:val="00DF5755"/>
    <w:rsid w:val="00DF5E51"/>
    <w:rsid w:val="00DF7217"/>
    <w:rsid w:val="00DF7BA9"/>
    <w:rsid w:val="00E00891"/>
    <w:rsid w:val="00E02099"/>
    <w:rsid w:val="00E02FAE"/>
    <w:rsid w:val="00E118C4"/>
    <w:rsid w:val="00E14881"/>
    <w:rsid w:val="00E212BB"/>
    <w:rsid w:val="00E21364"/>
    <w:rsid w:val="00E240D8"/>
    <w:rsid w:val="00E26227"/>
    <w:rsid w:val="00E26634"/>
    <w:rsid w:val="00E26F63"/>
    <w:rsid w:val="00E3248D"/>
    <w:rsid w:val="00E32A7C"/>
    <w:rsid w:val="00E36EF8"/>
    <w:rsid w:val="00E470C2"/>
    <w:rsid w:val="00E517C7"/>
    <w:rsid w:val="00E5185C"/>
    <w:rsid w:val="00E6478C"/>
    <w:rsid w:val="00E67289"/>
    <w:rsid w:val="00E73787"/>
    <w:rsid w:val="00E76CAF"/>
    <w:rsid w:val="00E77561"/>
    <w:rsid w:val="00E8294D"/>
    <w:rsid w:val="00E91BF6"/>
    <w:rsid w:val="00E9345D"/>
    <w:rsid w:val="00E93617"/>
    <w:rsid w:val="00E96B35"/>
    <w:rsid w:val="00E97EC7"/>
    <w:rsid w:val="00EA2B83"/>
    <w:rsid w:val="00EA32F7"/>
    <w:rsid w:val="00EA664A"/>
    <w:rsid w:val="00EA7B11"/>
    <w:rsid w:val="00EB103A"/>
    <w:rsid w:val="00EB2B70"/>
    <w:rsid w:val="00EB777A"/>
    <w:rsid w:val="00EC319D"/>
    <w:rsid w:val="00EC3FDA"/>
    <w:rsid w:val="00EC527F"/>
    <w:rsid w:val="00EC6A53"/>
    <w:rsid w:val="00ED3245"/>
    <w:rsid w:val="00ED4584"/>
    <w:rsid w:val="00ED4B16"/>
    <w:rsid w:val="00EE0B28"/>
    <w:rsid w:val="00EE5EEB"/>
    <w:rsid w:val="00EF083B"/>
    <w:rsid w:val="00EF25B6"/>
    <w:rsid w:val="00F028C8"/>
    <w:rsid w:val="00F05532"/>
    <w:rsid w:val="00F13366"/>
    <w:rsid w:val="00F20E3C"/>
    <w:rsid w:val="00F230CD"/>
    <w:rsid w:val="00F24C59"/>
    <w:rsid w:val="00F32366"/>
    <w:rsid w:val="00F32675"/>
    <w:rsid w:val="00F35791"/>
    <w:rsid w:val="00F43C6B"/>
    <w:rsid w:val="00F51711"/>
    <w:rsid w:val="00F51C18"/>
    <w:rsid w:val="00F546AB"/>
    <w:rsid w:val="00F55073"/>
    <w:rsid w:val="00F577D3"/>
    <w:rsid w:val="00F61094"/>
    <w:rsid w:val="00F6146B"/>
    <w:rsid w:val="00F643D9"/>
    <w:rsid w:val="00F64410"/>
    <w:rsid w:val="00F64EE9"/>
    <w:rsid w:val="00F718CD"/>
    <w:rsid w:val="00F80C98"/>
    <w:rsid w:val="00F81F9D"/>
    <w:rsid w:val="00F87351"/>
    <w:rsid w:val="00F90901"/>
    <w:rsid w:val="00F969B9"/>
    <w:rsid w:val="00FA31E2"/>
    <w:rsid w:val="00FB4741"/>
    <w:rsid w:val="00FB6477"/>
    <w:rsid w:val="00FB73FE"/>
    <w:rsid w:val="00FC0468"/>
    <w:rsid w:val="00FC599A"/>
    <w:rsid w:val="00FC65C0"/>
    <w:rsid w:val="00FD317B"/>
    <w:rsid w:val="00FD7A8E"/>
    <w:rsid w:val="00FE5610"/>
    <w:rsid w:val="00FE6EA3"/>
    <w:rsid w:val="00FE72B2"/>
    <w:rsid w:val="00FE7671"/>
    <w:rsid w:val="00FF5B70"/>
    <w:rsid w:val="00FF5BB9"/>
    <w:rsid w:val="01844D2A"/>
    <w:rsid w:val="02AC2924"/>
    <w:rsid w:val="033D7D9F"/>
    <w:rsid w:val="040221C5"/>
    <w:rsid w:val="04780EC7"/>
    <w:rsid w:val="04CFA819"/>
    <w:rsid w:val="04D4D198"/>
    <w:rsid w:val="055935EC"/>
    <w:rsid w:val="05C26BA8"/>
    <w:rsid w:val="06208837"/>
    <w:rsid w:val="06510F8B"/>
    <w:rsid w:val="079EA33A"/>
    <w:rsid w:val="08994BF9"/>
    <w:rsid w:val="0935425D"/>
    <w:rsid w:val="0975EC78"/>
    <w:rsid w:val="09EE8BDB"/>
    <w:rsid w:val="0A3E1D68"/>
    <w:rsid w:val="0A6D916C"/>
    <w:rsid w:val="0ABAD051"/>
    <w:rsid w:val="0ADEBC30"/>
    <w:rsid w:val="0BDFD202"/>
    <w:rsid w:val="0C4BE0A1"/>
    <w:rsid w:val="0CD8155B"/>
    <w:rsid w:val="0D43ACF8"/>
    <w:rsid w:val="0D63779F"/>
    <w:rsid w:val="0D8DDD68"/>
    <w:rsid w:val="0DAA27B3"/>
    <w:rsid w:val="0DB72833"/>
    <w:rsid w:val="0E50F482"/>
    <w:rsid w:val="0E78A142"/>
    <w:rsid w:val="0FD0FA89"/>
    <w:rsid w:val="0FF68BF6"/>
    <w:rsid w:val="10013142"/>
    <w:rsid w:val="113DBACB"/>
    <w:rsid w:val="12000A25"/>
    <w:rsid w:val="125751A8"/>
    <w:rsid w:val="13484370"/>
    <w:rsid w:val="13F91976"/>
    <w:rsid w:val="141DBB55"/>
    <w:rsid w:val="142B6E40"/>
    <w:rsid w:val="14CACB88"/>
    <w:rsid w:val="14F785B5"/>
    <w:rsid w:val="1780F6DA"/>
    <w:rsid w:val="17C0E39C"/>
    <w:rsid w:val="1817FF91"/>
    <w:rsid w:val="1990FC74"/>
    <w:rsid w:val="19E625BC"/>
    <w:rsid w:val="1A93079D"/>
    <w:rsid w:val="1AAD63D0"/>
    <w:rsid w:val="1AE51F0F"/>
    <w:rsid w:val="1AE6BCD2"/>
    <w:rsid w:val="1B0415A8"/>
    <w:rsid w:val="1B5876A2"/>
    <w:rsid w:val="1BE51426"/>
    <w:rsid w:val="1C50EB66"/>
    <w:rsid w:val="1CEB3E83"/>
    <w:rsid w:val="1D00F179"/>
    <w:rsid w:val="1D92B0FA"/>
    <w:rsid w:val="1EAB32C0"/>
    <w:rsid w:val="1EF66EE4"/>
    <w:rsid w:val="1F546111"/>
    <w:rsid w:val="1FCCF888"/>
    <w:rsid w:val="209DE48D"/>
    <w:rsid w:val="21D0D973"/>
    <w:rsid w:val="23CE9CE2"/>
    <w:rsid w:val="243BC48D"/>
    <w:rsid w:val="247D6FFD"/>
    <w:rsid w:val="24A83EF4"/>
    <w:rsid w:val="24B92FE0"/>
    <w:rsid w:val="24EACC9B"/>
    <w:rsid w:val="26682FF5"/>
    <w:rsid w:val="273A45E3"/>
    <w:rsid w:val="27F68178"/>
    <w:rsid w:val="295D747E"/>
    <w:rsid w:val="298409FD"/>
    <w:rsid w:val="29A6EF93"/>
    <w:rsid w:val="29C48231"/>
    <w:rsid w:val="2A03F05E"/>
    <w:rsid w:val="2A1AC7ED"/>
    <w:rsid w:val="2A4EB94B"/>
    <w:rsid w:val="2A769464"/>
    <w:rsid w:val="2BCB0458"/>
    <w:rsid w:val="2C59D717"/>
    <w:rsid w:val="2CD63574"/>
    <w:rsid w:val="2CE2F2C9"/>
    <w:rsid w:val="2D3371A3"/>
    <w:rsid w:val="2DC14EED"/>
    <w:rsid w:val="2E0BB19E"/>
    <w:rsid w:val="2E32CAFC"/>
    <w:rsid w:val="2ED3037E"/>
    <w:rsid w:val="2EF55EB7"/>
    <w:rsid w:val="2FB5FF4F"/>
    <w:rsid w:val="30DAD19E"/>
    <w:rsid w:val="3129517F"/>
    <w:rsid w:val="31431D22"/>
    <w:rsid w:val="314C31E4"/>
    <w:rsid w:val="331BF9F5"/>
    <w:rsid w:val="3330B1D6"/>
    <w:rsid w:val="336D79B3"/>
    <w:rsid w:val="33C4B0C4"/>
    <w:rsid w:val="3407B8EA"/>
    <w:rsid w:val="34B7063C"/>
    <w:rsid w:val="34D5F4BA"/>
    <w:rsid w:val="3618EAFF"/>
    <w:rsid w:val="361BDB91"/>
    <w:rsid w:val="3664866B"/>
    <w:rsid w:val="3798A38C"/>
    <w:rsid w:val="37FF064E"/>
    <w:rsid w:val="38615FC5"/>
    <w:rsid w:val="386560E4"/>
    <w:rsid w:val="38786E70"/>
    <w:rsid w:val="3A2D6F72"/>
    <w:rsid w:val="3A7F4A06"/>
    <w:rsid w:val="3AA76B9E"/>
    <w:rsid w:val="3AC56B24"/>
    <w:rsid w:val="3B4B0D47"/>
    <w:rsid w:val="3C077CAF"/>
    <w:rsid w:val="3C1A4197"/>
    <w:rsid w:val="3D75ECC4"/>
    <w:rsid w:val="3D9B7D4E"/>
    <w:rsid w:val="3E7A0DBF"/>
    <w:rsid w:val="3F16D0FB"/>
    <w:rsid w:val="3F5BE80C"/>
    <w:rsid w:val="3F5E9917"/>
    <w:rsid w:val="3FE99EDA"/>
    <w:rsid w:val="408C2387"/>
    <w:rsid w:val="40BAE152"/>
    <w:rsid w:val="41238C8D"/>
    <w:rsid w:val="413FBF97"/>
    <w:rsid w:val="418E6C36"/>
    <w:rsid w:val="41DBB947"/>
    <w:rsid w:val="42235C92"/>
    <w:rsid w:val="434B0E79"/>
    <w:rsid w:val="436A6B31"/>
    <w:rsid w:val="437F4A73"/>
    <w:rsid w:val="4446E6A6"/>
    <w:rsid w:val="447A0E0E"/>
    <w:rsid w:val="450F7C4A"/>
    <w:rsid w:val="4534673D"/>
    <w:rsid w:val="45433958"/>
    <w:rsid w:val="45FDEF2F"/>
    <w:rsid w:val="4672933D"/>
    <w:rsid w:val="469D9F66"/>
    <w:rsid w:val="47C053D7"/>
    <w:rsid w:val="48A02E4D"/>
    <w:rsid w:val="48F910F1"/>
    <w:rsid w:val="493B7697"/>
    <w:rsid w:val="4978C7E2"/>
    <w:rsid w:val="498F41A5"/>
    <w:rsid w:val="4A0270C1"/>
    <w:rsid w:val="4A44F450"/>
    <w:rsid w:val="4C3F36A3"/>
    <w:rsid w:val="4C4D61BC"/>
    <w:rsid w:val="4C5E3A09"/>
    <w:rsid w:val="4CCD608C"/>
    <w:rsid w:val="4D2098FF"/>
    <w:rsid w:val="4D5327CF"/>
    <w:rsid w:val="4E33608E"/>
    <w:rsid w:val="4EB7405C"/>
    <w:rsid w:val="4FB02A79"/>
    <w:rsid w:val="5000FFB6"/>
    <w:rsid w:val="5013816D"/>
    <w:rsid w:val="50A0068D"/>
    <w:rsid w:val="5138AEE1"/>
    <w:rsid w:val="51E180DD"/>
    <w:rsid w:val="525326CE"/>
    <w:rsid w:val="52BD8C9F"/>
    <w:rsid w:val="530A3164"/>
    <w:rsid w:val="537D6B5A"/>
    <w:rsid w:val="5554AEB0"/>
    <w:rsid w:val="56EBF252"/>
    <w:rsid w:val="59199F83"/>
    <w:rsid w:val="5C54B225"/>
    <w:rsid w:val="5CD3F9A9"/>
    <w:rsid w:val="5CDF7B5B"/>
    <w:rsid w:val="5D5D9148"/>
    <w:rsid w:val="5D843555"/>
    <w:rsid w:val="5DBED475"/>
    <w:rsid w:val="5E27C5E1"/>
    <w:rsid w:val="5E688F6F"/>
    <w:rsid w:val="5E7DEAC7"/>
    <w:rsid w:val="606689AC"/>
    <w:rsid w:val="615DCED4"/>
    <w:rsid w:val="619DC465"/>
    <w:rsid w:val="61EB3B9D"/>
    <w:rsid w:val="626D5FC4"/>
    <w:rsid w:val="632527D5"/>
    <w:rsid w:val="637AF1C4"/>
    <w:rsid w:val="65A6E51C"/>
    <w:rsid w:val="66BF350D"/>
    <w:rsid w:val="673C199C"/>
    <w:rsid w:val="686C7281"/>
    <w:rsid w:val="68768C76"/>
    <w:rsid w:val="68CEFEAC"/>
    <w:rsid w:val="68D2EC47"/>
    <w:rsid w:val="696F8CDD"/>
    <w:rsid w:val="69B36C77"/>
    <w:rsid w:val="69F64F46"/>
    <w:rsid w:val="6A92D650"/>
    <w:rsid w:val="6A96E4E3"/>
    <w:rsid w:val="6ADB7C15"/>
    <w:rsid w:val="6ADEEF52"/>
    <w:rsid w:val="6AED7FD6"/>
    <w:rsid w:val="6C6D6F62"/>
    <w:rsid w:val="6D2B446A"/>
    <w:rsid w:val="6DDB3A9C"/>
    <w:rsid w:val="6DDDC7FF"/>
    <w:rsid w:val="6FA59650"/>
    <w:rsid w:val="70DC1282"/>
    <w:rsid w:val="70F05B51"/>
    <w:rsid w:val="71ACD393"/>
    <w:rsid w:val="71CF48A6"/>
    <w:rsid w:val="71E23BA6"/>
    <w:rsid w:val="723DA790"/>
    <w:rsid w:val="72E1BD63"/>
    <w:rsid w:val="730ADC97"/>
    <w:rsid w:val="73B9A15F"/>
    <w:rsid w:val="74164B8E"/>
    <w:rsid w:val="7577BEC8"/>
    <w:rsid w:val="7619CC41"/>
    <w:rsid w:val="765E5C70"/>
    <w:rsid w:val="7748637F"/>
    <w:rsid w:val="7788ADD4"/>
    <w:rsid w:val="779DFE3E"/>
    <w:rsid w:val="77D0B2DE"/>
    <w:rsid w:val="7902E5C1"/>
    <w:rsid w:val="7907977D"/>
    <w:rsid w:val="793E8ABA"/>
    <w:rsid w:val="7958FCCF"/>
    <w:rsid w:val="7A550BF0"/>
    <w:rsid w:val="7AEC3233"/>
    <w:rsid w:val="7B970856"/>
    <w:rsid w:val="7BA9F04F"/>
    <w:rsid w:val="7BCB3EB8"/>
    <w:rsid w:val="7C53656D"/>
    <w:rsid w:val="7CD95C87"/>
    <w:rsid w:val="7E2232FE"/>
    <w:rsid w:val="7F0B9F57"/>
    <w:rsid w:val="7FF60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830E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02"/>
    <w:pPr>
      <w:spacing w:after="200" w:line="276" w:lineRule="auto"/>
    </w:pPr>
    <w:rPr>
      <w:rFonts w:ascii="Aptos Display" w:hAnsi="Aptos Display"/>
    </w:rPr>
  </w:style>
  <w:style w:type="paragraph" w:styleId="Heading1">
    <w:name w:val="heading 1"/>
    <w:basedOn w:val="Normal"/>
    <w:next w:val="Normal"/>
    <w:link w:val="Heading1Char"/>
    <w:uiPriority w:val="9"/>
    <w:qFormat/>
    <w:rsid w:val="00A14B02"/>
    <w:pPr>
      <w:keepNext/>
      <w:keepLines/>
      <w:spacing w:before="600" w:after="0"/>
      <w:outlineLvl w:val="0"/>
    </w:pPr>
    <w:rPr>
      <w:rFonts w:eastAsiaTheme="majorEastAsia" w:cstheme="majorBidi"/>
      <w:b/>
      <w:color w:val="5D7A38" w:themeColor="accent1"/>
      <w:sz w:val="50"/>
      <w:szCs w:val="32"/>
    </w:rPr>
  </w:style>
  <w:style w:type="paragraph" w:styleId="Heading2">
    <w:name w:val="heading 2"/>
    <w:basedOn w:val="Normal"/>
    <w:next w:val="Normal"/>
    <w:link w:val="Heading2Char"/>
    <w:uiPriority w:val="9"/>
    <w:unhideWhenUsed/>
    <w:qFormat/>
    <w:rsid w:val="00A14B02"/>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A14B02"/>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A14B02"/>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A14B02"/>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A14B02"/>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A14B02"/>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A14B02"/>
    <w:pPr>
      <w:spacing w:before="720" w:after="0" w:line="240" w:lineRule="auto"/>
    </w:pPr>
    <w:rPr>
      <w:rFonts w:ascii="Aptos SemiBold" w:eastAsiaTheme="majorEastAsia" w:hAnsi="Aptos SemiBold" w:cstheme="majorBidi"/>
      <w:b/>
      <w:color w:val="404246" w:themeColor="text2"/>
      <w:spacing w:val="-10"/>
      <w:kern w:val="28"/>
      <w:sz w:val="66"/>
      <w:szCs w:val="56"/>
    </w:rPr>
  </w:style>
  <w:style w:type="character" w:customStyle="1" w:styleId="TitleChar">
    <w:name w:val="Title Char"/>
    <w:basedOn w:val="DefaultParagraphFont"/>
    <w:link w:val="Title"/>
    <w:uiPriority w:val="7"/>
    <w:rsid w:val="00A14B02"/>
    <w:rPr>
      <w:rFonts w:ascii="Aptos SemiBold" w:eastAsiaTheme="majorEastAsia" w:hAnsi="Aptos SemiBold" w:cstheme="majorBidi"/>
      <w:b/>
      <w:color w:val="404246" w:themeColor="text2"/>
      <w:spacing w:val="-10"/>
      <w:kern w:val="28"/>
      <w:sz w:val="66"/>
      <w:szCs w:val="56"/>
    </w:rPr>
  </w:style>
  <w:style w:type="paragraph" w:styleId="Subtitle">
    <w:name w:val="Subtitle"/>
    <w:basedOn w:val="Normal"/>
    <w:next w:val="Normal"/>
    <w:link w:val="SubtitleChar"/>
    <w:uiPriority w:val="8"/>
    <w:qFormat/>
    <w:rsid w:val="00A14B02"/>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A14B02"/>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A14B02"/>
    <w:rPr>
      <w:rFonts w:ascii="Aptos Display" w:eastAsiaTheme="majorEastAsia" w:hAnsi="Aptos Display" w:cstheme="majorBidi"/>
      <w:b/>
      <w:color w:val="5D7A38" w:themeColor="accent1"/>
      <w:sz w:val="50"/>
      <w:szCs w:val="32"/>
    </w:rPr>
  </w:style>
  <w:style w:type="character" w:customStyle="1" w:styleId="Heading2Char">
    <w:name w:val="Heading 2 Char"/>
    <w:basedOn w:val="DefaultParagraphFont"/>
    <w:link w:val="Heading2"/>
    <w:uiPriority w:val="9"/>
    <w:rsid w:val="00A14B02"/>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A14B02"/>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A14B02"/>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A14B02"/>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A14B02"/>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A14B02"/>
    <w:rPr>
      <w:color w:val="287DB2"/>
      <w:u w:val="single"/>
    </w:rPr>
  </w:style>
  <w:style w:type="character" w:customStyle="1" w:styleId="UnresolvedMention1">
    <w:name w:val="Unresolved Mention1"/>
    <w:basedOn w:val="DefaultParagraphFont"/>
    <w:uiPriority w:val="99"/>
    <w:semiHidden/>
    <w:unhideWhenUsed/>
    <w:rsid w:val="00A14B02"/>
    <w:rPr>
      <w:color w:val="605E5C"/>
      <w:shd w:val="clear" w:color="auto" w:fill="E1DFDD"/>
    </w:rPr>
  </w:style>
  <w:style w:type="character" w:styleId="Strong">
    <w:name w:val="Strong"/>
    <w:basedOn w:val="DefaultParagraphFont"/>
    <w:uiPriority w:val="11"/>
    <w:qFormat/>
    <w:rsid w:val="00A14B02"/>
    <w:rPr>
      <w:b/>
      <w:bCs/>
    </w:rPr>
  </w:style>
  <w:style w:type="table" w:styleId="TableGrid">
    <w:name w:val="Table Grid"/>
    <w:basedOn w:val="TableNormal"/>
    <w:uiPriority w:val="39"/>
    <w:rsid w:val="00A14B02"/>
    <w:pPr>
      <w:spacing w:after="0" w:line="240" w:lineRule="auto"/>
    </w:pPr>
    <w:tblPr>
      <w:tblInd w:w="0" w:type="nil"/>
      <w:tblCellMar>
        <w:left w:w="0" w:type="dxa"/>
        <w:right w:w="0" w:type="dxa"/>
      </w:tblCellMar>
    </w:tblPr>
  </w:style>
  <w:style w:type="paragraph" w:styleId="Caption">
    <w:name w:val="caption"/>
    <w:basedOn w:val="Normal"/>
    <w:next w:val="Normal"/>
    <w:uiPriority w:val="16"/>
    <w:qFormat/>
    <w:rsid w:val="00A14B02"/>
    <w:pPr>
      <w:spacing w:before="240" w:after="40" w:line="240" w:lineRule="auto"/>
    </w:pPr>
    <w:rPr>
      <w:b/>
      <w:iCs/>
      <w:szCs w:val="18"/>
    </w:rPr>
  </w:style>
  <w:style w:type="paragraph" w:styleId="Quote">
    <w:name w:val="Quote"/>
    <w:basedOn w:val="Normal"/>
    <w:next w:val="Normal"/>
    <w:link w:val="QuoteChar"/>
    <w:uiPriority w:val="29"/>
    <w:qFormat/>
    <w:rsid w:val="00A14B02"/>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14B02"/>
    <w:rPr>
      <w:rFonts w:ascii="Aptos Display" w:hAnsi="Aptos Display"/>
      <w:iCs/>
      <w:color w:val="595959" w:themeColor="text1" w:themeTint="A6"/>
    </w:rPr>
  </w:style>
  <w:style w:type="paragraph" w:customStyle="1" w:styleId="Source">
    <w:name w:val="Source"/>
    <w:basedOn w:val="Normal"/>
    <w:uiPriority w:val="17"/>
    <w:qFormat/>
    <w:rsid w:val="00A14B02"/>
    <w:pPr>
      <w:spacing w:before="80" w:after="320"/>
    </w:pPr>
    <w:rPr>
      <w:sz w:val="18"/>
    </w:rPr>
  </w:style>
  <w:style w:type="table" w:customStyle="1" w:styleId="DESE">
    <w:name w:val="DESE"/>
    <w:basedOn w:val="TableNormal"/>
    <w:uiPriority w:val="99"/>
    <w:rsid w:val="00A14B02"/>
    <w:pPr>
      <w:spacing w:before="100" w:beforeAutospacing="1" w:after="100" w:afterAutospacing="1" w:line="240" w:lineRule="auto"/>
    </w:pPr>
    <w:rPr>
      <w:rFonts w:ascii="Aptos Display" w:hAnsi="Aptos Display"/>
    </w:rPr>
    <w:tblPr>
      <w:tblInd w:w="0" w:type="nil"/>
      <w:tblCellMar>
        <w:left w:w="0" w:type="dxa"/>
        <w:right w:w="0" w:type="dxa"/>
      </w:tblCellMar>
    </w:tblPr>
    <w:tblStylePr w:type="firstRow">
      <w:rPr>
        <w:rFonts w:ascii="Aptos Display" w:hAnsi="Aptos Display"/>
        <w:b/>
        <w:color w:val="FFFFFF" w:themeColor="background1"/>
      </w:rPr>
    </w:tblStylePr>
    <w:tblStylePr w:type="firstCol">
      <w:rPr>
        <w:b w:val="0"/>
      </w:rPr>
    </w:tblStylePr>
    <w:tblStylePr w:type="nwCell">
      <w:rPr>
        <w:b w:val="0"/>
      </w:rPr>
    </w:tblStylePr>
  </w:style>
  <w:style w:type="paragraph" w:styleId="ListParagraph">
    <w:name w:val="List Paragraph"/>
    <w:basedOn w:val="Normal"/>
    <w:uiPriority w:val="34"/>
    <w:qFormat/>
    <w:rsid w:val="00140A92"/>
    <w:pPr>
      <w:spacing w:line="360" w:lineRule="auto"/>
      <w:ind w:left="720"/>
      <w:contextualSpacing/>
    </w:pPr>
  </w:style>
  <w:style w:type="paragraph" w:styleId="ListNumber">
    <w:name w:val="List Number"/>
    <w:basedOn w:val="Normal"/>
    <w:uiPriority w:val="99"/>
    <w:unhideWhenUsed/>
    <w:qFormat/>
    <w:rsid w:val="00A14B02"/>
    <w:pPr>
      <w:numPr>
        <w:numId w:val="18"/>
      </w:numPr>
      <w:spacing w:line="360" w:lineRule="auto"/>
      <w:contextualSpacing/>
    </w:pPr>
  </w:style>
  <w:style w:type="paragraph" w:styleId="ListBullet">
    <w:name w:val="List Bullet"/>
    <w:basedOn w:val="Normal"/>
    <w:uiPriority w:val="99"/>
    <w:unhideWhenUsed/>
    <w:qFormat/>
    <w:rsid w:val="00A14B02"/>
    <w:pPr>
      <w:numPr>
        <w:numId w:val="16"/>
      </w:numPr>
      <w:spacing w:line="360" w:lineRule="auto"/>
      <w:contextualSpacing/>
    </w:pPr>
  </w:style>
  <w:style w:type="paragraph" w:styleId="List">
    <w:name w:val="List"/>
    <w:basedOn w:val="ListBullet"/>
    <w:uiPriority w:val="99"/>
    <w:unhideWhenUsed/>
    <w:qFormat/>
    <w:rsid w:val="00A14B02"/>
    <w:pPr>
      <w:numPr>
        <w:numId w:val="17"/>
      </w:numPr>
    </w:pPr>
  </w:style>
  <w:style w:type="paragraph" w:styleId="Header">
    <w:name w:val="header"/>
    <w:basedOn w:val="Normal"/>
    <w:link w:val="HeaderChar"/>
    <w:uiPriority w:val="99"/>
    <w:unhideWhenUsed/>
    <w:rsid w:val="00A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2"/>
    <w:rPr>
      <w:rFonts w:ascii="Aptos Display" w:hAnsi="Aptos Display"/>
    </w:rPr>
  </w:style>
  <w:style w:type="paragraph" w:styleId="Footer">
    <w:name w:val="footer"/>
    <w:basedOn w:val="Normal"/>
    <w:link w:val="FooterChar"/>
    <w:uiPriority w:val="99"/>
    <w:unhideWhenUsed/>
    <w:rsid w:val="00A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2"/>
    <w:rPr>
      <w:rFonts w:ascii="Aptos Display" w:hAnsi="Aptos Display"/>
    </w:rPr>
  </w:style>
  <w:style w:type="paragraph" w:styleId="TOC1">
    <w:name w:val="toc 1"/>
    <w:basedOn w:val="Normal"/>
    <w:next w:val="Normal"/>
    <w:autoRedefine/>
    <w:uiPriority w:val="39"/>
    <w:unhideWhenUsed/>
    <w:rsid w:val="00A14B02"/>
    <w:pPr>
      <w:spacing w:after="100"/>
    </w:pPr>
    <w:rPr>
      <w:b/>
    </w:rPr>
  </w:style>
  <w:style w:type="paragraph" w:styleId="TOC2">
    <w:name w:val="toc 2"/>
    <w:basedOn w:val="Normal"/>
    <w:next w:val="Normal"/>
    <w:autoRedefine/>
    <w:uiPriority w:val="39"/>
    <w:unhideWhenUsed/>
    <w:rsid w:val="00A14B02"/>
    <w:pPr>
      <w:spacing w:after="100"/>
      <w:ind w:left="220"/>
    </w:pPr>
  </w:style>
  <w:style w:type="paragraph" w:styleId="TOC3">
    <w:name w:val="toc 3"/>
    <w:basedOn w:val="Normal"/>
    <w:next w:val="Normal"/>
    <w:autoRedefine/>
    <w:uiPriority w:val="39"/>
    <w:unhideWhenUsed/>
    <w:rsid w:val="00A14B02"/>
    <w:pPr>
      <w:spacing w:after="100"/>
      <w:ind w:left="440"/>
    </w:pPr>
  </w:style>
  <w:style w:type="paragraph" w:styleId="TOCHeading">
    <w:name w:val="TOC Heading"/>
    <w:basedOn w:val="Heading1"/>
    <w:next w:val="Normal"/>
    <w:uiPriority w:val="39"/>
    <w:unhideWhenUsed/>
    <w:qFormat/>
    <w:rsid w:val="00A14B02"/>
    <w:pPr>
      <w:spacing w:after="240"/>
      <w:outlineLvl w:val="9"/>
    </w:pPr>
  </w:style>
  <w:style w:type="paragraph" w:styleId="BalloonText">
    <w:name w:val="Balloon Text"/>
    <w:basedOn w:val="Normal"/>
    <w:link w:val="BalloonTextChar"/>
    <w:uiPriority w:val="99"/>
    <w:semiHidden/>
    <w:unhideWhenUsed/>
    <w:rsid w:val="00A1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2"/>
    <w:rPr>
      <w:rFonts w:ascii="Segoe UI" w:hAnsi="Segoe UI" w:cs="Segoe UI"/>
      <w:sz w:val="18"/>
      <w:szCs w:val="18"/>
    </w:rPr>
  </w:style>
  <w:style w:type="character" w:customStyle="1" w:styleId="Heading7Char">
    <w:name w:val="Heading 7 Char"/>
    <w:basedOn w:val="DefaultParagraphFont"/>
    <w:link w:val="Heading7"/>
    <w:uiPriority w:val="9"/>
    <w:rsid w:val="00A14B02"/>
    <w:rPr>
      <w:rFonts w:ascii="Aptos SemiBold" w:eastAsiaTheme="majorEastAsia" w:hAnsi="Aptos SemiBold" w:cstheme="majorBidi"/>
      <w:i/>
      <w:iCs/>
      <w:color w:val="0D2C6C" w:themeColor="accent5"/>
    </w:rPr>
  </w:style>
  <w:style w:type="paragraph" w:customStyle="1" w:styleId="numberedpara">
    <w:name w:val="numbered para"/>
    <w:basedOn w:val="Normal"/>
    <w:rsid w:val="00140A92"/>
    <w:pPr>
      <w:numPr>
        <w:numId w:val="15"/>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A14B02"/>
    <w:rPr>
      <w:color w:val="7055A3" w:themeColor="followedHyperlink"/>
      <w:u w:val="single"/>
    </w:rPr>
  </w:style>
  <w:style w:type="paragraph" w:styleId="Revision">
    <w:name w:val="Revision"/>
    <w:hidden/>
    <w:uiPriority w:val="99"/>
    <w:semiHidden/>
    <w:rsid w:val="0048095A"/>
    <w:pPr>
      <w:spacing w:after="0" w:line="240" w:lineRule="auto"/>
    </w:pPr>
    <w:rPr>
      <w:rFonts w:ascii="Aptos Display" w:hAnsi="Aptos Display"/>
    </w:rPr>
  </w:style>
  <w:style w:type="character" w:customStyle="1" w:styleId="normaltextrun">
    <w:name w:val="normaltextrun"/>
    <w:basedOn w:val="DefaultParagraphFont"/>
    <w:rsid w:val="000C7F60"/>
  </w:style>
  <w:style w:type="character" w:styleId="UnresolvedMention">
    <w:name w:val="Unresolved Mention"/>
    <w:basedOn w:val="DefaultParagraphFont"/>
    <w:uiPriority w:val="99"/>
    <w:semiHidden/>
    <w:unhideWhenUsed/>
    <w:rsid w:val="00DC3442"/>
    <w:rPr>
      <w:color w:val="605E5C"/>
      <w:shd w:val="clear" w:color="auto" w:fill="E1DFDD"/>
    </w:rPr>
  </w:style>
  <w:style w:type="paragraph" w:styleId="CommentText">
    <w:name w:val="annotation text"/>
    <w:basedOn w:val="Normal"/>
    <w:link w:val="CommentTextChar"/>
    <w:uiPriority w:val="99"/>
    <w:unhideWhenUsed/>
    <w:rsid w:val="00FE5610"/>
    <w:pPr>
      <w:spacing w:line="240" w:lineRule="auto"/>
    </w:pPr>
    <w:rPr>
      <w:sz w:val="20"/>
      <w:szCs w:val="20"/>
    </w:rPr>
  </w:style>
  <w:style w:type="character" w:customStyle="1" w:styleId="CommentTextChar">
    <w:name w:val="Comment Text Char"/>
    <w:basedOn w:val="DefaultParagraphFont"/>
    <w:link w:val="CommentText"/>
    <w:uiPriority w:val="99"/>
    <w:rsid w:val="00FE5610"/>
    <w:rPr>
      <w:rFonts w:ascii="Aptos Display" w:hAnsi="Aptos Display"/>
      <w:sz w:val="20"/>
      <w:szCs w:val="20"/>
    </w:rPr>
  </w:style>
  <w:style w:type="character" w:styleId="CommentReference">
    <w:name w:val="annotation reference"/>
    <w:basedOn w:val="DefaultParagraphFont"/>
    <w:uiPriority w:val="99"/>
    <w:semiHidden/>
    <w:unhideWhenUsed/>
    <w:rsid w:val="00FE5610"/>
    <w:rPr>
      <w:sz w:val="16"/>
      <w:szCs w:val="16"/>
    </w:rPr>
  </w:style>
  <w:style w:type="paragraph" w:styleId="CommentSubject">
    <w:name w:val="annotation subject"/>
    <w:basedOn w:val="CommentText"/>
    <w:next w:val="CommentText"/>
    <w:link w:val="CommentSubjectChar"/>
    <w:uiPriority w:val="99"/>
    <w:semiHidden/>
    <w:unhideWhenUsed/>
    <w:rsid w:val="0017307B"/>
    <w:rPr>
      <w:b/>
      <w:bCs/>
    </w:rPr>
  </w:style>
  <w:style w:type="character" w:customStyle="1" w:styleId="CommentSubjectChar">
    <w:name w:val="Comment Subject Char"/>
    <w:basedOn w:val="CommentTextChar"/>
    <w:link w:val="CommentSubject"/>
    <w:uiPriority w:val="99"/>
    <w:semiHidden/>
    <w:rsid w:val="0017307B"/>
    <w:rPr>
      <w:rFonts w:ascii="Aptos Display" w:hAnsi="Aptos Display"/>
      <w:b/>
      <w:bCs/>
      <w:sz w:val="20"/>
      <w:szCs w:val="20"/>
    </w:rPr>
  </w:style>
  <w:style w:type="paragraph" w:customStyle="1" w:styleId="paragraph">
    <w:name w:val="paragraph"/>
    <w:basedOn w:val="Normal"/>
    <w:rsid w:val="00342D0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34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au/managed-system-international-education-2026/resources/factsheet-managed-growth-international-education-arrangement-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dewr.gov.au/international-skills-engagement/managed-system-international-education-2026"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4535</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and managed growth arrangements for 2026 – VET providers and the small provider pool</dc:title>
  <dc:subject/>
  <dc:creator/>
  <cp:keywords/>
  <dc:description/>
  <cp:lastModifiedBy/>
  <cp:revision>1</cp:revision>
  <dcterms:created xsi:type="dcterms:W3CDTF">2025-11-05T03:44:00Z</dcterms:created>
  <dcterms:modified xsi:type="dcterms:W3CDTF">2025-11-05T03:44:00Z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2025-11-05T03:44:32Z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f929bc69-a381-4316-b359-6a6d5baff5e2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