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D4B88" w14:textId="468F738D" w:rsidR="00DC361F" w:rsidRDefault="003D437E">
      <w:pPr>
        <w:pStyle w:val="Title"/>
        <w:jc w:val="center"/>
      </w:pPr>
      <w:r>
        <w:t xml:space="preserve">  </w:t>
      </w:r>
      <w:r w:rsidR="00481745">
        <w:t xml:space="preserve">                                                                                                                                                                                                                                                                                                                                                                                                                                                                                                                                                                                                                                                                                                                                                                                                                                                                                                                                                                                                                                                                                                                                                                                                                                                                                                                                                                                                                                                                                                                                                                                                                                                                                                                                                                                                                                                                                                                                                                                                                                                                                                                                                                                                                                                                                                                                                                                                                                                                                                                                                                                                                                                                                                                                                                                                                                                                                                                                                                                                                                                                                                                                                                                                                                                                                                                                                                                                                                                                                                                                                                                                                                                                                                                                                                                                                                                                                                                                                                                                                                                                                                                                                                                   </w:t>
      </w:r>
    </w:p>
    <w:p w14:paraId="53BF95A1" w14:textId="42E9E279" w:rsidR="006D4042" w:rsidRPr="007D1210" w:rsidRDefault="006D4042" w:rsidP="00C15FCF">
      <w:bookmarkStart w:id="0" w:name="_Toc24447248"/>
    </w:p>
    <w:p w14:paraId="429CCDFC" w14:textId="77777777" w:rsidR="006D4042" w:rsidRPr="007D1210" w:rsidRDefault="006D4042" w:rsidP="006D4042">
      <w:pPr>
        <w:jc w:val="center"/>
      </w:pPr>
    </w:p>
    <w:p w14:paraId="6ADFAD8F" w14:textId="77777777" w:rsidR="007709F0" w:rsidRDefault="007709F0" w:rsidP="007709F0">
      <w:pPr>
        <w:pStyle w:val="TOCHeading"/>
        <w:jc w:val="center"/>
      </w:pPr>
      <w:r w:rsidRPr="007D1210">
        <w:rPr>
          <w:lang w:eastAsia="en-AU"/>
        </w:rPr>
        <w:drawing>
          <wp:inline distT="0" distB="0" distL="0" distR="0" wp14:anchorId="21B054F1" wp14:editId="04B75854">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p>
    <w:p w14:paraId="2D3B8EA6" w14:textId="77777777" w:rsidR="007709F0" w:rsidRDefault="007709F0" w:rsidP="007709F0">
      <w:pPr>
        <w:pStyle w:val="TOCHeading"/>
        <w:jc w:val="center"/>
      </w:pPr>
    </w:p>
    <w:p w14:paraId="7F040CB9" w14:textId="77777777" w:rsidR="007709F0" w:rsidRDefault="007709F0" w:rsidP="007709F0">
      <w:pPr>
        <w:pStyle w:val="TOCHeading"/>
        <w:jc w:val="center"/>
      </w:pPr>
    </w:p>
    <w:p w14:paraId="59302102" w14:textId="77777777" w:rsidR="007709F0" w:rsidRDefault="007709F0" w:rsidP="007709F0">
      <w:pPr>
        <w:spacing w:before="120" w:after="480" w:line="240" w:lineRule="auto"/>
        <w:jc w:val="center"/>
        <w:rPr>
          <w:b/>
          <w:bCs/>
          <w:color w:val="002060"/>
          <w:sz w:val="72"/>
          <w:szCs w:val="72"/>
        </w:rPr>
      </w:pPr>
    </w:p>
    <w:p w14:paraId="29701215" w14:textId="6AFBCE8E" w:rsidR="007709F0" w:rsidRPr="007D1210" w:rsidRDefault="007709F0" w:rsidP="007709F0">
      <w:pPr>
        <w:spacing w:before="120" w:after="480" w:line="240" w:lineRule="auto"/>
        <w:jc w:val="center"/>
        <w:rPr>
          <w:b/>
          <w:bCs/>
          <w:color w:val="002060"/>
          <w:sz w:val="72"/>
          <w:szCs w:val="72"/>
        </w:rPr>
      </w:pPr>
      <w:r w:rsidRPr="007D1210">
        <w:rPr>
          <w:b/>
          <w:bCs/>
          <w:color w:val="002060"/>
          <w:sz w:val="72"/>
          <w:szCs w:val="72"/>
        </w:rPr>
        <w:t>Local Jobs Plan</w:t>
      </w:r>
    </w:p>
    <w:p w14:paraId="4B727EFA" w14:textId="77777777" w:rsidR="007709F0" w:rsidRPr="007D1210" w:rsidRDefault="007709F0" w:rsidP="007709F0">
      <w:pPr>
        <w:spacing w:before="120" w:after="480" w:line="240" w:lineRule="auto"/>
        <w:jc w:val="center"/>
        <w:rPr>
          <w:b/>
          <w:bCs/>
          <w:color w:val="002060"/>
          <w:sz w:val="68"/>
          <w:szCs w:val="68"/>
        </w:rPr>
      </w:pPr>
      <w:r>
        <w:rPr>
          <w:b/>
          <w:bCs/>
          <w:color w:val="002060"/>
          <w:sz w:val="68"/>
          <w:szCs w:val="68"/>
        </w:rPr>
        <w:t>Goulburn Murray</w:t>
      </w:r>
    </w:p>
    <w:p w14:paraId="027E2460" w14:textId="77777777" w:rsidR="007709F0" w:rsidRPr="007D1210" w:rsidRDefault="007709F0" w:rsidP="007709F0">
      <w:pPr>
        <w:spacing w:before="120" w:after="480" w:line="240" w:lineRule="auto"/>
        <w:jc w:val="center"/>
        <w:rPr>
          <w:b/>
          <w:bCs/>
          <w:color w:val="002060"/>
          <w:sz w:val="64"/>
          <w:szCs w:val="64"/>
        </w:rPr>
      </w:pPr>
      <w:r>
        <w:rPr>
          <w:b/>
          <w:bCs/>
          <w:color w:val="002060"/>
          <w:sz w:val="64"/>
          <w:szCs w:val="64"/>
        </w:rPr>
        <w:t>Victoria</w:t>
      </w:r>
    </w:p>
    <w:p w14:paraId="3C462B66" w14:textId="12A14CCE" w:rsidR="007709F0" w:rsidRPr="007D1210" w:rsidRDefault="00A50013" w:rsidP="007709F0">
      <w:pPr>
        <w:spacing w:before="120" w:after="480"/>
        <w:jc w:val="center"/>
        <w:rPr>
          <w:color w:val="002060"/>
          <w:sz w:val="60"/>
          <w:szCs w:val="60"/>
        </w:rPr>
      </w:pPr>
      <w:r>
        <w:rPr>
          <w:color w:val="002060"/>
          <w:sz w:val="60"/>
          <w:szCs w:val="60"/>
        </w:rPr>
        <w:t>November</w:t>
      </w:r>
      <w:r w:rsidRPr="007D1210">
        <w:rPr>
          <w:color w:val="002060"/>
          <w:sz w:val="60"/>
          <w:szCs w:val="60"/>
        </w:rPr>
        <w:t xml:space="preserve"> </w:t>
      </w:r>
      <w:r w:rsidR="007709F0" w:rsidRPr="007D1210">
        <w:rPr>
          <w:color w:val="002060"/>
          <w:sz w:val="60"/>
          <w:szCs w:val="60"/>
        </w:rPr>
        <w:t>2021</w:t>
      </w:r>
    </w:p>
    <w:p w14:paraId="6A646C80" w14:textId="60DC505E" w:rsidR="008B45B7" w:rsidRDefault="00BC25FD" w:rsidP="007709F0">
      <w:pPr>
        <w:pStyle w:val="TOCHeading"/>
        <w:jc w:val="center"/>
      </w:pPr>
      <w:r>
        <w:br w:type="page"/>
      </w:r>
    </w:p>
    <w:sdt>
      <w:sdtPr>
        <w:rPr>
          <w:lang w:val="en"/>
        </w:rPr>
        <w:id w:val="-476842593"/>
        <w:docPartObj>
          <w:docPartGallery w:val="Table of Contents"/>
          <w:docPartUnique/>
        </w:docPartObj>
      </w:sdtPr>
      <w:sdtEndPr>
        <w:rPr>
          <w:lang w:val="en-AU"/>
        </w:rPr>
      </w:sdtEndPr>
      <w:sdtContent>
        <w:p w14:paraId="4E2487A0" w14:textId="315D7BD5" w:rsidR="006D4042" w:rsidRPr="005012B8" w:rsidRDefault="006D4042" w:rsidP="008B45B7">
          <w:pPr>
            <w:rPr>
              <w:rFonts w:ascii="Calibri" w:eastAsia="Times New Roman" w:hAnsi="Calibri" w:cstheme="majorBidi"/>
              <w:color w:val="1D4289"/>
              <w:sz w:val="48"/>
              <w:szCs w:val="48"/>
              <w:lang w:bidi="en-US"/>
            </w:rPr>
          </w:pPr>
          <w:r w:rsidRPr="008E46AA">
            <w:rPr>
              <w:rFonts w:ascii="Calibri" w:eastAsia="Times New Roman" w:hAnsi="Calibri" w:cstheme="majorBidi"/>
              <w:color w:val="1D4289"/>
              <w:sz w:val="48"/>
              <w:szCs w:val="48"/>
              <w:lang w:bidi="en-US"/>
            </w:rPr>
            <w:t>Contents</w:t>
          </w:r>
        </w:p>
        <w:p w14:paraId="7CFD8ABE" w14:textId="125DB4F9" w:rsidR="001B2386" w:rsidRDefault="006D4042">
          <w:pPr>
            <w:pStyle w:val="TOC1"/>
            <w:rPr>
              <w:noProof/>
              <w:lang w:eastAsia="en-AU"/>
            </w:rPr>
          </w:pPr>
          <w:r w:rsidRPr="008E46AA">
            <w:fldChar w:fldCharType="begin"/>
          </w:r>
          <w:r w:rsidRPr="005012B8">
            <w:instrText xml:space="preserve"> TOC \o "1-3" \h \z \u </w:instrText>
          </w:r>
          <w:r w:rsidRPr="008E46AA">
            <w:fldChar w:fldCharType="separate"/>
          </w:r>
          <w:hyperlink w:anchor="_Toc89157930" w:history="1">
            <w:r w:rsidR="001B2386" w:rsidRPr="00D23D5C">
              <w:rPr>
                <w:rStyle w:val="Hyperlink"/>
                <w:noProof/>
              </w:rPr>
              <w:t>The Local Jobs Program</w:t>
            </w:r>
            <w:r w:rsidR="001B2386">
              <w:rPr>
                <w:noProof/>
                <w:webHidden/>
              </w:rPr>
              <w:tab/>
            </w:r>
            <w:r w:rsidR="001B2386">
              <w:rPr>
                <w:noProof/>
                <w:webHidden/>
              </w:rPr>
              <w:fldChar w:fldCharType="begin"/>
            </w:r>
            <w:r w:rsidR="001B2386">
              <w:rPr>
                <w:noProof/>
                <w:webHidden/>
              </w:rPr>
              <w:instrText xml:space="preserve"> PAGEREF _Toc89157930 \h </w:instrText>
            </w:r>
            <w:r w:rsidR="001B2386">
              <w:rPr>
                <w:noProof/>
                <w:webHidden/>
              </w:rPr>
            </w:r>
            <w:r w:rsidR="001B2386">
              <w:rPr>
                <w:noProof/>
                <w:webHidden/>
              </w:rPr>
              <w:fldChar w:fldCharType="separate"/>
            </w:r>
            <w:r w:rsidR="001B2386">
              <w:rPr>
                <w:noProof/>
                <w:webHidden/>
              </w:rPr>
              <w:t>3</w:t>
            </w:r>
            <w:r w:rsidR="001B2386">
              <w:rPr>
                <w:noProof/>
                <w:webHidden/>
              </w:rPr>
              <w:fldChar w:fldCharType="end"/>
            </w:r>
          </w:hyperlink>
        </w:p>
        <w:p w14:paraId="25C08739" w14:textId="22442970" w:rsidR="001B2386" w:rsidRDefault="00D82AEA">
          <w:pPr>
            <w:pStyle w:val="TOC1"/>
            <w:rPr>
              <w:noProof/>
              <w:lang w:eastAsia="en-AU"/>
            </w:rPr>
          </w:pPr>
          <w:hyperlink w:anchor="_Toc89157931" w:history="1">
            <w:r w:rsidR="001B2386" w:rsidRPr="00D23D5C">
              <w:rPr>
                <w:rStyle w:val="Hyperlink"/>
                <w:noProof/>
              </w:rPr>
              <w:t>Key employment and training priorities</w:t>
            </w:r>
            <w:r w:rsidR="001B2386">
              <w:rPr>
                <w:noProof/>
                <w:webHidden/>
              </w:rPr>
              <w:tab/>
            </w:r>
            <w:r w:rsidR="001B2386">
              <w:rPr>
                <w:noProof/>
                <w:webHidden/>
              </w:rPr>
              <w:fldChar w:fldCharType="begin"/>
            </w:r>
            <w:r w:rsidR="001B2386">
              <w:rPr>
                <w:noProof/>
                <w:webHidden/>
              </w:rPr>
              <w:instrText xml:space="preserve"> PAGEREF _Toc89157931 \h </w:instrText>
            </w:r>
            <w:r w:rsidR="001B2386">
              <w:rPr>
                <w:noProof/>
                <w:webHidden/>
              </w:rPr>
            </w:r>
            <w:r w:rsidR="001B2386">
              <w:rPr>
                <w:noProof/>
                <w:webHidden/>
              </w:rPr>
              <w:fldChar w:fldCharType="separate"/>
            </w:r>
            <w:r w:rsidR="001B2386">
              <w:rPr>
                <w:noProof/>
                <w:webHidden/>
              </w:rPr>
              <w:t>3</w:t>
            </w:r>
            <w:r w:rsidR="001B2386">
              <w:rPr>
                <w:noProof/>
                <w:webHidden/>
              </w:rPr>
              <w:fldChar w:fldCharType="end"/>
            </w:r>
          </w:hyperlink>
        </w:p>
        <w:p w14:paraId="66105445" w14:textId="4EA31ACD" w:rsidR="001B2386" w:rsidRDefault="00D82AEA">
          <w:pPr>
            <w:pStyle w:val="TOC1"/>
            <w:rPr>
              <w:noProof/>
              <w:lang w:eastAsia="en-AU"/>
            </w:rPr>
          </w:pPr>
          <w:hyperlink w:anchor="_Toc89157932" w:history="1">
            <w:r w:rsidR="001B2386" w:rsidRPr="00D23D5C">
              <w:rPr>
                <w:rStyle w:val="Hyperlink"/>
                <w:noProof/>
              </w:rPr>
              <w:t>Employment Region overview</w:t>
            </w:r>
            <w:r w:rsidR="001B2386">
              <w:rPr>
                <w:noProof/>
                <w:webHidden/>
              </w:rPr>
              <w:tab/>
            </w:r>
            <w:r w:rsidR="001B2386">
              <w:rPr>
                <w:noProof/>
                <w:webHidden/>
              </w:rPr>
              <w:fldChar w:fldCharType="begin"/>
            </w:r>
            <w:r w:rsidR="001B2386">
              <w:rPr>
                <w:noProof/>
                <w:webHidden/>
              </w:rPr>
              <w:instrText xml:space="preserve"> PAGEREF _Toc89157932 \h </w:instrText>
            </w:r>
            <w:r w:rsidR="001B2386">
              <w:rPr>
                <w:noProof/>
                <w:webHidden/>
              </w:rPr>
            </w:r>
            <w:r w:rsidR="001B2386">
              <w:rPr>
                <w:noProof/>
                <w:webHidden/>
              </w:rPr>
              <w:fldChar w:fldCharType="separate"/>
            </w:r>
            <w:r w:rsidR="001B2386">
              <w:rPr>
                <w:noProof/>
                <w:webHidden/>
              </w:rPr>
              <w:t>4</w:t>
            </w:r>
            <w:r w:rsidR="001B2386">
              <w:rPr>
                <w:noProof/>
                <w:webHidden/>
              </w:rPr>
              <w:fldChar w:fldCharType="end"/>
            </w:r>
          </w:hyperlink>
        </w:p>
        <w:p w14:paraId="1B7DCE9C" w14:textId="4B954491" w:rsidR="001B2386" w:rsidRDefault="00D82AEA">
          <w:pPr>
            <w:pStyle w:val="TOC1"/>
            <w:rPr>
              <w:noProof/>
              <w:lang w:eastAsia="en-AU"/>
            </w:rPr>
          </w:pPr>
          <w:hyperlink w:anchor="_Toc89157933" w:history="1">
            <w:r w:rsidR="001B2386" w:rsidRPr="00D23D5C">
              <w:rPr>
                <w:rStyle w:val="Hyperlink"/>
                <w:noProof/>
              </w:rPr>
              <w:t>Goulburn Murray Employment Region Map</w:t>
            </w:r>
            <w:r w:rsidR="001B2386">
              <w:rPr>
                <w:noProof/>
                <w:webHidden/>
              </w:rPr>
              <w:tab/>
            </w:r>
            <w:r w:rsidR="001B2386">
              <w:rPr>
                <w:noProof/>
                <w:webHidden/>
              </w:rPr>
              <w:fldChar w:fldCharType="begin"/>
            </w:r>
            <w:r w:rsidR="001B2386">
              <w:rPr>
                <w:noProof/>
                <w:webHidden/>
              </w:rPr>
              <w:instrText xml:space="preserve"> PAGEREF _Toc89157933 \h </w:instrText>
            </w:r>
            <w:r w:rsidR="001B2386">
              <w:rPr>
                <w:noProof/>
                <w:webHidden/>
              </w:rPr>
            </w:r>
            <w:r w:rsidR="001B2386">
              <w:rPr>
                <w:noProof/>
                <w:webHidden/>
              </w:rPr>
              <w:fldChar w:fldCharType="separate"/>
            </w:r>
            <w:r w:rsidR="001B2386">
              <w:rPr>
                <w:noProof/>
                <w:webHidden/>
              </w:rPr>
              <w:t>6</w:t>
            </w:r>
            <w:r w:rsidR="001B2386">
              <w:rPr>
                <w:noProof/>
                <w:webHidden/>
              </w:rPr>
              <w:fldChar w:fldCharType="end"/>
            </w:r>
          </w:hyperlink>
        </w:p>
        <w:p w14:paraId="446BED98" w14:textId="74C83CC0" w:rsidR="001B2386" w:rsidRDefault="00D82AEA">
          <w:pPr>
            <w:pStyle w:val="TOC1"/>
            <w:rPr>
              <w:noProof/>
              <w:lang w:eastAsia="en-AU"/>
            </w:rPr>
          </w:pPr>
          <w:hyperlink w:anchor="_Toc89157934" w:history="1">
            <w:r w:rsidR="001B2386" w:rsidRPr="00D23D5C">
              <w:rPr>
                <w:rStyle w:val="Hyperlink"/>
                <w:noProof/>
              </w:rPr>
              <w:t>Key challenges in Goulburn Murray Employment Region</w:t>
            </w:r>
            <w:r w:rsidR="001B2386">
              <w:rPr>
                <w:noProof/>
                <w:webHidden/>
              </w:rPr>
              <w:tab/>
            </w:r>
            <w:r w:rsidR="001B2386">
              <w:rPr>
                <w:noProof/>
                <w:webHidden/>
              </w:rPr>
              <w:fldChar w:fldCharType="begin"/>
            </w:r>
            <w:r w:rsidR="001B2386">
              <w:rPr>
                <w:noProof/>
                <w:webHidden/>
              </w:rPr>
              <w:instrText xml:space="preserve"> PAGEREF _Toc89157934 \h </w:instrText>
            </w:r>
            <w:r w:rsidR="001B2386">
              <w:rPr>
                <w:noProof/>
                <w:webHidden/>
              </w:rPr>
            </w:r>
            <w:r w:rsidR="001B2386">
              <w:rPr>
                <w:noProof/>
                <w:webHidden/>
              </w:rPr>
              <w:fldChar w:fldCharType="separate"/>
            </w:r>
            <w:r w:rsidR="001B2386">
              <w:rPr>
                <w:noProof/>
                <w:webHidden/>
              </w:rPr>
              <w:t>7</w:t>
            </w:r>
            <w:r w:rsidR="001B2386">
              <w:rPr>
                <w:noProof/>
                <w:webHidden/>
              </w:rPr>
              <w:fldChar w:fldCharType="end"/>
            </w:r>
          </w:hyperlink>
        </w:p>
        <w:p w14:paraId="7B86BF86" w14:textId="7C082674" w:rsidR="001B2386" w:rsidRDefault="00D82AEA">
          <w:pPr>
            <w:pStyle w:val="TOC2"/>
            <w:rPr>
              <w:noProof/>
              <w:lang w:eastAsia="en-AU"/>
            </w:rPr>
          </w:pPr>
          <w:hyperlink w:anchor="_Toc89157935" w:history="1">
            <w:r w:rsidR="001B2386" w:rsidRPr="00D23D5C">
              <w:rPr>
                <w:rStyle w:val="Hyperlink"/>
                <w:noProof/>
                <w:lang w:val="en"/>
              </w:rPr>
              <w:t>Youth</w:t>
            </w:r>
            <w:r w:rsidR="001B2386">
              <w:rPr>
                <w:noProof/>
                <w:webHidden/>
              </w:rPr>
              <w:tab/>
            </w:r>
            <w:r w:rsidR="001B2386">
              <w:rPr>
                <w:noProof/>
                <w:webHidden/>
              </w:rPr>
              <w:fldChar w:fldCharType="begin"/>
            </w:r>
            <w:r w:rsidR="001B2386">
              <w:rPr>
                <w:noProof/>
                <w:webHidden/>
              </w:rPr>
              <w:instrText xml:space="preserve"> PAGEREF _Toc89157935 \h </w:instrText>
            </w:r>
            <w:r w:rsidR="001B2386">
              <w:rPr>
                <w:noProof/>
                <w:webHidden/>
              </w:rPr>
            </w:r>
            <w:r w:rsidR="001B2386">
              <w:rPr>
                <w:noProof/>
                <w:webHidden/>
              </w:rPr>
              <w:fldChar w:fldCharType="separate"/>
            </w:r>
            <w:r w:rsidR="001B2386">
              <w:rPr>
                <w:noProof/>
                <w:webHidden/>
              </w:rPr>
              <w:t>7</w:t>
            </w:r>
            <w:r w:rsidR="001B2386">
              <w:rPr>
                <w:noProof/>
                <w:webHidden/>
              </w:rPr>
              <w:fldChar w:fldCharType="end"/>
            </w:r>
          </w:hyperlink>
        </w:p>
        <w:p w14:paraId="7B6E79AD" w14:textId="32CCDBBA" w:rsidR="001B2386" w:rsidRDefault="00D82AEA">
          <w:pPr>
            <w:pStyle w:val="TOC2"/>
            <w:rPr>
              <w:noProof/>
              <w:lang w:eastAsia="en-AU"/>
            </w:rPr>
          </w:pPr>
          <w:hyperlink w:anchor="_Toc89157936" w:history="1">
            <w:r w:rsidR="001B2386" w:rsidRPr="00D23D5C">
              <w:rPr>
                <w:rStyle w:val="Hyperlink"/>
                <w:noProof/>
                <w:lang w:val="en"/>
              </w:rPr>
              <w:t>Mature Age</w:t>
            </w:r>
            <w:r w:rsidR="001B2386">
              <w:rPr>
                <w:noProof/>
                <w:webHidden/>
              </w:rPr>
              <w:tab/>
            </w:r>
            <w:r w:rsidR="001B2386">
              <w:rPr>
                <w:noProof/>
                <w:webHidden/>
              </w:rPr>
              <w:fldChar w:fldCharType="begin"/>
            </w:r>
            <w:r w:rsidR="001B2386">
              <w:rPr>
                <w:noProof/>
                <w:webHidden/>
              </w:rPr>
              <w:instrText xml:space="preserve"> PAGEREF _Toc89157936 \h </w:instrText>
            </w:r>
            <w:r w:rsidR="001B2386">
              <w:rPr>
                <w:noProof/>
                <w:webHidden/>
              </w:rPr>
            </w:r>
            <w:r w:rsidR="001B2386">
              <w:rPr>
                <w:noProof/>
                <w:webHidden/>
              </w:rPr>
              <w:fldChar w:fldCharType="separate"/>
            </w:r>
            <w:r w:rsidR="001B2386">
              <w:rPr>
                <w:noProof/>
                <w:webHidden/>
              </w:rPr>
              <w:t>7</w:t>
            </w:r>
            <w:r w:rsidR="001B2386">
              <w:rPr>
                <w:noProof/>
                <w:webHidden/>
              </w:rPr>
              <w:fldChar w:fldCharType="end"/>
            </w:r>
          </w:hyperlink>
        </w:p>
        <w:p w14:paraId="583EE7BE" w14:textId="20F625F7" w:rsidR="001B2386" w:rsidRDefault="00D82AEA">
          <w:pPr>
            <w:pStyle w:val="TOC2"/>
            <w:rPr>
              <w:noProof/>
              <w:lang w:eastAsia="en-AU"/>
            </w:rPr>
          </w:pPr>
          <w:hyperlink w:anchor="_Toc89157937" w:history="1">
            <w:r w:rsidR="001B2386" w:rsidRPr="00D23D5C">
              <w:rPr>
                <w:rStyle w:val="Hyperlink"/>
                <w:noProof/>
                <w:lang w:val="en"/>
              </w:rPr>
              <w:t>Culturally and Linguistically Diverse (CALD)</w:t>
            </w:r>
            <w:r w:rsidR="001B2386">
              <w:rPr>
                <w:noProof/>
                <w:webHidden/>
              </w:rPr>
              <w:tab/>
            </w:r>
            <w:r w:rsidR="001B2386">
              <w:rPr>
                <w:noProof/>
                <w:webHidden/>
              </w:rPr>
              <w:fldChar w:fldCharType="begin"/>
            </w:r>
            <w:r w:rsidR="001B2386">
              <w:rPr>
                <w:noProof/>
                <w:webHidden/>
              </w:rPr>
              <w:instrText xml:space="preserve"> PAGEREF _Toc89157937 \h </w:instrText>
            </w:r>
            <w:r w:rsidR="001B2386">
              <w:rPr>
                <w:noProof/>
                <w:webHidden/>
              </w:rPr>
            </w:r>
            <w:r w:rsidR="001B2386">
              <w:rPr>
                <w:noProof/>
                <w:webHidden/>
              </w:rPr>
              <w:fldChar w:fldCharType="separate"/>
            </w:r>
            <w:r w:rsidR="001B2386">
              <w:rPr>
                <w:noProof/>
                <w:webHidden/>
              </w:rPr>
              <w:t>8</w:t>
            </w:r>
            <w:r w:rsidR="001B2386">
              <w:rPr>
                <w:noProof/>
                <w:webHidden/>
              </w:rPr>
              <w:fldChar w:fldCharType="end"/>
            </w:r>
          </w:hyperlink>
        </w:p>
        <w:p w14:paraId="004D54A5" w14:textId="08B854D0" w:rsidR="001B2386" w:rsidRDefault="00D82AEA">
          <w:pPr>
            <w:pStyle w:val="TOC2"/>
            <w:rPr>
              <w:noProof/>
              <w:lang w:eastAsia="en-AU"/>
            </w:rPr>
          </w:pPr>
          <w:hyperlink w:anchor="_Toc89157938" w:history="1">
            <w:r w:rsidR="001B2386" w:rsidRPr="00D23D5C">
              <w:rPr>
                <w:rStyle w:val="Hyperlink"/>
                <w:noProof/>
                <w:lang w:val="en"/>
              </w:rPr>
              <w:t>Aboriginal and Torres Strait Islander people</w:t>
            </w:r>
            <w:r w:rsidR="001B2386">
              <w:rPr>
                <w:noProof/>
                <w:webHidden/>
              </w:rPr>
              <w:tab/>
            </w:r>
            <w:r w:rsidR="001B2386">
              <w:rPr>
                <w:noProof/>
                <w:webHidden/>
              </w:rPr>
              <w:fldChar w:fldCharType="begin"/>
            </w:r>
            <w:r w:rsidR="001B2386">
              <w:rPr>
                <w:noProof/>
                <w:webHidden/>
              </w:rPr>
              <w:instrText xml:space="preserve"> PAGEREF _Toc89157938 \h </w:instrText>
            </w:r>
            <w:r w:rsidR="001B2386">
              <w:rPr>
                <w:noProof/>
                <w:webHidden/>
              </w:rPr>
            </w:r>
            <w:r w:rsidR="001B2386">
              <w:rPr>
                <w:noProof/>
                <w:webHidden/>
              </w:rPr>
              <w:fldChar w:fldCharType="separate"/>
            </w:r>
            <w:r w:rsidR="001B2386">
              <w:rPr>
                <w:noProof/>
                <w:webHidden/>
              </w:rPr>
              <w:t>8</w:t>
            </w:r>
            <w:r w:rsidR="001B2386">
              <w:rPr>
                <w:noProof/>
                <w:webHidden/>
              </w:rPr>
              <w:fldChar w:fldCharType="end"/>
            </w:r>
          </w:hyperlink>
        </w:p>
        <w:p w14:paraId="31B4F1A5" w14:textId="27B184DE" w:rsidR="001B2386" w:rsidRDefault="00D82AEA">
          <w:pPr>
            <w:pStyle w:val="TOC1"/>
            <w:rPr>
              <w:noProof/>
              <w:lang w:eastAsia="en-AU"/>
            </w:rPr>
          </w:pPr>
          <w:hyperlink w:anchor="_Toc89157939" w:history="1">
            <w:r w:rsidR="001B2386" w:rsidRPr="00D23D5C">
              <w:rPr>
                <w:rStyle w:val="Hyperlink"/>
                <w:noProof/>
              </w:rPr>
              <w:t>Impacts of COVID-19</w:t>
            </w:r>
            <w:r w:rsidR="001B2386">
              <w:rPr>
                <w:noProof/>
                <w:webHidden/>
              </w:rPr>
              <w:tab/>
            </w:r>
            <w:r w:rsidR="001B2386">
              <w:rPr>
                <w:noProof/>
                <w:webHidden/>
              </w:rPr>
              <w:fldChar w:fldCharType="begin"/>
            </w:r>
            <w:r w:rsidR="001B2386">
              <w:rPr>
                <w:noProof/>
                <w:webHidden/>
              </w:rPr>
              <w:instrText xml:space="preserve"> PAGEREF _Toc89157939 \h </w:instrText>
            </w:r>
            <w:r w:rsidR="001B2386">
              <w:rPr>
                <w:noProof/>
                <w:webHidden/>
              </w:rPr>
            </w:r>
            <w:r w:rsidR="001B2386">
              <w:rPr>
                <w:noProof/>
                <w:webHidden/>
              </w:rPr>
              <w:fldChar w:fldCharType="separate"/>
            </w:r>
            <w:r w:rsidR="001B2386">
              <w:rPr>
                <w:noProof/>
                <w:webHidden/>
              </w:rPr>
              <w:t>8</w:t>
            </w:r>
            <w:r w:rsidR="001B2386">
              <w:rPr>
                <w:noProof/>
                <w:webHidden/>
              </w:rPr>
              <w:fldChar w:fldCharType="end"/>
            </w:r>
          </w:hyperlink>
        </w:p>
        <w:p w14:paraId="05A70729" w14:textId="3D1D88A0" w:rsidR="001B2386" w:rsidRDefault="00D82AEA">
          <w:pPr>
            <w:pStyle w:val="TOC1"/>
            <w:rPr>
              <w:noProof/>
              <w:lang w:eastAsia="en-AU"/>
            </w:rPr>
          </w:pPr>
          <w:hyperlink w:anchor="_Toc89157940" w:history="1">
            <w:r w:rsidR="001B2386" w:rsidRPr="00D23D5C">
              <w:rPr>
                <w:rStyle w:val="Hyperlink"/>
                <w:noProof/>
              </w:rPr>
              <w:t>Local stakeholders and opportunities</w:t>
            </w:r>
            <w:r w:rsidR="001B2386">
              <w:rPr>
                <w:noProof/>
                <w:webHidden/>
              </w:rPr>
              <w:tab/>
            </w:r>
            <w:r w:rsidR="001B2386">
              <w:rPr>
                <w:noProof/>
                <w:webHidden/>
              </w:rPr>
              <w:fldChar w:fldCharType="begin"/>
            </w:r>
            <w:r w:rsidR="001B2386">
              <w:rPr>
                <w:noProof/>
                <w:webHidden/>
              </w:rPr>
              <w:instrText xml:space="preserve"> PAGEREF _Toc89157940 \h </w:instrText>
            </w:r>
            <w:r w:rsidR="001B2386">
              <w:rPr>
                <w:noProof/>
                <w:webHidden/>
              </w:rPr>
            </w:r>
            <w:r w:rsidR="001B2386">
              <w:rPr>
                <w:noProof/>
                <w:webHidden/>
              </w:rPr>
              <w:fldChar w:fldCharType="separate"/>
            </w:r>
            <w:r w:rsidR="001B2386">
              <w:rPr>
                <w:noProof/>
                <w:webHidden/>
              </w:rPr>
              <w:t>9</w:t>
            </w:r>
            <w:r w:rsidR="001B2386">
              <w:rPr>
                <w:noProof/>
                <w:webHidden/>
              </w:rPr>
              <w:fldChar w:fldCharType="end"/>
            </w:r>
          </w:hyperlink>
        </w:p>
        <w:p w14:paraId="73CA64F1" w14:textId="7DA4BC48" w:rsidR="001B2386" w:rsidRDefault="00D82AEA">
          <w:pPr>
            <w:pStyle w:val="TOC1"/>
            <w:rPr>
              <w:noProof/>
              <w:lang w:eastAsia="en-AU"/>
            </w:rPr>
          </w:pPr>
          <w:hyperlink w:anchor="_Toc89157941" w:history="1">
            <w:r w:rsidR="001B2386" w:rsidRPr="00D23D5C">
              <w:rPr>
                <w:rStyle w:val="Hyperlink"/>
                <w:noProof/>
              </w:rPr>
              <w:t>Large Employers</w:t>
            </w:r>
            <w:r w:rsidR="001B2386">
              <w:rPr>
                <w:noProof/>
                <w:webHidden/>
              </w:rPr>
              <w:tab/>
            </w:r>
            <w:r w:rsidR="001B2386">
              <w:rPr>
                <w:noProof/>
                <w:webHidden/>
              </w:rPr>
              <w:fldChar w:fldCharType="begin"/>
            </w:r>
            <w:r w:rsidR="001B2386">
              <w:rPr>
                <w:noProof/>
                <w:webHidden/>
              </w:rPr>
              <w:instrText xml:space="preserve"> PAGEREF _Toc89157941 \h </w:instrText>
            </w:r>
            <w:r w:rsidR="001B2386">
              <w:rPr>
                <w:noProof/>
                <w:webHidden/>
              </w:rPr>
            </w:r>
            <w:r w:rsidR="001B2386">
              <w:rPr>
                <w:noProof/>
                <w:webHidden/>
              </w:rPr>
              <w:fldChar w:fldCharType="separate"/>
            </w:r>
            <w:r w:rsidR="001B2386">
              <w:rPr>
                <w:noProof/>
                <w:webHidden/>
              </w:rPr>
              <w:t>10</w:t>
            </w:r>
            <w:r w:rsidR="001B2386">
              <w:rPr>
                <w:noProof/>
                <w:webHidden/>
              </w:rPr>
              <w:fldChar w:fldCharType="end"/>
            </w:r>
          </w:hyperlink>
        </w:p>
        <w:p w14:paraId="368F6278" w14:textId="42254D16" w:rsidR="001B2386" w:rsidRDefault="00D82AEA">
          <w:pPr>
            <w:pStyle w:val="TOC1"/>
            <w:rPr>
              <w:noProof/>
              <w:lang w:eastAsia="en-AU"/>
            </w:rPr>
          </w:pPr>
          <w:hyperlink w:anchor="_Toc89157942" w:history="1">
            <w:r w:rsidR="001B2386" w:rsidRPr="00D23D5C">
              <w:rPr>
                <w:rStyle w:val="Hyperlink"/>
                <w:noProof/>
              </w:rPr>
              <w:t>Selected Major Projects/Initiatives</w:t>
            </w:r>
            <w:r w:rsidR="001B2386">
              <w:rPr>
                <w:noProof/>
                <w:webHidden/>
              </w:rPr>
              <w:tab/>
            </w:r>
            <w:r w:rsidR="001B2386">
              <w:rPr>
                <w:noProof/>
                <w:webHidden/>
              </w:rPr>
              <w:fldChar w:fldCharType="begin"/>
            </w:r>
            <w:r w:rsidR="001B2386">
              <w:rPr>
                <w:noProof/>
                <w:webHidden/>
              </w:rPr>
              <w:instrText xml:space="preserve"> PAGEREF _Toc89157942 \h </w:instrText>
            </w:r>
            <w:r w:rsidR="001B2386">
              <w:rPr>
                <w:noProof/>
                <w:webHidden/>
              </w:rPr>
            </w:r>
            <w:r w:rsidR="001B2386">
              <w:rPr>
                <w:noProof/>
                <w:webHidden/>
              </w:rPr>
              <w:fldChar w:fldCharType="separate"/>
            </w:r>
            <w:r w:rsidR="001B2386">
              <w:rPr>
                <w:noProof/>
                <w:webHidden/>
              </w:rPr>
              <w:t>10</w:t>
            </w:r>
            <w:r w:rsidR="001B2386">
              <w:rPr>
                <w:noProof/>
                <w:webHidden/>
              </w:rPr>
              <w:fldChar w:fldCharType="end"/>
            </w:r>
          </w:hyperlink>
        </w:p>
        <w:p w14:paraId="35C1653E" w14:textId="72F79806" w:rsidR="001B2386" w:rsidRDefault="00D82AEA">
          <w:pPr>
            <w:pStyle w:val="TOC2"/>
            <w:rPr>
              <w:noProof/>
              <w:lang w:eastAsia="en-AU"/>
            </w:rPr>
          </w:pPr>
          <w:hyperlink w:anchor="_Toc89157943" w:history="1">
            <w:r w:rsidR="001B2386" w:rsidRPr="00D23D5C">
              <w:rPr>
                <w:rStyle w:val="Hyperlink"/>
                <w:rFonts w:eastAsia="Times New Roman"/>
                <w:noProof/>
              </w:rPr>
              <w:t>Attachment A – Key employment and training priorities: strategies and stakeholders</w:t>
            </w:r>
            <w:r w:rsidR="001B2386">
              <w:rPr>
                <w:noProof/>
                <w:webHidden/>
              </w:rPr>
              <w:tab/>
            </w:r>
            <w:r w:rsidR="001B2386">
              <w:rPr>
                <w:noProof/>
                <w:webHidden/>
              </w:rPr>
              <w:fldChar w:fldCharType="begin"/>
            </w:r>
            <w:r w:rsidR="001B2386">
              <w:rPr>
                <w:noProof/>
                <w:webHidden/>
              </w:rPr>
              <w:instrText xml:space="preserve"> PAGEREF _Toc89157943 \h </w:instrText>
            </w:r>
            <w:r w:rsidR="001B2386">
              <w:rPr>
                <w:noProof/>
                <w:webHidden/>
              </w:rPr>
            </w:r>
            <w:r w:rsidR="001B2386">
              <w:rPr>
                <w:noProof/>
                <w:webHidden/>
              </w:rPr>
              <w:fldChar w:fldCharType="separate"/>
            </w:r>
            <w:r w:rsidR="001B2386">
              <w:rPr>
                <w:noProof/>
                <w:webHidden/>
              </w:rPr>
              <w:t>12</w:t>
            </w:r>
            <w:r w:rsidR="001B2386">
              <w:rPr>
                <w:noProof/>
                <w:webHidden/>
              </w:rPr>
              <w:fldChar w:fldCharType="end"/>
            </w:r>
          </w:hyperlink>
        </w:p>
        <w:p w14:paraId="5755D895" w14:textId="7C85D34E" w:rsidR="001B2386" w:rsidRDefault="00D82AEA">
          <w:pPr>
            <w:pStyle w:val="TOC2"/>
            <w:rPr>
              <w:noProof/>
              <w:lang w:eastAsia="en-AU"/>
            </w:rPr>
          </w:pPr>
          <w:hyperlink w:anchor="_Toc89157944" w:history="1">
            <w:r w:rsidR="001B2386" w:rsidRPr="00D23D5C">
              <w:rPr>
                <w:rStyle w:val="Hyperlink"/>
                <w:rFonts w:eastAsia="Times New Roman"/>
                <w:noProof/>
              </w:rPr>
              <w:t>Attachment B – Labour Market Data Dashboard (October 2021)</w:t>
            </w:r>
            <w:r w:rsidR="001B2386">
              <w:rPr>
                <w:noProof/>
                <w:webHidden/>
              </w:rPr>
              <w:tab/>
            </w:r>
            <w:r w:rsidR="001B2386">
              <w:rPr>
                <w:noProof/>
                <w:webHidden/>
              </w:rPr>
              <w:fldChar w:fldCharType="begin"/>
            </w:r>
            <w:r w:rsidR="001B2386">
              <w:rPr>
                <w:noProof/>
                <w:webHidden/>
              </w:rPr>
              <w:instrText xml:space="preserve"> PAGEREF _Toc89157944 \h </w:instrText>
            </w:r>
            <w:r w:rsidR="001B2386">
              <w:rPr>
                <w:noProof/>
                <w:webHidden/>
              </w:rPr>
            </w:r>
            <w:r w:rsidR="001B2386">
              <w:rPr>
                <w:noProof/>
                <w:webHidden/>
              </w:rPr>
              <w:fldChar w:fldCharType="separate"/>
            </w:r>
            <w:r w:rsidR="001B2386">
              <w:rPr>
                <w:noProof/>
                <w:webHidden/>
              </w:rPr>
              <w:t>14</w:t>
            </w:r>
            <w:r w:rsidR="001B2386">
              <w:rPr>
                <w:noProof/>
                <w:webHidden/>
              </w:rPr>
              <w:fldChar w:fldCharType="end"/>
            </w:r>
          </w:hyperlink>
        </w:p>
        <w:p w14:paraId="6A73EED9" w14:textId="1362BCE6" w:rsidR="006D4042" w:rsidRPr="007D1210" w:rsidRDefault="006D4042" w:rsidP="008624D8">
          <w:pPr>
            <w:pStyle w:val="TOC2"/>
            <w:rPr>
              <w:noProof/>
              <w:lang w:eastAsia="en-AU"/>
            </w:rPr>
          </w:pPr>
          <w:r w:rsidRPr="008E46AA">
            <w:fldChar w:fldCharType="end"/>
          </w:r>
        </w:p>
      </w:sdtContent>
    </w:sdt>
    <w:p w14:paraId="7C6E4EA6" w14:textId="0FFE4AA2" w:rsidR="00BC25FD" w:rsidRDefault="00BC25FD">
      <w:r>
        <w:br w:type="page"/>
      </w:r>
    </w:p>
    <w:p w14:paraId="51A3FC1A" w14:textId="1DCCAC1D" w:rsidR="006D4042" w:rsidRPr="007D1210" w:rsidRDefault="00C15FCF" w:rsidP="00EE54E7">
      <w:pPr>
        <w:spacing w:after="360" w:line="240" w:lineRule="auto"/>
        <w:jc w:val="center"/>
      </w:pPr>
      <w:r w:rsidRPr="00581BC4">
        <w:rPr>
          <w:color w:val="002060"/>
        </w:rPr>
        <w:lastRenderedPageBreak/>
        <w:t xml:space="preserve">The Department of Education, Skills and Employment acknowledges the traditional owners and custodians of country throughout Australia and acknowledges their continuing connection to land, </w:t>
      </w:r>
      <w:r w:rsidR="00265557" w:rsidRPr="00581BC4">
        <w:rPr>
          <w:color w:val="002060"/>
        </w:rPr>
        <w:t>water,</w:t>
      </w:r>
      <w:r w:rsidRPr="00581BC4">
        <w:rPr>
          <w:color w:val="002060"/>
        </w:rPr>
        <w:t xml:space="preserve"> and community. We pay our respects to the people, the </w:t>
      </w:r>
      <w:r w:rsidR="006C40BF" w:rsidRPr="00581BC4">
        <w:rPr>
          <w:color w:val="002060"/>
        </w:rPr>
        <w:t>cultures,</w:t>
      </w:r>
      <w:r w:rsidRPr="00581BC4">
        <w:rPr>
          <w:color w:val="002060"/>
        </w:rPr>
        <w:t xml:space="preserve"> and the elders past, present and emerging</w:t>
      </w:r>
      <w:r w:rsidR="006C40BF" w:rsidRPr="00581BC4">
        <w:rPr>
          <w:color w:val="002060"/>
        </w:rPr>
        <w:t xml:space="preserve">. </w:t>
      </w:r>
    </w:p>
    <w:p w14:paraId="0F9D570F" w14:textId="779071F1" w:rsidR="009E6C1D" w:rsidRPr="008E46AA" w:rsidRDefault="009E6C1D" w:rsidP="00597283">
      <w:pPr>
        <w:pStyle w:val="Heading1"/>
        <w:rPr>
          <w:sz w:val="40"/>
          <w:szCs w:val="40"/>
        </w:rPr>
      </w:pPr>
      <w:bookmarkStart w:id="1" w:name="_Toc89157930"/>
      <w:r w:rsidRPr="008E46AA">
        <w:rPr>
          <w:sz w:val="40"/>
          <w:szCs w:val="40"/>
        </w:rPr>
        <w:t>The Local Jobs Program</w:t>
      </w:r>
      <w:bookmarkEnd w:id="1"/>
      <w:r w:rsidRPr="008E46AA">
        <w:rPr>
          <w:sz w:val="40"/>
          <w:szCs w:val="40"/>
        </w:rPr>
        <w:t xml:space="preserve">  </w:t>
      </w:r>
    </w:p>
    <w:p w14:paraId="4BED3EC8" w14:textId="6A8A57BD" w:rsidR="00B7683D" w:rsidRPr="007D1210" w:rsidRDefault="00B7683D" w:rsidP="00B7683D">
      <w:pPr>
        <w:spacing w:before="120" w:after="120" w:line="256" w:lineRule="auto"/>
        <w:rPr>
          <w:rFonts w:ascii="Calibri" w:eastAsia="Calibri" w:hAnsi="Calibri" w:cs="Calibri"/>
          <w:lang w:val="en-US"/>
        </w:rPr>
      </w:pPr>
      <w:bookmarkStart w:id="2" w:name="_Toc24447236"/>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 xml:space="preserve">Government’s Local Jobs Program (LJP) brings together expertise, </w:t>
      </w:r>
      <w:r w:rsidR="006C40BF" w:rsidRPr="007D1210">
        <w:rPr>
          <w:rFonts w:ascii="Calibri" w:eastAsia="Calibri" w:hAnsi="Calibri" w:cs="Calibri"/>
          <w:lang w:val="en-US"/>
        </w:rPr>
        <w:t>resources,</w:t>
      </w:r>
      <w:r w:rsidRPr="007D1210">
        <w:rPr>
          <w:rFonts w:ascii="Calibri" w:eastAsia="Calibri" w:hAnsi="Calibri" w:cs="Calibri"/>
          <w:lang w:val="en-US"/>
        </w:rPr>
        <w:t xml:space="preserve"> and access to funding at the local level to </w:t>
      </w:r>
      <w:r w:rsidR="007D1210">
        <w:rPr>
          <w:rFonts w:ascii="Calibri" w:eastAsia="Calibri" w:hAnsi="Calibri" w:cs="Calibri"/>
          <w:lang w:val="en-US"/>
        </w:rPr>
        <w:t>accelerate</w:t>
      </w:r>
      <w:r w:rsidR="007D1210" w:rsidRPr="007D1210">
        <w:rPr>
          <w:rFonts w:ascii="Calibri" w:eastAsia="Calibri" w:hAnsi="Calibri" w:cs="Calibri"/>
          <w:lang w:val="en-US"/>
        </w:rPr>
        <w:t xml:space="preserve"> </w:t>
      </w:r>
      <w:r w:rsidRPr="007D1210">
        <w:rPr>
          <w:rFonts w:ascii="Calibri" w:eastAsia="Calibri" w:hAnsi="Calibri" w:cs="Calibri"/>
          <w:lang w:val="en-US"/>
        </w:rPr>
        <w:t>reskilling, upskilling and employment pathways in 51 Employment Regions.</w:t>
      </w:r>
    </w:p>
    <w:p w14:paraId="47C40EB9" w14:textId="770508B6" w:rsidR="00AC35BB" w:rsidRPr="007D1210" w:rsidRDefault="00AC35BB" w:rsidP="00AC35BB">
      <w:pPr>
        <w:spacing w:after="120"/>
        <w:rPr>
          <w:rFonts w:ascii="Calibri" w:hAnsi="Calibri" w:cs="Calibri"/>
        </w:rPr>
      </w:pPr>
      <w:r w:rsidRPr="007D1210">
        <w:rPr>
          <w:rFonts w:ascii="Calibri" w:hAnsi="Calibri" w:cs="Calibri"/>
        </w:rPr>
        <w:t xml:space="preserve">Recognising the importance of local knowledge in getting people back into jobs quickly, the </w:t>
      </w:r>
      <w:r w:rsidR="008A02FE" w:rsidRPr="007D1210">
        <w:rPr>
          <w:rFonts w:ascii="Calibri" w:hAnsi="Calibri" w:cs="Calibri"/>
        </w:rPr>
        <w:t>LJP</w:t>
      </w:r>
      <w:r w:rsidRPr="007D1210">
        <w:rPr>
          <w:rFonts w:ascii="Calibri" w:hAnsi="Calibri" w:cs="Calibri"/>
        </w:rPr>
        <w:t xml:space="preserve"> includes the following key elements in each region:</w:t>
      </w:r>
    </w:p>
    <w:p w14:paraId="4775B70F" w14:textId="77777777" w:rsidR="00AC35BB" w:rsidRPr="007D1210" w:rsidRDefault="00AC35BB" w:rsidP="00AC35BB">
      <w:pPr>
        <w:pStyle w:val="ListParagraph"/>
        <w:numPr>
          <w:ilvl w:val="0"/>
          <w:numId w:val="33"/>
        </w:numPr>
        <w:spacing w:after="0"/>
        <w:rPr>
          <w:rFonts w:eastAsiaTheme="minorHAnsi"/>
        </w:rPr>
      </w:pPr>
      <w:r w:rsidRPr="007D1210">
        <w:t xml:space="preserve">a local </w:t>
      </w:r>
      <w:r w:rsidRPr="007D1210">
        <w:rPr>
          <w:rFonts w:eastAsiaTheme="minorHAnsi"/>
        </w:rPr>
        <w:t>Employment Facilitator</w:t>
      </w:r>
    </w:p>
    <w:p w14:paraId="09FC8ADA" w14:textId="77777777" w:rsidR="00AC35BB" w:rsidRPr="007D1210" w:rsidRDefault="00AC35BB" w:rsidP="00AC35BB">
      <w:pPr>
        <w:pStyle w:val="ListParagraph"/>
        <w:numPr>
          <w:ilvl w:val="0"/>
          <w:numId w:val="33"/>
        </w:numPr>
        <w:spacing w:after="0"/>
        <w:rPr>
          <w:rFonts w:eastAsiaTheme="minorHAnsi"/>
        </w:rPr>
      </w:pPr>
      <w:r w:rsidRPr="007D1210">
        <w:t xml:space="preserve">a </w:t>
      </w:r>
      <w:r w:rsidRPr="007D1210">
        <w:rPr>
          <w:rFonts w:eastAsiaTheme="minorHAnsi"/>
        </w:rPr>
        <w:t xml:space="preserve">Local Jobs and Skills Taskforce </w:t>
      </w:r>
    </w:p>
    <w:p w14:paraId="38677CDA" w14:textId="77777777" w:rsidR="00AC35BB" w:rsidRPr="007D1210" w:rsidRDefault="00AC35BB" w:rsidP="00AC35BB">
      <w:pPr>
        <w:pStyle w:val="ListParagraph"/>
        <w:numPr>
          <w:ilvl w:val="0"/>
          <w:numId w:val="33"/>
        </w:numPr>
        <w:spacing w:after="0"/>
        <w:rPr>
          <w:rFonts w:eastAsiaTheme="minorHAnsi"/>
        </w:rPr>
      </w:pPr>
      <w:r w:rsidRPr="007D1210">
        <w:t xml:space="preserve">a </w:t>
      </w:r>
      <w:r w:rsidRPr="007D1210">
        <w:rPr>
          <w:rFonts w:eastAsiaTheme="minorHAnsi"/>
        </w:rPr>
        <w:t>Local Jobs Plan</w:t>
      </w:r>
    </w:p>
    <w:p w14:paraId="752D7EC0" w14:textId="16360350" w:rsidR="00AC35BB" w:rsidRPr="007D1210" w:rsidRDefault="00AC35BB" w:rsidP="00AC35BB">
      <w:pPr>
        <w:pStyle w:val="ListParagraph"/>
        <w:numPr>
          <w:ilvl w:val="0"/>
          <w:numId w:val="33"/>
        </w:numPr>
        <w:spacing w:after="0"/>
        <w:rPr>
          <w:rFonts w:eastAsiaTheme="minorHAnsi"/>
        </w:rPr>
      </w:pPr>
      <w:r w:rsidRPr="007D1210">
        <w:rPr>
          <w:rFonts w:eastAsiaTheme="minorHAnsi"/>
        </w:rPr>
        <w:t xml:space="preserve">a Local Recovery Fund to support small scale activities </w:t>
      </w:r>
    </w:p>
    <w:p w14:paraId="6D64777F" w14:textId="3CC5A339" w:rsidR="00AC35BB" w:rsidRPr="007D1210" w:rsidRDefault="00AC35BB" w:rsidP="00AC35BB">
      <w:pPr>
        <w:pStyle w:val="ListParagraph"/>
        <w:numPr>
          <w:ilvl w:val="0"/>
          <w:numId w:val="33"/>
        </w:numPr>
        <w:spacing w:after="120"/>
        <w:rPr>
          <w:rFonts w:eastAsiaTheme="minorHAnsi"/>
        </w:rPr>
      </w:pPr>
      <w:r w:rsidRPr="007D1210">
        <w:rPr>
          <w:rFonts w:eastAsiaTheme="minorHAnsi"/>
        </w:rPr>
        <w:t>access to the National Priority Funding Pool.</w:t>
      </w:r>
    </w:p>
    <w:p w14:paraId="05138645" w14:textId="6E3424A3" w:rsidR="00AC35BB" w:rsidRPr="007D1210" w:rsidRDefault="00AC35BB" w:rsidP="00711398">
      <w:pPr>
        <w:spacing w:after="120"/>
      </w:pPr>
      <w:r w:rsidRPr="007D1210">
        <w:t xml:space="preserve">The </w:t>
      </w:r>
      <w:r w:rsidR="00ED605F" w:rsidRPr="007D1210">
        <w:t>T</w:t>
      </w:r>
      <w:r w:rsidRPr="007D1210">
        <w:t xml:space="preserve">askforces, </w:t>
      </w:r>
      <w:r w:rsidR="00AC6CEE" w:rsidRPr="007D1210">
        <w:t xml:space="preserve">each </w:t>
      </w:r>
      <w:r w:rsidRPr="007D1210">
        <w:t xml:space="preserve">chaired by </w:t>
      </w:r>
      <w:r w:rsidR="00AC6CEE" w:rsidRPr="007D1210">
        <w:t>the</w:t>
      </w:r>
      <w:r w:rsidR="00313873" w:rsidRPr="007D1210">
        <w:t xml:space="preserve"> respective</w:t>
      </w:r>
      <w:r w:rsidRPr="007D1210">
        <w:t xml:space="preserve"> region’s Employment Facilitator, </w:t>
      </w:r>
      <w:r w:rsidR="006C40BF" w:rsidRPr="007D1210">
        <w:t>develop,</w:t>
      </w:r>
      <w:r w:rsidRPr="007D1210">
        <w:t xml:space="preserve"> and update a Local Jobs Plan for their region that identifies key employment and training priorities and provides a framework for driving employment outcomes in the context of the local labour market.</w:t>
      </w:r>
    </w:p>
    <w:p w14:paraId="62204F5A" w14:textId="4DCC8037" w:rsidR="00711398" w:rsidRPr="007D1210" w:rsidRDefault="00711398" w:rsidP="00E8481D">
      <w:pPr>
        <w:spacing w:after="240"/>
        <w:rPr>
          <w:rFonts w:eastAsiaTheme="minorHAnsi"/>
        </w:rPr>
      </w:pPr>
      <w:r w:rsidRPr="007D1210">
        <w:rPr>
          <w:rFonts w:eastAsiaTheme="minorHAnsi"/>
        </w:rPr>
        <w:t xml:space="preserve">This Local Jobs Plan for the </w:t>
      </w:r>
      <w:r w:rsidR="00FA3CBD">
        <w:rPr>
          <w:rFonts w:eastAsiaTheme="minorHAnsi"/>
          <w:sz w:val="24"/>
          <w:szCs w:val="24"/>
        </w:rPr>
        <w:t>Goulburn Murray</w:t>
      </w:r>
      <w:r w:rsidRPr="007D1210">
        <w:rPr>
          <w:rFonts w:eastAsiaTheme="minorHAnsi"/>
        </w:rPr>
        <w:t xml:space="preserve"> Employment Region identifies the key LJP priorities with a focus on creating employment opportunities</w:t>
      </w:r>
      <w:r w:rsidR="00E8481D" w:rsidRPr="007D1210">
        <w:rPr>
          <w:rFonts w:eastAsiaTheme="minorHAnsi"/>
        </w:rPr>
        <w:t xml:space="preserve">, </w:t>
      </w:r>
      <w:r w:rsidRPr="007D1210">
        <w:rPr>
          <w:rFonts w:eastAsiaTheme="minorHAnsi"/>
        </w:rPr>
        <w:t xml:space="preserve">actively </w:t>
      </w:r>
      <w:r w:rsidR="006C40BF" w:rsidRPr="007D1210">
        <w:rPr>
          <w:rFonts w:eastAsiaTheme="minorHAnsi"/>
        </w:rPr>
        <w:t>upskilling,</w:t>
      </w:r>
      <w:r w:rsidRPr="007D1210">
        <w:rPr>
          <w:rFonts w:eastAsiaTheme="minorHAnsi"/>
        </w:rPr>
        <w:t xml:space="preserve"> or reskilling local job </w:t>
      </w:r>
      <w:r w:rsidR="004D5E43" w:rsidRPr="007D1210">
        <w:rPr>
          <w:rFonts w:eastAsiaTheme="minorHAnsi"/>
        </w:rPr>
        <w:t xml:space="preserve">seekers </w:t>
      </w:r>
      <w:r w:rsidR="00E8481D" w:rsidRPr="007D1210">
        <w:rPr>
          <w:rFonts w:eastAsiaTheme="minorHAnsi"/>
        </w:rPr>
        <w:t>and meeting</w:t>
      </w:r>
      <w:r w:rsidRPr="007D1210">
        <w:rPr>
          <w:rFonts w:eastAsiaTheme="minorHAnsi"/>
        </w:rPr>
        <w:t xml:space="preserve"> local employer demands</w:t>
      </w:r>
      <w:r w:rsidR="006C40BF" w:rsidRPr="007D1210">
        <w:rPr>
          <w:rFonts w:eastAsiaTheme="minorHAnsi"/>
        </w:rPr>
        <w:t xml:space="preserve">. </w:t>
      </w:r>
    </w:p>
    <w:p w14:paraId="59EF42B5" w14:textId="2AA98A07" w:rsidR="00E8481D" w:rsidRPr="008E46AA" w:rsidRDefault="00E8481D" w:rsidP="00E8481D">
      <w:pPr>
        <w:pStyle w:val="Heading1"/>
        <w:rPr>
          <w:sz w:val="40"/>
          <w:szCs w:val="40"/>
        </w:rPr>
      </w:pPr>
      <w:bookmarkStart w:id="3" w:name="_Toc89157931"/>
      <w:r w:rsidRPr="008E46AA">
        <w:rPr>
          <w:sz w:val="40"/>
          <w:szCs w:val="40"/>
        </w:rPr>
        <w:t xml:space="preserve">Key </w:t>
      </w:r>
      <w:r w:rsidR="007D1210" w:rsidRPr="008E46AA">
        <w:rPr>
          <w:sz w:val="40"/>
          <w:szCs w:val="40"/>
        </w:rPr>
        <w:t>e</w:t>
      </w:r>
      <w:r w:rsidRPr="008E46AA">
        <w:rPr>
          <w:sz w:val="40"/>
          <w:szCs w:val="40"/>
        </w:rPr>
        <w:t xml:space="preserve">mployment and </w:t>
      </w:r>
      <w:r w:rsidR="007D1210" w:rsidRPr="008E46AA">
        <w:rPr>
          <w:sz w:val="40"/>
          <w:szCs w:val="40"/>
        </w:rPr>
        <w:t>t</w:t>
      </w:r>
      <w:r w:rsidRPr="008E46AA">
        <w:rPr>
          <w:sz w:val="40"/>
          <w:szCs w:val="40"/>
        </w:rPr>
        <w:t xml:space="preserve">raining </w:t>
      </w:r>
      <w:r w:rsidR="007D1210" w:rsidRPr="008E46AA">
        <w:rPr>
          <w:sz w:val="40"/>
          <w:szCs w:val="40"/>
        </w:rPr>
        <w:t>p</w:t>
      </w:r>
      <w:r w:rsidRPr="008E46AA">
        <w:rPr>
          <w:sz w:val="40"/>
          <w:szCs w:val="40"/>
        </w:rPr>
        <w:t>riorities</w:t>
      </w:r>
      <w:bookmarkEnd w:id="3"/>
    </w:p>
    <w:p w14:paraId="0A866F2E" w14:textId="6EDD4981" w:rsidR="00263A0B" w:rsidRPr="00263A0B" w:rsidRDefault="00263A0B" w:rsidP="008E46AA">
      <w:pPr>
        <w:spacing w:after="120"/>
        <w:ind w:left="720" w:hanging="720"/>
      </w:pPr>
      <w:r w:rsidRPr="00263A0B">
        <w:t>1.</w:t>
      </w:r>
      <w:r w:rsidRPr="00263A0B">
        <w:tab/>
      </w:r>
      <w:bookmarkStart w:id="4" w:name="_Hlk87518662"/>
      <w:r w:rsidR="0062528A">
        <w:t>Utilise</w:t>
      </w:r>
      <w:r w:rsidRPr="00263A0B">
        <w:t xml:space="preserve"> existing Australian, State, and local government programs, to create pathways into employment in growth industries, particularly Agriculture, Viticulture, Health Care and Social Assistance, Hospitality, Tourism,</w:t>
      </w:r>
      <w:r w:rsidR="00B51394">
        <w:t xml:space="preserve"> </w:t>
      </w:r>
      <w:r w:rsidR="00AB5C75">
        <w:t xml:space="preserve">Education and </w:t>
      </w:r>
      <w:r w:rsidRPr="00263A0B">
        <w:t>Construction sectors</w:t>
      </w:r>
      <w:r w:rsidR="006C40BF" w:rsidRPr="00263A0B">
        <w:t xml:space="preserve">. </w:t>
      </w:r>
    </w:p>
    <w:p w14:paraId="2F9872B9" w14:textId="5EF7A52D" w:rsidR="00263A0B" w:rsidRPr="00263A0B" w:rsidRDefault="00263A0B" w:rsidP="008E46AA">
      <w:pPr>
        <w:spacing w:after="120"/>
        <w:ind w:left="720" w:hanging="720"/>
      </w:pPr>
      <w:r w:rsidRPr="00263A0B">
        <w:t>2.</w:t>
      </w:r>
      <w:r w:rsidRPr="00263A0B">
        <w:tab/>
        <w:t xml:space="preserve">Broker opportunities for youth skill development and employment, including apprenticeships, traineeships, micro-credentialling, work experience and work placements for entry into a range of sectors such as Hospitality, Tourism, Retail and Manufacturing. </w:t>
      </w:r>
    </w:p>
    <w:p w14:paraId="72E79BAA" w14:textId="7D1A3B0B" w:rsidR="00263A0B" w:rsidRPr="00263A0B" w:rsidRDefault="00263A0B" w:rsidP="008E46AA">
      <w:pPr>
        <w:spacing w:after="120"/>
        <w:ind w:left="720" w:hanging="720"/>
      </w:pPr>
      <w:r w:rsidRPr="00263A0B">
        <w:t>3.</w:t>
      </w:r>
      <w:r w:rsidRPr="00263A0B">
        <w:tab/>
        <w:t xml:space="preserve">Maximize the extent to which local positions are filled by local job seekers, to re-invigorate the local economy and industry. </w:t>
      </w:r>
    </w:p>
    <w:p w14:paraId="06BD0A76" w14:textId="5AA4C0DE" w:rsidR="00263A0B" w:rsidRPr="00AA4969" w:rsidRDefault="00263A0B" w:rsidP="008E46AA">
      <w:pPr>
        <w:spacing w:after="120"/>
        <w:ind w:left="720" w:hanging="720"/>
      </w:pPr>
      <w:r w:rsidRPr="00263A0B">
        <w:t>4.</w:t>
      </w:r>
      <w:r w:rsidRPr="00263A0B">
        <w:tab/>
        <w:t xml:space="preserve">Boost employment and training opportunities for Aboriginal and Torres Strait Islander </w:t>
      </w:r>
      <w:r w:rsidRPr="00AA4969">
        <w:t xml:space="preserve">jobseekers in collaboration with local Indigenous organisations. </w:t>
      </w:r>
    </w:p>
    <w:p w14:paraId="4A8C7DF9" w14:textId="7D87DD6F" w:rsidR="00263A0B" w:rsidRPr="00AA4969" w:rsidRDefault="00263A0B" w:rsidP="00263A0B">
      <w:pPr>
        <w:spacing w:after="120"/>
      </w:pPr>
      <w:r w:rsidRPr="00AA4969">
        <w:t>5.</w:t>
      </w:r>
      <w:r w:rsidRPr="00AA4969">
        <w:tab/>
        <w:t>Work with Industry to develop strategies that address seasonal worker shortages.</w:t>
      </w:r>
    </w:p>
    <w:p w14:paraId="740A666C" w14:textId="13EF6B3B" w:rsidR="00263A0B" w:rsidRPr="00AA4969" w:rsidRDefault="00263A0B" w:rsidP="008E46AA">
      <w:pPr>
        <w:spacing w:after="120"/>
        <w:ind w:left="720" w:hanging="720"/>
      </w:pPr>
      <w:r w:rsidRPr="00AA4969">
        <w:t>6.</w:t>
      </w:r>
      <w:r w:rsidRPr="00AA4969">
        <w:tab/>
      </w:r>
      <w:r w:rsidR="00931BEC" w:rsidRPr="00AA4969">
        <w:t>Identify</w:t>
      </w:r>
      <w:r w:rsidR="00A111DB" w:rsidRPr="00AA4969">
        <w:t xml:space="preserve"> </w:t>
      </w:r>
      <w:r w:rsidR="00931BEC" w:rsidRPr="00AA4969">
        <w:t>pathways for</w:t>
      </w:r>
      <w:r w:rsidRPr="00AA4969">
        <w:t xml:space="preserve"> local job seekers </w:t>
      </w:r>
      <w:r w:rsidR="00931BEC" w:rsidRPr="00AA4969">
        <w:t>to be upskille</w:t>
      </w:r>
      <w:r w:rsidR="0067044A" w:rsidRPr="00AA4969">
        <w:t>d to meet</w:t>
      </w:r>
      <w:r w:rsidRPr="00AA4969">
        <w:t xml:space="preserve"> needs of major projects, including infrastructure works planned throughout the region.</w:t>
      </w:r>
    </w:p>
    <w:p w14:paraId="70837B81" w14:textId="45E28C6F" w:rsidR="00263A0B" w:rsidRDefault="00263A0B" w:rsidP="008E46AA">
      <w:pPr>
        <w:spacing w:after="120"/>
        <w:ind w:left="720" w:hanging="720"/>
        <w:rPr>
          <w:i/>
          <w:iCs/>
        </w:rPr>
      </w:pPr>
      <w:r w:rsidRPr="00AA4969">
        <w:t>7.</w:t>
      </w:r>
      <w:r w:rsidRPr="00AA4969">
        <w:tab/>
      </w:r>
      <w:r w:rsidR="00ED1D5F" w:rsidRPr="00AA4969">
        <w:t>Support</w:t>
      </w:r>
      <w:r w:rsidRPr="00AA4969">
        <w:t xml:space="preserve"> job seekers, in particular people with disability, culturally and linguistically diverse cohorts, mature age and youth</w:t>
      </w:r>
      <w:r w:rsidR="00215938" w:rsidRPr="00AA4969">
        <w:t>,</w:t>
      </w:r>
      <w:r w:rsidRPr="00AA4969">
        <w:t xml:space="preserve"> </w:t>
      </w:r>
      <w:r w:rsidR="009A3EA3" w:rsidRPr="00AA4969">
        <w:t>which</w:t>
      </w:r>
      <w:r w:rsidRPr="00AA4969">
        <w:t xml:space="preserve"> align with local labour market needs.</w:t>
      </w:r>
    </w:p>
    <w:p w14:paraId="250EBCED" w14:textId="57399D3A" w:rsidR="00E7363F" w:rsidRPr="008E46AA" w:rsidRDefault="00E7363F" w:rsidP="00E7363F">
      <w:pPr>
        <w:pStyle w:val="Heading1"/>
        <w:rPr>
          <w:sz w:val="40"/>
          <w:szCs w:val="40"/>
        </w:rPr>
      </w:pPr>
      <w:bookmarkStart w:id="5" w:name="_Toc89157932"/>
      <w:bookmarkEnd w:id="4"/>
      <w:r w:rsidRPr="008E46AA">
        <w:rPr>
          <w:sz w:val="40"/>
          <w:szCs w:val="40"/>
        </w:rPr>
        <w:lastRenderedPageBreak/>
        <w:t xml:space="preserve">Employment Region </w:t>
      </w:r>
      <w:r w:rsidR="007D1210" w:rsidRPr="008E46AA">
        <w:rPr>
          <w:sz w:val="40"/>
          <w:szCs w:val="40"/>
        </w:rPr>
        <w:t>o</w:t>
      </w:r>
      <w:r w:rsidRPr="008E46AA">
        <w:rPr>
          <w:sz w:val="40"/>
          <w:szCs w:val="40"/>
        </w:rPr>
        <w:t>verview</w:t>
      </w:r>
      <w:bookmarkEnd w:id="5"/>
    </w:p>
    <w:p w14:paraId="73B38987" w14:textId="4502B0F1" w:rsidR="00B234EC" w:rsidRDefault="00B234EC" w:rsidP="00B234EC">
      <w:pPr>
        <w:keepNext/>
        <w:spacing w:before="120"/>
      </w:pPr>
      <w:r w:rsidRPr="00FC1B3F">
        <w:rPr>
          <w:rFonts w:ascii="Calibri" w:eastAsia="Calibri" w:hAnsi="Calibri" w:cs="Times New Roman"/>
        </w:rPr>
        <w:t xml:space="preserve">The </w:t>
      </w:r>
      <w:r>
        <w:rPr>
          <w:rFonts w:ascii="Calibri" w:eastAsia="Calibri" w:hAnsi="Calibri" w:cs="Times New Roman"/>
        </w:rPr>
        <w:t>Goulburn Murray</w:t>
      </w:r>
      <w:r w:rsidRPr="00FC1B3F">
        <w:rPr>
          <w:rFonts w:ascii="Calibri" w:eastAsia="Calibri" w:hAnsi="Calibri" w:cs="Times New Roman"/>
        </w:rPr>
        <w:t xml:space="preserve"> Employment Region (ER) </w:t>
      </w:r>
      <w:r>
        <w:t xml:space="preserve">is surrounded by the Murray Riverina ER to the north, the Bendigo and Wimmera Mallee ER to the west, Gippsland ER to the Northeast of Melbourne. The major towns include Shepparton, Echuca, Benalla, Wangaratta, Seymour, Cobram, Yarrawonga, Wodonga, Albury, Mansfield, Myrtleford, Bright, Beechworth, </w:t>
      </w:r>
      <w:r w:rsidR="006C40BF">
        <w:t>Corryong,</w:t>
      </w:r>
      <w:r>
        <w:t xml:space="preserve"> and Kilmore. </w:t>
      </w:r>
    </w:p>
    <w:p w14:paraId="49AFEAAA" w14:textId="5F9B48D9" w:rsidR="00B234EC" w:rsidRDefault="00B234EC" w:rsidP="00B234EC">
      <w:pPr>
        <w:keepNext/>
        <w:spacing w:before="120"/>
      </w:pPr>
      <w:r>
        <w:t xml:space="preserve">The ER is primarily rural with several major regional service centres based in the larger towns of Shepparton, Echuca, Wangaratta, Albury, and Wodonga. The region is undergoing significant change in population and economy with a high migrant and Indigenous populations located in Shepparton, Wodonga and Echuca. A </w:t>
      </w:r>
      <w:r w:rsidR="004E0E5F">
        <w:t>substantial number</w:t>
      </w:r>
      <w:r>
        <w:t xml:space="preserve"> of city dwellers have also relocated to regional areas due to extended metro COVID-19 lockdowns and impacts to their employment.</w:t>
      </w:r>
    </w:p>
    <w:p w14:paraId="7CCA67E0" w14:textId="77777777" w:rsidR="00B234EC" w:rsidRDefault="00B234EC" w:rsidP="00B234EC">
      <w:pPr>
        <w:keepNext/>
        <w:spacing w:before="120"/>
      </w:pPr>
      <w:r>
        <w:t xml:space="preserve">The Goulburn Murray ER includes 14 local government authorities – Greater Shepparton, Campaspe, Strathbogie, Benalla, Wangaratta, Wodonga, Albury, Moira, Indigo, Alpine, Mitchell, Murrindindi, Mansfield and Towong. </w:t>
      </w:r>
    </w:p>
    <w:p w14:paraId="7C0000B2" w14:textId="3E05BD32" w:rsidR="00B234EC" w:rsidRDefault="00B234EC" w:rsidP="00B234EC">
      <w:pPr>
        <w:keepNext/>
        <w:spacing w:before="120"/>
      </w:pPr>
      <w:r w:rsidRPr="008E46AA">
        <w:rPr>
          <w:b/>
          <w:bCs/>
          <w:color w:val="002060"/>
        </w:rPr>
        <w:t>The City of Greater Shepparton</w:t>
      </w:r>
      <w:r w:rsidRPr="00153570">
        <w:rPr>
          <w:color w:val="002060"/>
        </w:rPr>
        <w:t xml:space="preserve"> </w:t>
      </w:r>
      <w:r>
        <w:t>in the heart of the Goulburn Valley is the fourth largest provincial centre in Victoria. This municipality has a diverse population, with a large migrant and Indigenous population. Greater Shepparton is known as the ‘food bowl of Australia</w:t>
      </w:r>
      <w:r w:rsidR="006C40BF">
        <w:t>,’</w:t>
      </w:r>
      <w:r>
        <w:t xml:space="preserve"> producing high quality fruit, vegetables, and agricultural goods. The area is a major fruit and vegetable processing centre, with two large canneries. There are also large dairy processing facilities located in and around Shepparton, providing products for both local consumption and exporting. </w:t>
      </w:r>
      <w:r w:rsidRPr="003C4F51">
        <w:t>Greater Shepparton as an example has a huge multicultural community, arguably the largest multicultural community within a regional centre within Aus</w:t>
      </w:r>
      <w:r>
        <w:t>tralia</w:t>
      </w:r>
      <w:r w:rsidRPr="003C4F51">
        <w:t xml:space="preserve">. </w:t>
      </w:r>
    </w:p>
    <w:p w14:paraId="2727A47A" w14:textId="77777777" w:rsidR="00B234EC" w:rsidRDefault="00B234EC" w:rsidP="00B234EC">
      <w:pPr>
        <w:keepNext/>
        <w:spacing w:before="120"/>
      </w:pPr>
      <w:r w:rsidRPr="008E46AA">
        <w:rPr>
          <w:b/>
          <w:bCs/>
          <w:color w:val="002060"/>
        </w:rPr>
        <w:t>The City of Wangaratta’s</w:t>
      </w:r>
      <w:r w:rsidRPr="00153570">
        <w:rPr>
          <w:color w:val="002060"/>
        </w:rPr>
        <w:t xml:space="preserve"> </w:t>
      </w:r>
      <w:r>
        <w:t>key geographical location is a draw card, with industries wanting to take advantage of its proximity to Melbourne and major road and rail corridors. As a result, the rural city of Wangaratta is home to major manufacturing, transport and distribution activities and is the regional headquarters for several state government agencies. It is also a hub for industries such as viticulture, cheese making and tourism, making it a diverse economy. All these industries bring with them significant retail opportunities in and around the city, as well as a range of health providers.</w:t>
      </w:r>
    </w:p>
    <w:p w14:paraId="36DDA0E1" w14:textId="54A55537" w:rsidR="00B234EC" w:rsidRDefault="00B234EC" w:rsidP="00B234EC">
      <w:pPr>
        <w:keepNext/>
        <w:spacing w:before="120"/>
      </w:pPr>
      <w:r w:rsidRPr="008E46AA">
        <w:rPr>
          <w:b/>
          <w:bCs/>
          <w:color w:val="002060"/>
        </w:rPr>
        <w:t>The cities of Albury and Wodonga</w:t>
      </w:r>
      <w:r w:rsidRPr="00153570">
        <w:rPr>
          <w:color w:val="002060"/>
        </w:rPr>
        <w:t xml:space="preserve"> </w:t>
      </w:r>
      <w:r>
        <w:t xml:space="preserve">are major regional centres situated on either side of the bridge over the Murray River. The two towns occupy a key strategic location along the NSW major east coast transport corridor and function as an intermodal freight hub. The towns are also home to major service infrastructure including hospitals, airports, retails businesses and educational institutions. </w:t>
      </w:r>
      <w:r w:rsidR="00934050">
        <w:t xml:space="preserve">Health care and social assistance </w:t>
      </w:r>
      <w:r>
        <w:t xml:space="preserve">is the primary employment industry in Wodonga, followed by </w:t>
      </w:r>
      <w:r w:rsidR="00252FDA">
        <w:t>education</w:t>
      </w:r>
      <w:r w:rsidR="00E05DE1">
        <w:t xml:space="preserve"> and training, construction</w:t>
      </w:r>
      <w:r>
        <w:t xml:space="preserve">, public administration and safety, and the Department of Defence. </w:t>
      </w:r>
    </w:p>
    <w:p w14:paraId="6F71B94B" w14:textId="77777777" w:rsidR="00B234EC" w:rsidRDefault="00B234EC" w:rsidP="00B234EC">
      <w:pPr>
        <w:keepNext/>
        <w:spacing w:before="120"/>
      </w:pPr>
      <w:r w:rsidRPr="008E46AA">
        <w:rPr>
          <w:b/>
          <w:bCs/>
          <w:color w:val="002060"/>
        </w:rPr>
        <w:t>Campaspe Shire</w:t>
      </w:r>
      <w:r w:rsidRPr="00153570">
        <w:rPr>
          <w:color w:val="002060"/>
        </w:rPr>
        <w:t xml:space="preserve"> </w:t>
      </w:r>
      <w:r>
        <w:t xml:space="preserve">is located 180 km directly north of Melbourne on both the Murray and Goulburn Rivers. It is a popular tourist and retirement destination. Major centres include Echuca, Kyabram, and Rochester. The main industries include dairy, tourism, food processing, cereal cropping, sheep/wool, aquaculture, floriculture, and viticulture. </w:t>
      </w:r>
    </w:p>
    <w:p w14:paraId="78DE5F1D" w14:textId="77777777" w:rsidR="00B234EC" w:rsidRDefault="00B234EC" w:rsidP="00B234EC">
      <w:pPr>
        <w:keepNext/>
        <w:spacing w:before="120"/>
      </w:pPr>
      <w:r w:rsidRPr="008E46AA">
        <w:rPr>
          <w:b/>
          <w:bCs/>
          <w:color w:val="002060"/>
        </w:rPr>
        <w:t>Moira Shire</w:t>
      </w:r>
      <w:r w:rsidRPr="00153570">
        <w:rPr>
          <w:color w:val="002060"/>
        </w:rPr>
        <w:t xml:space="preserve"> </w:t>
      </w:r>
      <w:r>
        <w:t xml:space="preserve">is bounded by the Murray, Goulburn, and Ovens Rivers, and is about three hours’ drive north of Melbourne. The shire's economic base is provided through primary industries. The region is </w:t>
      </w:r>
      <w:r>
        <w:lastRenderedPageBreak/>
        <w:t xml:space="preserve">a major fruit, dairying and beef district with growing tourism and manufacturing sectors. It is a popular holiday and retirement area, incorporating a large part of the Murray Valley. </w:t>
      </w:r>
    </w:p>
    <w:p w14:paraId="05F3D8E5" w14:textId="77777777" w:rsidR="00B234EC" w:rsidRDefault="00B234EC" w:rsidP="00B234EC">
      <w:pPr>
        <w:keepNext/>
        <w:spacing w:before="120"/>
      </w:pPr>
      <w:r w:rsidRPr="008E46AA">
        <w:rPr>
          <w:b/>
          <w:bCs/>
          <w:color w:val="002060"/>
        </w:rPr>
        <w:t>Benalla Rural City</w:t>
      </w:r>
      <w:r w:rsidRPr="00153570">
        <w:rPr>
          <w:color w:val="002060"/>
        </w:rPr>
        <w:t xml:space="preserve"> </w:t>
      </w:r>
      <w:r>
        <w:t xml:space="preserve">is 193km north-east of Melbourne. The current population of Benalla Rural City is 14,024, with approximately 9,000 living in the Benalla urban area and the remainder living in and around our smaller towns. Benalla Rural City is divided by the Hume Freeway with hills, valleys, grazing land, and forests to the south and plains used as cropping and grazing land to the north. The largest employing industries are health, manufacturing, and agriculture. The main health sector Goulburn Murray Local Jobs Plan – July 2021 4 employers include Benalla Health, Royal Freemasons Benalla Care Home, Estia Health and Cooinda Aged Care. The manufacturing sector includes Thales Australia, D &amp; R Henderson Pty Ltd, Schneider Electric (Australia) Pty Ltd and LS Precast. The major agricultural industries include prime lamb and beef production, dairy and broad acre cropping. Benalla Rural City offers a range of primary and secondary schools, a TAFE college, comprehensive health services and participation opportunities including sport, music, wine, and art. Benalla Rural City has well developed disability, aged and childcare services. Some of the main visitor attractions include Winton Motor Raceway, Benalla Art Gallery, Winton Wetlands, and the Silo Art Trail. </w:t>
      </w:r>
    </w:p>
    <w:p w14:paraId="76D47851" w14:textId="77777777" w:rsidR="00B234EC" w:rsidRDefault="00B234EC" w:rsidP="00B234EC">
      <w:pPr>
        <w:keepNext/>
        <w:spacing w:before="120"/>
      </w:pPr>
      <w:r w:rsidRPr="008E46AA">
        <w:rPr>
          <w:b/>
          <w:bCs/>
          <w:color w:val="002060"/>
        </w:rPr>
        <w:t>Indigo Shire</w:t>
      </w:r>
      <w:r w:rsidRPr="00153570">
        <w:rPr>
          <w:color w:val="002060"/>
        </w:rPr>
        <w:t xml:space="preserve"> </w:t>
      </w:r>
      <w:r>
        <w:t xml:space="preserve">is 270 km north-east of Melbourne, bordering the Murray River, Australian Alps and the municipalities of Wodonga, Wangaratta, Towong, Alpine and Moira. It is rural in nature with supporting services in small towns. The shire's economy is based on value-adding to local primary produce of the region, especially milk, cereals, and grapes. Tourism is also important in the Rutherglen wine producing area and the historic townships of Beechworth, Chiltern and Yackandandah attracts many visitors. The main industries include flour mill and cereal food manufacturing, agriculture, other food manufacturing, beverage, and malt manufacturing. Residents also commute to Wodonga and Wangaratta for employment. </w:t>
      </w:r>
    </w:p>
    <w:p w14:paraId="5018C54B" w14:textId="0BE20238" w:rsidR="00B234EC" w:rsidRDefault="00B234EC" w:rsidP="00B234EC">
      <w:pPr>
        <w:keepNext/>
        <w:spacing w:before="120"/>
      </w:pPr>
      <w:r w:rsidRPr="008E46AA">
        <w:rPr>
          <w:b/>
          <w:bCs/>
          <w:color w:val="002060"/>
        </w:rPr>
        <w:t>Towong Shire</w:t>
      </w:r>
      <w:r w:rsidRPr="00414620">
        <w:rPr>
          <w:color w:val="002060"/>
        </w:rPr>
        <w:t xml:space="preserve"> </w:t>
      </w:r>
      <w:r>
        <w:t xml:space="preserve">is a relatively unpopulated area. The economy of the shire is based around primary production, particularly agriculture and forestry. There are many small towns in the municipality, such as Corryong and Tallangatta, </w:t>
      </w:r>
      <w:r w:rsidR="00C43940">
        <w:t>which</w:t>
      </w:r>
      <w:r>
        <w:t xml:space="preserve"> service these industries. </w:t>
      </w:r>
    </w:p>
    <w:p w14:paraId="6155B07A" w14:textId="77777777" w:rsidR="00B234EC" w:rsidRDefault="00B234EC" w:rsidP="00B234EC">
      <w:pPr>
        <w:keepNext/>
        <w:spacing w:before="120"/>
      </w:pPr>
      <w:r w:rsidRPr="008E46AA">
        <w:rPr>
          <w:b/>
          <w:bCs/>
          <w:color w:val="002060"/>
        </w:rPr>
        <w:t>The Alpine Shire</w:t>
      </w:r>
      <w:r w:rsidRPr="00414620">
        <w:rPr>
          <w:color w:val="002060"/>
        </w:rPr>
        <w:t xml:space="preserve"> </w:t>
      </w:r>
      <w:r>
        <w:t xml:space="preserve">is about 300 km northeast of Melbourne and 70 km south of Albury/Wodonga, with a land area covering 4,790 square kilometres. The Shire's economy is based on tourism, forestry, and agriculture. Mansfield Shire is located about 180 kms northeast of Melbourne. The main town is Mansfield. The surrounding smaller settlements only have small numbers of permanent residents but swell considerably during holidays. Natural attractions include Mount Buller, Mount Stirling, parts of Lake Eildon and Alpine National Parks and the Great Dividing Range. The main industries are tourism, farming (seed, sheep, and cattle), light industry, light manufacturing, related timber industries and retail farming. </w:t>
      </w:r>
    </w:p>
    <w:p w14:paraId="2F60172E" w14:textId="77777777" w:rsidR="00B234EC" w:rsidRDefault="00B234EC" w:rsidP="00B234EC">
      <w:pPr>
        <w:keepNext/>
        <w:spacing w:before="120"/>
      </w:pPr>
      <w:r w:rsidRPr="008E46AA">
        <w:rPr>
          <w:b/>
          <w:bCs/>
          <w:color w:val="002060"/>
        </w:rPr>
        <w:t>Murrindindi Shire</w:t>
      </w:r>
      <w:r w:rsidRPr="00414620">
        <w:rPr>
          <w:color w:val="002060"/>
        </w:rPr>
        <w:t xml:space="preserve"> </w:t>
      </w:r>
      <w:r>
        <w:t xml:space="preserve">is situated on Melbourne's peri-urban fringe. The Shire spans 3879 square kilometres and encompasses the rural townships of Alexandra, Eildon, Kinglake, Marysville, and Yea. The Shire benefits from tourist attractions such as Lake Eildon, national parks, the Great Victorian Rail Trail, and access to Victoria's snowfields. Most of the land in the Shire is classified as agricultural and agribusiness, encompassing beef production, forestry, fishing, and horticulture form key industries, as does tourism. </w:t>
      </w:r>
    </w:p>
    <w:p w14:paraId="146617E8" w14:textId="77777777" w:rsidR="00B234EC" w:rsidRDefault="00B234EC" w:rsidP="00B234EC">
      <w:pPr>
        <w:keepNext/>
        <w:spacing w:before="120"/>
      </w:pPr>
      <w:r w:rsidRPr="008E46AA">
        <w:rPr>
          <w:b/>
          <w:bCs/>
          <w:color w:val="002060"/>
        </w:rPr>
        <w:t>Strathbogie Shire</w:t>
      </w:r>
      <w:r w:rsidRPr="00414620">
        <w:rPr>
          <w:color w:val="002060"/>
        </w:rPr>
        <w:t xml:space="preserve"> </w:t>
      </w:r>
      <w:r>
        <w:t xml:space="preserve">is a rural municipality in north central Victoria. The Strathbogie Ranges are located to the east, the Goulburn River to the south and the Hume Freeway runs through the middle of the </w:t>
      </w:r>
      <w:r>
        <w:lastRenderedPageBreak/>
        <w:t xml:space="preserve">municipality. The Strathbogie Shire has a rural economic base of wool, grain and cattle production, extensive vineyards at Nagambie and throughout the Strathbogie Ranges and a wide range of intensive cool climate horticultural enterprises. </w:t>
      </w:r>
    </w:p>
    <w:p w14:paraId="2BAFCABE" w14:textId="77777777" w:rsidR="00B234EC" w:rsidRDefault="00B234EC" w:rsidP="00B234EC">
      <w:pPr>
        <w:keepNext/>
        <w:spacing w:after="0"/>
      </w:pPr>
      <w:r>
        <w:t xml:space="preserve">Strategically located just 40 kilometres north of Melbourne, </w:t>
      </w:r>
      <w:r w:rsidRPr="008E46AA">
        <w:rPr>
          <w:b/>
          <w:bCs/>
          <w:color w:val="002060"/>
        </w:rPr>
        <w:t>Mitchell Shire</w:t>
      </w:r>
      <w:r w:rsidRPr="00414620">
        <w:rPr>
          <w:color w:val="002060"/>
        </w:rPr>
        <w:t xml:space="preserve"> </w:t>
      </w:r>
      <w:r>
        <w:t xml:space="preserve">is Victoria’s fastest growing municipality. As an interface growth area, it offers a mix of rural and urban living with affordable housing and a diversity of lifestyle and housing choices. Mitchell Shire has an estimated population of 49,000. By 2041 it is expected that 170,000 people will call Mitchell home. It is anticipated that most of this growth will occur in and around the southern townships of Beveridge, Kilmore/Kilmore East, and Wallan. A high commuter workforce will rely heavily on regional rail and road networks to travel to and from work. Key employers within the shire include Department of Defence and Ventia within the Puckapunyal Military Area, Nestle in Broadford, local council, </w:t>
      </w:r>
    </w:p>
    <w:p w14:paraId="12019BFD" w14:textId="64095580" w:rsidR="00B234EC" w:rsidRDefault="00B234EC" w:rsidP="00B234EC">
      <w:pPr>
        <w:keepNext/>
        <w:spacing w:after="0"/>
      </w:pPr>
      <w:r>
        <w:t>hospitals, health services, schools, and childcare.</w:t>
      </w:r>
    </w:p>
    <w:p w14:paraId="5521F69A" w14:textId="12FE4964" w:rsidR="004113C7" w:rsidRDefault="004113C7" w:rsidP="00B234EC">
      <w:pPr>
        <w:keepNext/>
        <w:spacing w:after="0"/>
      </w:pPr>
    </w:p>
    <w:p w14:paraId="2C9B3631" w14:textId="720659B9" w:rsidR="004113C7" w:rsidRPr="008E46AA" w:rsidRDefault="004113C7" w:rsidP="00360F79">
      <w:pPr>
        <w:pStyle w:val="Heading1"/>
        <w:rPr>
          <w:sz w:val="40"/>
          <w:szCs w:val="40"/>
        </w:rPr>
      </w:pPr>
      <w:bookmarkStart w:id="6" w:name="_Toc89157933"/>
      <w:r w:rsidRPr="008E46AA">
        <w:rPr>
          <w:sz w:val="40"/>
          <w:szCs w:val="40"/>
        </w:rPr>
        <w:t>Goulburn Murray Employment Region Map</w:t>
      </w:r>
      <w:bookmarkEnd w:id="6"/>
    </w:p>
    <w:p w14:paraId="405233D5" w14:textId="34676CBB" w:rsidR="004113C7" w:rsidRDefault="004113C7" w:rsidP="00B234EC">
      <w:pPr>
        <w:keepNext/>
        <w:spacing w:after="0"/>
      </w:pPr>
      <w:r>
        <w:rPr>
          <w:noProof/>
        </w:rPr>
        <w:drawing>
          <wp:inline distT="0" distB="0" distL="0" distR="0" wp14:anchorId="7EC32283" wp14:editId="0E9B2C7C">
            <wp:extent cx="5745480" cy="3702685"/>
            <wp:effectExtent l="0" t="0" r="7620" b="0"/>
            <wp:docPr id="1" name="Picture 1" descr="Goulburn Murray employment reg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ulburn Murray employment region map"/>
                    <pic:cNvPicPr/>
                  </pic:nvPicPr>
                  <pic:blipFill>
                    <a:blip r:embed="rId12"/>
                    <a:stretch>
                      <a:fillRect/>
                    </a:stretch>
                  </pic:blipFill>
                  <pic:spPr>
                    <a:xfrm>
                      <a:off x="0" y="0"/>
                      <a:ext cx="5745480" cy="3702685"/>
                    </a:xfrm>
                    <a:prstGeom prst="rect">
                      <a:avLst/>
                    </a:prstGeom>
                  </pic:spPr>
                </pic:pic>
              </a:graphicData>
            </a:graphic>
          </wp:inline>
        </w:drawing>
      </w:r>
    </w:p>
    <w:p w14:paraId="4E224BC4" w14:textId="14C16FF5" w:rsidR="00E76289" w:rsidRPr="007D1210" w:rsidRDefault="00E76289" w:rsidP="003837A1">
      <w:pPr>
        <w:keepNext/>
        <w:spacing w:before="120" w:after="120" w:line="240" w:lineRule="auto"/>
        <w:rPr>
          <w:rFonts w:ascii="Calibri" w:eastAsia="Calibri" w:hAnsi="Calibri" w:cs="Times New Roman"/>
        </w:rPr>
      </w:pPr>
    </w:p>
    <w:p w14:paraId="25F469EA" w14:textId="77777777" w:rsidR="004113C7" w:rsidRDefault="004113C7" w:rsidP="00417DF0">
      <w:pPr>
        <w:pStyle w:val="Heading1"/>
        <w:spacing w:after="240"/>
        <w:rPr>
          <w:noProof w:val="0"/>
        </w:rPr>
      </w:pPr>
    </w:p>
    <w:p w14:paraId="2D34BB9D" w14:textId="77777777" w:rsidR="005012B8" w:rsidRDefault="005012B8">
      <w:pPr>
        <w:rPr>
          <w:rFonts w:ascii="Calibri" w:eastAsia="Times New Roman" w:hAnsi="Calibri" w:cstheme="majorBidi"/>
          <w:noProof/>
          <w:color w:val="1D4289"/>
          <w:sz w:val="40"/>
          <w:szCs w:val="40"/>
        </w:rPr>
      </w:pPr>
      <w:bookmarkStart w:id="7" w:name="_Hlk86823188"/>
      <w:r>
        <w:rPr>
          <w:sz w:val="40"/>
          <w:szCs w:val="40"/>
        </w:rPr>
        <w:br w:type="page"/>
      </w:r>
    </w:p>
    <w:p w14:paraId="6E9B75E8" w14:textId="00468A4F" w:rsidR="00417DF0" w:rsidRPr="008E46AA" w:rsidRDefault="00417DF0" w:rsidP="008E46AA">
      <w:pPr>
        <w:pStyle w:val="Heading1"/>
        <w:rPr>
          <w:sz w:val="40"/>
          <w:szCs w:val="40"/>
        </w:rPr>
      </w:pPr>
      <w:bookmarkStart w:id="8" w:name="_Toc89157934"/>
      <w:r w:rsidRPr="008E46AA">
        <w:rPr>
          <w:sz w:val="40"/>
          <w:szCs w:val="40"/>
        </w:rPr>
        <w:lastRenderedPageBreak/>
        <w:t xml:space="preserve">Key </w:t>
      </w:r>
      <w:r w:rsidR="004D5E43" w:rsidRPr="008E46AA">
        <w:rPr>
          <w:sz w:val="40"/>
          <w:szCs w:val="40"/>
        </w:rPr>
        <w:t>challenges in</w:t>
      </w:r>
      <w:r w:rsidR="00E326EB" w:rsidRPr="008E46AA">
        <w:rPr>
          <w:sz w:val="40"/>
          <w:szCs w:val="40"/>
        </w:rPr>
        <w:t xml:space="preserve"> Goulburn Murray</w:t>
      </w:r>
      <w:r w:rsidR="004E1E0C" w:rsidRPr="008E46AA">
        <w:rPr>
          <w:sz w:val="40"/>
          <w:szCs w:val="40"/>
        </w:rPr>
        <w:t xml:space="preserve"> Employment Region</w:t>
      </w:r>
      <w:bookmarkEnd w:id="8"/>
    </w:p>
    <w:p w14:paraId="5A7F5E83" w14:textId="466A7E22" w:rsidR="00942EDD" w:rsidRDefault="00E228C0" w:rsidP="00780951">
      <w:pPr>
        <w:spacing w:line="240" w:lineRule="auto"/>
      </w:pPr>
      <w:r w:rsidRPr="00942EDD">
        <w:t xml:space="preserve">The </w:t>
      </w:r>
      <w:r w:rsidR="009B3F3A">
        <w:t>14 L</w:t>
      </w:r>
      <w:r w:rsidR="00EE29A1">
        <w:t xml:space="preserve">ocal </w:t>
      </w:r>
      <w:r w:rsidR="009B3F3A">
        <w:t>G</w:t>
      </w:r>
      <w:r w:rsidR="00EE29A1">
        <w:t xml:space="preserve">overnment </w:t>
      </w:r>
      <w:r w:rsidR="009B3F3A">
        <w:t>A</w:t>
      </w:r>
      <w:r w:rsidR="00EE29A1">
        <w:t>rea</w:t>
      </w:r>
      <w:r w:rsidR="009B3F3A">
        <w:t>s</w:t>
      </w:r>
      <w:r w:rsidR="00814124">
        <w:t xml:space="preserve"> (LGA)</w:t>
      </w:r>
      <w:r w:rsidR="009B3F3A">
        <w:t xml:space="preserve"> in the </w:t>
      </w:r>
      <w:r w:rsidRPr="00942EDD">
        <w:t xml:space="preserve">Goulburn Murray Employment Region </w:t>
      </w:r>
      <w:r w:rsidR="009B3F3A">
        <w:t xml:space="preserve">have their own distinct demographics and challenges. </w:t>
      </w:r>
      <w:r w:rsidR="00435C2D">
        <w:t xml:space="preserve">Given this, local solutions may vary and may best be considered at an individual LGA level. </w:t>
      </w:r>
      <w:r w:rsidR="004B7B7E">
        <w:t>Current key challenges</w:t>
      </w:r>
      <w:r w:rsidR="001209A8">
        <w:t xml:space="preserve"> in the region include:</w:t>
      </w:r>
    </w:p>
    <w:p w14:paraId="0C2A6B4D" w14:textId="4FE5CBD2" w:rsidR="0009767F" w:rsidRDefault="00026AEC" w:rsidP="00C72104">
      <w:pPr>
        <w:pStyle w:val="ListParagraph"/>
        <w:numPr>
          <w:ilvl w:val="0"/>
          <w:numId w:val="33"/>
        </w:numPr>
        <w:spacing w:after="0"/>
      </w:pPr>
      <w:r>
        <w:t>P</w:t>
      </w:r>
      <w:r w:rsidR="0009767F">
        <w:t xml:space="preserve">ublic transport across the region </w:t>
      </w:r>
      <w:r>
        <w:t xml:space="preserve">is not always available </w:t>
      </w:r>
      <w:r w:rsidR="0009767F">
        <w:t xml:space="preserve">due to </w:t>
      </w:r>
      <w:r w:rsidR="00C32947">
        <w:t xml:space="preserve">the </w:t>
      </w:r>
      <w:r w:rsidR="0009767F">
        <w:t xml:space="preserve">geographical distances between city and town centres. For job seekers without a driver’s license or their own reliable transport, this can present challenges in accessing job opportunities and maintaining employment. </w:t>
      </w:r>
    </w:p>
    <w:p w14:paraId="5263285C" w14:textId="3A65C992" w:rsidR="0009767F" w:rsidRDefault="0009767F" w:rsidP="00C72104">
      <w:pPr>
        <w:pStyle w:val="ListParagraph"/>
        <w:numPr>
          <w:ilvl w:val="0"/>
          <w:numId w:val="33"/>
        </w:numPr>
        <w:spacing w:after="0"/>
      </w:pPr>
      <w:r>
        <w:t>Lack of affordable housing, in part driven by the COVID-19 pandemic, has resulted in few affordable rental opportunities close to</w:t>
      </w:r>
      <w:r w:rsidR="00B967D4">
        <w:t xml:space="preserve"> </w:t>
      </w:r>
      <w:r w:rsidR="00D1057C">
        <w:t xml:space="preserve">larger </w:t>
      </w:r>
      <w:r w:rsidR="00B967D4">
        <w:t>populated areas</w:t>
      </w:r>
      <w:r>
        <w:t>. This has caused increased levels of housing instability and homelessness, as well as necessitated people moving further away from key locations, further impacting transport issues</w:t>
      </w:r>
      <w:r w:rsidR="008D4F50">
        <w:t>.</w:t>
      </w:r>
    </w:p>
    <w:p w14:paraId="7E75AC80" w14:textId="7FE99505" w:rsidR="0009767F" w:rsidRDefault="0009767F" w:rsidP="00C72104">
      <w:pPr>
        <w:pStyle w:val="ListParagraph"/>
        <w:numPr>
          <w:ilvl w:val="0"/>
          <w:numId w:val="33"/>
        </w:numPr>
        <w:spacing w:after="0"/>
      </w:pPr>
      <w:r>
        <w:t xml:space="preserve">The </w:t>
      </w:r>
      <w:r w:rsidR="0022422A">
        <w:t>s</w:t>
      </w:r>
      <w:r>
        <w:t>easonal workforce has been impacted due to the COVID-19 pandemic</w:t>
      </w:r>
      <w:r w:rsidR="0022422A">
        <w:t xml:space="preserve"> </w:t>
      </w:r>
      <w:r w:rsidR="00996371">
        <w:t xml:space="preserve">and associated </w:t>
      </w:r>
      <w:r w:rsidR="0022422A">
        <w:t>border closures</w:t>
      </w:r>
      <w:r>
        <w:t xml:space="preserve">. Agricultural producers rely heavily on </w:t>
      </w:r>
      <w:r w:rsidR="0022422A">
        <w:t xml:space="preserve">domestic and international </w:t>
      </w:r>
      <w:r>
        <w:t xml:space="preserve">workers to meet </w:t>
      </w:r>
      <w:r w:rsidR="0022422A">
        <w:t>demand</w:t>
      </w:r>
      <w:r>
        <w:t xml:space="preserve"> and are continuing to face a dramatic shortfall in workers</w:t>
      </w:r>
      <w:r w:rsidR="000E47C0">
        <w:t>. As border restrictions are lifted</w:t>
      </w:r>
      <w:r w:rsidR="0014565F">
        <w:t xml:space="preserve">, </w:t>
      </w:r>
      <w:r w:rsidR="00A65CA6">
        <w:t>there will be opportunities to provide</w:t>
      </w:r>
      <w:r w:rsidR="00D40A07">
        <w:t xml:space="preserve"> support to this </w:t>
      </w:r>
      <w:r w:rsidR="004D27BF">
        <w:t>I</w:t>
      </w:r>
      <w:r w:rsidR="00D40A07">
        <w:t>ndustry.</w:t>
      </w:r>
    </w:p>
    <w:p w14:paraId="7883454A" w14:textId="27AA23D0" w:rsidR="001D269C" w:rsidRPr="00CC6EC4" w:rsidRDefault="005E6A14" w:rsidP="00CC6EC4">
      <w:pPr>
        <w:pStyle w:val="ListParagraph"/>
        <w:numPr>
          <w:ilvl w:val="0"/>
          <w:numId w:val="33"/>
        </w:numPr>
        <w:spacing w:after="0"/>
      </w:pPr>
      <w:r>
        <w:t>The hospitality/tourism sector</w:t>
      </w:r>
      <w:r w:rsidR="00396428">
        <w:t xml:space="preserve"> </w:t>
      </w:r>
      <w:r w:rsidR="00F00B97">
        <w:t xml:space="preserve">has seen </w:t>
      </w:r>
      <w:r w:rsidR="00B967D4">
        <w:t xml:space="preserve">entry level </w:t>
      </w:r>
      <w:r w:rsidR="003325BE">
        <w:t>roles</w:t>
      </w:r>
      <w:r w:rsidR="005F7E4A">
        <w:t xml:space="preserve"> such as cooks, </w:t>
      </w:r>
      <w:r w:rsidR="00160518">
        <w:t xml:space="preserve">front of house, bar and wait staff </w:t>
      </w:r>
      <w:r w:rsidR="0003653A">
        <w:t>move to employment less likely to be impacted by COVID</w:t>
      </w:r>
      <w:r w:rsidR="00FB193B">
        <w:t xml:space="preserve"> therefore creating shortages in the </w:t>
      </w:r>
      <w:r w:rsidR="00C72104">
        <w:t>industry</w:t>
      </w:r>
      <w:r w:rsidR="0003653A">
        <w:t xml:space="preserve">. </w:t>
      </w:r>
      <w:bookmarkStart w:id="9" w:name="_Toc78282088"/>
      <w:bookmarkStart w:id="10" w:name="_Toc85786157"/>
      <w:bookmarkEnd w:id="7"/>
    </w:p>
    <w:p w14:paraId="7391B2C8" w14:textId="711973FB" w:rsidR="00FB43D9" w:rsidRPr="008E46AA" w:rsidRDefault="00FB43D9" w:rsidP="008E46AA">
      <w:pPr>
        <w:pStyle w:val="Heading2"/>
        <w:rPr>
          <w:b w:val="0"/>
          <w:bCs w:val="0"/>
          <w:noProof/>
          <w:color w:val="1D4289"/>
          <w:sz w:val="32"/>
          <w:szCs w:val="32"/>
          <w:u w:val="single"/>
        </w:rPr>
      </w:pPr>
      <w:bookmarkStart w:id="11" w:name="_Toc89157935"/>
      <w:r w:rsidRPr="008E46AA">
        <w:rPr>
          <w:b w:val="0"/>
          <w:bCs w:val="0"/>
          <w:color w:val="1D4289"/>
          <w:lang w:val="en"/>
        </w:rPr>
        <w:t>Youth</w:t>
      </w:r>
      <w:bookmarkEnd w:id="9"/>
      <w:bookmarkEnd w:id="10"/>
      <w:bookmarkEnd w:id="11"/>
      <w:r w:rsidRPr="008E46AA">
        <w:rPr>
          <w:b w:val="0"/>
          <w:bCs w:val="0"/>
          <w:noProof/>
          <w:color w:val="1D4289"/>
          <w:sz w:val="32"/>
          <w:szCs w:val="32"/>
          <w:u w:val="single"/>
        </w:rPr>
        <w:t xml:space="preserve"> </w:t>
      </w:r>
    </w:p>
    <w:p w14:paraId="14B0A446" w14:textId="01497CD8" w:rsidR="00042387" w:rsidRDefault="00042387" w:rsidP="00042387">
      <w:pPr>
        <w:spacing w:before="120" w:after="120" w:line="256" w:lineRule="auto"/>
        <w:rPr>
          <w:rFonts w:eastAsia="Calibri" w:cstheme="minorHAnsi"/>
          <w:lang w:val="en-US"/>
        </w:rPr>
      </w:pPr>
      <w:r>
        <w:rPr>
          <w:rFonts w:eastAsia="Calibri" w:cstheme="minorHAnsi"/>
          <w:lang w:val="en-US"/>
        </w:rPr>
        <w:t xml:space="preserve">As </w:t>
      </w:r>
      <w:r w:rsidR="00401B1D">
        <w:rPr>
          <w:rFonts w:eastAsia="Calibri" w:cstheme="minorHAnsi"/>
          <w:lang w:val="en-US"/>
        </w:rPr>
        <w:t>of</w:t>
      </w:r>
      <w:r>
        <w:rPr>
          <w:rFonts w:eastAsia="Calibri" w:cstheme="minorHAnsi"/>
          <w:lang w:val="en-US"/>
        </w:rPr>
        <w:t xml:space="preserve"> </w:t>
      </w:r>
      <w:r w:rsidR="00C82BFA">
        <w:rPr>
          <w:rFonts w:eastAsia="Calibri" w:cstheme="minorHAnsi"/>
          <w:lang w:val="en-US"/>
        </w:rPr>
        <w:t>September 2021</w:t>
      </w:r>
      <w:r>
        <w:rPr>
          <w:rFonts w:eastAsia="Calibri" w:cstheme="minorHAnsi"/>
          <w:lang w:val="en-US"/>
        </w:rPr>
        <w:t xml:space="preserve">, the youth unemployment rate in the Goulburn Murray Employment Region was </w:t>
      </w:r>
      <w:r w:rsidR="00763EBE">
        <w:rPr>
          <w:rFonts w:eastAsia="Calibri" w:cstheme="minorHAnsi"/>
          <w:lang w:val="en-US"/>
        </w:rPr>
        <w:t>7.6</w:t>
      </w:r>
      <w:r>
        <w:rPr>
          <w:rFonts w:eastAsia="Calibri" w:cstheme="minorHAnsi"/>
          <w:lang w:val="en-US"/>
        </w:rPr>
        <w:t xml:space="preserve"> per cent, a</w:t>
      </w:r>
      <w:r w:rsidR="00A52250">
        <w:rPr>
          <w:rFonts w:eastAsia="Calibri" w:cstheme="minorHAnsi"/>
          <w:lang w:val="en-US"/>
        </w:rPr>
        <w:t>n improvement</w:t>
      </w:r>
      <w:r>
        <w:rPr>
          <w:rFonts w:eastAsia="Calibri" w:cstheme="minorHAnsi"/>
          <w:lang w:val="en-US"/>
        </w:rPr>
        <w:t xml:space="preserve"> of </w:t>
      </w:r>
      <w:r w:rsidR="006758E7">
        <w:rPr>
          <w:rFonts w:eastAsia="Calibri" w:cstheme="minorHAnsi"/>
          <w:lang w:val="en-US"/>
        </w:rPr>
        <w:t>5.6</w:t>
      </w:r>
      <w:r>
        <w:rPr>
          <w:rFonts w:eastAsia="Calibri" w:cstheme="minorHAnsi"/>
          <w:lang w:val="en-US"/>
        </w:rPr>
        <w:t xml:space="preserve"> percentage points compared to </w:t>
      </w:r>
      <w:r w:rsidR="00C14650">
        <w:rPr>
          <w:rFonts w:eastAsia="Calibri" w:cstheme="minorHAnsi"/>
          <w:lang w:val="en-US"/>
        </w:rPr>
        <w:t>March</w:t>
      </w:r>
      <w:r>
        <w:rPr>
          <w:rFonts w:eastAsia="Calibri" w:cstheme="minorHAnsi"/>
          <w:lang w:val="en-US"/>
        </w:rPr>
        <w:t xml:space="preserve"> 202</w:t>
      </w:r>
      <w:r w:rsidR="00C14650">
        <w:rPr>
          <w:rFonts w:eastAsia="Calibri" w:cstheme="minorHAnsi"/>
          <w:lang w:val="en-US"/>
        </w:rPr>
        <w:t>0</w:t>
      </w:r>
      <w:r>
        <w:rPr>
          <w:rFonts w:eastAsia="Calibri" w:cstheme="minorHAnsi"/>
          <w:lang w:val="en-US"/>
        </w:rPr>
        <w:t xml:space="preserve">. </w:t>
      </w:r>
      <w:r w:rsidR="00586FE0">
        <w:rPr>
          <w:rFonts w:eastAsia="Calibri" w:cstheme="minorHAnsi"/>
          <w:lang w:val="en-US"/>
        </w:rPr>
        <w:t>Although y</w:t>
      </w:r>
      <w:r>
        <w:rPr>
          <w:rFonts w:eastAsia="Calibri" w:cstheme="minorHAnsi"/>
          <w:lang w:val="en-US"/>
        </w:rPr>
        <w:t xml:space="preserve">outh unemployment for the region is </w:t>
      </w:r>
      <w:r w:rsidR="00766A64">
        <w:rPr>
          <w:rFonts w:eastAsia="Calibri" w:cstheme="minorHAnsi"/>
          <w:lang w:val="en-US"/>
        </w:rPr>
        <w:t>lower</w:t>
      </w:r>
      <w:r>
        <w:rPr>
          <w:rFonts w:eastAsia="Calibri" w:cstheme="minorHAnsi"/>
          <w:lang w:val="en-US"/>
        </w:rPr>
        <w:t xml:space="preserve"> than the National rate</w:t>
      </w:r>
      <w:r w:rsidR="00586FE0">
        <w:rPr>
          <w:rFonts w:eastAsia="Calibri" w:cstheme="minorHAnsi"/>
          <w:lang w:val="en-US"/>
        </w:rPr>
        <w:t xml:space="preserve">, it </w:t>
      </w:r>
      <w:r>
        <w:rPr>
          <w:rFonts w:eastAsia="Calibri" w:cstheme="minorHAnsi"/>
          <w:lang w:val="en-US"/>
        </w:rPr>
        <w:t>continues to present its challenges within the region</w:t>
      </w:r>
      <w:r w:rsidR="00C74D48">
        <w:rPr>
          <w:rFonts w:eastAsia="Calibri" w:cstheme="minorHAnsi"/>
          <w:lang w:val="en-US"/>
        </w:rPr>
        <w:t xml:space="preserve"> including disengagement</w:t>
      </w:r>
      <w:r w:rsidR="005B47D1">
        <w:rPr>
          <w:rFonts w:eastAsia="Calibri" w:cstheme="minorHAnsi"/>
          <w:lang w:val="en-US"/>
        </w:rPr>
        <w:t xml:space="preserve"> </w:t>
      </w:r>
      <w:r w:rsidR="00462F93">
        <w:rPr>
          <w:rFonts w:eastAsia="Calibri" w:cstheme="minorHAnsi"/>
          <w:lang w:val="en-US"/>
        </w:rPr>
        <w:t>of youth job seekers</w:t>
      </w:r>
      <w:r>
        <w:rPr>
          <w:rFonts w:eastAsia="Calibri" w:cstheme="minorHAnsi"/>
          <w:lang w:val="en-US"/>
        </w:rPr>
        <w:t xml:space="preserve">. </w:t>
      </w:r>
    </w:p>
    <w:p w14:paraId="339E3D86" w14:textId="579ABC5D" w:rsidR="00801B4B" w:rsidRPr="00FB43D9" w:rsidRDefault="00801B4B" w:rsidP="00462F93">
      <w:pPr>
        <w:spacing w:before="120" w:after="120" w:line="256" w:lineRule="auto"/>
        <w:rPr>
          <w:rFonts w:eastAsia="Calibri" w:cstheme="minorHAnsi"/>
          <w:lang w:val="en-US"/>
        </w:rPr>
      </w:pPr>
      <w:r>
        <w:rPr>
          <w:rFonts w:eastAsia="Calibri" w:cstheme="minorHAnsi"/>
          <w:lang w:val="en-US"/>
        </w:rPr>
        <w:t>The hospitality, tourism and retail sectors were significantly impacted by COVID-19 restrictions, being unable to operate to full capacity and in many cases closing or operating at reduced levels. A proportion of young people are most likely to work in these impacted sectors which have been disproportionately affected by the pandemic. There could be opportunities to broker employment for young people to be engaged or re-engaged in the retail and hospitality sectors as the economy recovers.</w:t>
      </w:r>
    </w:p>
    <w:p w14:paraId="3F658B51" w14:textId="5BA8AACA" w:rsidR="00FB43D9" w:rsidRPr="00FB43D9" w:rsidRDefault="00D57A87" w:rsidP="00FB43D9">
      <w:pPr>
        <w:spacing w:before="120" w:after="120" w:line="257" w:lineRule="auto"/>
        <w:rPr>
          <w:rFonts w:eastAsia="Calibri" w:cstheme="minorHAnsi"/>
          <w:lang w:val="en-US"/>
        </w:rPr>
      </w:pPr>
      <w:r w:rsidRPr="00FB43D9">
        <w:rPr>
          <w:rFonts w:eastAsia="Calibri" w:cstheme="minorHAnsi"/>
          <w:lang w:val="en-US"/>
        </w:rPr>
        <w:t xml:space="preserve">The National Skills Commission Internet Vacancy Index data </w:t>
      </w:r>
      <w:r w:rsidR="009242AE">
        <w:rPr>
          <w:rFonts w:eastAsia="Calibri" w:cstheme="minorHAnsi"/>
          <w:lang w:val="en-US"/>
        </w:rPr>
        <w:t>Oct</w:t>
      </w:r>
      <w:r w:rsidRPr="00FB43D9">
        <w:rPr>
          <w:rFonts w:eastAsia="Calibri" w:cstheme="minorHAnsi"/>
          <w:lang w:val="en-US"/>
        </w:rPr>
        <w:t xml:space="preserve"> 2021</w:t>
      </w:r>
      <w:r w:rsidR="00FB43D9" w:rsidRPr="00FB43D9">
        <w:rPr>
          <w:rFonts w:eastAsia="Calibri" w:cstheme="minorHAnsi"/>
          <w:lang w:val="en-US"/>
        </w:rPr>
        <w:t xml:space="preserve"> suggests Sales Assistants</w:t>
      </w:r>
      <w:r w:rsidR="00A959EA">
        <w:rPr>
          <w:rFonts w:eastAsia="Calibri" w:cstheme="minorHAnsi"/>
          <w:lang w:val="en-US"/>
        </w:rPr>
        <w:t xml:space="preserve">, </w:t>
      </w:r>
      <w:r w:rsidR="00FB43D9" w:rsidRPr="00FB43D9">
        <w:rPr>
          <w:rFonts w:eastAsia="Calibri" w:cstheme="minorHAnsi"/>
          <w:lang w:val="en-US"/>
        </w:rPr>
        <w:t>General Clerks</w:t>
      </w:r>
      <w:r w:rsidR="00A959EA">
        <w:rPr>
          <w:rFonts w:eastAsia="Calibri" w:cstheme="minorHAnsi"/>
          <w:lang w:val="en-US"/>
        </w:rPr>
        <w:t xml:space="preserve">, Labourers </w:t>
      </w:r>
      <w:r w:rsidR="00AB1A15">
        <w:rPr>
          <w:rFonts w:eastAsia="Calibri" w:cstheme="minorHAnsi"/>
          <w:lang w:val="en-US"/>
        </w:rPr>
        <w:t>plus</w:t>
      </w:r>
      <w:r w:rsidR="00A959EA">
        <w:rPr>
          <w:rFonts w:eastAsia="Calibri" w:cstheme="minorHAnsi"/>
          <w:lang w:val="en-US"/>
        </w:rPr>
        <w:t xml:space="preserve"> Aged</w:t>
      </w:r>
      <w:r w:rsidR="00AB1A15">
        <w:rPr>
          <w:rFonts w:eastAsia="Calibri" w:cstheme="minorHAnsi"/>
          <w:lang w:val="en-US"/>
        </w:rPr>
        <w:t xml:space="preserve"> and Disabled workers</w:t>
      </w:r>
      <w:r w:rsidR="00FB43D9" w:rsidRPr="00FB43D9">
        <w:rPr>
          <w:rFonts w:eastAsia="Calibri" w:cstheme="minorHAnsi"/>
          <w:lang w:val="en-US"/>
        </w:rPr>
        <w:t xml:space="preserve"> </w:t>
      </w:r>
      <w:r w:rsidR="00E43BF9">
        <w:rPr>
          <w:rFonts w:eastAsia="Calibri" w:cstheme="minorHAnsi"/>
          <w:lang w:val="en-US"/>
        </w:rPr>
        <w:t xml:space="preserve">are listed in the top </w:t>
      </w:r>
      <w:r w:rsidR="006A49FF">
        <w:rPr>
          <w:rFonts w:eastAsia="Calibri" w:cstheme="minorHAnsi"/>
          <w:lang w:val="en-US"/>
        </w:rPr>
        <w:t>five</w:t>
      </w:r>
      <w:r w:rsidR="006A49FF" w:rsidRPr="00FB43D9">
        <w:rPr>
          <w:rFonts w:eastAsia="Calibri" w:cstheme="minorHAnsi"/>
          <w:lang w:val="en-US"/>
        </w:rPr>
        <w:t xml:space="preserve"> </w:t>
      </w:r>
      <w:r w:rsidR="00FB43D9" w:rsidRPr="00FB43D9">
        <w:rPr>
          <w:rFonts w:eastAsia="Calibri" w:cstheme="minorHAnsi"/>
          <w:lang w:val="en-US"/>
        </w:rPr>
        <w:t xml:space="preserve">advertisements by occupations. Connecting youth (and keeping them connected) to services and employers, including retail, will play </w:t>
      </w:r>
      <w:r w:rsidR="0008782A" w:rsidRPr="00FB43D9">
        <w:rPr>
          <w:rFonts w:eastAsia="Calibri" w:cstheme="minorHAnsi"/>
          <w:lang w:val="en-US"/>
        </w:rPr>
        <w:t>a vital role</w:t>
      </w:r>
      <w:r w:rsidR="00FB43D9" w:rsidRPr="00FB43D9">
        <w:rPr>
          <w:rFonts w:eastAsia="Calibri" w:cstheme="minorHAnsi"/>
          <w:lang w:val="en-US"/>
        </w:rPr>
        <w:t xml:space="preserve"> in driving down youth unemployment and youth disengagement in the Goulburn Murray ER. This could also be obtained through focusing on jobs and skills in demand and brokering apprenticeships and traineeship opportunities for this cohort. </w:t>
      </w:r>
    </w:p>
    <w:p w14:paraId="359E6796" w14:textId="77777777" w:rsidR="00FB43D9" w:rsidRPr="008E46AA" w:rsidRDefault="00FB43D9" w:rsidP="008E46AA">
      <w:pPr>
        <w:pStyle w:val="Heading2"/>
        <w:rPr>
          <w:b w:val="0"/>
          <w:bCs w:val="0"/>
          <w:color w:val="1D4289"/>
          <w:lang w:val="en"/>
        </w:rPr>
      </w:pPr>
      <w:bookmarkStart w:id="12" w:name="_Toc78282089"/>
      <w:bookmarkStart w:id="13" w:name="_Toc85786158"/>
      <w:bookmarkStart w:id="14" w:name="_Toc89157936"/>
      <w:r w:rsidRPr="008E46AA">
        <w:rPr>
          <w:b w:val="0"/>
          <w:bCs w:val="0"/>
          <w:color w:val="1D4289"/>
          <w:lang w:val="en"/>
        </w:rPr>
        <w:t>Mature Age</w:t>
      </w:r>
      <w:bookmarkEnd w:id="12"/>
      <w:bookmarkEnd w:id="13"/>
      <w:bookmarkEnd w:id="14"/>
    </w:p>
    <w:p w14:paraId="18F8B212" w14:textId="77777777" w:rsidR="00FB43D9" w:rsidRPr="00FB43D9" w:rsidRDefault="00FB43D9" w:rsidP="00FB43D9">
      <w:pPr>
        <w:spacing w:before="120" w:after="120" w:line="257" w:lineRule="auto"/>
        <w:rPr>
          <w:rFonts w:eastAsia="Calibri" w:cstheme="minorHAnsi"/>
          <w:lang w:val="en-US"/>
        </w:rPr>
      </w:pPr>
      <w:r w:rsidRPr="00FB43D9">
        <w:rPr>
          <w:rFonts w:eastAsia="Calibri" w:cstheme="minorHAnsi"/>
          <w:lang w:val="en-US"/>
        </w:rPr>
        <w:t xml:space="preserve">Prior to COVID-19 mature aged job seekers were already experiencing challenges with securing and retaining employment opportunities in a competitive market. Post COVID-19, it is expected these challenges will remain. </w:t>
      </w:r>
    </w:p>
    <w:p w14:paraId="17D42872" w14:textId="6F5AE0DB" w:rsidR="00FB43D9" w:rsidRPr="00FB43D9" w:rsidRDefault="00FB43D9" w:rsidP="00FB43D9">
      <w:pPr>
        <w:spacing w:before="120" w:after="120" w:line="257" w:lineRule="auto"/>
        <w:rPr>
          <w:rFonts w:eastAsia="Calibri" w:cstheme="minorHAnsi"/>
          <w:lang w:val="en-US"/>
        </w:rPr>
      </w:pPr>
      <w:r w:rsidRPr="00FB43D9">
        <w:rPr>
          <w:rFonts w:eastAsia="Calibri" w:cstheme="minorHAnsi"/>
          <w:lang w:val="en-US"/>
        </w:rPr>
        <w:lastRenderedPageBreak/>
        <w:t>The majority of LGAs within the Goulburn Murray region have a high proportion of mature aged residents</w:t>
      </w:r>
      <w:r w:rsidR="00D57A87" w:rsidRPr="00FB43D9">
        <w:rPr>
          <w:rFonts w:eastAsia="Calibri" w:cstheme="minorHAnsi"/>
          <w:lang w:val="en-US"/>
        </w:rPr>
        <w:t xml:space="preserve">. </w:t>
      </w:r>
      <w:r w:rsidRPr="00FB43D9">
        <w:rPr>
          <w:rFonts w:eastAsia="Calibri" w:cstheme="minorHAnsi"/>
          <w:lang w:val="en-US"/>
        </w:rPr>
        <w:t xml:space="preserve">Across the region, mature aged job seekers (50 years and above) make up approximately 30 per cent of the </w:t>
      </w:r>
      <w:bookmarkStart w:id="15" w:name="_Hlk77848534"/>
      <w:r w:rsidRPr="00FB43D9">
        <w:rPr>
          <w:rFonts w:eastAsia="Calibri" w:cstheme="minorHAnsi"/>
          <w:lang w:val="en-US"/>
        </w:rPr>
        <w:t>job seekers registered with</w:t>
      </w:r>
      <w:r w:rsidR="00446762">
        <w:rPr>
          <w:rFonts w:eastAsia="Calibri" w:cstheme="minorHAnsi"/>
          <w:lang w:val="en-US"/>
        </w:rPr>
        <w:t xml:space="preserve"> Australian</w:t>
      </w:r>
      <w:r w:rsidRPr="00FB43D9">
        <w:rPr>
          <w:rFonts w:eastAsia="Calibri" w:cstheme="minorHAnsi"/>
          <w:lang w:val="en-US"/>
        </w:rPr>
        <w:t xml:space="preserve"> Government employment services</w:t>
      </w:r>
      <w:r w:rsidR="005602A2">
        <w:rPr>
          <w:rFonts w:eastAsia="Calibri" w:cstheme="minorHAnsi"/>
          <w:lang w:val="en-US"/>
        </w:rPr>
        <w:t xml:space="preserve"> </w:t>
      </w:r>
      <w:r w:rsidR="00F00B97">
        <w:rPr>
          <w:rFonts w:eastAsia="Calibri" w:cstheme="minorHAnsi"/>
          <w:lang w:val="en-US"/>
        </w:rPr>
        <w:t>j</w:t>
      </w:r>
      <w:r w:rsidR="005602A2">
        <w:rPr>
          <w:rFonts w:eastAsia="Calibri" w:cstheme="minorHAnsi"/>
          <w:lang w:val="en-US"/>
        </w:rPr>
        <w:t>ob</w:t>
      </w:r>
      <w:r w:rsidR="00F00B97">
        <w:rPr>
          <w:rFonts w:eastAsia="Calibri" w:cstheme="minorHAnsi"/>
          <w:lang w:val="en-US"/>
        </w:rPr>
        <w:t>a</w:t>
      </w:r>
      <w:r w:rsidR="005602A2">
        <w:rPr>
          <w:rFonts w:eastAsia="Calibri" w:cstheme="minorHAnsi"/>
          <w:lang w:val="en-US"/>
        </w:rPr>
        <w:t>ctive</w:t>
      </w:r>
      <w:r w:rsidRPr="00FB43D9">
        <w:rPr>
          <w:rFonts w:eastAsia="Calibri" w:cstheme="minorHAnsi"/>
          <w:lang w:val="en-US"/>
        </w:rPr>
        <w:t xml:space="preserve">. </w:t>
      </w:r>
    </w:p>
    <w:bookmarkEnd w:id="15"/>
    <w:p w14:paraId="104ECDC9" w14:textId="6E771343" w:rsidR="00FB43D9" w:rsidRPr="00FB43D9" w:rsidRDefault="00FB43D9" w:rsidP="00FB43D9">
      <w:pPr>
        <w:spacing w:before="120" w:after="120" w:line="257" w:lineRule="auto"/>
        <w:rPr>
          <w:rFonts w:eastAsia="Calibri" w:cstheme="minorHAnsi"/>
          <w:lang w:val="en-US"/>
        </w:rPr>
      </w:pPr>
      <w:r w:rsidRPr="00FB43D9">
        <w:rPr>
          <w:rFonts w:eastAsia="Calibri" w:cstheme="minorHAnsi"/>
          <w:lang w:val="en-US"/>
        </w:rPr>
        <w:t xml:space="preserve">The number of mature aged people in the ER has increased by 42.1 per cent since March 2020 and the </w:t>
      </w:r>
      <w:r w:rsidR="00992574">
        <w:rPr>
          <w:rFonts w:eastAsia="Calibri" w:cstheme="minorHAnsi"/>
          <w:lang w:val="en-US"/>
        </w:rPr>
        <w:t>Local Jobs Program will focus</w:t>
      </w:r>
      <w:r w:rsidR="00877A8E">
        <w:rPr>
          <w:rFonts w:eastAsia="Calibri" w:cstheme="minorHAnsi"/>
          <w:lang w:val="en-US"/>
        </w:rPr>
        <w:t xml:space="preserve"> </w:t>
      </w:r>
      <w:r w:rsidR="00992574">
        <w:rPr>
          <w:rFonts w:eastAsia="Calibri" w:cstheme="minorHAnsi"/>
          <w:lang w:val="en-US"/>
        </w:rPr>
        <w:t>on</w:t>
      </w:r>
      <w:r w:rsidRPr="00FB43D9">
        <w:rPr>
          <w:rFonts w:eastAsia="Calibri" w:cstheme="minorHAnsi"/>
          <w:lang w:val="en-US"/>
        </w:rPr>
        <w:t xml:space="preserve"> ways to increase opportunities to transition mature aged workers into growth industries. </w:t>
      </w:r>
    </w:p>
    <w:p w14:paraId="3A394042" w14:textId="5233B4DE" w:rsidR="00FB43D9" w:rsidRPr="008E46AA" w:rsidRDefault="00FB43D9" w:rsidP="008E46AA">
      <w:pPr>
        <w:pStyle w:val="Heading2"/>
        <w:rPr>
          <w:b w:val="0"/>
          <w:bCs w:val="0"/>
          <w:color w:val="1D4289"/>
          <w:lang w:val="en"/>
        </w:rPr>
      </w:pPr>
      <w:bookmarkStart w:id="16" w:name="_Hlk87526284"/>
      <w:bookmarkStart w:id="17" w:name="_Toc89157937"/>
      <w:bookmarkStart w:id="18" w:name="_Toc78282090"/>
      <w:bookmarkStart w:id="19" w:name="_Toc85786159"/>
      <w:r w:rsidRPr="008E46AA">
        <w:rPr>
          <w:b w:val="0"/>
          <w:bCs w:val="0"/>
          <w:color w:val="1D4289"/>
          <w:lang w:val="en"/>
        </w:rPr>
        <w:t xml:space="preserve">Culturally and Linguistically Diverse </w:t>
      </w:r>
      <w:bookmarkEnd w:id="16"/>
      <w:r w:rsidRPr="008E46AA">
        <w:rPr>
          <w:b w:val="0"/>
          <w:bCs w:val="0"/>
          <w:color w:val="1D4289"/>
          <w:lang w:val="en"/>
        </w:rPr>
        <w:t>(CALD)</w:t>
      </w:r>
      <w:bookmarkEnd w:id="17"/>
      <w:r w:rsidRPr="008E46AA">
        <w:rPr>
          <w:b w:val="0"/>
          <w:bCs w:val="0"/>
          <w:color w:val="1D4289"/>
          <w:lang w:val="en"/>
        </w:rPr>
        <w:t xml:space="preserve"> </w:t>
      </w:r>
      <w:bookmarkEnd w:id="18"/>
      <w:bookmarkEnd w:id="19"/>
    </w:p>
    <w:p w14:paraId="4E1A8BE3" w14:textId="1ADA7136" w:rsidR="00C54B28" w:rsidRDefault="007B398D" w:rsidP="00FB43D9">
      <w:pPr>
        <w:spacing w:before="120" w:after="120" w:line="257" w:lineRule="auto"/>
        <w:rPr>
          <w:rFonts w:eastAsia="Calibri" w:cstheme="minorHAnsi"/>
          <w:lang w:val="en-US"/>
        </w:rPr>
      </w:pPr>
      <w:r w:rsidRPr="007B398D">
        <w:rPr>
          <w:rFonts w:eastAsia="Calibri" w:cstheme="minorHAnsi"/>
          <w:lang w:val="en-US"/>
        </w:rPr>
        <w:t xml:space="preserve">Victoria is home to one of the most culturally diverse societies in the </w:t>
      </w:r>
      <w:r w:rsidR="00A041BC" w:rsidRPr="007B398D">
        <w:rPr>
          <w:rFonts w:eastAsia="Calibri" w:cstheme="minorHAnsi"/>
          <w:lang w:val="en-US"/>
        </w:rPr>
        <w:t>world and</w:t>
      </w:r>
      <w:r w:rsidRPr="007B398D">
        <w:rPr>
          <w:rFonts w:eastAsia="Calibri" w:cstheme="minorHAnsi"/>
          <w:lang w:val="en-US"/>
        </w:rPr>
        <w:t xml:space="preserve"> is also among the </w:t>
      </w:r>
      <w:r w:rsidR="00401B1D" w:rsidRPr="007B398D">
        <w:rPr>
          <w:rFonts w:eastAsia="Calibri" w:cstheme="minorHAnsi"/>
          <w:lang w:val="en-US"/>
        </w:rPr>
        <w:t>fastest growing</w:t>
      </w:r>
      <w:r w:rsidRPr="007B398D">
        <w:rPr>
          <w:rFonts w:eastAsia="Calibri" w:cstheme="minorHAnsi"/>
          <w:lang w:val="en-US"/>
        </w:rPr>
        <w:t xml:space="preserve"> and most</w:t>
      </w:r>
      <w:r w:rsidR="00170252">
        <w:rPr>
          <w:rFonts w:eastAsia="Calibri" w:cstheme="minorHAnsi"/>
          <w:lang w:val="en-US"/>
        </w:rPr>
        <w:t xml:space="preserve"> culturally</w:t>
      </w:r>
      <w:r w:rsidRPr="007B398D">
        <w:rPr>
          <w:rFonts w:eastAsia="Calibri" w:cstheme="minorHAnsi"/>
          <w:lang w:val="en-US"/>
        </w:rPr>
        <w:t xml:space="preserve"> diverse states in Australia</w:t>
      </w:r>
      <w:r>
        <w:rPr>
          <w:rFonts w:eastAsia="Calibri" w:cstheme="minorHAnsi"/>
          <w:lang w:val="en-US"/>
        </w:rPr>
        <w:t xml:space="preserve">. </w:t>
      </w:r>
      <w:r w:rsidR="00FB43D9" w:rsidRPr="00FB43D9">
        <w:rPr>
          <w:rFonts w:eastAsia="Calibri" w:cstheme="minorHAnsi"/>
          <w:lang w:val="en-US"/>
        </w:rPr>
        <w:t xml:space="preserve">The Goulburn Murray </w:t>
      </w:r>
      <w:r w:rsidR="007558B6">
        <w:rPr>
          <w:rFonts w:eastAsia="Calibri" w:cstheme="minorHAnsi"/>
          <w:lang w:val="en-US"/>
        </w:rPr>
        <w:t>ER</w:t>
      </w:r>
      <w:r w:rsidR="00A041BC">
        <w:rPr>
          <w:rFonts w:eastAsia="Calibri" w:cstheme="minorHAnsi"/>
          <w:lang w:val="en-US"/>
        </w:rPr>
        <w:t xml:space="preserve"> </w:t>
      </w:r>
      <w:r w:rsidR="00912088">
        <w:rPr>
          <w:rFonts w:eastAsia="Calibri" w:cstheme="minorHAnsi"/>
          <w:lang w:val="en-US"/>
        </w:rPr>
        <w:t>has a large</w:t>
      </w:r>
      <w:r w:rsidR="00C92FF5">
        <w:rPr>
          <w:rFonts w:eastAsia="Calibri" w:cstheme="minorHAnsi"/>
          <w:lang w:val="en-US"/>
        </w:rPr>
        <w:t xml:space="preserve"> </w:t>
      </w:r>
      <w:r w:rsidR="00FB43D9" w:rsidRPr="00FB43D9">
        <w:rPr>
          <w:rFonts w:eastAsia="Calibri" w:cstheme="minorHAnsi"/>
          <w:lang w:val="en-US"/>
        </w:rPr>
        <w:t>migrant</w:t>
      </w:r>
      <w:r w:rsidR="00C92FF5">
        <w:rPr>
          <w:rFonts w:eastAsia="Calibri" w:cstheme="minorHAnsi"/>
          <w:lang w:val="en-US"/>
        </w:rPr>
        <w:t xml:space="preserve"> population</w:t>
      </w:r>
      <w:r w:rsidR="00D7531E">
        <w:rPr>
          <w:rFonts w:eastAsia="Calibri" w:cstheme="minorHAnsi"/>
          <w:lang w:val="en-US"/>
        </w:rPr>
        <w:t xml:space="preserve">, with cultures </w:t>
      </w:r>
      <w:r w:rsidR="00B967D4">
        <w:rPr>
          <w:rFonts w:eastAsia="Calibri" w:cstheme="minorHAnsi"/>
          <w:lang w:val="en-US"/>
        </w:rPr>
        <w:t>originating</w:t>
      </w:r>
      <w:r w:rsidR="005624C2">
        <w:rPr>
          <w:rFonts w:eastAsia="Calibri" w:cstheme="minorHAnsi"/>
          <w:lang w:val="en-US"/>
        </w:rPr>
        <w:t xml:space="preserve"> </w:t>
      </w:r>
      <w:r w:rsidR="00FB43D9" w:rsidRPr="00FB43D9">
        <w:rPr>
          <w:rFonts w:eastAsia="Calibri" w:cstheme="minorHAnsi"/>
          <w:lang w:val="en-US"/>
        </w:rPr>
        <w:t>from Europe, Asia</w:t>
      </w:r>
      <w:r>
        <w:rPr>
          <w:rFonts w:eastAsia="Calibri" w:cstheme="minorHAnsi"/>
          <w:lang w:val="en-US"/>
        </w:rPr>
        <w:t xml:space="preserve">, </w:t>
      </w:r>
      <w:r w:rsidR="00FB43D9" w:rsidRPr="00FB43D9">
        <w:rPr>
          <w:rFonts w:eastAsia="Calibri" w:cstheme="minorHAnsi"/>
          <w:lang w:val="en-US"/>
        </w:rPr>
        <w:t xml:space="preserve">Africa </w:t>
      </w:r>
      <w:r>
        <w:rPr>
          <w:rFonts w:eastAsia="Calibri" w:cstheme="minorHAnsi"/>
          <w:lang w:val="en-US"/>
        </w:rPr>
        <w:t xml:space="preserve">and the </w:t>
      </w:r>
      <w:r w:rsidR="008B3026">
        <w:rPr>
          <w:rFonts w:eastAsia="Calibri" w:cstheme="minorHAnsi"/>
          <w:lang w:val="en-US"/>
        </w:rPr>
        <w:t>Middle East</w:t>
      </w:r>
      <w:r w:rsidR="00421E0F">
        <w:rPr>
          <w:rFonts w:eastAsia="Calibri" w:cstheme="minorHAnsi"/>
          <w:lang w:val="en-US"/>
        </w:rPr>
        <w:t xml:space="preserve">. </w:t>
      </w:r>
    </w:p>
    <w:p w14:paraId="328F11DF" w14:textId="5DEE8BE8" w:rsidR="0071344B" w:rsidRDefault="0071344B" w:rsidP="00FB43D9">
      <w:pPr>
        <w:spacing w:before="120" w:after="120" w:line="257" w:lineRule="auto"/>
        <w:rPr>
          <w:rFonts w:eastAsia="Calibri" w:cstheme="minorHAnsi"/>
          <w:lang w:val="en-US"/>
        </w:rPr>
      </w:pPr>
      <w:r>
        <w:rPr>
          <w:rFonts w:eastAsia="Calibri" w:cstheme="minorHAnsi"/>
          <w:lang w:val="en-US"/>
        </w:rPr>
        <w:t xml:space="preserve">The Mitchell Shire, City of Wodonga and Greater Shepparton continue to attract migrants to the region, with moderate growth reported in the </w:t>
      </w:r>
      <w:r w:rsidRPr="00A06C39">
        <w:rPr>
          <w:rFonts w:eastAsia="Calibri" w:cstheme="minorHAnsi"/>
          <w:lang w:val="en-US"/>
        </w:rPr>
        <w:t>2016 Census.</w:t>
      </w:r>
      <w:r w:rsidR="002679F9">
        <w:rPr>
          <w:rFonts w:eastAsia="Calibri" w:cstheme="minorHAnsi"/>
          <w:lang w:val="en-US"/>
        </w:rPr>
        <w:t xml:space="preserve"> </w:t>
      </w:r>
      <w:r w:rsidR="00CE4733">
        <w:t>Shepparton</w:t>
      </w:r>
      <w:r w:rsidR="00790688">
        <w:t>, in particular,</w:t>
      </w:r>
      <w:r w:rsidR="00CE4733">
        <w:t xml:space="preserve"> has a large </w:t>
      </w:r>
      <w:r w:rsidR="00790688">
        <w:rPr>
          <w:lang w:val="en"/>
        </w:rPr>
        <w:t>CALD</w:t>
      </w:r>
      <w:r w:rsidR="003737F9" w:rsidRPr="00EF7AC4">
        <w:rPr>
          <w:lang w:val="en"/>
        </w:rPr>
        <w:t xml:space="preserve"> </w:t>
      </w:r>
      <w:r w:rsidR="00CE4733">
        <w:t xml:space="preserve">community, </w:t>
      </w:r>
      <w:r w:rsidR="00FC4617">
        <w:t xml:space="preserve">one of the </w:t>
      </w:r>
      <w:r w:rsidR="00CE4733">
        <w:t xml:space="preserve">largest </w:t>
      </w:r>
      <w:r w:rsidR="00FC4617">
        <w:t xml:space="preserve">in regional </w:t>
      </w:r>
      <w:r w:rsidR="00CE4733">
        <w:t>Australia.</w:t>
      </w:r>
      <w:r w:rsidR="00DB105C">
        <w:t xml:space="preserve"> </w:t>
      </w:r>
      <w:r w:rsidR="0053798A">
        <w:t xml:space="preserve">All levels of </w:t>
      </w:r>
      <w:r w:rsidR="00EE4548">
        <w:t>governme</w:t>
      </w:r>
      <w:r w:rsidR="00960528">
        <w:t>nt</w:t>
      </w:r>
      <w:r w:rsidR="00BA1901">
        <w:t>, industry</w:t>
      </w:r>
      <w:r w:rsidR="00362EB0">
        <w:t xml:space="preserve"> and community</w:t>
      </w:r>
      <w:r w:rsidR="0053798A">
        <w:t xml:space="preserve"> leaders </w:t>
      </w:r>
      <w:r w:rsidR="00362EB0">
        <w:t>work together</w:t>
      </w:r>
      <w:r w:rsidR="00701953">
        <w:t xml:space="preserve"> </w:t>
      </w:r>
      <w:r w:rsidR="007E2ADB">
        <w:t xml:space="preserve">to </w:t>
      </w:r>
      <w:r w:rsidR="00540F0A">
        <w:t xml:space="preserve">assist </w:t>
      </w:r>
      <w:r w:rsidR="007132FD">
        <w:t xml:space="preserve">the </w:t>
      </w:r>
      <w:r w:rsidR="007E2ADB">
        <w:t>integr</w:t>
      </w:r>
      <w:r w:rsidR="00C76123">
        <w:t>at</w:t>
      </w:r>
      <w:r w:rsidR="007132FD">
        <w:t xml:space="preserve">ion </w:t>
      </w:r>
      <w:r w:rsidR="00F148E7">
        <w:t>of</w:t>
      </w:r>
      <w:r w:rsidR="00C76123">
        <w:t xml:space="preserve"> </w:t>
      </w:r>
      <w:r w:rsidR="00B20669">
        <w:t xml:space="preserve">the </w:t>
      </w:r>
      <w:r w:rsidR="00C76123">
        <w:t xml:space="preserve">cohort into </w:t>
      </w:r>
      <w:r w:rsidR="00F148E7">
        <w:t xml:space="preserve">their </w:t>
      </w:r>
      <w:r w:rsidR="002B3B6D">
        <w:t>community.</w:t>
      </w:r>
      <w:r w:rsidR="002B3B6D">
        <w:rPr>
          <w:rFonts w:eastAsia="Calibri" w:cstheme="minorHAnsi"/>
          <w:lang w:val="en-US"/>
        </w:rPr>
        <w:t xml:space="preserve"> </w:t>
      </w:r>
    </w:p>
    <w:p w14:paraId="7474390C" w14:textId="36732146" w:rsidR="003B5662" w:rsidRDefault="002B3B6D" w:rsidP="00FB43D9">
      <w:pPr>
        <w:spacing w:before="120" w:after="120" w:line="257" w:lineRule="auto"/>
        <w:rPr>
          <w:rFonts w:eastAsia="Calibri" w:cstheme="minorHAnsi"/>
          <w:lang w:val="en-US"/>
        </w:rPr>
      </w:pPr>
      <w:r>
        <w:rPr>
          <w:rFonts w:eastAsia="Calibri" w:cstheme="minorHAnsi"/>
          <w:lang w:val="en-US"/>
        </w:rPr>
        <w:t>The</w:t>
      </w:r>
      <w:r w:rsidR="00FB43D9" w:rsidRPr="00FB43D9">
        <w:rPr>
          <w:rFonts w:eastAsia="Calibri" w:cstheme="minorHAnsi"/>
          <w:lang w:val="en-US"/>
        </w:rPr>
        <w:t xml:space="preserve"> availability of affordable housing, including public housing, established settlement programs, cultural connections and community clusters has contributed to the higher CALD populations </w:t>
      </w:r>
      <w:r w:rsidR="00C5298B">
        <w:rPr>
          <w:rFonts w:eastAsia="Calibri" w:cstheme="minorHAnsi"/>
          <w:lang w:val="en-US"/>
        </w:rPr>
        <w:t xml:space="preserve">such as </w:t>
      </w:r>
      <w:r w:rsidR="00F50CC8">
        <w:rPr>
          <w:rFonts w:eastAsia="Calibri" w:cstheme="minorHAnsi"/>
          <w:lang w:val="en-US"/>
        </w:rPr>
        <w:t>Shepparton</w:t>
      </w:r>
      <w:r w:rsidR="00C5298B">
        <w:rPr>
          <w:rFonts w:eastAsia="Calibri" w:cstheme="minorHAnsi"/>
          <w:lang w:val="en-US"/>
        </w:rPr>
        <w:t xml:space="preserve"> </w:t>
      </w:r>
      <w:r w:rsidR="00FB43D9" w:rsidRPr="00FB43D9">
        <w:rPr>
          <w:rFonts w:eastAsia="Calibri" w:cstheme="minorHAnsi"/>
          <w:lang w:val="en-US"/>
        </w:rPr>
        <w:t>when compared to the smaller LGAs in the region.</w:t>
      </w:r>
    </w:p>
    <w:p w14:paraId="6B9CD908" w14:textId="77777777" w:rsidR="00FB43D9" w:rsidRPr="008E46AA" w:rsidRDefault="00FB43D9" w:rsidP="008E46AA">
      <w:pPr>
        <w:pStyle w:val="Heading2"/>
        <w:rPr>
          <w:b w:val="0"/>
          <w:bCs w:val="0"/>
          <w:color w:val="1D4289"/>
          <w:lang w:val="en"/>
        </w:rPr>
      </w:pPr>
      <w:bookmarkStart w:id="20" w:name="_Toc78282091"/>
      <w:bookmarkStart w:id="21" w:name="_Toc85786160"/>
      <w:bookmarkStart w:id="22" w:name="_Toc89157938"/>
      <w:r w:rsidRPr="008E46AA">
        <w:rPr>
          <w:b w:val="0"/>
          <w:bCs w:val="0"/>
          <w:color w:val="1D4289"/>
          <w:lang w:val="en"/>
        </w:rPr>
        <w:t>Aboriginal and Torres Strait Islander people</w:t>
      </w:r>
      <w:bookmarkEnd w:id="20"/>
      <w:bookmarkEnd w:id="21"/>
      <w:bookmarkEnd w:id="22"/>
    </w:p>
    <w:p w14:paraId="1ADF5B66" w14:textId="452CAE51" w:rsidR="00402A6E" w:rsidRPr="00FB43D9" w:rsidRDefault="00FB43D9" w:rsidP="00FB43D9">
      <w:pPr>
        <w:spacing w:before="120" w:after="120" w:line="257" w:lineRule="auto"/>
        <w:rPr>
          <w:rFonts w:eastAsia="Calibri" w:cstheme="minorHAnsi"/>
          <w:lang w:val="en-US"/>
        </w:rPr>
      </w:pPr>
      <w:r w:rsidRPr="00FB43D9">
        <w:rPr>
          <w:rFonts w:eastAsia="Calibri" w:cstheme="minorHAnsi"/>
          <w:lang w:val="en-US"/>
        </w:rPr>
        <w:t xml:space="preserve">Shepparton and Mooroopna have the largest Indigenous population in </w:t>
      </w:r>
      <w:r w:rsidR="00161D0C">
        <w:rPr>
          <w:rFonts w:eastAsia="Calibri" w:cstheme="minorHAnsi"/>
          <w:lang w:val="en-US"/>
        </w:rPr>
        <w:t>regional</w:t>
      </w:r>
      <w:r w:rsidR="00A041BC">
        <w:rPr>
          <w:rFonts w:eastAsia="Calibri" w:cstheme="minorHAnsi"/>
          <w:lang w:val="en-US"/>
        </w:rPr>
        <w:t xml:space="preserve"> </w:t>
      </w:r>
      <w:r w:rsidRPr="00FB43D9">
        <w:rPr>
          <w:rFonts w:eastAsia="Calibri" w:cstheme="minorHAnsi"/>
          <w:lang w:val="en-US"/>
        </w:rPr>
        <w:t xml:space="preserve">Victoria. There are also large Indigenous settlements along the Murray River, including Wodonga and Echuca. These areas have strong Indigenous service networks and liaising and collaborating with local Indigenous organisations will be key in developing strategies that increase engagement in training and employment aligned to local opportunities. </w:t>
      </w:r>
    </w:p>
    <w:p w14:paraId="3B0A5BD7" w14:textId="77777777" w:rsidR="00FB43D9" w:rsidRPr="008E46AA" w:rsidRDefault="00FB43D9" w:rsidP="008E46AA">
      <w:pPr>
        <w:pStyle w:val="Heading1"/>
        <w:rPr>
          <w:sz w:val="40"/>
          <w:szCs w:val="40"/>
        </w:rPr>
      </w:pPr>
      <w:bookmarkStart w:id="23" w:name="_Toc54010362"/>
      <w:bookmarkStart w:id="24" w:name="_Toc54611519"/>
      <w:bookmarkStart w:id="25" w:name="_Toc78282092"/>
      <w:bookmarkStart w:id="26" w:name="_Toc85786161"/>
      <w:bookmarkStart w:id="27" w:name="_Toc89157939"/>
      <w:r w:rsidRPr="008E46AA">
        <w:rPr>
          <w:sz w:val="40"/>
          <w:szCs w:val="40"/>
        </w:rPr>
        <w:t>Impacts of COVID-19</w:t>
      </w:r>
      <w:bookmarkEnd w:id="23"/>
      <w:bookmarkEnd w:id="24"/>
      <w:bookmarkEnd w:id="25"/>
      <w:bookmarkEnd w:id="26"/>
      <w:bookmarkEnd w:id="27"/>
    </w:p>
    <w:p w14:paraId="1772127C" w14:textId="6A04DBE3" w:rsidR="00FB43D9" w:rsidRPr="00FB43D9" w:rsidRDefault="00FB43D9" w:rsidP="00FB43D9">
      <w:pPr>
        <w:spacing w:before="120" w:after="120" w:line="257" w:lineRule="auto"/>
        <w:rPr>
          <w:rFonts w:eastAsia="Calibri" w:cstheme="minorHAnsi"/>
          <w:lang w:val="en-US"/>
        </w:rPr>
      </w:pPr>
      <w:r w:rsidRPr="00FB43D9">
        <w:rPr>
          <w:rFonts w:eastAsia="Calibri" w:cstheme="minorHAnsi"/>
          <w:lang w:val="en-US"/>
        </w:rPr>
        <w:t xml:space="preserve">The COVID-19 pandemic has had a widespread impact on the </w:t>
      </w:r>
      <w:r w:rsidR="00007033">
        <w:rPr>
          <w:rFonts w:eastAsia="Calibri" w:cstheme="minorHAnsi"/>
          <w:lang w:val="en-US"/>
        </w:rPr>
        <w:t>region’s</w:t>
      </w:r>
      <w:r w:rsidRPr="00FB43D9">
        <w:rPr>
          <w:rFonts w:eastAsia="Calibri" w:cstheme="minorHAnsi"/>
          <w:lang w:val="en-US"/>
        </w:rPr>
        <w:t xml:space="preserve"> economy, which </w:t>
      </w:r>
      <w:r w:rsidR="00992574">
        <w:rPr>
          <w:rFonts w:eastAsia="Calibri" w:cstheme="minorHAnsi"/>
          <w:lang w:val="en-US"/>
        </w:rPr>
        <w:t xml:space="preserve">heavily </w:t>
      </w:r>
      <w:r w:rsidRPr="00FB43D9">
        <w:rPr>
          <w:rFonts w:eastAsia="Calibri" w:cstheme="minorHAnsi"/>
          <w:lang w:val="en-US"/>
        </w:rPr>
        <w:t>relies on domestic and international travelers. Retail, hospitality, and accommodation businesses have been affected by the collapse in demand for services, particularly in tourist destinations along the Murray River and Alpine Regions.</w:t>
      </w:r>
    </w:p>
    <w:p w14:paraId="28A736F9" w14:textId="39951283" w:rsidR="00A92611" w:rsidRDefault="00FB43D9" w:rsidP="00FB43D9">
      <w:pPr>
        <w:spacing w:before="120" w:after="120" w:line="257" w:lineRule="auto"/>
        <w:rPr>
          <w:color w:val="000000" w:themeColor="text1"/>
        </w:rPr>
      </w:pPr>
      <w:r w:rsidRPr="00FB43D9">
        <w:rPr>
          <w:rFonts w:eastAsia="Calibri" w:cstheme="minorHAnsi"/>
          <w:lang w:val="en-US"/>
        </w:rPr>
        <w:t xml:space="preserve">Domestic and international border restrictions have affected employers and workers in the food and fibre industry with fewer overseas seasonal workers available to meet the needs of local growers. Significant restrictions on exports and changed conditions in domestic markets have also negatively impacted local food production and manufacturing businesses, leading to staff being stood down, laid off or having reduced hours. </w:t>
      </w:r>
    </w:p>
    <w:p w14:paraId="2C3B3FFC" w14:textId="390744B4" w:rsidR="00FB43D9" w:rsidRPr="00FB43D9" w:rsidRDefault="00FB43D9" w:rsidP="00FB43D9">
      <w:pPr>
        <w:spacing w:before="120" w:after="120" w:line="257" w:lineRule="auto"/>
        <w:rPr>
          <w:rFonts w:eastAsia="Calibri" w:cstheme="minorHAnsi"/>
          <w:lang w:val="en-US"/>
        </w:rPr>
      </w:pPr>
      <w:r w:rsidRPr="00FB43D9">
        <w:rPr>
          <w:rFonts w:eastAsia="Calibri" w:cstheme="minorHAnsi"/>
          <w:lang w:val="en-US"/>
        </w:rPr>
        <w:t>Other industry sectors have also experienced job losses due to COVID-19, including retail</w:t>
      </w:r>
      <w:r w:rsidR="00C746DA">
        <w:rPr>
          <w:rFonts w:eastAsia="Calibri" w:cstheme="minorHAnsi"/>
          <w:lang w:val="en-US"/>
        </w:rPr>
        <w:t xml:space="preserve"> and industries regarded as non-essential. </w:t>
      </w:r>
      <w:r w:rsidR="00EE4B4A">
        <w:rPr>
          <w:rFonts w:eastAsia="Calibri" w:cstheme="minorHAnsi"/>
          <w:lang w:val="en-US"/>
        </w:rPr>
        <w:t>Workers stood down or made redundant</w:t>
      </w:r>
      <w:r w:rsidR="00A0107E">
        <w:rPr>
          <w:rFonts w:eastAsia="Calibri" w:cstheme="minorHAnsi"/>
          <w:lang w:val="en-US"/>
        </w:rPr>
        <w:t xml:space="preserve"> during periods of lockdo</w:t>
      </w:r>
      <w:r w:rsidR="0014338C">
        <w:rPr>
          <w:rFonts w:eastAsia="Calibri" w:cstheme="minorHAnsi"/>
          <w:lang w:val="en-US"/>
        </w:rPr>
        <w:t>wn</w:t>
      </w:r>
      <w:r w:rsidR="00EE4B4A">
        <w:rPr>
          <w:rFonts w:eastAsia="Calibri" w:cstheme="minorHAnsi"/>
          <w:lang w:val="en-US"/>
        </w:rPr>
        <w:t xml:space="preserve"> have </w:t>
      </w:r>
      <w:r w:rsidR="00B64E82">
        <w:rPr>
          <w:rFonts w:eastAsia="Calibri" w:cstheme="minorHAnsi"/>
          <w:lang w:val="en-US"/>
        </w:rPr>
        <w:t>moved i</w:t>
      </w:r>
      <w:r w:rsidR="00A0107E">
        <w:rPr>
          <w:rFonts w:eastAsia="Calibri" w:cstheme="minorHAnsi"/>
          <w:lang w:val="en-US"/>
        </w:rPr>
        <w:t>n</w:t>
      </w:r>
      <w:r w:rsidR="00B64E82">
        <w:rPr>
          <w:rFonts w:eastAsia="Calibri" w:cstheme="minorHAnsi"/>
          <w:lang w:val="en-US"/>
        </w:rPr>
        <w:t xml:space="preserve">to </w:t>
      </w:r>
      <w:r w:rsidR="004C4424">
        <w:rPr>
          <w:rFonts w:eastAsia="Calibri" w:cstheme="minorHAnsi"/>
          <w:lang w:val="en-US"/>
        </w:rPr>
        <w:t xml:space="preserve">other industries that </w:t>
      </w:r>
      <w:r w:rsidR="006F409A">
        <w:rPr>
          <w:rFonts w:eastAsia="Calibri" w:cstheme="minorHAnsi"/>
          <w:lang w:val="en-US"/>
        </w:rPr>
        <w:t>demonstrated job security</w:t>
      </w:r>
      <w:r w:rsidR="00E62B5A">
        <w:rPr>
          <w:rFonts w:eastAsia="Calibri" w:cstheme="minorHAnsi"/>
          <w:lang w:val="en-US"/>
        </w:rPr>
        <w:t xml:space="preserve"> </w:t>
      </w:r>
      <w:r w:rsidR="00EB385C">
        <w:rPr>
          <w:rFonts w:eastAsia="Calibri" w:cstheme="minorHAnsi"/>
          <w:lang w:val="en-US"/>
        </w:rPr>
        <w:t>or</w:t>
      </w:r>
      <w:r w:rsidR="001B0353">
        <w:rPr>
          <w:rFonts w:eastAsia="Calibri" w:cstheme="minorHAnsi"/>
          <w:lang w:val="en-US"/>
        </w:rPr>
        <w:t>,</w:t>
      </w:r>
      <w:r w:rsidR="00EB385C">
        <w:rPr>
          <w:rFonts w:eastAsia="Calibri" w:cstheme="minorHAnsi"/>
          <w:lang w:val="en-US"/>
        </w:rPr>
        <w:t xml:space="preserve"> have remained unemployed</w:t>
      </w:r>
      <w:r w:rsidR="006F409A">
        <w:rPr>
          <w:rFonts w:eastAsia="Calibri" w:cstheme="minorHAnsi"/>
          <w:lang w:val="en-US"/>
        </w:rPr>
        <w:t xml:space="preserve">. </w:t>
      </w:r>
      <w:r w:rsidRPr="00FB43D9">
        <w:rPr>
          <w:rFonts w:eastAsia="Calibri" w:cstheme="minorHAnsi"/>
          <w:lang w:val="en-US"/>
        </w:rPr>
        <w:t xml:space="preserve">There is an opportunity for transitioning workers, largely aged 45 and over, to be reskilled and upskilled for opportunities in priority industry sectors. </w:t>
      </w:r>
    </w:p>
    <w:p w14:paraId="168EE8E5" w14:textId="51EE5AB1" w:rsidR="00FB43D9" w:rsidRDefault="00FB43D9" w:rsidP="00E43BF9">
      <w:pPr>
        <w:spacing w:before="120" w:after="120" w:line="257" w:lineRule="auto"/>
        <w:rPr>
          <w:i/>
          <w:iCs/>
        </w:rPr>
      </w:pPr>
      <w:r w:rsidRPr="00FB43D9">
        <w:rPr>
          <w:rFonts w:eastAsia="Calibri" w:cstheme="minorHAnsi"/>
          <w:lang w:val="en-US"/>
        </w:rPr>
        <w:t xml:space="preserve">Some employers have experienced </w:t>
      </w:r>
      <w:r w:rsidR="007D7729">
        <w:rPr>
          <w:rFonts w:eastAsia="Calibri" w:cstheme="minorHAnsi"/>
          <w:lang w:val="en-US"/>
        </w:rPr>
        <w:t>a growth in b</w:t>
      </w:r>
      <w:r w:rsidR="00AB5C88">
        <w:rPr>
          <w:rFonts w:eastAsia="Calibri" w:cstheme="minorHAnsi"/>
          <w:lang w:val="en-US"/>
        </w:rPr>
        <w:t>usiness</w:t>
      </w:r>
      <w:r w:rsidRPr="00FB43D9">
        <w:rPr>
          <w:rFonts w:eastAsia="Calibri" w:cstheme="minorHAnsi"/>
          <w:lang w:val="en-US"/>
        </w:rPr>
        <w:t xml:space="preserve">, such as health care, </w:t>
      </w:r>
      <w:r w:rsidR="00F84FEA">
        <w:rPr>
          <w:rFonts w:eastAsia="Calibri" w:cstheme="minorHAnsi"/>
          <w:lang w:val="en-US"/>
        </w:rPr>
        <w:t>manufacturing</w:t>
      </w:r>
      <w:r w:rsidRPr="00FB43D9">
        <w:rPr>
          <w:rFonts w:eastAsia="Calibri" w:cstheme="minorHAnsi"/>
          <w:lang w:val="en-US"/>
        </w:rPr>
        <w:t xml:space="preserve">, </w:t>
      </w:r>
      <w:r w:rsidR="00BE1081">
        <w:rPr>
          <w:rFonts w:eastAsia="Calibri" w:cstheme="minorHAnsi"/>
          <w:lang w:val="en-US"/>
        </w:rPr>
        <w:t>food production</w:t>
      </w:r>
      <w:r w:rsidR="00182C37">
        <w:rPr>
          <w:rFonts w:eastAsia="Calibri" w:cstheme="minorHAnsi"/>
          <w:lang w:val="en-US"/>
        </w:rPr>
        <w:t xml:space="preserve"> </w:t>
      </w:r>
      <w:r w:rsidR="00BE1081">
        <w:rPr>
          <w:rFonts w:eastAsia="Calibri" w:cstheme="minorHAnsi"/>
          <w:lang w:val="en-US"/>
        </w:rPr>
        <w:t xml:space="preserve">and transport but </w:t>
      </w:r>
      <w:r w:rsidR="00AB5C88">
        <w:rPr>
          <w:rFonts w:eastAsia="Calibri" w:cstheme="minorHAnsi"/>
          <w:lang w:val="en-US"/>
        </w:rPr>
        <w:t>employe</w:t>
      </w:r>
      <w:r w:rsidR="00113655">
        <w:rPr>
          <w:rFonts w:eastAsia="Calibri" w:cstheme="minorHAnsi"/>
          <w:lang w:val="en-US"/>
        </w:rPr>
        <w:t>r</w:t>
      </w:r>
      <w:r w:rsidR="00AB5C88">
        <w:rPr>
          <w:rFonts w:eastAsia="Calibri" w:cstheme="minorHAnsi"/>
          <w:lang w:val="en-US"/>
        </w:rPr>
        <w:t xml:space="preserve">s </w:t>
      </w:r>
      <w:r w:rsidR="00BE1081">
        <w:rPr>
          <w:rFonts w:eastAsia="Calibri" w:cstheme="minorHAnsi"/>
          <w:lang w:val="en-US"/>
        </w:rPr>
        <w:t xml:space="preserve">face a significant </w:t>
      </w:r>
      <w:r w:rsidR="007D7729">
        <w:rPr>
          <w:rFonts w:eastAsia="Calibri" w:cstheme="minorHAnsi"/>
          <w:lang w:val="en-US"/>
        </w:rPr>
        <w:t xml:space="preserve">skill and/or labour shortage </w:t>
      </w:r>
      <w:r w:rsidR="009803B3">
        <w:rPr>
          <w:rFonts w:eastAsia="Calibri" w:cstheme="minorHAnsi"/>
          <w:lang w:val="en-US"/>
        </w:rPr>
        <w:t>to meet their operational requirements</w:t>
      </w:r>
      <w:r w:rsidR="004D384D">
        <w:rPr>
          <w:rFonts w:eastAsia="Calibri" w:cstheme="minorHAnsi"/>
          <w:lang w:val="en-US"/>
        </w:rPr>
        <w:t xml:space="preserve"> and customer demand.</w:t>
      </w:r>
    </w:p>
    <w:p w14:paraId="7B9862C2" w14:textId="65D19D1C" w:rsidR="00417DF0" w:rsidRPr="008E46AA" w:rsidRDefault="00417DF0" w:rsidP="00360F79">
      <w:pPr>
        <w:pStyle w:val="Heading1"/>
        <w:rPr>
          <w:sz w:val="40"/>
          <w:szCs w:val="40"/>
        </w:rPr>
      </w:pPr>
      <w:bookmarkStart w:id="28" w:name="_Toc89157940"/>
      <w:r w:rsidRPr="008E46AA">
        <w:rPr>
          <w:sz w:val="40"/>
          <w:szCs w:val="40"/>
        </w:rPr>
        <w:lastRenderedPageBreak/>
        <w:t xml:space="preserve">Local </w:t>
      </w:r>
      <w:r w:rsidR="007D1210" w:rsidRPr="008E46AA">
        <w:rPr>
          <w:sz w:val="40"/>
          <w:szCs w:val="40"/>
        </w:rPr>
        <w:t>s</w:t>
      </w:r>
      <w:r w:rsidRPr="008E46AA">
        <w:rPr>
          <w:sz w:val="40"/>
          <w:szCs w:val="40"/>
        </w:rPr>
        <w:t xml:space="preserve">takeholders and </w:t>
      </w:r>
      <w:r w:rsidR="007D1210" w:rsidRPr="008E46AA">
        <w:rPr>
          <w:sz w:val="40"/>
          <w:szCs w:val="40"/>
        </w:rPr>
        <w:t>o</w:t>
      </w:r>
      <w:r w:rsidRPr="008E46AA">
        <w:rPr>
          <w:sz w:val="40"/>
          <w:szCs w:val="40"/>
        </w:rPr>
        <w:t>pportunities</w:t>
      </w:r>
      <w:bookmarkEnd w:id="28"/>
    </w:p>
    <w:p w14:paraId="241D9D6B" w14:textId="77777777" w:rsidR="0081290A" w:rsidRPr="00926324" w:rsidRDefault="0081290A" w:rsidP="0081290A">
      <w:pPr>
        <w:spacing w:before="120" w:line="257" w:lineRule="auto"/>
        <w:rPr>
          <w:rFonts w:eastAsia="Calibri" w:cstheme="minorHAnsi"/>
          <w:lang w:val="en-US"/>
        </w:rPr>
      </w:pPr>
      <w:r w:rsidRPr="00926324">
        <w:rPr>
          <w:rFonts w:eastAsia="Calibri" w:cstheme="minorHAnsi"/>
          <w:lang w:val="en-US"/>
        </w:rPr>
        <w:t xml:space="preserve">The Goulburn Murray ER hosts a wide range of employer and training organisations that will present opportunities for engagement to broker skill development and employment initiatives. Leveraging all </w:t>
      </w:r>
      <w:r>
        <w:rPr>
          <w:rFonts w:eastAsia="Calibri" w:cstheme="minorHAnsi"/>
          <w:lang w:val="en-US"/>
        </w:rPr>
        <w:t>14</w:t>
      </w:r>
      <w:r w:rsidRPr="00926324">
        <w:rPr>
          <w:rFonts w:eastAsia="Calibri" w:cstheme="minorHAnsi"/>
          <w:lang w:val="en-US"/>
        </w:rPr>
        <w:t xml:space="preserve"> local government councils in the Goulburn Murray ER will be vital in meeting the varying labour market demands across the region and to provide opportunities for job seekers.</w:t>
      </w:r>
    </w:p>
    <w:p w14:paraId="1F2CD010" w14:textId="77777777" w:rsidR="0081290A" w:rsidRPr="00926324" w:rsidRDefault="0081290A" w:rsidP="0081290A">
      <w:pPr>
        <w:spacing w:before="120" w:line="257" w:lineRule="auto"/>
        <w:rPr>
          <w:rFonts w:eastAsia="Calibri" w:cstheme="minorHAnsi"/>
          <w:lang w:val="en-US"/>
        </w:rPr>
      </w:pPr>
      <w:r w:rsidRPr="00926324">
        <w:rPr>
          <w:rFonts w:eastAsia="Calibri" w:cstheme="minorHAnsi"/>
          <w:lang w:val="en-US"/>
        </w:rPr>
        <w:t>The Goulburn Murray ER is a cross border ER delivering employment services across the NSW and Victoria Albury Wodonga border. The ER has three job active providers who deliver employment services, these are CVGT Australia, MADEC Australia and Sureway Employment &amp; Training Pty Ltd. Other programs include:</w:t>
      </w:r>
    </w:p>
    <w:p w14:paraId="1536C683"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Transition to Work (TtW) delivering intensive employment services to youth</w:t>
      </w:r>
    </w:p>
    <w:p w14:paraId="716A5B1D"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Parents Next supporting parents to prepare and return to work</w:t>
      </w:r>
    </w:p>
    <w:p w14:paraId="18366B56"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Harvest Trail Services connect workers with employers in harvesting areas across Australia. Workers can mix work with travel and learn new skills or start a career in agriculture</w:t>
      </w:r>
    </w:p>
    <w:p w14:paraId="7AC08932"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Supporting the Harvest Trail Services is the Harvest Trail Information Service, which provides comprehensive up-to-date information about harvest work opportunities. Harvest Trail Information Service is a national service covering Australia in its entirety</w:t>
      </w:r>
    </w:p>
    <w:p w14:paraId="475C43E4"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New Business Assistance with NEIS providing self-employment opportunities</w:t>
      </w:r>
    </w:p>
    <w:p w14:paraId="39A55E11"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 xml:space="preserve">Career Transition Assistance to help mature aged people to build confidence and skills </w:t>
      </w:r>
    </w:p>
    <w:p w14:paraId="18167CA8"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Employability Skills Training to provide intensive pre-employment training and help young people become job ready</w:t>
      </w:r>
    </w:p>
    <w:p w14:paraId="31B901A3" w14:textId="77777777" w:rsidR="0081290A" w:rsidRDefault="0081290A" w:rsidP="0081290A">
      <w:pPr>
        <w:spacing w:before="120" w:line="257" w:lineRule="auto"/>
        <w:rPr>
          <w:rFonts w:eastAsia="Calibri" w:cstheme="minorHAnsi"/>
          <w:lang w:val="en-US"/>
        </w:rPr>
      </w:pPr>
      <w:r w:rsidRPr="00926324">
        <w:rPr>
          <w:rFonts w:eastAsia="Calibri" w:cstheme="minorHAnsi"/>
          <w:lang w:val="en-US"/>
        </w:rPr>
        <w:t>There will be opportunities to work with New South Wales and Victorian State governments by leveraging new and existing programs by partnering with employment service providers, industry, vocational education, and training providers to help support the economic recovery.</w:t>
      </w:r>
    </w:p>
    <w:p w14:paraId="2180A46E" w14:textId="77777777" w:rsidR="0081290A" w:rsidRPr="00495E78" w:rsidRDefault="0081290A" w:rsidP="0081290A">
      <w:pPr>
        <w:spacing w:before="120"/>
        <w:rPr>
          <w:color w:val="000000" w:themeColor="text1"/>
        </w:rPr>
      </w:pPr>
      <w:r w:rsidRPr="00B41A20">
        <w:rPr>
          <w:color w:val="000000" w:themeColor="text1"/>
        </w:rPr>
        <w:t xml:space="preserve">The </w:t>
      </w:r>
      <w:r>
        <w:rPr>
          <w:color w:val="000000" w:themeColor="text1"/>
        </w:rPr>
        <w:t>Victorian State</w:t>
      </w:r>
      <w:r w:rsidRPr="00B41A20">
        <w:rPr>
          <w:color w:val="000000" w:themeColor="text1"/>
        </w:rPr>
        <w:t xml:space="preserve"> Government’s Jobs Victoria Services include Career Counsellors, Mentors and </w:t>
      </w:r>
      <w:r w:rsidRPr="00495E78">
        <w:rPr>
          <w:color w:val="000000" w:themeColor="text1"/>
        </w:rPr>
        <w:t>Advocates</w:t>
      </w:r>
      <w:r>
        <w:rPr>
          <w:color w:val="000000" w:themeColor="text1"/>
        </w:rPr>
        <w:t xml:space="preserve"> including </w:t>
      </w:r>
      <w:r w:rsidRPr="007641B7">
        <w:t>Qualify, Westvic Staffing Solutions, Rumbalara Football Netball Club, The Centre for Continuing Education, Uniting</w:t>
      </w:r>
      <w:r>
        <w:t>,</w:t>
      </w:r>
      <w:r w:rsidRPr="007641B7">
        <w:t xml:space="preserve"> the Work and Learning Centre in Shepparton and Wodonga TAFE</w:t>
      </w:r>
      <w:r>
        <w:t>.</w:t>
      </w:r>
    </w:p>
    <w:p w14:paraId="5F30DE1C" w14:textId="77777777" w:rsidR="0081290A" w:rsidRPr="00926324" w:rsidRDefault="0081290A" w:rsidP="0081290A">
      <w:pPr>
        <w:spacing w:before="120" w:line="257" w:lineRule="auto"/>
        <w:rPr>
          <w:rFonts w:eastAsia="Calibri" w:cstheme="minorHAnsi"/>
          <w:lang w:val="en-US"/>
        </w:rPr>
      </w:pPr>
      <w:r w:rsidRPr="00926324">
        <w:rPr>
          <w:rFonts w:eastAsia="Calibri" w:cstheme="minorHAnsi"/>
          <w:lang w:val="en-US"/>
        </w:rPr>
        <w:t>Other Australian Government programs include Vocational Training and Employment Centre (VTEC), Disability Employment Services, National Disability Insurance Scheme (NDIS), Australian Apprenticeship Support Network (AASN).</w:t>
      </w:r>
    </w:p>
    <w:p w14:paraId="70C5C351" w14:textId="77777777" w:rsidR="0081290A" w:rsidRPr="00926324" w:rsidRDefault="0081290A" w:rsidP="0081290A">
      <w:pPr>
        <w:spacing w:before="120" w:line="257" w:lineRule="auto"/>
        <w:rPr>
          <w:rFonts w:eastAsia="Calibri" w:cstheme="minorHAnsi"/>
          <w:lang w:val="en-US"/>
        </w:rPr>
      </w:pPr>
      <w:r w:rsidRPr="00926324">
        <w:rPr>
          <w:rFonts w:eastAsia="Calibri" w:cstheme="minorHAnsi"/>
          <w:lang w:val="en-US"/>
        </w:rPr>
        <w:t>New South Wales and Victorian Education providers include TAFE NSW Albury, Charles Sturt University, Go TAFE, Wodonga Institute of TAFE, the Academy of Sport Health and Education, Latrobe University and the Local Learning and Employment Network. Several labor hire and private recruitment companies also operate in the region.</w:t>
      </w:r>
    </w:p>
    <w:p w14:paraId="78167FA7" w14:textId="4C0AE1F3" w:rsidR="004D27BF" w:rsidRDefault="0081290A" w:rsidP="00E329EA">
      <w:pPr>
        <w:spacing w:before="120" w:line="257" w:lineRule="auto"/>
        <w:rPr>
          <w:rFonts w:eastAsia="Calibri" w:cstheme="minorHAnsi"/>
          <w:lang w:val="en-US"/>
        </w:rPr>
      </w:pPr>
      <w:r w:rsidRPr="00926324">
        <w:rPr>
          <w:rFonts w:eastAsia="Calibri" w:cstheme="minorHAnsi"/>
          <w:lang w:val="en-US"/>
        </w:rPr>
        <w:t>There are a number of not-for-profit organisations that can be connected with to offer a range of social and other supports to local job seekers.</w:t>
      </w:r>
    </w:p>
    <w:p w14:paraId="1AE2F493" w14:textId="7B00ECB4" w:rsidR="008E46AA" w:rsidRPr="00EF7AC4" w:rsidRDefault="008E46AA" w:rsidP="00E329EA">
      <w:pPr>
        <w:spacing w:before="120" w:line="257" w:lineRule="auto"/>
        <w:rPr>
          <w:rFonts w:ascii="Calibri" w:eastAsia="Times New Roman" w:hAnsi="Calibri" w:cstheme="majorBidi"/>
          <w:noProof/>
          <w:color w:val="1D4289"/>
          <w:sz w:val="40"/>
          <w:szCs w:val="40"/>
        </w:rPr>
      </w:pPr>
      <w:r w:rsidRPr="00EF7AC4">
        <w:rPr>
          <w:rFonts w:ascii="Calibri" w:eastAsia="Times New Roman" w:hAnsi="Calibri" w:cstheme="majorBidi"/>
          <w:noProof/>
          <w:color w:val="1D4289"/>
          <w:sz w:val="40"/>
          <w:szCs w:val="40"/>
        </w:rPr>
        <w:t>Existing Regional Plans and Programs</w:t>
      </w:r>
    </w:p>
    <w:p w14:paraId="0FCD767C" w14:textId="77777777" w:rsidR="008E46AA" w:rsidRPr="00926324" w:rsidRDefault="008E46AA" w:rsidP="008E46AA">
      <w:pPr>
        <w:spacing w:before="120" w:line="257" w:lineRule="auto"/>
        <w:rPr>
          <w:rFonts w:eastAsia="Calibri" w:cstheme="minorHAnsi"/>
          <w:lang w:val="en-US"/>
        </w:rPr>
      </w:pPr>
      <w:r w:rsidRPr="00926324">
        <w:rPr>
          <w:rFonts w:eastAsia="Calibri" w:cstheme="minorHAnsi"/>
          <w:lang w:val="en-US"/>
        </w:rPr>
        <w:t>This Local Jobs Plan intends to leverage and build on existing regional plans and programs to help move as many people as possible into work or training as quickly as possible. Some of these include:</w:t>
      </w:r>
    </w:p>
    <w:p w14:paraId="584726AC" w14:textId="77777777" w:rsidR="008E46AA" w:rsidRPr="00926324" w:rsidRDefault="008E46AA" w:rsidP="008E46AA">
      <w:pPr>
        <w:pStyle w:val="ListParagraph"/>
        <w:numPr>
          <w:ilvl w:val="0"/>
          <w:numId w:val="43"/>
        </w:numPr>
        <w:tabs>
          <w:tab w:val="left" w:pos="4962"/>
        </w:tabs>
        <w:spacing w:before="120" w:after="120"/>
        <w:rPr>
          <w:color w:val="000000" w:themeColor="text1"/>
        </w:rPr>
      </w:pPr>
      <w:r w:rsidRPr="00926324">
        <w:rPr>
          <w:color w:val="000000" w:themeColor="text1"/>
        </w:rPr>
        <w:t>Victorian Government Regional Economic Development Strategy</w:t>
      </w:r>
    </w:p>
    <w:p w14:paraId="3CA37418" w14:textId="77777777" w:rsidR="008E46AA" w:rsidRPr="00926324" w:rsidRDefault="008E46AA" w:rsidP="008E46AA">
      <w:pPr>
        <w:pStyle w:val="ListParagraph"/>
        <w:numPr>
          <w:ilvl w:val="0"/>
          <w:numId w:val="43"/>
        </w:numPr>
        <w:tabs>
          <w:tab w:val="left" w:pos="4962"/>
        </w:tabs>
        <w:spacing w:before="120" w:after="120"/>
        <w:rPr>
          <w:color w:val="000000" w:themeColor="text1"/>
        </w:rPr>
      </w:pPr>
      <w:r w:rsidRPr="00926324">
        <w:rPr>
          <w:color w:val="000000" w:themeColor="text1"/>
        </w:rPr>
        <w:t>Report to Infrastructure Victoria</w:t>
      </w:r>
    </w:p>
    <w:p w14:paraId="65A98DDD" w14:textId="77777777" w:rsidR="008E46AA" w:rsidRPr="00926324" w:rsidRDefault="00D82AEA" w:rsidP="008E46AA">
      <w:pPr>
        <w:pStyle w:val="ListParagraph"/>
        <w:numPr>
          <w:ilvl w:val="0"/>
          <w:numId w:val="43"/>
        </w:numPr>
        <w:tabs>
          <w:tab w:val="left" w:pos="4962"/>
        </w:tabs>
        <w:spacing w:before="120" w:after="120"/>
        <w:rPr>
          <w:color w:val="000000" w:themeColor="text1"/>
        </w:rPr>
      </w:pPr>
      <w:hyperlink r:id="rId13" w:history="1">
        <w:r w:rsidR="008E46AA" w:rsidRPr="00926324">
          <w:rPr>
            <w:color w:val="000000" w:themeColor="text1"/>
          </w:rPr>
          <w:t>Regional Development Australia - Regional Development Victoria (rdv.vic.gov.au)</w:t>
        </w:r>
      </w:hyperlink>
    </w:p>
    <w:p w14:paraId="34B44CA0" w14:textId="77777777" w:rsidR="008E46AA" w:rsidRPr="00926324" w:rsidRDefault="008E46AA" w:rsidP="008E46AA">
      <w:pPr>
        <w:pStyle w:val="ListParagraph"/>
        <w:numPr>
          <w:ilvl w:val="0"/>
          <w:numId w:val="43"/>
        </w:numPr>
        <w:tabs>
          <w:tab w:val="left" w:pos="4962"/>
        </w:tabs>
        <w:spacing w:before="120" w:after="120"/>
        <w:rPr>
          <w:color w:val="000000" w:themeColor="text1"/>
        </w:rPr>
      </w:pPr>
      <w:r w:rsidRPr="00926324">
        <w:rPr>
          <w:color w:val="000000" w:themeColor="text1"/>
        </w:rPr>
        <w:t xml:space="preserve">Australian Government </w:t>
      </w:r>
      <w:hyperlink r:id="rId14" w:history="1">
        <w:r w:rsidRPr="00926324">
          <w:rPr>
            <w:color w:val="000000" w:themeColor="text1"/>
          </w:rPr>
          <w:t>Regional Recovery Partnerships Fund</w:t>
        </w:r>
      </w:hyperlink>
      <w:r w:rsidRPr="00926324">
        <w:rPr>
          <w:color w:val="000000" w:themeColor="text1"/>
        </w:rPr>
        <w:t xml:space="preserve"> </w:t>
      </w:r>
    </w:p>
    <w:p w14:paraId="03EC5AD7" w14:textId="77777777" w:rsidR="008E46AA" w:rsidRPr="00926324" w:rsidRDefault="008E46AA" w:rsidP="008E46AA">
      <w:pPr>
        <w:pStyle w:val="ListParagraph"/>
        <w:numPr>
          <w:ilvl w:val="0"/>
          <w:numId w:val="43"/>
        </w:numPr>
        <w:tabs>
          <w:tab w:val="left" w:pos="4962"/>
        </w:tabs>
        <w:spacing w:before="120" w:after="120"/>
        <w:rPr>
          <w:color w:val="000000" w:themeColor="text1"/>
        </w:rPr>
      </w:pPr>
      <w:r w:rsidRPr="00926324">
        <w:rPr>
          <w:color w:val="000000" w:themeColor="text1"/>
        </w:rPr>
        <w:t xml:space="preserve">Australian Government </w:t>
      </w:r>
      <w:hyperlink r:id="rId15" w:history="1">
        <w:r w:rsidRPr="00926324">
          <w:rPr>
            <w:color w:val="000000" w:themeColor="text1"/>
          </w:rPr>
          <w:t>Building Better Regions Fund</w:t>
        </w:r>
      </w:hyperlink>
    </w:p>
    <w:p w14:paraId="1D658CE0" w14:textId="77777777" w:rsidR="008E46AA" w:rsidRPr="00926324" w:rsidRDefault="00D82AEA" w:rsidP="008E46AA">
      <w:pPr>
        <w:pStyle w:val="ListParagraph"/>
        <w:numPr>
          <w:ilvl w:val="0"/>
          <w:numId w:val="43"/>
        </w:numPr>
        <w:tabs>
          <w:tab w:val="left" w:pos="4962"/>
        </w:tabs>
        <w:spacing w:before="120" w:after="120"/>
        <w:rPr>
          <w:color w:val="000000" w:themeColor="text1"/>
        </w:rPr>
      </w:pPr>
      <w:hyperlink r:id="rId16" w:history="1">
        <w:r w:rsidR="008E46AA" w:rsidRPr="00926324">
          <w:rPr>
            <w:color w:val="000000" w:themeColor="text1"/>
          </w:rPr>
          <w:t>Albury 2030</w:t>
        </w:r>
      </w:hyperlink>
      <w:r w:rsidR="008E46AA" w:rsidRPr="00926324">
        <w:rPr>
          <w:color w:val="000000" w:themeColor="text1"/>
        </w:rPr>
        <w:t xml:space="preserve"> – Albury Community Strategic Plan</w:t>
      </w:r>
    </w:p>
    <w:p w14:paraId="5BDA2BA4" w14:textId="77777777" w:rsidR="008E46AA" w:rsidRPr="00926324" w:rsidRDefault="00D82AEA" w:rsidP="008E46AA">
      <w:pPr>
        <w:pStyle w:val="ListParagraph"/>
        <w:numPr>
          <w:ilvl w:val="0"/>
          <w:numId w:val="43"/>
        </w:numPr>
        <w:tabs>
          <w:tab w:val="left" w:pos="4962"/>
        </w:tabs>
        <w:spacing w:before="120" w:after="120"/>
        <w:rPr>
          <w:color w:val="000000" w:themeColor="text1"/>
        </w:rPr>
      </w:pPr>
      <w:hyperlink r:id="rId17" w:history="1">
        <w:r w:rsidR="008E46AA" w:rsidRPr="00926324">
          <w:rPr>
            <w:color w:val="000000" w:themeColor="text1"/>
          </w:rPr>
          <w:t>Two Cities One Community</w:t>
        </w:r>
      </w:hyperlink>
      <w:r w:rsidR="008E46AA" w:rsidRPr="00926324">
        <w:rPr>
          <w:color w:val="000000" w:themeColor="text1"/>
        </w:rPr>
        <w:t xml:space="preserve"> – Albury Wodonga</w:t>
      </w:r>
    </w:p>
    <w:p w14:paraId="5BC90A3E" w14:textId="77777777" w:rsidR="008E46AA" w:rsidRPr="00926324" w:rsidRDefault="00D82AEA" w:rsidP="008E46AA">
      <w:pPr>
        <w:pStyle w:val="ListParagraph"/>
        <w:numPr>
          <w:ilvl w:val="0"/>
          <w:numId w:val="43"/>
        </w:numPr>
        <w:tabs>
          <w:tab w:val="left" w:pos="4962"/>
        </w:tabs>
        <w:spacing w:before="120" w:after="120"/>
        <w:rPr>
          <w:color w:val="000000" w:themeColor="text1"/>
        </w:rPr>
      </w:pPr>
      <w:hyperlink r:id="rId18" w:history="1">
        <w:r w:rsidR="008E46AA" w:rsidRPr="00926324">
          <w:rPr>
            <w:color w:val="000000" w:themeColor="text1"/>
          </w:rPr>
          <w:t>Albury Wodonga Regional Deal</w:t>
        </w:r>
      </w:hyperlink>
    </w:p>
    <w:p w14:paraId="4A9ADA4B" w14:textId="77777777" w:rsidR="008E46AA" w:rsidRPr="00926324" w:rsidRDefault="00D82AEA" w:rsidP="008E46AA">
      <w:pPr>
        <w:pStyle w:val="ListParagraph"/>
        <w:numPr>
          <w:ilvl w:val="0"/>
          <w:numId w:val="43"/>
        </w:numPr>
        <w:tabs>
          <w:tab w:val="left" w:pos="4962"/>
        </w:tabs>
        <w:spacing w:before="120" w:after="120"/>
        <w:rPr>
          <w:color w:val="000000" w:themeColor="text1"/>
        </w:rPr>
      </w:pPr>
      <w:hyperlink r:id="rId19" w:history="1">
        <w:r w:rsidR="008E46AA" w:rsidRPr="00926324">
          <w:rPr>
            <w:color w:val="000000" w:themeColor="text1"/>
          </w:rPr>
          <w:t>Campaspe Shire Council</w:t>
        </w:r>
      </w:hyperlink>
      <w:r w:rsidR="008E46AA" w:rsidRPr="00926324">
        <w:rPr>
          <w:color w:val="000000" w:themeColor="text1"/>
        </w:rPr>
        <w:t xml:space="preserve"> – Economic Overview</w:t>
      </w:r>
    </w:p>
    <w:p w14:paraId="31B54D0F" w14:textId="77777777" w:rsidR="008E46AA" w:rsidRPr="00926324" w:rsidRDefault="00D82AEA" w:rsidP="008E46AA">
      <w:pPr>
        <w:pStyle w:val="ListParagraph"/>
        <w:numPr>
          <w:ilvl w:val="0"/>
          <w:numId w:val="43"/>
        </w:numPr>
        <w:tabs>
          <w:tab w:val="left" w:pos="4962"/>
        </w:tabs>
        <w:spacing w:before="120" w:after="120"/>
        <w:rPr>
          <w:color w:val="000000" w:themeColor="text1"/>
        </w:rPr>
      </w:pPr>
      <w:hyperlink r:id="rId20" w:history="1">
        <w:r w:rsidR="008E46AA" w:rsidRPr="00926324">
          <w:rPr>
            <w:color w:val="000000" w:themeColor="text1"/>
          </w:rPr>
          <w:t>Greater Shepparton 2030 Strategy</w:t>
        </w:r>
      </w:hyperlink>
    </w:p>
    <w:p w14:paraId="1359FBD0" w14:textId="77777777" w:rsidR="008E46AA" w:rsidRDefault="00D82AEA" w:rsidP="008E46AA">
      <w:pPr>
        <w:pStyle w:val="ListParagraph"/>
        <w:numPr>
          <w:ilvl w:val="0"/>
          <w:numId w:val="43"/>
        </w:numPr>
        <w:tabs>
          <w:tab w:val="left" w:pos="4962"/>
        </w:tabs>
        <w:spacing w:before="120" w:after="120"/>
        <w:rPr>
          <w:color w:val="000000" w:themeColor="text1"/>
        </w:rPr>
      </w:pPr>
      <w:hyperlink r:id="rId21" w:history="1">
        <w:r w:rsidR="008E46AA" w:rsidRPr="00926324">
          <w:rPr>
            <w:color w:val="000000" w:themeColor="text1"/>
          </w:rPr>
          <w:t xml:space="preserve">Rural City of Wangaratta </w:t>
        </w:r>
        <w:r w:rsidR="008E46AA">
          <w:rPr>
            <w:color w:val="000000" w:themeColor="text1"/>
          </w:rPr>
          <w:t>–</w:t>
        </w:r>
        <w:r w:rsidR="008E46AA" w:rsidRPr="00926324">
          <w:rPr>
            <w:color w:val="000000" w:themeColor="text1"/>
          </w:rPr>
          <w:t xml:space="preserve"> Development</w:t>
        </w:r>
      </w:hyperlink>
    </w:p>
    <w:p w14:paraId="7E1E1959" w14:textId="77777777" w:rsidR="008E46AA" w:rsidRDefault="008E46AA" w:rsidP="008E46AA">
      <w:pPr>
        <w:pStyle w:val="ListParagraph"/>
        <w:numPr>
          <w:ilvl w:val="0"/>
          <w:numId w:val="43"/>
        </w:numPr>
        <w:tabs>
          <w:tab w:val="left" w:pos="4962"/>
        </w:tabs>
        <w:spacing w:before="120" w:after="120"/>
        <w:rPr>
          <w:color w:val="000000" w:themeColor="text1"/>
        </w:rPr>
      </w:pPr>
      <w:r>
        <w:rPr>
          <w:color w:val="000000" w:themeColor="text1"/>
        </w:rPr>
        <w:t>Greater Shepparton Economic Development, Tourism and Major Events.</w:t>
      </w:r>
    </w:p>
    <w:p w14:paraId="2AA21816" w14:textId="1D9737B4" w:rsidR="0081290A" w:rsidRPr="008E46AA" w:rsidRDefault="0081290A" w:rsidP="008E46AA">
      <w:pPr>
        <w:pStyle w:val="Heading1"/>
        <w:rPr>
          <w:sz w:val="40"/>
          <w:szCs w:val="40"/>
        </w:rPr>
      </w:pPr>
      <w:bookmarkStart w:id="29" w:name="_Toc89157941"/>
      <w:r w:rsidRPr="008E46AA">
        <w:rPr>
          <w:sz w:val="40"/>
          <w:szCs w:val="40"/>
        </w:rPr>
        <w:t>Large Employers</w:t>
      </w:r>
      <w:bookmarkEnd w:id="29"/>
    </w:p>
    <w:p w14:paraId="2782CFAC" w14:textId="77777777" w:rsidR="0081290A" w:rsidRPr="00926324" w:rsidRDefault="0081290A" w:rsidP="0081290A">
      <w:pPr>
        <w:spacing w:before="120" w:line="257" w:lineRule="auto"/>
        <w:rPr>
          <w:rFonts w:eastAsia="Calibri" w:cstheme="minorHAnsi"/>
          <w:lang w:val="en-US"/>
        </w:rPr>
      </w:pPr>
      <w:r w:rsidRPr="00926324">
        <w:rPr>
          <w:rFonts w:eastAsia="Calibri" w:cstheme="minorHAnsi"/>
          <w:lang w:val="en-US"/>
        </w:rPr>
        <w:t>Health Care and Social Assistance is the largest employing industry in the Goulburn Murray ER, followed by Manufacturing, Agriculture, Forestry and Fishing, Construction and Retail Trade. The ABS Labor Force Survey, Detailed, four quarter averages Feb21, suggests Health Care and Social Assistance experienced the largest growth for the period from February 2020 to February 2021, increasing 4.4 per cent, followed by Construction increasing 2.8 per cent.</w:t>
      </w:r>
    </w:p>
    <w:p w14:paraId="6065BE7E" w14:textId="77777777" w:rsidR="0081290A" w:rsidRDefault="0081290A" w:rsidP="0081290A">
      <w:pPr>
        <w:spacing w:before="120" w:line="256" w:lineRule="auto"/>
        <w:rPr>
          <w:rFonts w:ascii="Calibri" w:eastAsia="Calibri" w:hAnsi="Calibri" w:cs="Times New Roman"/>
          <w:noProof/>
          <w:color w:val="000000" w:themeColor="text1"/>
        </w:rPr>
      </w:pPr>
      <w:r w:rsidRPr="00FB482F">
        <w:rPr>
          <w:rFonts w:ascii="Calibri" w:eastAsia="Calibri" w:hAnsi="Calibri" w:cs="Times New Roman"/>
          <w:noProof/>
          <w:color w:val="000000" w:themeColor="text1"/>
        </w:rPr>
        <w:t xml:space="preserve">Opportunities to engage for employment openings should be explored for job seekers and skilled workers displaced by COVID-19. These include, but are not limited to: </w:t>
      </w:r>
    </w:p>
    <w:p w14:paraId="3A49CCC7"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Health Care and Social Assistance – Goulburn Valley Health, Albury Wodonga Health, Echuca Regional Health</w:t>
      </w:r>
    </w:p>
    <w:p w14:paraId="3C41C270"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Manufacturing – Pental Soap, SPC Ardmona, Visy Food, Unilever, Campbells Soup, Cannatrek, Mars Petcare</w:t>
      </w:r>
      <w:r>
        <w:rPr>
          <w:color w:val="000000" w:themeColor="text1"/>
        </w:rPr>
        <w:t>, Freedom Foods Shepparton.</w:t>
      </w:r>
    </w:p>
    <w:p w14:paraId="41CD1BDA"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Agriculture, Forestry and Fishing – Harvest Trail Services, Tatura Milk Industries, ACM Dairy, Brown Brothers</w:t>
      </w:r>
      <w:r>
        <w:rPr>
          <w:color w:val="000000" w:themeColor="text1"/>
        </w:rPr>
        <w:t>, Saputo</w:t>
      </w:r>
    </w:p>
    <w:p w14:paraId="74B259E0" w14:textId="77777777" w:rsidR="0081290A" w:rsidRPr="00926324"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 xml:space="preserve">Construction – Echuca Moama Bridge project, Rail Upgrades, Echuca Riverfront development, </w:t>
      </w:r>
      <w:r>
        <w:rPr>
          <w:color w:val="000000" w:themeColor="text1"/>
        </w:rPr>
        <w:t xml:space="preserve">Yarrawonga Waterfront Development, </w:t>
      </w:r>
      <w:r w:rsidRPr="00926324">
        <w:rPr>
          <w:color w:val="000000" w:themeColor="text1"/>
        </w:rPr>
        <w:t>Shepparton High School development, Go TAFE’s Health and Community Services training facility in Seymour, Albury Entertainment Centre improvements</w:t>
      </w:r>
    </w:p>
    <w:p w14:paraId="792EE4DA" w14:textId="0BBA37B1" w:rsidR="0081290A" w:rsidRDefault="0081290A" w:rsidP="0081290A">
      <w:pPr>
        <w:pStyle w:val="ListParagraph"/>
        <w:numPr>
          <w:ilvl w:val="0"/>
          <w:numId w:val="43"/>
        </w:numPr>
        <w:tabs>
          <w:tab w:val="left" w:pos="4962"/>
        </w:tabs>
        <w:spacing w:before="120" w:after="120"/>
        <w:rPr>
          <w:color w:val="000000" w:themeColor="text1"/>
        </w:rPr>
      </w:pPr>
      <w:r w:rsidRPr="00926324">
        <w:rPr>
          <w:color w:val="000000" w:themeColor="text1"/>
        </w:rPr>
        <w:t>Retail Trade – Big W, Kmart, Bunnings, Coles, Woolworths</w:t>
      </w:r>
    </w:p>
    <w:p w14:paraId="68387765" w14:textId="43DC173B" w:rsidR="0081290A" w:rsidRPr="008E46AA" w:rsidRDefault="0081290A" w:rsidP="008E46AA">
      <w:pPr>
        <w:pStyle w:val="Heading1"/>
        <w:rPr>
          <w:sz w:val="40"/>
          <w:szCs w:val="40"/>
        </w:rPr>
      </w:pPr>
      <w:bookmarkStart w:id="30" w:name="_Toc89157942"/>
      <w:r w:rsidRPr="008E46AA">
        <w:rPr>
          <w:sz w:val="40"/>
          <w:szCs w:val="40"/>
        </w:rPr>
        <w:t>Selected Major Projects/Initiatives</w:t>
      </w:r>
      <w:bookmarkEnd w:id="30"/>
    </w:p>
    <w:p w14:paraId="6754759B" w14:textId="3503A75D" w:rsidR="0081290A" w:rsidRPr="00EA65D0" w:rsidRDefault="0081290A" w:rsidP="0081290A">
      <w:pPr>
        <w:spacing w:before="120" w:after="120" w:line="257" w:lineRule="auto"/>
        <w:rPr>
          <w:rFonts w:eastAsia="Calibri" w:cstheme="minorHAnsi"/>
          <w:lang w:val="en-US"/>
        </w:rPr>
      </w:pPr>
      <w:r w:rsidRPr="00EA65D0">
        <w:rPr>
          <w:rFonts w:eastAsia="Calibri" w:cstheme="minorHAnsi"/>
          <w:lang w:val="en-US"/>
        </w:rPr>
        <w:t xml:space="preserve">The Goulburn Murray ER has a pipeline of infrastructure and construction projects which have commenced or are in the planning or approval stages. These projects attract public and private investment and provide economic, employment and skills development opportunities for the region. Skills development and labor supply initiatives will be important to ensure that skills and labor needs are met, and that local people will be beneficiaries of local job creation and investment. </w:t>
      </w:r>
      <w:r>
        <w:rPr>
          <w:rFonts w:eastAsia="Calibri" w:cstheme="minorHAnsi"/>
          <w:lang w:val="en-US"/>
        </w:rPr>
        <w:t>Projects/Initiatives commenced or planned for the region include:</w:t>
      </w:r>
    </w:p>
    <w:p w14:paraId="2E30B2D2"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Bypassing Shepparton project. The Federal Government has committed $208 million for stage 1.</w:t>
      </w:r>
    </w:p>
    <w:p w14:paraId="1D48F144"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Maude St Mall Redevelopment $17 million</w:t>
      </w:r>
    </w:p>
    <w:p w14:paraId="125C826A"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Redevelopment of Goulburn Valley Health – $58 Million</w:t>
      </w:r>
    </w:p>
    <w:p w14:paraId="0203E5A4"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Shepparton Sports and Events Centre – $18.5 Million</w:t>
      </w:r>
    </w:p>
    <w:p w14:paraId="6A8D82D7"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Munarra Centre for Regional Excellence – $23 Million</w:t>
      </w:r>
    </w:p>
    <w:p w14:paraId="51E17023"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lastRenderedPageBreak/>
        <w:t>Baranduda Fields Sporting Complex Stage 1 – $10.4 Million, Stage 2 - $9.5 Million, start late 2019</w:t>
      </w:r>
    </w:p>
    <w:p w14:paraId="5097CD20"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Albury Entertainment Centre improvements – $18.5 Million</w:t>
      </w:r>
    </w:p>
    <w:p w14:paraId="6AA5195E"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Echuca Moama Bridge - $323.7 million</w:t>
      </w:r>
    </w:p>
    <w:p w14:paraId="5ACB15B2"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Cannatrek – medicinal cannabis cultivation and manufacturing facility - $160 Million, start date 2022.</w:t>
      </w:r>
    </w:p>
    <w:p w14:paraId="3C0C32BE"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Tongala Abattoir expansion - $50 Million, start date August 2021.</w:t>
      </w:r>
    </w:p>
    <w:p w14:paraId="3B037E23"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Shepparton Rail upgrades stage 3. Federal Government Committed $320 Million.</w:t>
      </w:r>
    </w:p>
    <w:p w14:paraId="100AD9C3" w14:textId="77777777" w:rsidR="0081290A" w:rsidRPr="00EA65D0"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Tottenham to Albury rail upgrade</w:t>
      </w:r>
    </w:p>
    <w:p w14:paraId="0B50C78A" w14:textId="77777777" w:rsidR="0081290A" w:rsidRDefault="0081290A" w:rsidP="0081290A">
      <w:pPr>
        <w:numPr>
          <w:ilvl w:val="0"/>
          <w:numId w:val="43"/>
        </w:numPr>
        <w:tabs>
          <w:tab w:val="left" w:pos="4962"/>
        </w:tabs>
        <w:spacing w:before="120" w:after="120" w:line="240" w:lineRule="auto"/>
        <w:contextualSpacing/>
        <w:rPr>
          <w:color w:val="000000" w:themeColor="text1"/>
        </w:rPr>
      </w:pPr>
      <w:r w:rsidRPr="00EA65D0">
        <w:rPr>
          <w:color w:val="000000" w:themeColor="text1"/>
        </w:rPr>
        <w:t>Shepparton High school redevelopment (nearing completion)</w:t>
      </w:r>
    </w:p>
    <w:p w14:paraId="28BE246C" w14:textId="77777777" w:rsidR="0081290A" w:rsidRDefault="0081290A" w:rsidP="004D6080">
      <w:pPr>
        <w:spacing w:before="120" w:after="120"/>
        <w:rPr>
          <w:rFonts w:eastAsia="Times New Roman" w:cs="Calibri"/>
          <w:color w:val="1D4289"/>
          <w:sz w:val="32"/>
          <w:szCs w:val="32"/>
        </w:rPr>
      </w:pPr>
    </w:p>
    <w:p w14:paraId="587A8818" w14:textId="77777777" w:rsidR="00007033" w:rsidRDefault="00007033">
      <w:pPr>
        <w:rPr>
          <w:rFonts w:ascii="Calibri" w:eastAsia="Times New Roman" w:hAnsi="Calibri" w:cstheme="majorBidi"/>
          <w:b/>
          <w:bCs/>
          <w:color w:val="646363"/>
          <w:sz w:val="28"/>
          <w:szCs w:val="26"/>
        </w:rPr>
      </w:pPr>
      <w:bookmarkStart w:id="31" w:name="_Toc77241023"/>
      <w:bookmarkStart w:id="32" w:name="_Toc81405362"/>
      <w:bookmarkStart w:id="33" w:name="Priority_One_Healthcare"/>
      <w:bookmarkStart w:id="34" w:name="_Hlk85720517"/>
      <w:bookmarkStart w:id="35" w:name="_Toc54611522"/>
      <w:r>
        <w:rPr>
          <w:rFonts w:eastAsia="Times New Roman"/>
        </w:rPr>
        <w:br w:type="page"/>
      </w:r>
    </w:p>
    <w:p w14:paraId="78BC8B94" w14:textId="1D9C65DD" w:rsidR="00836999" w:rsidRDefault="0081290A" w:rsidP="001B2386">
      <w:pPr>
        <w:pStyle w:val="Heading2"/>
      </w:pPr>
      <w:bookmarkStart w:id="36" w:name="_Toc89157943"/>
      <w:r w:rsidRPr="002A51AE">
        <w:rPr>
          <w:rFonts w:eastAsia="Times New Roman"/>
        </w:rPr>
        <w:lastRenderedPageBreak/>
        <w:t>Attachment A – Key employment and training pr</w:t>
      </w:r>
      <w:r w:rsidRPr="00360F79">
        <w:rPr>
          <w:rFonts w:eastAsia="Times New Roman"/>
        </w:rPr>
        <w:t xml:space="preserve">iorities: strategies and </w:t>
      </w:r>
      <w:r w:rsidRPr="008E46AA">
        <w:rPr>
          <w:rFonts w:eastAsia="Times New Roman"/>
        </w:rPr>
        <w:t>stakeholders</w:t>
      </w:r>
      <w:bookmarkEnd w:id="31"/>
      <w:bookmarkEnd w:id="36"/>
    </w:p>
    <w:bookmarkEnd w:id="32"/>
    <w:bookmarkEnd w:id="33"/>
    <w:bookmarkEnd w:id="34"/>
    <w:p w14:paraId="3AC9989D" w14:textId="5FECE715" w:rsidR="00756E2A" w:rsidRPr="00524794" w:rsidRDefault="00756E2A" w:rsidP="00756E2A">
      <w:pPr>
        <w:spacing w:before="120" w:line="257" w:lineRule="auto"/>
        <w:rPr>
          <w:rFonts w:cstheme="minorHAnsi"/>
          <w:b/>
          <w:bCs/>
          <w:color w:val="002060"/>
        </w:rPr>
      </w:pPr>
      <w:r w:rsidRPr="002E753B">
        <w:rPr>
          <w:b/>
          <w:bCs/>
          <w:color w:val="002060"/>
        </w:rPr>
        <w:t>1</w:t>
      </w:r>
      <w:r w:rsidRPr="00524794">
        <w:rPr>
          <w:rFonts w:cstheme="minorHAnsi"/>
          <w:b/>
          <w:bCs/>
          <w:color w:val="002060"/>
        </w:rPr>
        <w:t xml:space="preserve">. </w:t>
      </w:r>
      <w:r w:rsidR="00547297">
        <w:rPr>
          <w:rFonts w:cstheme="minorHAnsi"/>
          <w:b/>
          <w:bCs/>
          <w:color w:val="002060"/>
        </w:rPr>
        <w:t>Use</w:t>
      </w:r>
      <w:r w:rsidRPr="00524794">
        <w:rPr>
          <w:rFonts w:cstheme="minorHAnsi"/>
          <w:b/>
          <w:bCs/>
          <w:color w:val="002060"/>
        </w:rPr>
        <w:t xml:space="preserve"> existing Australian, State, and local government programs, to create pathways into employment in growth industries, particularly Agriculture, Viticulture, Health Care and Social Assistance, Hospitality, Tourism, and Construction sectors. </w:t>
      </w:r>
    </w:p>
    <w:p w14:paraId="63EAF483" w14:textId="59385923" w:rsidR="00F1338C" w:rsidRPr="00B27918" w:rsidRDefault="00DD4AA4" w:rsidP="00B26441">
      <w:pPr>
        <w:rPr>
          <w:rFonts w:cstheme="minorHAnsi"/>
          <w:b/>
          <w:bCs/>
          <w:iCs/>
        </w:rPr>
      </w:pPr>
      <w:r w:rsidRPr="00B27918">
        <w:rPr>
          <w:rFonts w:cstheme="minorHAnsi"/>
          <w:b/>
          <w:bCs/>
          <w:iCs/>
        </w:rPr>
        <w:t>St</w:t>
      </w:r>
      <w:r w:rsidR="00C024CD" w:rsidRPr="00B27918">
        <w:rPr>
          <w:rFonts w:cstheme="minorHAnsi"/>
          <w:b/>
          <w:bCs/>
          <w:iCs/>
        </w:rPr>
        <w:t>r</w:t>
      </w:r>
      <w:r w:rsidRPr="00B27918">
        <w:rPr>
          <w:rFonts w:cstheme="minorHAnsi"/>
          <w:b/>
          <w:bCs/>
          <w:iCs/>
        </w:rPr>
        <w:t>at</w:t>
      </w:r>
      <w:r w:rsidR="00885EBD" w:rsidRPr="00B27918">
        <w:rPr>
          <w:rFonts w:cstheme="minorHAnsi"/>
          <w:b/>
          <w:bCs/>
          <w:iCs/>
        </w:rPr>
        <w:t>e</w:t>
      </w:r>
      <w:r w:rsidRPr="00B27918">
        <w:rPr>
          <w:rFonts w:cstheme="minorHAnsi"/>
          <w:b/>
          <w:bCs/>
          <w:iCs/>
        </w:rPr>
        <w:t>gies</w:t>
      </w:r>
      <w:bookmarkStart w:id="37" w:name="_Hlk86590273"/>
      <w:r w:rsidR="00B27918">
        <w:rPr>
          <w:rFonts w:cstheme="minorHAnsi"/>
          <w:b/>
          <w:bCs/>
          <w:iCs/>
        </w:rPr>
        <w:t>:</w:t>
      </w:r>
    </w:p>
    <w:p w14:paraId="350F049D" w14:textId="237A3CBE" w:rsidR="001336B0" w:rsidRPr="00416882" w:rsidRDefault="001336B0" w:rsidP="001336B0">
      <w:pPr>
        <w:pStyle w:val="ListParagraph"/>
        <w:numPr>
          <w:ilvl w:val="0"/>
          <w:numId w:val="69"/>
        </w:numPr>
        <w:spacing w:before="120" w:after="120" w:line="257" w:lineRule="auto"/>
        <w:rPr>
          <w:rFonts w:cstheme="minorHAnsi"/>
        </w:rPr>
      </w:pPr>
      <w:r w:rsidRPr="00416882">
        <w:rPr>
          <w:rFonts w:cstheme="minorHAnsi"/>
        </w:rPr>
        <w:t xml:space="preserve">Promote existing programs to </w:t>
      </w:r>
      <w:r w:rsidR="00DD1064">
        <w:rPr>
          <w:rFonts w:cstheme="minorHAnsi"/>
        </w:rPr>
        <w:t>enhance</w:t>
      </w:r>
      <w:r w:rsidRPr="00416882">
        <w:rPr>
          <w:rFonts w:cstheme="minorHAnsi"/>
        </w:rPr>
        <w:t xml:space="preserve"> local employment and training opportunities</w:t>
      </w:r>
      <w:r w:rsidR="001D269C">
        <w:rPr>
          <w:rFonts w:cstheme="minorHAnsi"/>
        </w:rPr>
        <w:t>.</w:t>
      </w:r>
      <w:r w:rsidRPr="00416882">
        <w:rPr>
          <w:rFonts w:cstheme="minorHAnsi"/>
        </w:rPr>
        <w:t xml:space="preserve"> </w:t>
      </w:r>
    </w:p>
    <w:bookmarkEnd w:id="37"/>
    <w:p w14:paraId="31F50CAF" w14:textId="779BC544" w:rsidR="00A945D5" w:rsidRPr="00416882" w:rsidRDefault="00447851" w:rsidP="006A5D01">
      <w:pPr>
        <w:pStyle w:val="ListParagraph"/>
        <w:numPr>
          <w:ilvl w:val="0"/>
          <w:numId w:val="69"/>
        </w:numPr>
        <w:spacing w:before="120" w:after="120" w:line="257" w:lineRule="auto"/>
        <w:rPr>
          <w:rFonts w:cstheme="minorHAnsi"/>
        </w:rPr>
      </w:pPr>
      <w:r>
        <w:rPr>
          <w:rFonts w:cstheme="minorHAnsi"/>
        </w:rPr>
        <w:t>Engage</w:t>
      </w:r>
      <w:r w:rsidRPr="00416882">
        <w:rPr>
          <w:rFonts w:cstheme="minorHAnsi"/>
        </w:rPr>
        <w:t xml:space="preserve"> </w:t>
      </w:r>
      <w:r w:rsidR="00A945D5" w:rsidRPr="00416882">
        <w:rPr>
          <w:rFonts w:cstheme="minorHAnsi"/>
        </w:rPr>
        <w:t xml:space="preserve">with employers to </w:t>
      </w:r>
      <w:r w:rsidR="00C85785" w:rsidRPr="00416882">
        <w:rPr>
          <w:rFonts w:cstheme="minorHAnsi"/>
        </w:rPr>
        <w:t>create</w:t>
      </w:r>
      <w:r w:rsidR="00A945D5" w:rsidRPr="00416882">
        <w:rPr>
          <w:rFonts w:cstheme="minorHAnsi"/>
        </w:rPr>
        <w:t xml:space="preserve"> pathways to employment in the region. </w:t>
      </w:r>
    </w:p>
    <w:p w14:paraId="748B7588" w14:textId="7840500E" w:rsidR="00C024CD" w:rsidRPr="00B27918" w:rsidRDefault="00C024CD" w:rsidP="00C024CD">
      <w:pPr>
        <w:spacing w:before="120" w:after="120" w:line="257" w:lineRule="auto"/>
        <w:rPr>
          <w:rFonts w:cstheme="minorHAnsi"/>
          <w:b/>
          <w:bCs/>
          <w:iCs/>
        </w:rPr>
      </w:pPr>
      <w:bookmarkStart w:id="38" w:name="_Hlk86404205"/>
      <w:r w:rsidRPr="00B27918">
        <w:rPr>
          <w:rFonts w:cstheme="minorHAnsi"/>
          <w:b/>
          <w:bCs/>
          <w:iCs/>
        </w:rPr>
        <w:t>Stakeholders</w:t>
      </w:r>
      <w:r w:rsidR="00B27918">
        <w:rPr>
          <w:rFonts w:cstheme="minorHAnsi"/>
          <w:b/>
          <w:bCs/>
          <w:iCs/>
        </w:rPr>
        <w:t>:</w:t>
      </w:r>
    </w:p>
    <w:p w14:paraId="7A350EB5" w14:textId="13FC9AE4" w:rsidR="00DD4AA4" w:rsidRPr="00897C40" w:rsidRDefault="004C2331" w:rsidP="001B2386">
      <w:pPr>
        <w:spacing w:before="120" w:after="120" w:line="257" w:lineRule="auto"/>
        <w:rPr>
          <w:rFonts w:cstheme="minorHAnsi"/>
          <w:color w:val="002060"/>
        </w:rPr>
      </w:pPr>
      <w:r w:rsidRPr="0028572F">
        <w:rPr>
          <w:rFonts w:cstheme="minorHAnsi"/>
        </w:rPr>
        <w:t>Employment Facilitator Team</w:t>
      </w:r>
      <w:r>
        <w:rPr>
          <w:rFonts w:cstheme="minorHAnsi"/>
        </w:rPr>
        <w:t xml:space="preserve">, Goulburn Murray Local Jobs and Skills Taskforce, Local, State and Australian Government Programs, Employment Service Providers, Registered Training Organisations, </w:t>
      </w:r>
      <w:r w:rsidR="00402255">
        <w:rPr>
          <w:rFonts w:ascii="Calibri" w:hAnsi="Calibri" w:cstheme="minorHAnsi"/>
        </w:rPr>
        <w:t xml:space="preserve">peak industry bodies </w:t>
      </w:r>
      <w:r w:rsidR="009E793A">
        <w:rPr>
          <w:rFonts w:cstheme="minorHAnsi"/>
        </w:rPr>
        <w:t xml:space="preserve">and </w:t>
      </w:r>
      <w:r>
        <w:rPr>
          <w:rFonts w:cstheme="minorHAnsi"/>
        </w:rPr>
        <w:t>local employer</w:t>
      </w:r>
      <w:r w:rsidR="009E793A">
        <w:rPr>
          <w:rFonts w:cstheme="minorHAnsi"/>
        </w:rPr>
        <w:t>s</w:t>
      </w:r>
      <w:r>
        <w:rPr>
          <w:rFonts w:cstheme="minorHAnsi"/>
        </w:rPr>
        <w:t>.</w:t>
      </w:r>
      <w:bookmarkEnd w:id="38"/>
    </w:p>
    <w:p w14:paraId="62F08BAF" w14:textId="6CA8C41D" w:rsidR="00756E2A" w:rsidRPr="00524794" w:rsidRDefault="00756E2A" w:rsidP="00756E2A">
      <w:pPr>
        <w:spacing w:before="120" w:line="257" w:lineRule="auto"/>
        <w:rPr>
          <w:rFonts w:cstheme="minorHAnsi"/>
          <w:b/>
          <w:bCs/>
          <w:color w:val="002060"/>
        </w:rPr>
      </w:pPr>
      <w:r w:rsidRPr="00524794">
        <w:rPr>
          <w:rFonts w:cstheme="minorHAnsi"/>
          <w:b/>
          <w:bCs/>
          <w:color w:val="002060"/>
        </w:rPr>
        <w:t xml:space="preserve">2. Broker opportunities for youth skill development and employment, including apprenticeships, traineeships, micro-credentialling, work experience and work placements for entry into a range of sectors such as Hospitality, Tourism, Retail and Manufacturing. </w:t>
      </w:r>
    </w:p>
    <w:p w14:paraId="2E19E28F" w14:textId="521A8D4A" w:rsidR="004F498F" w:rsidRPr="00B27918" w:rsidRDefault="004F498F" w:rsidP="004F498F">
      <w:pPr>
        <w:spacing w:before="120" w:after="0" w:line="240" w:lineRule="auto"/>
        <w:rPr>
          <w:rFonts w:eastAsiaTheme="majorEastAsia" w:cstheme="minorHAnsi"/>
          <w:b/>
          <w:bCs/>
          <w:iCs/>
          <w:color w:val="000000" w:themeColor="text1"/>
        </w:rPr>
      </w:pPr>
      <w:r w:rsidRPr="00B27918">
        <w:rPr>
          <w:rFonts w:eastAsiaTheme="majorEastAsia" w:cstheme="minorHAnsi"/>
          <w:b/>
          <w:bCs/>
          <w:iCs/>
          <w:color w:val="000000" w:themeColor="text1"/>
        </w:rPr>
        <w:t>Strategies</w:t>
      </w:r>
      <w:r w:rsidR="00B27918">
        <w:rPr>
          <w:rFonts w:eastAsiaTheme="majorEastAsia" w:cstheme="minorHAnsi"/>
          <w:b/>
          <w:bCs/>
          <w:iCs/>
          <w:color w:val="000000" w:themeColor="text1"/>
        </w:rPr>
        <w:t>:</w:t>
      </w:r>
    </w:p>
    <w:p w14:paraId="5D52F754" w14:textId="04CE34A6" w:rsidR="00E067B4" w:rsidRPr="00AB59B3" w:rsidRDefault="00E067B4" w:rsidP="00F777B0">
      <w:pPr>
        <w:pStyle w:val="ListParagraph"/>
        <w:numPr>
          <w:ilvl w:val="0"/>
          <w:numId w:val="72"/>
        </w:numPr>
        <w:spacing w:before="120" w:after="0" w:line="240" w:lineRule="auto"/>
        <w:rPr>
          <w:rFonts w:eastAsiaTheme="majorEastAsia" w:cstheme="minorHAnsi"/>
          <w:bCs/>
          <w:iCs/>
          <w:color w:val="000000" w:themeColor="text1"/>
          <w:u w:val="single"/>
        </w:rPr>
      </w:pPr>
      <w:r w:rsidRPr="00AB59B3">
        <w:rPr>
          <w:rFonts w:cstheme="minorHAnsi"/>
        </w:rPr>
        <w:t>Promote the use of existing programs</w:t>
      </w:r>
      <w:r w:rsidRPr="00AB59B3">
        <w:rPr>
          <w:rFonts w:eastAsia="Calibri" w:cstheme="minorHAnsi"/>
          <w:lang w:val="en-US"/>
        </w:rPr>
        <w:t xml:space="preserve"> to generate opportunities for </w:t>
      </w:r>
      <w:r w:rsidR="00E01EF0" w:rsidRPr="00AB59B3">
        <w:rPr>
          <w:rFonts w:eastAsia="Calibri" w:cstheme="minorHAnsi"/>
          <w:lang w:val="en-US"/>
        </w:rPr>
        <w:t>youth.</w:t>
      </w:r>
    </w:p>
    <w:p w14:paraId="321554FA" w14:textId="77777777" w:rsidR="004F498F" w:rsidRPr="00AB59B3" w:rsidRDefault="004F498F" w:rsidP="00F777B0">
      <w:pPr>
        <w:pStyle w:val="ListParagraph"/>
        <w:numPr>
          <w:ilvl w:val="0"/>
          <w:numId w:val="72"/>
        </w:numPr>
        <w:spacing w:before="120" w:after="120" w:line="257" w:lineRule="auto"/>
        <w:rPr>
          <w:rFonts w:cstheme="minorHAnsi"/>
          <w:b/>
          <w:bCs/>
        </w:rPr>
      </w:pPr>
      <w:r w:rsidRPr="00AB59B3">
        <w:rPr>
          <w:rFonts w:cstheme="minorHAnsi"/>
        </w:rPr>
        <w:t>Identify existing training opportunities that align with current local employment needs.</w:t>
      </w:r>
    </w:p>
    <w:p w14:paraId="62826205" w14:textId="5D94BA57" w:rsidR="004F498F" w:rsidRPr="00AB59B3" w:rsidRDefault="00F91DE1" w:rsidP="00F777B0">
      <w:pPr>
        <w:pStyle w:val="ListParagraph"/>
        <w:numPr>
          <w:ilvl w:val="0"/>
          <w:numId w:val="72"/>
        </w:numPr>
        <w:spacing w:before="120" w:after="120" w:line="257" w:lineRule="auto"/>
        <w:rPr>
          <w:rFonts w:cstheme="minorHAnsi"/>
          <w:b/>
          <w:bCs/>
        </w:rPr>
      </w:pPr>
      <w:r>
        <w:rPr>
          <w:rFonts w:cstheme="minorHAnsi"/>
        </w:rPr>
        <w:t>Engage</w:t>
      </w:r>
      <w:r w:rsidR="00A80905" w:rsidRPr="00AB59B3">
        <w:rPr>
          <w:rFonts w:cstheme="minorHAnsi"/>
        </w:rPr>
        <w:t xml:space="preserve"> </w:t>
      </w:r>
      <w:r w:rsidR="006D66D5" w:rsidRPr="00AB59B3">
        <w:rPr>
          <w:rFonts w:cstheme="minorHAnsi"/>
        </w:rPr>
        <w:t xml:space="preserve">with </w:t>
      </w:r>
      <w:r w:rsidR="001B1FBF" w:rsidRPr="00AB59B3">
        <w:rPr>
          <w:rFonts w:cstheme="minorHAnsi"/>
        </w:rPr>
        <w:t xml:space="preserve">employers and industry to </w:t>
      </w:r>
      <w:r w:rsidR="007A60D3">
        <w:rPr>
          <w:rFonts w:cstheme="minorHAnsi"/>
        </w:rPr>
        <w:t>identify</w:t>
      </w:r>
      <w:r w:rsidR="007A60D3" w:rsidRPr="00AB59B3">
        <w:rPr>
          <w:rFonts w:cstheme="minorHAnsi"/>
        </w:rPr>
        <w:t xml:space="preserve"> </w:t>
      </w:r>
      <w:r w:rsidR="009A466F" w:rsidRPr="00AB59B3">
        <w:rPr>
          <w:rFonts w:cstheme="minorHAnsi"/>
        </w:rPr>
        <w:t xml:space="preserve">apprenticeship, traineeship and job placement </w:t>
      </w:r>
      <w:r w:rsidR="00D741E2" w:rsidRPr="00AB59B3">
        <w:rPr>
          <w:rFonts w:cstheme="minorHAnsi"/>
        </w:rPr>
        <w:t>opportunities.</w:t>
      </w:r>
    </w:p>
    <w:p w14:paraId="3081F7CB" w14:textId="60D5C97F" w:rsidR="004F498F" w:rsidRPr="00B27918" w:rsidRDefault="004F498F" w:rsidP="004F498F">
      <w:pPr>
        <w:spacing w:before="120" w:after="120" w:line="257" w:lineRule="auto"/>
        <w:rPr>
          <w:rFonts w:cstheme="minorHAnsi"/>
          <w:b/>
          <w:bCs/>
          <w:iCs/>
        </w:rPr>
      </w:pPr>
      <w:bookmarkStart w:id="39" w:name="_Hlk86406792"/>
      <w:bookmarkStart w:id="40" w:name="_Hlk86404680"/>
      <w:r w:rsidRPr="00B27918">
        <w:rPr>
          <w:rFonts w:cstheme="minorHAnsi"/>
          <w:b/>
          <w:bCs/>
          <w:iCs/>
        </w:rPr>
        <w:t>Stakeholders</w:t>
      </w:r>
      <w:r w:rsidR="00B27918">
        <w:rPr>
          <w:rFonts w:cstheme="minorHAnsi"/>
          <w:b/>
          <w:bCs/>
          <w:iCs/>
        </w:rPr>
        <w:t>:</w:t>
      </w:r>
    </w:p>
    <w:p w14:paraId="217883E6" w14:textId="5CCEDADE" w:rsidR="00EA6463" w:rsidRPr="00897C40" w:rsidRDefault="009E793A" w:rsidP="001B2386">
      <w:pPr>
        <w:spacing w:before="120" w:after="120" w:line="257" w:lineRule="auto"/>
        <w:rPr>
          <w:rFonts w:cstheme="minorHAnsi"/>
          <w:color w:val="002060"/>
        </w:rPr>
      </w:pPr>
      <w:r w:rsidRPr="0028572F">
        <w:rPr>
          <w:rFonts w:cstheme="minorHAnsi"/>
        </w:rPr>
        <w:t>Employment Facilitator Team</w:t>
      </w:r>
      <w:r>
        <w:rPr>
          <w:rFonts w:cstheme="minorHAnsi"/>
        </w:rPr>
        <w:t xml:space="preserve">, Goulburn Murray Local Jobs and Skills Taskforce, Local, State and Australian Government Programs, Employment Service Providers, Registered Training Organisations, </w:t>
      </w:r>
      <w:r w:rsidR="00FE3925">
        <w:rPr>
          <w:rFonts w:ascii="Calibri" w:hAnsi="Calibri" w:cstheme="minorHAnsi"/>
        </w:rPr>
        <w:t>peak industry bodies</w:t>
      </w:r>
      <w:r>
        <w:rPr>
          <w:rFonts w:cstheme="minorHAnsi"/>
        </w:rPr>
        <w:t>, local employers and community organisations.</w:t>
      </w:r>
      <w:bookmarkEnd w:id="39"/>
      <w:bookmarkEnd w:id="40"/>
    </w:p>
    <w:p w14:paraId="412BB1CF" w14:textId="2DBD8B40" w:rsidR="00756E2A" w:rsidRPr="00524794" w:rsidRDefault="00756E2A" w:rsidP="00756E2A">
      <w:pPr>
        <w:spacing w:before="120" w:line="257" w:lineRule="auto"/>
        <w:rPr>
          <w:rFonts w:cstheme="minorHAnsi"/>
          <w:b/>
          <w:bCs/>
          <w:color w:val="002060"/>
        </w:rPr>
      </w:pPr>
      <w:r w:rsidRPr="00524794">
        <w:rPr>
          <w:rFonts w:cstheme="minorHAnsi"/>
          <w:b/>
          <w:bCs/>
          <w:color w:val="002060"/>
        </w:rPr>
        <w:t xml:space="preserve">3. Maximize the extent to which local positions are filled by local job seekers, to re-invigorate the local economy and industry. </w:t>
      </w:r>
    </w:p>
    <w:p w14:paraId="0320AF19" w14:textId="61CF558A" w:rsidR="00616F26" w:rsidRDefault="00616F26" w:rsidP="00616F26">
      <w:pPr>
        <w:spacing w:before="120" w:after="120" w:line="257" w:lineRule="auto"/>
        <w:rPr>
          <w:rFonts w:cstheme="minorHAnsi"/>
          <w:b/>
          <w:bCs/>
          <w:iCs/>
        </w:rPr>
      </w:pPr>
      <w:r w:rsidRPr="00B27918">
        <w:rPr>
          <w:rFonts w:cstheme="minorHAnsi"/>
          <w:b/>
          <w:bCs/>
          <w:iCs/>
        </w:rPr>
        <w:t>Strategies</w:t>
      </w:r>
      <w:r w:rsidR="00B27918">
        <w:rPr>
          <w:rFonts w:cstheme="minorHAnsi"/>
          <w:b/>
          <w:bCs/>
          <w:iCs/>
        </w:rPr>
        <w:t>:</w:t>
      </w:r>
    </w:p>
    <w:p w14:paraId="3E46F8FB" w14:textId="69BB7551" w:rsidR="004C2A14" w:rsidRDefault="004C2A14" w:rsidP="004C2A14">
      <w:pPr>
        <w:pStyle w:val="ListParagraph"/>
        <w:numPr>
          <w:ilvl w:val="0"/>
          <w:numId w:val="63"/>
        </w:numPr>
        <w:spacing w:before="120" w:after="120" w:line="257" w:lineRule="auto"/>
        <w:rPr>
          <w:rFonts w:cstheme="minorHAnsi"/>
          <w:iCs/>
        </w:rPr>
      </w:pPr>
      <w:r>
        <w:rPr>
          <w:rFonts w:cstheme="minorHAnsi"/>
          <w:iCs/>
        </w:rPr>
        <w:t>Work</w:t>
      </w:r>
      <w:r w:rsidRPr="00524794">
        <w:rPr>
          <w:rFonts w:cstheme="minorHAnsi"/>
          <w:iCs/>
        </w:rPr>
        <w:t xml:space="preserve"> with Industry to identify </w:t>
      </w:r>
      <w:r>
        <w:rPr>
          <w:rFonts w:cstheme="minorHAnsi"/>
          <w:iCs/>
        </w:rPr>
        <w:t>local opportunities</w:t>
      </w:r>
      <w:r w:rsidRPr="00524794">
        <w:rPr>
          <w:rFonts w:cstheme="minorHAnsi"/>
          <w:iCs/>
        </w:rPr>
        <w:t xml:space="preserve"> in employment and training</w:t>
      </w:r>
      <w:r>
        <w:rPr>
          <w:rFonts w:cstheme="minorHAnsi"/>
          <w:iCs/>
        </w:rPr>
        <w:t>.</w:t>
      </w:r>
    </w:p>
    <w:p w14:paraId="55245DB9" w14:textId="1BA5B9AE" w:rsidR="004C2A14" w:rsidRPr="00524794" w:rsidRDefault="00C7675F" w:rsidP="004C2A14">
      <w:pPr>
        <w:pStyle w:val="ListParagraph"/>
        <w:numPr>
          <w:ilvl w:val="0"/>
          <w:numId w:val="63"/>
        </w:numPr>
        <w:spacing w:before="120" w:after="120" w:line="257" w:lineRule="auto"/>
        <w:rPr>
          <w:rFonts w:cstheme="minorHAnsi"/>
          <w:iCs/>
        </w:rPr>
      </w:pPr>
      <w:r>
        <w:rPr>
          <w:rFonts w:cstheme="minorHAnsi"/>
          <w:iCs/>
        </w:rPr>
        <w:t xml:space="preserve">Engage with stakeholders to identify skills gaps and </w:t>
      </w:r>
      <w:r w:rsidR="002E1F84">
        <w:rPr>
          <w:rFonts w:cstheme="minorHAnsi"/>
          <w:iCs/>
        </w:rPr>
        <w:t>develop solutions</w:t>
      </w:r>
      <w:r w:rsidR="000A0403">
        <w:rPr>
          <w:rFonts w:cstheme="minorHAnsi"/>
          <w:iCs/>
        </w:rPr>
        <w:t>.</w:t>
      </w:r>
      <w:r w:rsidR="002E1F84">
        <w:rPr>
          <w:rFonts w:cstheme="minorHAnsi"/>
          <w:iCs/>
        </w:rPr>
        <w:t xml:space="preserve"> </w:t>
      </w:r>
    </w:p>
    <w:p w14:paraId="296F0168" w14:textId="050F8C42" w:rsidR="004B163A" w:rsidRPr="00B27918" w:rsidRDefault="00616F26" w:rsidP="00756E2A">
      <w:pPr>
        <w:spacing w:before="120" w:line="257" w:lineRule="auto"/>
        <w:rPr>
          <w:rFonts w:cstheme="minorHAnsi"/>
          <w:b/>
          <w:bCs/>
          <w:iCs/>
        </w:rPr>
      </w:pPr>
      <w:r w:rsidRPr="00B27918">
        <w:rPr>
          <w:rFonts w:cstheme="minorHAnsi"/>
          <w:b/>
          <w:bCs/>
          <w:iCs/>
        </w:rPr>
        <w:t>Stakeholders</w:t>
      </w:r>
      <w:r w:rsidR="00B27918">
        <w:rPr>
          <w:rFonts w:cstheme="minorHAnsi"/>
          <w:b/>
          <w:bCs/>
          <w:iCs/>
        </w:rPr>
        <w:t>:</w:t>
      </w:r>
    </w:p>
    <w:p w14:paraId="4242F421" w14:textId="06AF5FC7" w:rsidR="001B2386" w:rsidRDefault="00616F26" w:rsidP="00756E2A">
      <w:pPr>
        <w:spacing w:before="120" w:line="257" w:lineRule="auto"/>
        <w:rPr>
          <w:rFonts w:cstheme="minorHAnsi"/>
          <w:b/>
          <w:bCs/>
          <w:color w:val="002060"/>
        </w:rPr>
      </w:pPr>
      <w:r w:rsidRPr="0077725E">
        <w:rPr>
          <w:rFonts w:cstheme="minorHAnsi"/>
        </w:rPr>
        <w:t>Employment Facilitator Team</w:t>
      </w:r>
      <w:r w:rsidR="00C92005" w:rsidRPr="0077725E">
        <w:rPr>
          <w:rFonts w:cstheme="minorHAnsi"/>
        </w:rPr>
        <w:t>, Goulburn Murray Local Jobs and Skills Taskforce, Local</w:t>
      </w:r>
      <w:r w:rsidR="000D646B" w:rsidRPr="0077725E">
        <w:rPr>
          <w:rFonts w:cstheme="minorHAnsi"/>
        </w:rPr>
        <w:t xml:space="preserve">, State and Australian Government </w:t>
      </w:r>
      <w:r w:rsidR="00B320B0" w:rsidRPr="0077725E">
        <w:rPr>
          <w:rFonts w:cstheme="minorHAnsi"/>
        </w:rPr>
        <w:t>Programs, Employment Service Providers, Registered Training Organisations</w:t>
      </w:r>
      <w:r w:rsidR="00974BAC" w:rsidRPr="0077725E">
        <w:rPr>
          <w:rFonts w:cstheme="minorHAnsi"/>
        </w:rPr>
        <w:t xml:space="preserve">, local </w:t>
      </w:r>
      <w:r w:rsidR="008178F2" w:rsidRPr="0077725E">
        <w:rPr>
          <w:rFonts w:cstheme="minorHAnsi"/>
        </w:rPr>
        <w:t>employers and community organisations.</w:t>
      </w:r>
    </w:p>
    <w:p w14:paraId="445127FE" w14:textId="0894746B" w:rsidR="00756E2A" w:rsidRPr="00524794" w:rsidRDefault="00756E2A" w:rsidP="00756E2A">
      <w:pPr>
        <w:spacing w:before="120" w:line="257" w:lineRule="auto"/>
        <w:rPr>
          <w:rFonts w:cstheme="minorHAnsi"/>
          <w:b/>
          <w:bCs/>
          <w:color w:val="002060"/>
        </w:rPr>
      </w:pPr>
      <w:r w:rsidRPr="00524794">
        <w:rPr>
          <w:rFonts w:cstheme="minorHAnsi"/>
          <w:b/>
          <w:bCs/>
          <w:color w:val="002060"/>
        </w:rPr>
        <w:t xml:space="preserve">4. Boost employment and training opportunities for Aboriginal and Torres Strait Islander jobseekers in collaboration with local Indigenous organisations. </w:t>
      </w:r>
    </w:p>
    <w:p w14:paraId="33A9703A" w14:textId="601B4821" w:rsidR="00367EAF" w:rsidRPr="00B27918" w:rsidRDefault="00367EAF" w:rsidP="00367EAF">
      <w:pPr>
        <w:pStyle w:val="BoxHeading-Recommendation"/>
        <w:numPr>
          <w:ilvl w:val="0"/>
          <w:numId w:val="0"/>
        </w:numPr>
        <w:rPr>
          <w:rFonts w:asciiTheme="minorHAnsi" w:hAnsiTheme="minorHAnsi" w:cstheme="minorHAnsi"/>
          <w:b w:val="0"/>
          <w:bCs/>
          <w:sz w:val="22"/>
          <w:szCs w:val="22"/>
        </w:rPr>
      </w:pPr>
      <w:r w:rsidRPr="00B27918">
        <w:rPr>
          <w:rFonts w:asciiTheme="minorHAnsi" w:hAnsiTheme="minorHAnsi" w:cstheme="minorHAnsi"/>
          <w:bCs/>
          <w:iCs/>
          <w:sz w:val="22"/>
          <w:szCs w:val="22"/>
        </w:rPr>
        <w:t>Strategies</w:t>
      </w:r>
      <w:r w:rsidR="00B27918">
        <w:rPr>
          <w:rFonts w:asciiTheme="minorHAnsi" w:hAnsiTheme="minorHAnsi" w:cstheme="minorHAnsi"/>
          <w:bCs/>
          <w:iCs/>
          <w:sz w:val="22"/>
          <w:szCs w:val="22"/>
        </w:rPr>
        <w:t>:</w:t>
      </w:r>
    </w:p>
    <w:p w14:paraId="0643319F" w14:textId="61850849" w:rsidR="00367EAF" w:rsidRPr="00524794" w:rsidRDefault="00B21A38" w:rsidP="00367EAF">
      <w:pPr>
        <w:numPr>
          <w:ilvl w:val="0"/>
          <w:numId w:val="51"/>
        </w:numPr>
        <w:spacing w:before="120" w:after="120" w:line="257" w:lineRule="auto"/>
        <w:contextualSpacing/>
        <w:rPr>
          <w:rFonts w:cstheme="minorHAnsi"/>
        </w:rPr>
      </w:pPr>
      <w:r w:rsidRPr="00E067B4">
        <w:rPr>
          <w:rFonts w:cstheme="minorHAnsi"/>
        </w:rPr>
        <w:t>Promote the use of existing programs</w:t>
      </w:r>
      <w:r w:rsidRPr="00E067B4">
        <w:rPr>
          <w:rFonts w:eastAsia="Calibri" w:cstheme="minorHAnsi"/>
          <w:lang w:val="en-US"/>
        </w:rPr>
        <w:t xml:space="preserve"> </w:t>
      </w:r>
      <w:r w:rsidR="00DC0DD5">
        <w:rPr>
          <w:rFonts w:eastAsia="Calibri" w:cstheme="minorHAnsi"/>
          <w:lang w:val="en-US"/>
        </w:rPr>
        <w:t xml:space="preserve">and initiatives </w:t>
      </w:r>
      <w:r w:rsidR="008162F9">
        <w:rPr>
          <w:rFonts w:eastAsia="Calibri" w:cstheme="minorHAnsi"/>
          <w:lang w:val="en-US"/>
        </w:rPr>
        <w:t>available</w:t>
      </w:r>
      <w:r w:rsidRPr="00E067B4">
        <w:rPr>
          <w:rFonts w:eastAsia="Calibri" w:cstheme="minorHAnsi"/>
          <w:lang w:val="en-US"/>
        </w:rPr>
        <w:t xml:space="preserve"> for </w:t>
      </w:r>
      <w:r w:rsidR="00367EAF" w:rsidRPr="00524794">
        <w:rPr>
          <w:rFonts w:cstheme="minorHAnsi"/>
        </w:rPr>
        <w:t>Indigenous job seekers</w:t>
      </w:r>
      <w:r w:rsidR="00DC0DD5">
        <w:rPr>
          <w:rFonts w:cstheme="minorHAnsi"/>
        </w:rPr>
        <w:t>.</w:t>
      </w:r>
    </w:p>
    <w:p w14:paraId="5C979102" w14:textId="6769ABA2" w:rsidR="00367EAF" w:rsidRPr="00455540" w:rsidRDefault="00681CFD" w:rsidP="00455540">
      <w:pPr>
        <w:numPr>
          <w:ilvl w:val="0"/>
          <w:numId w:val="51"/>
        </w:numPr>
        <w:spacing w:before="120" w:after="0" w:line="257" w:lineRule="auto"/>
        <w:contextualSpacing/>
        <w:rPr>
          <w:rFonts w:cstheme="minorHAnsi"/>
        </w:rPr>
      </w:pPr>
      <w:r w:rsidRPr="00455540">
        <w:rPr>
          <w:rFonts w:cstheme="minorHAnsi"/>
        </w:rPr>
        <w:t xml:space="preserve">Engage </w:t>
      </w:r>
      <w:r w:rsidR="00367EAF" w:rsidRPr="00455540">
        <w:rPr>
          <w:rFonts w:cstheme="minorHAnsi"/>
        </w:rPr>
        <w:t xml:space="preserve">with local Indigenous organisations to </w:t>
      </w:r>
      <w:r w:rsidR="005C01AB" w:rsidRPr="00455540">
        <w:rPr>
          <w:rFonts w:cstheme="minorHAnsi"/>
        </w:rPr>
        <w:t>develop</w:t>
      </w:r>
      <w:r w:rsidR="00367EAF" w:rsidRPr="00455540">
        <w:rPr>
          <w:rFonts w:cstheme="minorHAnsi"/>
        </w:rPr>
        <w:t xml:space="preserve"> strategies </w:t>
      </w:r>
      <w:r w:rsidR="005C01AB" w:rsidRPr="00455540">
        <w:rPr>
          <w:rFonts w:cstheme="minorHAnsi"/>
        </w:rPr>
        <w:t>to</w:t>
      </w:r>
      <w:r w:rsidR="00367EAF" w:rsidRPr="00455540">
        <w:rPr>
          <w:rFonts w:cstheme="minorHAnsi"/>
        </w:rPr>
        <w:t xml:space="preserve"> </w:t>
      </w:r>
      <w:r w:rsidR="00D92B3C" w:rsidRPr="00455540">
        <w:rPr>
          <w:rFonts w:cstheme="minorHAnsi"/>
        </w:rPr>
        <w:t>improve</w:t>
      </w:r>
      <w:r w:rsidR="00367EAF" w:rsidRPr="00455540">
        <w:rPr>
          <w:rFonts w:cstheme="minorHAnsi"/>
        </w:rPr>
        <w:t xml:space="preserve"> engagement in training and employment opportunities.</w:t>
      </w:r>
    </w:p>
    <w:p w14:paraId="3DA2D42A" w14:textId="0EBECB6F" w:rsidR="00367EAF" w:rsidRPr="00B27918" w:rsidRDefault="00367EAF" w:rsidP="00367EAF">
      <w:pPr>
        <w:spacing w:before="120" w:after="120" w:line="257" w:lineRule="auto"/>
        <w:rPr>
          <w:rFonts w:cstheme="minorHAnsi"/>
          <w:b/>
          <w:bCs/>
          <w:iCs/>
        </w:rPr>
      </w:pPr>
      <w:r w:rsidRPr="00B27918">
        <w:rPr>
          <w:rFonts w:cstheme="minorHAnsi"/>
          <w:b/>
          <w:bCs/>
          <w:iCs/>
        </w:rPr>
        <w:lastRenderedPageBreak/>
        <w:t>Stakeholders</w:t>
      </w:r>
      <w:r w:rsidR="00B27918">
        <w:rPr>
          <w:rFonts w:cstheme="minorHAnsi"/>
          <w:b/>
          <w:bCs/>
          <w:iCs/>
        </w:rPr>
        <w:t>:</w:t>
      </w:r>
    </w:p>
    <w:p w14:paraId="42525F68" w14:textId="6D22EF05" w:rsidR="001B2386" w:rsidRPr="00524794" w:rsidRDefault="009E793A" w:rsidP="001B2386">
      <w:pPr>
        <w:spacing w:before="120" w:after="120" w:line="257" w:lineRule="auto"/>
        <w:rPr>
          <w:rFonts w:cstheme="minorHAnsi"/>
          <w:b/>
          <w:bCs/>
          <w:color w:val="002060"/>
        </w:rPr>
      </w:pPr>
      <w:r w:rsidRPr="0028572F">
        <w:rPr>
          <w:rFonts w:cstheme="minorHAnsi"/>
        </w:rPr>
        <w:t>Employment Facilitator Team</w:t>
      </w:r>
      <w:r>
        <w:rPr>
          <w:rFonts w:cstheme="minorHAnsi"/>
        </w:rPr>
        <w:t>, Goulburn Murray Local Jobs and Skills Taskforce, Local, State and Australian Government Programs, Employment Service Providers, Registered Training Organisations, local employers and Indigen</w:t>
      </w:r>
      <w:r w:rsidR="003535B0">
        <w:rPr>
          <w:rFonts w:cstheme="minorHAnsi"/>
        </w:rPr>
        <w:t xml:space="preserve">ous </w:t>
      </w:r>
      <w:r>
        <w:rPr>
          <w:rFonts w:cstheme="minorHAnsi"/>
        </w:rPr>
        <w:t>organisations.</w:t>
      </w:r>
    </w:p>
    <w:p w14:paraId="78781449" w14:textId="4444D828" w:rsidR="00756E2A" w:rsidRPr="00524794" w:rsidRDefault="00756E2A" w:rsidP="00756E2A">
      <w:pPr>
        <w:spacing w:before="120" w:line="257" w:lineRule="auto"/>
        <w:rPr>
          <w:rFonts w:cstheme="minorHAnsi"/>
          <w:b/>
          <w:bCs/>
          <w:color w:val="002060"/>
        </w:rPr>
      </w:pPr>
      <w:r w:rsidRPr="00524794">
        <w:rPr>
          <w:rFonts w:cstheme="minorHAnsi"/>
          <w:b/>
          <w:bCs/>
          <w:color w:val="002060"/>
        </w:rPr>
        <w:t>5. Work with Industry to develop strategies that address seasonal worker shortages.</w:t>
      </w:r>
    </w:p>
    <w:p w14:paraId="719BE777" w14:textId="0B3DD0C9" w:rsidR="004B2FC0" w:rsidRPr="00B27918" w:rsidRDefault="004B2FC0" w:rsidP="004B2FC0">
      <w:pPr>
        <w:pStyle w:val="BoxHeading-Recommendation"/>
        <w:numPr>
          <w:ilvl w:val="0"/>
          <w:numId w:val="0"/>
        </w:numPr>
        <w:rPr>
          <w:rFonts w:asciiTheme="minorHAnsi" w:hAnsiTheme="minorHAnsi" w:cstheme="minorHAnsi"/>
          <w:b w:val="0"/>
          <w:bCs/>
          <w:sz w:val="22"/>
          <w:szCs w:val="22"/>
        </w:rPr>
      </w:pPr>
      <w:r w:rsidRPr="00B27918">
        <w:rPr>
          <w:rFonts w:asciiTheme="minorHAnsi" w:hAnsiTheme="minorHAnsi" w:cstheme="minorHAnsi"/>
          <w:bCs/>
          <w:iCs/>
          <w:sz w:val="22"/>
          <w:szCs w:val="22"/>
        </w:rPr>
        <w:t>Strategies</w:t>
      </w:r>
      <w:r w:rsidR="00B27918">
        <w:rPr>
          <w:rFonts w:asciiTheme="minorHAnsi" w:hAnsiTheme="minorHAnsi" w:cstheme="minorHAnsi"/>
          <w:bCs/>
          <w:iCs/>
          <w:sz w:val="22"/>
          <w:szCs w:val="22"/>
        </w:rPr>
        <w:t>:</w:t>
      </w:r>
    </w:p>
    <w:p w14:paraId="59444906" w14:textId="0C257BF0" w:rsidR="00D92B3C" w:rsidRPr="00524794" w:rsidRDefault="00D92B3C" w:rsidP="00D92B3C">
      <w:pPr>
        <w:pStyle w:val="ListParagraph"/>
        <w:numPr>
          <w:ilvl w:val="0"/>
          <w:numId w:val="56"/>
        </w:numPr>
        <w:spacing w:before="120" w:after="120" w:line="257" w:lineRule="auto"/>
        <w:rPr>
          <w:rFonts w:cstheme="minorHAnsi"/>
          <w:b/>
          <w:bCs/>
        </w:rPr>
      </w:pPr>
      <w:r w:rsidRPr="00524794">
        <w:rPr>
          <w:rFonts w:cstheme="minorHAnsi"/>
        </w:rPr>
        <w:t xml:space="preserve">Collaborate with stakeholders to </w:t>
      </w:r>
      <w:r w:rsidR="00AA0069">
        <w:rPr>
          <w:rFonts w:cstheme="minorHAnsi"/>
        </w:rPr>
        <w:t>develop</w:t>
      </w:r>
      <w:r w:rsidRPr="00524794">
        <w:rPr>
          <w:rFonts w:cstheme="minorHAnsi"/>
        </w:rPr>
        <w:t xml:space="preserve"> solutions to </w:t>
      </w:r>
      <w:r w:rsidR="00AA0069">
        <w:rPr>
          <w:rFonts w:cstheme="minorHAnsi"/>
        </w:rPr>
        <w:t>meet</w:t>
      </w:r>
      <w:r w:rsidRPr="00524794">
        <w:rPr>
          <w:rFonts w:cstheme="minorHAnsi"/>
        </w:rPr>
        <w:t xml:space="preserve"> seasonal worker shortages.</w:t>
      </w:r>
    </w:p>
    <w:p w14:paraId="2BB23F8D" w14:textId="603B8DC9" w:rsidR="00D92B3C" w:rsidRPr="00392F89" w:rsidRDefault="00D92B3C" w:rsidP="00D92B3C">
      <w:pPr>
        <w:pStyle w:val="ListParagraph"/>
        <w:numPr>
          <w:ilvl w:val="0"/>
          <w:numId w:val="56"/>
        </w:numPr>
        <w:spacing w:after="0" w:line="240" w:lineRule="auto"/>
        <w:rPr>
          <w:rFonts w:cstheme="minorHAnsi"/>
        </w:rPr>
      </w:pPr>
      <w:r w:rsidRPr="00392F89">
        <w:rPr>
          <w:rFonts w:cstheme="minorHAnsi"/>
        </w:rPr>
        <w:t>Work with Employment Service Providers to i</w:t>
      </w:r>
      <w:r w:rsidR="00A31723">
        <w:rPr>
          <w:rFonts w:cstheme="minorHAnsi"/>
        </w:rPr>
        <w:t>mprove</w:t>
      </w:r>
      <w:r w:rsidRPr="00392F89">
        <w:rPr>
          <w:rFonts w:cstheme="minorHAnsi"/>
        </w:rPr>
        <w:t xml:space="preserve"> job seeker engagement in seasonal industries.</w:t>
      </w:r>
    </w:p>
    <w:p w14:paraId="2F6F0DA9" w14:textId="1F7689C8" w:rsidR="004B2FC0" w:rsidRPr="00897C40" w:rsidRDefault="00333FB2" w:rsidP="004B2FC0">
      <w:pPr>
        <w:pStyle w:val="ListParagraph"/>
        <w:numPr>
          <w:ilvl w:val="0"/>
          <w:numId w:val="56"/>
        </w:numPr>
        <w:spacing w:after="0" w:line="240" w:lineRule="auto"/>
        <w:rPr>
          <w:rFonts w:cstheme="minorHAnsi"/>
        </w:rPr>
      </w:pPr>
      <w:r>
        <w:rPr>
          <w:rFonts w:cstheme="minorHAnsi"/>
        </w:rPr>
        <w:t xml:space="preserve">Promote </w:t>
      </w:r>
      <w:r w:rsidR="00CB62EA">
        <w:rPr>
          <w:rFonts w:cstheme="minorHAnsi"/>
        </w:rPr>
        <w:t>seasonal worker</w:t>
      </w:r>
      <w:r w:rsidR="00CB62EA" w:rsidRPr="00897C40">
        <w:rPr>
          <w:rFonts w:cstheme="minorHAnsi"/>
        </w:rPr>
        <w:t xml:space="preserve"> </w:t>
      </w:r>
      <w:r w:rsidR="004B2FC0" w:rsidRPr="00897C40">
        <w:rPr>
          <w:rFonts w:cstheme="minorHAnsi"/>
        </w:rPr>
        <w:t xml:space="preserve">initiatives </w:t>
      </w:r>
      <w:r w:rsidR="00CB62EA">
        <w:rPr>
          <w:rFonts w:cstheme="minorHAnsi"/>
        </w:rPr>
        <w:t xml:space="preserve">to employers and Industry </w:t>
      </w:r>
      <w:r w:rsidR="004B2FC0" w:rsidRPr="00897C40">
        <w:rPr>
          <w:rFonts w:cstheme="minorHAnsi"/>
        </w:rPr>
        <w:t xml:space="preserve">across the </w:t>
      </w:r>
      <w:r w:rsidR="009A3EA3" w:rsidRPr="00897C40">
        <w:rPr>
          <w:rFonts w:cstheme="minorHAnsi"/>
        </w:rPr>
        <w:t>Region</w:t>
      </w:r>
      <w:r w:rsidR="009A3EA3">
        <w:rPr>
          <w:rFonts w:cstheme="minorHAnsi"/>
        </w:rPr>
        <w:t>.</w:t>
      </w:r>
    </w:p>
    <w:p w14:paraId="00936E30" w14:textId="64DC5BB9" w:rsidR="004B2FC0" w:rsidRPr="00B27918" w:rsidRDefault="004B2FC0" w:rsidP="004B2FC0">
      <w:pPr>
        <w:spacing w:before="120" w:after="120" w:line="257" w:lineRule="auto"/>
        <w:rPr>
          <w:rFonts w:cstheme="minorHAnsi"/>
          <w:b/>
          <w:bCs/>
          <w:iCs/>
        </w:rPr>
      </w:pPr>
      <w:bookmarkStart w:id="41" w:name="_Hlk86404713"/>
      <w:r w:rsidRPr="00B27918">
        <w:rPr>
          <w:rFonts w:cstheme="minorHAnsi"/>
          <w:b/>
          <w:bCs/>
          <w:iCs/>
        </w:rPr>
        <w:t>Stakeholders</w:t>
      </w:r>
      <w:r w:rsidR="00B27918">
        <w:rPr>
          <w:rFonts w:cstheme="minorHAnsi"/>
          <w:b/>
          <w:bCs/>
          <w:iCs/>
        </w:rPr>
        <w:t>:</w:t>
      </w:r>
    </w:p>
    <w:p w14:paraId="490DE4ED" w14:textId="703895A3" w:rsidR="00455540" w:rsidRDefault="003535B0" w:rsidP="001B2386">
      <w:pPr>
        <w:spacing w:before="120" w:after="120" w:line="257" w:lineRule="auto"/>
        <w:rPr>
          <w:rFonts w:cstheme="minorHAnsi"/>
          <w:b/>
          <w:bCs/>
          <w:color w:val="002060"/>
        </w:rPr>
      </w:pPr>
      <w:r w:rsidRPr="0028572F">
        <w:rPr>
          <w:rFonts w:cstheme="minorHAnsi"/>
        </w:rPr>
        <w:t>Employment Facilitator Team</w:t>
      </w:r>
      <w:r>
        <w:rPr>
          <w:rFonts w:cstheme="minorHAnsi"/>
        </w:rPr>
        <w:t xml:space="preserve">, Goulburn Murray Local Jobs and Skills Taskforce, Local, State and Australian Government Programs, Employment Service Providers, Registered Training Organisations, </w:t>
      </w:r>
      <w:r w:rsidR="00FE3925">
        <w:rPr>
          <w:rFonts w:ascii="Calibri" w:hAnsi="Calibri" w:cstheme="minorHAnsi"/>
        </w:rPr>
        <w:t>peak industry bodies</w:t>
      </w:r>
      <w:r w:rsidR="004D4AC3">
        <w:rPr>
          <w:rFonts w:cstheme="minorHAnsi"/>
        </w:rPr>
        <w:t xml:space="preserve">, </w:t>
      </w:r>
      <w:r>
        <w:rPr>
          <w:rFonts w:cstheme="minorHAnsi"/>
        </w:rPr>
        <w:t>local employers and community organisations.</w:t>
      </w:r>
      <w:bookmarkEnd w:id="41"/>
    </w:p>
    <w:p w14:paraId="31AF2CA1" w14:textId="5FE4012C" w:rsidR="00756E2A" w:rsidRPr="00524794" w:rsidRDefault="00756E2A" w:rsidP="00756E2A">
      <w:pPr>
        <w:spacing w:before="120" w:line="257" w:lineRule="auto"/>
        <w:rPr>
          <w:rFonts w:cstheme="minorHAnsi"/>
          <w:b/>
          <w:bCs/>
          <w:color w:val="002060"/>
        </w:rPr>
      </w:pPr>
      <w:r w:rsidRPr="00524794">
        <w:rPr>
          <w:rFonts w:cstheme="minorHAnsi"/>
          <w:b/>
          <w:bCs/>
          <w:color w:val="002060"/>
        </w:rPr>
        <w:t xml:space="preserve">6. </w:t>
      </w:r>
      <w:r w:rsidR="00A81A6B">
        <w:rPr>
          <w:rFonts w:cstheme="minorHAnsi"/>
          <w:b/>
          <w:bCs/>
          <w:color w:val="002060"/>
        </w:rPr>
        <w:t>Identify</w:t>
      </w:r>
      <w:r w:rsidR="003B4D38">
        <w:rPr>
          <w:rFonts w:cstheme="minorHAnsi"/>
          <w:b/>
          <w:bCs/>
          <w:color w:val="002060"/>
        </w:rPr>
        <w:t xml:space="preserve"> pathways</w:t>
      </w:r>
      <w:r w:rsidRPr="00524794">
        <w:rPr>
          <w:rFonts w:cstheme="minorHAnsi"/>
          <w:b/>
          <w:bCs/>
          <w:color w:val="002060"/>
        </w:rPr>
        <w:t xml:space="preserve"> to which local job seekers are skilled to meet the needs of major projects, including infrastructure works planned throughout the region.</w:t>
      </w:r>
    </w:p>
    <w:p w14:paraId="05CDE180" w14:textId="3555F2A9" w:rsidR="00802066" w:rsidRPr="00B27918" w:rsidRDefault="00802066" w:rsidP="00802066">
      <w:pPr>
        <w:spacing w:before="120" w:after="120" w:line="257" w:lineRule="auto"/>
        <w:rPr>
          <w:rFonts w:cstheme="minorHAnsi"/>
          <w:b/>
          <w:bCs/>
          <w:iCs/>
        </w:rPr>
      </w:pPr>
      <w:bookmarkStart w:id="42" w:name="_Hlk86349337"/>
      <w:r w:rsidRPr="00B27918">
        <w:rPr>
          <w:rFonts w:cstheme="minorHAnsi"/>
          <w:b/>
          <w:bCs/>
          <w:iCs/>
        </w:rPr>
        <w:t>Strategies</w:t>
      </w:r>
      <w:r w:rsidR="00B27918">
        <w:rPr>
          <w:rFonts w:cstheme="minorHAnsi"/>
          <w:b/>
          <w:bCs/>
          <w:iCs/>
        </w:rPr>
        <w:t>:</w:t>
      </w:r>
    </w:p>
    <w:bookmarkEnd w:id="42"/>
    <w:p w14:paraId="1A42AEB0" w14:textId="39571175" w:rsidR="00BD07F6" w:rsidRPr="00897C40" w:rsidRDefault="00681228" w:rsidP="00802066">
      <w:pPr>
        <w:pStyle w:val="ListParagraph"/>
        <w:numPr>
          <w:ilvl w:val="0"/>
          <w:numId w:val="60"/>
        </w:numPr>
        <w:spacing w:before="120" w:after="120" w:line="257" w:lineRule="auto"/>
        <w:rPr>
          <w:rFonts w:cstheme="minorHAnsi"/>
          <w:b/>
          <w:bCs/>
        </w:rPr>
      </w:pPr>
      <w:r>
        <w:rPr>
          <w:rFonts w:cstheme="minorHAnsi"/>
        </w:rPr>
        <w:t>Collaborate</w:t>
      </w:r>
      <w:r w:rsidR="00BD07F6" w:rsidRPr="00524794">
        <w:rPr>
          <w:rFonts w:cstheme="minorHAnsi"/>
        </w:rPr>
        <w:t xml:space="preserve"> with Registered Training Organisations </w:t>
      </w:r>
      <w:r w:rsidR="009E3178">
        <w:rPr>
          <w:rFonts w:cstheme="minorHAnsi"/>
        </w:rPr>
        <w:t xml:space="preserve">and </w:t>
      </w:r>
      <w:r w:rsidR="00CB62EA">
        <w:rPr>
          <w:rFonts w:cstheme="minorHAnsi"/>
        </w:rPr>
        <w:t>I</w:t>
      </w:r>
      <w:r w:rsidR="009E3178">
        <w:rPr>
          <w:rFonts w:cstheme="minorHAnsi"/>
        </w:rPr>
        <w:t xml:space="preserve">ndustry </w:t>
      </w:r>
      <w:r w:rsidR="00BD07F6" w:rsidRPr="00524794">
        <w:rPr>
          <w:rFonts w:cstheme="minorHAnsi"/>
        </w:rPr>
        <w:t xml:space="preserve">to ensure current and future workforce demands are aligned with training opportunities </w:t>
      </w:r>
      <w:r w:rsidR="00BD07F6">
        <w:rPr>
          <w:rFonts w:cstheme="minorHAnsi"/>
        </w:rPr>
        <w:t xml:space="preserve">to support </w:t>
      </w:r>
      <w:r w:rsidR="009E3178">
        <w:rPr>
          <w:rFonts w:cstheme="minorHAnsi"/>
        </w:rPr>
        <w:t>future projects.</w:t>
      </w:r>
      <w:r w:rsidR="00BD07F6" w:rsidRPr="00524794">
        <w:rPr>
          <w:rFonts w:cstheme="minorHAnsi"/>
        </w:rPr>
        <w:t xml:space="preserve"> </w:t>
      </w:r>
    </w:p>
    <w:p w14:paraId="4E6FD673" w14:textId="11C033B8" w:rsidR="00802066" w:rsidRPr="00524794" w:rsidRDefault="00802066" w:rsidP="00802066">
      <w:pPr>
        <w:pStyle w:val="ListParagraph"/>
        <w:numPr>
          <w:ilvl w:val="0"/>
          <w:numId w:val="60"/>
        </w:numPr>
        <w:spacing w:before="120" w:after="120" w:line="257" w:lineRule="auto"/>
        <w:rPr>
          <w:rFonts w:cstheme="minorHAnsi"/>
        </w:rPr>
      </w:pPr>
      <w:r w:rsidRPr="00524794">
        <w:rPr>
          <w:rFonts w:cstheme="minorHAnsi"/>
        </w:rPr>
        <w:t xml:space="preserve">Work with employers to identify apprenticeship </w:t>
      </w:r>
      <w:r w:rsidR="009A709D">
        <w:rPr>
          <w:rFonts w:cstheme="minorHAnsi"/>
        </w:rPr>
        <w:t>and entry level</w:t>
      </w:r>
      <w:r w:rsidRPr="00524794">
        <w:rPr>
          <w:rFonts w:cstheme="minorHAnsi"/>
        </w:rPr>
        <w:t xml:space="preserve"> </w:t>
      </w:r>
      <w:r w:rsidR="009A709D" w:rsidRPr="00524794">
        <w:rPr>
          <w:rFonts w:cstheme="minorHAnsi"/>
        </w:rPr>
        <w:t xml:space="preserve">opportunities </w:t>
      </w:r>
      <w:r w:rsidR="009A709D">
        <w:rPr>
          <w:rFonts w:cstheme="minorHAnsi"/>
        </w:rPr>
        <w:t xml:space="preserve">to meet the needs </w:t>
      </w:r>
      <w:r w:rsidR="0066043A">
        <w:rPr>
          <w:rFonts w:cstheme="minorHAnsi"/>
        </w:rPr>
        <w:t>of</w:t>
      </w:r>
      <w:r w:rsidR="00BD07F6">
        <w:rPr>
          <w:rFonts w:cstheme="minorHAnsi"/>
        </w:rPr>
        <w:t xml:space="preserve"> </w:t>
      </w:r>
      <w:r w:rsidRPr="00524794">
        <w:rPr>
          <w:rFonts w:cstheme="minorHAnsi"/>
        </w:rPr>
        <w:t>major projects.</w:t>
      </w:r>
    </w:p>
    <w:p w14:paraId="40897D34" w14:textId="3FC1DE25" w:rsidR="00802066" w:rsidRPr="00B27918" w:rsidRDefault="00802066" w:rsidP="00802066">
      <w:pPr>
        <w:spacing w:before="120" w:after="120" w:line="257" w:lineRule="auto"/>
        <w:rPr>
          <w:rFonts w:cstheme="minorHAnsi"/>
          <w:b/>
          <w:bCs/>
          <w:iCs/>
        </w:rPr>
      </w:pPr>
      <w:bookmarkStart w:id="43" w:name="_Hlk86404958"/>
      <w:r w:rsidRPr="00B27918">
        <w:rPr>
          <w:rFonts w:cstheme="minorHAnsi"/>
          <w:b/>
          <w:bCs/>
          <w:iCs/>
        </w:rPr>
        <w:t>Stakeholders</w:t>
      </w:r>
      <w:r w:rsidR="00B27918">
        <w:rPr>
          <w:rFonts w:cstheme="minorHAnsi"/>
          <w:b/>
          <w:bCs/>
          <w:iCs/>
        </w:rPr>
        <w:t>:</w:t>
      </w:r>
    </w:p>
    <w:p w14:paraId="02A9895A" w14:textId="45D1941D" w:rsidR="0072416F" w:rsidRPr="00524794" w:rsidRDefault="004D4AC3" w:rsidP="001B2386">
      <w:pPr>
        <w:spacing w:before="120" w:after="120" w:line="257" w:lineRule="auto"/>
        <w:rPr>
          <w:rFonts w:cstheme="minorHAnsi"/>
          <w:iCs/>
        </w:rPr>
      </w:pPr>
      <w:r w:rsidRPr="0028572F">
        <w:rPr>
          <w:rFonts w:cstheme="minorHAnsi"/>
        </w:rPr>
        <w:t>Employment Facilitator Team</w:t>
      </w:r>
      <w:r>
        <w:rPr>
          <w:rFonts w:cstheme="minorHAnsi"/>
        </w:rPr>
        <w:t xml:space="preserve">, Goulburn Murray Local Jobs and Skills Taskforce, Local, State and Australian Government Programs, Employment Service Providers, Registered Training Organisations, local employers and </w:t>
      </w:r>
      <w:r w:rsidR="00FE3925">
        <w:rPr>
          <w:rFonts w:ascii="Calibri" w:hAnsi="Calibri" w:cstheme="minorHAnsi"/>
        </w:rPr>
        <w:t>peak industry bodies</w:t>
      </w:r>
      <w:r w:rsidR="00540146">
        <w:rPr>
          <w:rFonts w:cstheme="minorHAnsi"/>
        </w:rPr>
        <w:t>.</w:t>
      </w:r>
      <w:bookmarkEnd w:id="43"/>
    </w:p>
    <w:p w14:paraId="48FB4395" w14:textId="5C458B25" w:rsidR="00846B91" w:rsidRPr="00524794" w:rsidRDefault="00756E2A" w:rsidP="00756E2A">
      <w:pPr>
        <w:spacing w:before="120" w:line="257" w:lineRule="auto"/>
        <w:rPr>
          <w:rFonts w:cstheme="minorHAnsi"/>
          <w:b/>
          <w:bCs/>
          <w:color w:val="002060"/>
        </w:rPr>
      </w:pPr>
      <w:r w:rsidRPr="00524794">
        <w:rPr>
          <w:rFonts w:cstheme="minorHAnsi"/>
          <w:b/>
          <w:bCs/>
          <w:color w:val="002060"/>
        </w:rPr>
        <w:t xml:space="preserve">7. </w:t>
      </w:r>
      <w:r w:rsidR="003B4D38">
        <w:rPr>
          <w:rFonts w:cstheme="minorHAnsi"/>
          <w:b/>
          <w:bCs/>
          <w:color w:val="002060"/>
        </w:rPr>
        <w:t>S</w:t>
      </w:r>
      <w:r w:rsidRPr="00524794">
        <w:rPr>
          <w:rFonts w:cstheme="minorHAnsi"/>
          <w:b/>
          <w:bCs/>
          <w:color w:val="002060"/>
        </w:rPr>
        <w:t>upport</w:t>
      </w:r>
      <w:r w:rsidR="003B4D38">
        <w:rPr>
          <w:rFonts w:cstheme="minorHAnsi"/>
          <w:b/>
          <w:bCs/>
          <w:color w:val="002060"/>
        </w:rPr>
        <w:t xml:space="preserve"> </w:t>
      </w:r>
      <w:r w:rsidRPr="00524794">
        <w:rPr>
          <w:rFonts w:cstheme="minorHAnsi"/>
          <w:b/>
          <w:bCs/>
          <w:color w:val="002060"/>
        </w:rPr>
        <w:t>job seekers, in particular people with disability, culturally and linguistically diverse cohorts, mature age and youth that align with local labour market needs.</w:t>
      </w:r>
    </w:p>
    <w:p w14:paraId="41AF11E0" w14:textId="480E2823" w:rsidR="00FD6BB4" w:rsidRPr="00B27918" w:rsidRDefault="00FD6BB4" w:rsidP="00FD6BB4">
      <w:pPr>
        <w:spacing w:before="120" w:after="120" w:line="257" w:lineRule="auto"/>
        <w:rPr>
          <w:rFonts w:cstheme="minorHAnsi"/>
          <w:b/>
          <w:bCs/>
          <w:iCs/>
        </w:rPr>
      </w:pPr>
      <w:r w:rsidRPr="00B27918">
        <w:rPr>
          <w:rFonts w:cstheme="minorHAnsi"/>
          <w:b/>
          <w:bCs/>
          <w:iCs/>
        </w:rPr>
        <w:t>Strategies</w:t>
      </w:r>
      <w:r w:rsidR="00B27918">
        <w:rPr>
          <w:rFonts w:cstheme="minorHAnsi"/>
          <w:b/>
          <w:bCs/>
          <w:iCs/>
        </w:rPr>
        <w:t>:</w:t>
      </w:r>
    </w:p>
    <w:p w14:paraId="7F4053D4" w14:textId="77777777" w:rsidR="00947679" w:rsidRPr="00524794" w:rsidRDefault="00947679" w:rsidP="00947679">
      <w:pPr>
        <w:pStyle w:val="ListParagraph"/>
        <w:numPr>
          <w:ilvl w:val="0"/>
          <w:numId w:val="63"/>
        </w:numPr>
        <w:spacing w:before="120" w:after="120" w:line="257" w:lineRule="auto"/>
        <w:rPr>
          <w:rFonts w:cstheme="minorHAnsi"/>
          <w:iCs/>
        </w:rPr>
      </w:pPr>
      <w:r>
        <w:rPr>
          <w:rFonts w:cstheme="minorHAnsi"/>
          <w:iCs/>
        </w:rPr>
        <w:t>Work</w:t>
      </w:r>
      <w:r w:rsidRPr="00524794">
        <w:rPr>
          <w:rFonts w:cstheme="minorHAnsi"/>
          <w:iCs/>
        </w:rPr>
        <w:t xml:space="preserve"> with Industry to </w:t>
      </w:r>
      <w:r>
        <w:rPr>
          <w:rFonts w:cstheme="minorHAnsi"/>
          <w:iCs/>
        </w:rPr>
        <w:t>develop</w:t>
      </w:r>
      <w:r w:rsidRPr="00524794">
        <w:rPr>
          <w:rFonts w:cstheme="minorHAnsi"/>
          <w:iCs/>
        </w:rPr>
        <w:t xml:space="preserve"> solutions to increase youth and mature age engagement in employment and training opportunities.</w:t>
      </w:r>
    </w:p>
    <w:p w14:paraId="75E2CFCB" w14:textId="085C3D0B" w:rsidR="00947679" w:rsidRPr="008B78E4" w:rsidRDefault="00947679" w:rsidP="00947679">
      <w:pPr>
        <w:pStyle w:val="ListParagraph"/>
        <w:numPr>
          <w:ilvl w:val="0"/>
          <w:numId w:val="63"/>
        </w:numPr>
        <w:spacing w:before="120" w:after="120" w:line="257" w:lineRule="auto"/>
        <w:rPr>
          <w:rFonts w:cstheme="minorHAnsi"/>
          <w:b/>
          <w:bCs/>
          <w:iCs/>
          <w:u w:val="single"/>
        </w:rPr>
      </w:pPr>
      <w:r>
        <w:rPr>
          <w:rFonts w:cstheme="minorHAnsi"/>
          <w:iCs/>
        </w:rPr>
        <w:t>Collaborate with Employment Service Providers, Community Organisations, and Industry to re-engage CALD</w:t>
      </w:r>
      <w:r w:rsidR="004C2A14">
        <w:rPr>
          <w:rFonts w:cstheme="minorHAnsi"/>
          <w:iCs/>
        </w:rPr>
        <w:t>,</w:t>
      </w:r>
      <w:r>
        <w:rPr>
          <w:rFonts w:cstheme="minorHAnsi"/>
          <w:iCs/>
        </w:rPr>
        <w:t xml:space="preserve"> </w:t>
      </w:r>
      <w:r w:rsidR="004C2A14">
        <w:rPr>
          <w:rFonts w:cstheme="minorHAnsi"/>
          <w:iCs/>
        </w:rPr>
        <w:t>y</w:t>
      </w:r>
      <w:r>
        <w:rPr>
          <w:rFonts w:cstheme="minorHAnsi"/>
          <w:iCs/>
        </w:rPr>
        <w:t xml:space="preserve">outh and </w:t>
      </w:r>
      <w:r w:rsidR="004C2A14">
        <w:rPr>
          <w:rFonts w:cstheme="minorHAnsi"/>
          <w:iCs/>
        </w:rPr>
        <w:t>m</w:t>
      </w:r>
      <w:r>
        <w:rPr>
          <w:rFonts w:cstheme="minorHAnsi"/>
          <w:iCs/>
        </w:rPr>
        <w:t xml:space="preserve">ature </w:t>
      </w:r>
      <w:r w:rsidR="004C2A14">
        <w:rPr>
          <w:rFonts w:cstheme="minorHAnsi"/>
          <w:iCs/>
        </w:rPr>
        <w:t>a</w:t>
      </w:r>
      <w:r>
        <w:rPr>
          <w:rFonts w:cstheme="minorHAnsi"/>
          <w:iCs/>
        </w:rPr>
        <w:t>ge cohorts.</w:t>
      </w:r>
    </w:p>
    <w:p w14:paraId="79C3B7CB" w14:textId="79DD43C1" w:rsidR="00947679" w:rsidRPr="001B2386" w:rsidRDefault="00947679" w:rsidP="00A776A1">
      <w:pPr>
        <w:pStyle w:val="ListParagraph"/>
        <w:numPr>
          <w:ilvl w:val="0"/>
          <w:numId w:val="63"/>
        </w:numPr>
        <w:spacing w:before="120" w:after="0" w:line="257" w:lineRule="auto"/>
        <w:rPr>
          <w:rFonts w:cstheme="minorHAnsi"/>
        </w:rPr>
      </w:pPr>
      <w:r w:rsidRPr="001B2386">
        <w:rPr>
          <w:rFonts w:cstheme="minorHAnsi"/>
          <w:iCs/>
        </w:rPr>
        <w:t>Engage with organisations to promote employment and training opportunities.</w:t>
      </w:r>
    </w:p>
    <w:p w14:paraId="49D0FF11" w14:textId="24CD02A2" w:rsidR="00FD6BB4" w:rsidRPr="00B27918" w:rsidRDefault="00FD6BB4" w:rsidP="00FD6BB4">
      <w:pPr>
        <w:spacing w:before="120" w:after="120" w:line="257" w:lineRule="auto"/>
        <w:rPr>
          <w:rFonts w:cstheme="minorHAnsi"/>
          <w:b/>
          <w:bCs/>
          <w:iCs/>
        </w:rPr>
      </w:pPr>
      <w:r w:rsidRPr="00B27918">
        <w:rPr>
          <w:rFonts w:cstheme="minorHAnsi"/>
          <w:b/>
          <w:bCs/>
          <w:iCs/>
        </w:rPr>
        <w:t>Stakeholders</w:t>
      </w:r>
      <w:r w:rsidR="00B27918">
        <w:rPr>
          <w:rFonts w:cstheme="minorHAnsi"/>
          <w:b/>
          <w:bCs/>
          <w:iCs/>
        </w:rPr>
        <w:t>:</w:t>
      </w:r>
    </w:p>
    <w:p w14:paraId="2D748341" w14:textId="33831EF0" w:rsidR="00555B32" w:rsidRPr="00524794" w:rsidRDefault="00555B32" w:rsidP="00FD6BB4">
      <w:pPr>
        <w:spacing w:before="120" w:after="120" w:line="257" w:lineRule="auto"/>
        <w:rPr>
          <w:rFonts w:cstheme="minorHAnsi"/>
          <w:b/>
          <w:bCs/>
          <w:iCs/>
          <w:u w:val="single"/>
        </w:rPr>
      </w:pPr>
      <w:r w:rsidRPr="0028572F">
        <w:rPr>
          <w:rFonts w:cstheme="minorHAnsi"/>
        </w:rPr>
        <w:t>Employment Facilitator Team</w:t>
      </w:r>
      <w:r>
        <w:rPr>
          <w:rFonts w:cstheme="minorHAnsi"/>
        </w:rPr>
        <w:t>, Goulburn Murray Local Jobs and Skills Taskforce, Local, State and Australian Government Programs, Employment Service Providers, Registered Training Organisations,</w:t>
      </w:r>
      <w:r w:rsidR="00381605">
        <w:rPr>
          <w:rFonts w:cstheme="minorHAnsi"/>
        </w:rPr>
        <w:t xml:space="preserve"> </w:t>
      </w:r>
      <w:r w:rsidR="00FE3925">
        <w:rPr>
          <w:rFonts w:ascii="Calibri" w:hAnsi="Calibri" w:cstheme="minorHAnsi"/>
        </w:rPr>
        <w:t xml:space="preserve">peak industry bodies </w:t>
      </w:r>
      <w:r w:rsidR="008626D3">
        <w:rPr>
          <w:rFonts w:cstheme="minorHAnsi"/>
        </w:rPr>
        <w:t xml:space="preserve">and </w:t>
      </w:r>
      <w:r>
        <w:rPr>
          <w:rFonts w:cstheme="minorHAnsi"/>
        </w:rPr>
        <w:t>local employers.</w:t>
      </w:r>
    </w:p>
    <w:p w14:paraId="2FA3773A" w14:textId="77777777" w:rsidR="00D06934" w:rsidRDefault="00D06934" w:rsidP="00846B91">
      <w:pPr>
        <w:spacing w:before="120" w:line="257" w:lineRule="auto"/>
        <w:rPr>
          <w:rFonts w:eastAsia="Calibri" w:cstheme="minorHAnsi"/>
          <w:lang w:val="en-US"/>
        </w:rPr>
        <w:sectPr w:rsidR="00D06934" w:rsidSect="006D405C">
          <w:footerReference w:type="default" r:id="rId22"/>
          <w:pgSz w:w="11906" w:h="16838"/>
          <w:pgMar w:top="1276" w:right="1418" w:bottom="1135" w:left="1440" w:header="454" w:footer="567" w:gutter="0"/>
          <w:cols w:space="708"/>
          <w:titlePg/>
          <w:docGrid w:linePitch="360"/>
        </w:sectPr>
      </w:pPr>
    </w:p>
    <w:p w14:paraId="7B1DE77C" w14:textId="20D6C8BA" w:rsidR="00846B91" w:rsidRDefault="00AB5540" w:rsidP="00AB5540">
      <w:pPr>
        <w:pStyle w:val="Heading2"/>
        <w:rPr>
          <w:rFonts w:eastAsia="Times New Roman"/>
        </w:rPr>
      </w:pPr>
      <w:bookmarkStart w:id="44" w:name="_Toc89157944"/>
      <w:r>
        <w:rPr>
          <w:rFonts w:eastAsia="Times New Roman"/>
        </w:rPr>
        <w:lastRenderedPageBreak/>
        <w:t>A</w:t>
      </w:r>
      <w:r w:rsidR="00D31A5F" w:rsidRPr="002A51AE">
        <w:rPr>
          <w:rFonts w:eastAsia="Times New Roman"/>
        </w:rPr>
        <w:t>ttachment B – Labour Market Data Dashboard (</w:t>
      </w:r>
      <w:r w:rsidR="008162F9">
        <w:rPr>
          <w:rFonts w:eastAsia="Times New Roman"/>
        </w:rPr>
        <w:t>October</w:t>
      </w:r>
      <w:r w:rsidR="00D31A5F" w:rsidRPr="002A51AE">
        <w:rPr>
          <w:rFonts w:eastAsia="Times New Roman"/>
        </w:rPr>
        <w:t xml:space="preserve"> 202</w:t>
      </w:r>
      <w:r w:rsidR="009D63B5">
        <w:rPr>
          <w:rFonts w:eastAsia="Times New Roman"/>
        </w:rPr>
        <w:t>1)</w:t>
      </w:r>
      <w:bookmarkEnd w:id="44"/>
    </w:p>
    <w:bookmarkEnd w:id="0"/>
    <w:bookmarkEnd w:id="2"/>
    <w:bookmarkEnd w:id="35"/>
    <w:p w14:paraId="7C50861D" w14:textId="3F09BBD3" w:rsidR="00E43BF9" w:rsidRDefault="003556B8" w:rsidP="003556B8">
      <w:pPr>
        <w:jc w:val="center"/>
        <w:rPr>
          <w:rFonts w:eastAsia="Times New Roman"/>
          <w:b/>
          <w:bCs/>
        </w:rPr>
      </w:pPr>
      <w:r w:rsidRPr="003556B8">
        <w:rPr>
          <w:rFonts w:eastAsia="Times New Roman"/>
          <w:b/>
          <w:bCs/>
          <w:noProof/>
        </w:rPr>
        <w:drawing>
          <wp:inline distT="0" distB="0" distL="0" distR="0" wp14:anchorId="737750DC" wp14:editId="0CBE54EB">
            <wp:extent cx="7785456" cy="5324475"/>
            <wp:effectExtent l="0" t="0" r="6350" b="0"/>
            <wp:docPr id="2" name="Picture 2" descr="This Labour Market Data Dashboard was published in October 2021 and provides a summary of the key indicators for the Goulburn Murray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Labour Market Data Dashboard was published in October 2021 and provides a summary of the key indicators for the Goulburn Murray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pic:cNvPicPr/>
                  </pic:nvPicPr>
                  <pic:blipFill>
                    <a:blip r:embed="rId23"/>
                    <a:stretch>
                      <a:fillRect/>
                    </a:stretch>
                  </pic:blipFill>
                  <pic:spPr>
                    <a:xfrm>
                      <a:off x="0" y="0"/>
                      <a:ext cx="7821821" cy="5349345"/>
                    </a:xfrm>
                    <a:prstGeom prst="rect">
                      <a:avLst/>
                    </a:prstGeom>
                  </pic:spPr>
                </pic:pic>
              </a:graphicData>
            </a:graphic>
          </wp:inline>
        </w:drawing>
      </w:r>
    </w:p>
    <w:sectPr w:rsidR="00E43BF9" w:rsidSect="00AE4BFA">
      <w:footerReference w:type="first" r:id="rId24"/>
      <w:pgSz w:w="16838" w:h="11906" w:orient="landscape" w:code="9"/>
      <w:pgMar w:top="1440" w:right="1276" w:bottom="1418"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B33D6" w14:textId="77777777" w:rsidR="00853E22" w:rsidRDefault="00853E22" w:rsidP="009B031C">
      <w:r>
        <w:separator/>
      </w:r>
    </w:p>
  </w:endnote>
  <w:endnote w:type="continuationSeparator" w:id="0">
    <w:p w14:paraId="33095D0D" w14:textId="77777777" w:rsidR="00853E22" w:rsidRDefault="00853E22"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510346"/>
      <w:docPartObj>
        <w:docPartGallery w:val="Page Numbers (Bottom of Page)"/>
        <w:docPartUnique/>
      </w:docPartObj>
    </w:sdtPr>
    <w:sdtEndPr>
      <w:rPr>
        <w:noProof/>
        <w:color w:val="E7E6E6"/>
      </w:rPr>
    </w:sdtEndPr>
    <w:sdtContent>
      <w:p w14:paraId="5CE092B1" w14:textId="7A0B0BEE" w:rsidR="009B7CDA" w:rsidRPr="003273FB" w:rsidRDefault="009B7CDA">
        <w:pPr>
          <w:pStyle w:val="Footer"/>
          <w:jc w:val="right"/>
          <w:rPr>
            <w:color w:val="E7E6E6"/>
          </w:rPr>
        </w:pPr>
        <w:r w:rsidRPr="003273FB">
          <w:rPr>
            <w:color w:val="E7E6E6"/>
          </w:rPr>
          <w:fldChar w:fldCharType="begin"/>
        </w:r>
        <w:r w:rsidRPr="003273FB">
          <w:rPr>
            <w:color w:val="E7E6E6"/>
          </w:rPr>
          <w:instrText xml:space="preserve"> PAGE   \* MERGEFORMAT </w:instrText>
        </w:r>
        <w:r w:rsidRPr="003273FB">
          <w:rPr>
            <w:color w:val="E7E6E6"/>
          </w:rPr>
          <w:fldChar w:fldCharType="separate"/>
        </w:r>
        <w:r w:rsidRPr="003273FB">
          <w:rPr>
            <w:noProof/>
            <w:color w:val="E7E6E6"/>
          </w:rPr>
          <w:t>2</w:t>
        </w:r>
        <w:r w:rsidRPr="003273FB">
          <w:rPr>
            <w:noProof/>
            <w:color w:val="E7E6E6"/>
          </w:rPr>
          <w:fldChar w:fldCharType="end"/>
        </w:r>
      </w:p>
    </w:sdtContent>
  </w:sdt>
  <w:p w14:paraId="2E6877A1" w14:textId="77095A9D" w:rsidR="006266AF" w:rsidRDefault="008D06CF" w:rsidP="009B031C">
    <w:pPr>
      <w:pStyle w:val="Footer"/>
    </w:pPr>
    <w:r>
      <w:rPr>
        <w:noProof/>
      </w:rPr>
      <w:drawing>
        <wp:anchor distT="0" distB="0" distL="114300" distR="114300" simplePos="0" relativeHeight="251658240" behindDoc="1" locked="0" layoutInCell="1" allowOverlap="1" wp14:anchorId="209E1D63" wp14:editId="61372ED2">
          <wp:simplePos x="0" y="0"/>
          <wp:positionH relativeFrom="page">
            <wp:align>right</wp:align>
          </wp:positionH>
          <wp:positionV relativeFrom="paragraph">
            <wp:posOffset>-1278255</wp:posOffset>
          </wp:positionV>
          <wp:extent cx="2517775" cy="179197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775" cy="1791970"/>
                  </a:xfrm>
                  <a:prstGeom prst="rect">
                    <a:avLst/>
                  </a:prstGeom>
                </pic:spPr>
              </pic:pic>
            </a:graphicData>
          </a:graphic>
        </wp:anchor>
      </w:drawing>
    </w:r>
    <w:r w:rsidR="007D7841">
      <w:t>Goulburn Murray Local Jobs Plan –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E53A" w14:textId="18170D8A" w:rsidR="00AE4BFA" w:rsidRDefault="00AE4BFA" w:rsidP="00AE4BFA">
    <w:pPr>
      <w:pStyle w:val="Footer"/>
    </w:pPr>
    <w:r>
      <w:rPr>
        <w:noProof/>
      </w:rPr>
      <w:drawing>
        <wp:anchor distT="0" distB="0" distL="114300" distR="114300" simplePos="0" relativeHeight="251660288" behindDoc="1" locked="0" layoutInCell="1" allowOverlap="1" wp14:anchorId="1DA2F282" wp14:editId="555A92FF">
          <wp:simplePos x="0" y="0"/>
          <wp:positionH relativeFrom="page">
            <wp:align>right</wp:align>
          </wp:positionH>
          <wp:positionV relativeFrom="paragraph">
            <wp:posOffset>-764540</wp:posOffset>
          </wp:positionV>
          <wp:extent cx="2517775" cy="179197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775" cy="1791970"/>
                  </a:xfrm>
                  <a:prstGeom prst="rect">
                    <a:avLst/>
                  </a:prstGeom>
                </pic:spPr>
              </pic:pic>
            </a:graphicData>
          </a:graphic>
        </wp:anchor>
      </w:drawing>
    </w:r>
  </w:p>
  <w:p w14:paraId="2431980D" w14:textId="4A682317" w:rsidR="00AE4BFA" w:rsidRDefault="00AE4BFA" w:rsidP="00AE4BFA">
    <w:pPr>
      <w:pStyle w:val="Footer"/>
    </w:pPr>
    <w:r>
      <w:t>Goulburn Murray Local Jobs Plan – November 2021</w:t>
    </w:r>
  </w:p>
  <w:sdt>
    <w:sdtPr>
      <w:id w:val="897720383"/>
      <w:docPartObj>
        <w:docPartGallery w:val="Page Numbers (Bottom of Page)"/>
        <w:docPartUnique/>
      </w:docPartObj>
    </w:sdtPr>
    <w:sdtEndPr>
      <w:rPr>
        <w:noProof/>
        <w:color w:val="E7E6E6"/>
      </w:rPr>
    </w:sdtEndPr>
    <w:sdtContent>
      <w:p w14:paraId="2FBEE634" w14:textId="77777777" w:rsidR="00FA7FC4" w:rsidRPr="003273FB" w:rsidRDefault="00FA7FC4" w:rsidP="00FA7FC4">
        <w:pPr>
          <w:pStyle w:val="Footer"/>
          <w:jc w:val="right"/>
          <w:rPr>
            <w:color w:val="E7E6E6"/>
          </w:rPr>
        </w:pPr>
        <w:r w:rsidRPr="003273FB">
          <w:rPr>
            <w:color w:val="E7E6E6"/>
          </w:rPr>
          <w:fldChar w:fldCharType="begin"/>
        </w:r>
        <w:r w:rsidRPr="003273FB">
          <w:rPr>
            <w:color w:val="E7E6E6"/>
          </w:rPr>
          <w:instrText xml:space="preserve"> PAGE   \* MERGEFORMAT </w:instrText>
        </w:r>
        <w:r w:rsidRPr="003273FB">
          <w:rPr>
            <w:color w:val="E7E6E6"/>
          </w:rPr>
          <w:fldChar w:fldCharType="separate"/>
        </w:r>
        <w:r>
          <w:rPr>
            <w:color w:val="E7E6E6"/>
          </w:rPr>
          <w:t>14</w:t>
        </w:r>
        <w:r w:rsidRPr="003273FB">
          <w:rPr>
            <w:noProof/>
            <w:color w:val="E7E6E6"/>
          </w:rPr>
          <w:fldChar w:fldCharType="end"/>
        </w:r>
      </w:p>
    </w:sdtContent>
  </w:sdt>
  <w:p w14:paraId="6DDD6644" w14:textId="3B822759" w:rsidR="008D06CF" w:rsidRDefault="008D06CF" w:rsidP="00FA7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21207" w14:textId="77777777" w:rsidR="00853E22" w:rsidRDefault="00853E22" w:rsidP="009B031C">
      <w:r>
        <w:separator/>
      </w:r>
    </w:p>
  </w:footnote>
  <w:footnote w:type="continuationSeparator" w:id="0">
    <w:p w14:paraId="390578D5" w14:textId="77777777" w:rsidR="00853E22" w:rsidRDefault="00853E22" w:rsidP="009B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BE19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0A2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A31ED1"/>
    <w:multiLevelType w:val="hybridMultilevel"/>
    <w:tmpl w:val="EF763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F259F0"/>
    <w:multiLevelType w:val="hybridMultilevel"/>
    <w:tmpl w:val="389C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F63C6C"/>
    <w:multiLevelType w:val="hybridMultilevel"/>
    <w:tmpl w:val="6FAC7270"/>
    <w:lvl w:ilvl="0" w:tplc="0C090001">
      <w:start w:val="1"/>
      <w:numFmt w:val="bullet"/>
      <w:lvlText w:val=""/>
      <w:lvlJc w:val="left"/>
      <w:pPr>
        <w:ind w:left="1439" w:hanging="360"/>
      </w:pPr>
      <w:rPr>
        <w:rFonts w:ascii="Symbol" w:hAnsi="Symbol" w:hint="default"/>
      </w:rPr>
    </w:lvl>
    <w:lvl w:ilvl="1" w:tplc="0C090003" w:tentative="1">
      <w:start w:val="1"/>
      <w:numFmt w:val="bullet"/>
      <w:lvlText w:val="o"/>
      <w:lvlJc w:val="left"/>
      <w:pPr>
        <w:ind w:left="2159" w:hanging="360"/>
      </w:pPr>
      <w:rPr>
        <w:rFonts w:ascii="Courier New" w:hAnsi="Courier New" w:cs="Courier New" w:hint="default"/>
      </w:rPr>
    </w:lvl>
    <w:lvl w:ilvl="2" w:tplc="0C090005" w:tentative="1">
      <w:start w:val="1"/>
      <w:numFmt w:val="bullet"/>
      <w:lvlText w:val=""/>
      <w:lvlJc w:val="left"/>
      <w:pPr>
        <w:ind w:left="2879" w:hanging="360"/>
      </w:pPr>
      <w:rPr>
        <w:rFonts w:ascii="Wingdings" w:hAnsi="Wingdings" w:hint="default"/>
      </w:rPr>
    </w:lvl>
    <w:lvl w:ilvl="3" w:tplc="0C090001" w:tentative="1">
      <w:start w:val="1"/>
      <w:numFmt w:val="bullet"/>
      <w:lvlText w:val=""/>
      <w:lvlJc w:val="left"/>
      <w:pPr>
        <w:ind w:left="3599" w:hanging="360"/>
      </w:pPr>
      <w:rPr>
        <w:rFonts w:ascii="Symbol" w:hAnsi="Symbol" w:hint="default"/>
      </w:rPr>
    </w:lvl>
    <w:lvl w:ilvl="4" w:tplc="0C090003" w:tentative="1">
      <w:start w:val="1"/>
      <w:numFmt w:val="bullet"/>
      <w:lvlText w:val="o"/>
      <w:lvlJc w:val="left"/>
      <w:pPr>
        <w:ind w:left="4319" w:hanging="360"/>
      </w:pPr>
      <w:rPr>
        <w:rFonts w:ascii="Courier New" w:hAnsi="Courier New" w:cs="Courier New" w:hint="default"/>
      </w:rPr>
    </w:lvl>
    <w:lvl w:ilvl="5" w:tplc="0C090005" w:tentative="1">
      <w:start w:val="1"/>
      <w:numFmt w:val="bullet"/>
      <w:lvlText w:val=""/>
      <w:lvlJc w:val="left"/>
      <w:pPr>
        <w:ind w:left="5039" w:hanging="360"/>
      </w:pPr>
      <w:rPr>
        <w:rFonts w:ascii="Wingdings" w:hAnsi="Wingdings" w:hint="default"/>
      </w:rPr>
    </w:lvl>
    <w:lvl w:ilvl="6" w:tplc="0C090001" w:tentative="1">
      <w:start w:val="1"/>
      <w:numFmt w:val="bullet"/>
      <w:lvlText w:val=""/>
      <w:lvlJc w:val="left"/>
      <w:pPr>
        <w:ind w:left="5759" w:hanging="360"/>
      </w:pPr>
      <w:rPr>
        <w:rFonts w:ascii="Symbol" w:hAnsi="Symbol" w:hint="default"/>
      </w:rPr>
    </w:lvl>
    <w:lvl w:ilvl="7" w:tplc="0C090003" w:tentative="1">
      <w:start w:val="1"/>
      <w:numFmt w:val="bullet"/>
      <w:lvlText w:val="o"/>
      <w:lvlJc w:val="left"/>
      <w:pPr>
        <w:ind w:left="6479" w:hanging="360"/>
      </w:pPr>
      <w:rPr>
        <w:rFonts w:ascii="Courier New" w:hAnsi="Courier New" w:cs="Courier New" w:hint="default"/>
      </w:rPr>
    </w:lvl>
    <w:lvl w:ilvl="8" w:tplc="0C090005" w:tentative="1">
      <w:start w:val="1"/>
      <w:numFmt w:val="bullet"/>
      <w:lvlText w:val=""/>
      <w:lvlJc w:val="left"/>
      <w:pPr>
        <w:ind w:left="7199" w:hanging="360"/>
      </w:pPr>
      <w:rPr>
        <w:rFonts w:ascii="Wingdings" w:hAnsi="Wingdings" w:hint="default"/>
      </w:rPr>
    </w:lvl>
  </w:abstractNum>
  <w:abstractNum w:abstractNumId="12" w15:restartNumberingAfterBreak="0">
    <w:nsid w:val="04530E87"/>
    <w:multiLevelType w:val="hybridMultilevel"/>
    <w:tmpl w:val="1BF85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FC1510"/>
    <w:multiLevelType w:val="hybridMultilevel"/>
    <w:tmpl w:val="ECECC2B0"/>
    <w:lvl w:ilvl="0" w:tplc="3A1E006E">
      <w:start w:val="20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E176C9"/>
    <w:multiLevelType w:val="multilevel"/>
    <w:tmpl w:val="C6A41CA0"/>
    <w:lvl w:ilvl="0">
      <w:start w:val="1"/>
      <w:numFmt w:val="decimal"/>
      <w:suff w:val="space"/>
      <w:lvlText w:val="Part %1:"/>
      <w:lvlJc w:val="left"/>
      <w:pPr>
        <w:ind w:left="2359" w:hanging="2359"/>
      </w:pPr>
      <w:rPr>
        <w:rFonts w:hint="default"/>
      </w:rPr>
    </w:lvl>
    <w:lvl w:ilvl="1">
      <w:start w:val="1"/>
      <w:numFmt w:val="decimal"/>
      <w:lvlText w:val="%1.%2"/>
      <w:lvlJc w:val="left"/>
      <w:pPr>
        <w:tabs>
          <w:tab w:val="num" w:pos="680"/>
        </w:tabs>
        <w:ind w:left="595" w:hanging="59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AE04DD"/>
    <w:multiLevelType w:val="hybridMultilevel"/>
    <w:tmpl w:val="46604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8A3062"/>
    <w:multiLevelType w:val="hybridMultilevel"/>
    <w:tmpl w:val="92DA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4051D5"/>
    <w:multiLevelType w:val="hybridMultilevel"/>
    <w:tmpl w:val="18E09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BD91C0F"/>
    <w:multiLevelType w:val="hybridMultilevel"/>
    <w:tmpl w:val="9F62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58506F"/>
    <w:multiLevelType w:val="hybridMultilevel"/>
    <w:tmpl w:val="D92AA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8224E2"/>
    <w:multiLevelType w:val="multilevel"/>
    <w:tmpl w:val="6C348E7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200775E8"/>
    <w:multiLevelType w:val="hybridMultilevel"/>
    <w:tmpl w:val="0EC4C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080051E"/>
    <w:multiLevelType w:val="hybridMultilevel"/>
    <w:tmpl w:val="02A03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1DE7A9A"/>
    <w:multiLevelType w:val="hybridMultilevel"/>
    <w:tmpl w:val="AD229E0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60D673A"/>
    <w:multiLevelType w:val="hybridMultilevel"/>
    <w:tmpl w:val="BF34A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7BE69F6"/>
    <w:multiLevelType w:val="multilevel"/>
    <w:tmpl w:val="FD80DDC8"/>
    <w:lvl w:ilvl="0">
      <w:start w:val="1"/>
      <w:numFmt w:val="bullet"/>
      <w:lvlText w:val=""/>
      <w:lvlJc w:val="left"/>
      <w:pPr>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2B6877A7"/>
    <w:multiLevelType w:val="hybridMultilevel"/>
    <w:tmpl w:val="33F46F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FA1FD9"/>
    <w:multiLevelType w:val="hybridMultilevel"/>
    <w:tmpl w:val="EC94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F17DA2"/>
    <w:multiLevelType w:val="hybridMultilevel"/>
    <w:tmpl w:val="6AA6E0C8"/>
    <w:lvl w:ilvl="0" w:tplc="6A084A8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F494767"/>
    <w:multiLevelType w:val="hybridMultilevel"/>
    <w:tmpl w:val="8D7C3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06A15A4"/>
    <w:multiLevelType w:val="hybridMultilevel"/>
    <w:tmpl w:val="E6FC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7F040E"/>
    <w:multiLevelType w:val="hybridMultilevel"/>
    <w:tmpl w:val="9B60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D24060"/>
    <w:multiLevelType w:val="hybridMultilevel"/>
    <w:tmpl w:val="C464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B24380"/>
    <w:multiLevelType w:val="multilevel"/>
    <w:tmpl w:val="B670838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419A76D9"/>
    <w:multiLevelType w:val="hybridMultilevel"/>
    <w:tmpl w:val="5D10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B34BF8"/>
    <w:multiLevelType w:val="hybridMultilevel"/>
    <w:tmpl w:val="30DA8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D213BD"/>
    <w:multiLevelType w:val="hybridMultilevel"/>
    <w:tmpl w:val="BC80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594BC9"/>
    <w:multiLevelType w:val="hybridMultilevel"/>
    <w:tmpl w:val="4D18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695F59"/>
    <w:multiLevelType w:val="hybridMultilevel"/>
    <w:tmpl w:val="2CC04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EF7206"/>
    <w:multiLevelType w:val="hybridMultilevel"/>
    <w:tmpl w:val="7200E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63030C2"/>
    <w:multiLevelType w:val="hybridMultilevel"/>
    <w:tmpl w:val="B4ACC578"/>
    <w:lvl w:ilvl="0" w:tplc="FFB672AA">
      <w:start w:val="1"/>
      <w:numFmt w:val="decimal"/>
      <w:lvlText w:val="%1."/>
      <w:lvlJc w:val="left"/>
      <w:pPr>
        <w:ind w:left="360" w:hanging="360"/>
      </w:pPr>
      <w:rPr>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5B48121D"/>
    <w:multiLevelType w:val="hybridMultilevel"/>
    <w:tmpl w:val="0F18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964660"/>
    <w:multiLevelType w:val="hybridMultilevel"/>
    <w:tmpl w:val="41E42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CE7378"/>
    <w:multiLevelType w:val="hybridMultilevel"/>
    <w:tmpl w:val="FCB410FE"/>
    <w:lvl w:ilvl="0" w:tplc="4058C77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F1B6B2E"/>
    <w:multiLevelType w:val="hybridMultilevel"/>
    <w:tmpl w:val="7C6C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1A95247"/>
    <w:multiLevelType w:val="hybridMultilevel"/>
    <w:tmpl w:val="51185DBA"/>
    <w:lvl w:ilvl="0" w:tplc="3A1E006E">
      <w:start w:val="20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D203E9"/>
    <w:multiLevelType w:val="hybridMultilevel"/>
    <w:tmpl w:val="5436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DB6EF0"/>
    <w:multiLevelType w:val="hybridMultilevel"/>
    <w:tmpl w:val="947CDD3A"/>
    <w:lvl w:ilvl="0" w:tplc="5BA08DA6">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B5C7906"/>
    <w:multiLevelType w:val="hybridMultilevel"/>
    <w:tmpl w:val="40406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C425DB5"/>
    <w:multiLevelType w:val="hybridMultilevel"/>
    <w:tmpl w:val="8430B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1C78BA"/>
    <w:multiLevelType w:val="hybridMultilevel"/>
    <w:tmpl w:val="AFCEE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665657D"/>
    <w:multiLevelType w:val="hybridMultilevel"/>
    <w:tmpl w:val="27ECD618"/>
    <w:lvl w:ilvl="0" w:tplc="39249C3C">
      <w:start w:val="8"/>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776C4051"/>
    <w:multiLevelType w:val="hybridMultilevel"/>
    <w:tmpl w:val="ADBEE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79F643F"/>
    <w:multiLevelType w:val="hybridMultilevel"/>
    <w:tmpl w:val="40428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B070A2D"/>
    <w:multiLevelType w:val="hybridMultilevel"/>
    <w:tmpl w:val="68DAE31C"/>
    <w:lvl w:ilvl="0" w:tplc="3A1E006E">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084601"/>
    <w:multiLevelType w:val="hybridMultilevel"/>
    <w:tmpl w:val="A6D25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C5A67DE"/>
    <w:multiLevelType w:val="hybridMultilevel"/>
    <w:tmpl w:val="45D45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994098"/>
    <w:multiLevelType w:val="hybridMultilevel"/>
    <w:tmpl w:val="AF3659D0"/>
    <w:lvl w:ilvl="0" w:tplc="3A1E006E">
      <w:start w:val="20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D19727A"/>
    <w:multiLevelType w:val="hybridMultilevel"/>
    <w:tmpl w:val="F8B4A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D310879"/>
    <w:multiLevelType w:val="hybridMultilevel"/>
    <w:tmpl w:val="56AC8054"/>
    <w:lvl w:ilvl="0" w:tplc="BA6EA85A">
      <w:start w:val="1"/>
      <w:numFmt w:val="bullet"/>
      <w:lvlText w:val=""/>
      <w:lvlJc w:val="left"/>
      <w:pPr>
        <w:ind w:left="720" w:hanging="360"/>
      </w:pPr>
      <w:rPr>
        <w:rFonts w:ascii="Symbol" w:hAnsi="Symbol" w:hint="default"/>
      </w:rPr>
    </w:lvl>
    <w:lvl w:ilvl="1" w:tplc="08CA6D92">
      <w:start w:val="1"/>
      <w:numFmt w:val="bullet"/>
      <w:lvlText w:val="o"/>
      <w:lvlJc w:val="left"/>
      <w:pPr>
        <w:ind w:left="1440" w:hanging="360"/>
      </w:pPr>
      <w:rPr>
        <w:rFonts w:ascii="Courier New" w:hAnsi="Courier New" w:cs="Times New Roman" w:hint="default"/>
      </w:rPr>
    </w:lvl>
    <w:lvl w:ilvl="2" w:tplc="EB90A74E">
      <w:start w:val="1"/>
      <w:numFmt w:val="bullet"/>
      <w:lvlText w:val=""/>
      <w:lvlJc w:val="left"/>
      <w:pPr>
        <w:ind w:left="2160" w:hanging="360"/>
      </w:pPr>
      <w:rPr>
        <w:rFonts w:ascii="Wingdings" w:hAnsi="Wingdings" w:hint="default"/>
      </w:rPr>
    </w:lvl>
    <w:lvl w:ilvl="3" w:tplc="0CFC7D8A">
      <w:start w:val="1"/>
      <w:numFmt w:val="bullet"/>
      <w:lvlText w:val=""/>
      <w:lvlJc w:val="left"/>
      <w:pPr>
        <w:ind w:left="2880" w:hanging="360"/>
      </w:pPr>
      <w:rPr>
        <w:rFonts w:ascii="Symbol" w:hAnsi="Symbol" w:hint="default"/>
      </w:rPr>
    </w:lvl>
    <w:lvl w:ilvl="4" w:tplc="B2EA6598">
      <w:start w:val="1"/>
      <w:numFmt w:val="bullet"/>
      <w:lvlText w:val="o"/>
      <w:lvlJc w:val="left"/>
      <w:pPr>
        <w:ind w:left="3600" w:hanging="360"/>
      </w:pPr>
      <w:rPr>
        <w:rFonts w:ascii="Courier New" w:hAnsi="Courier New" w:cs="Times New Roman" w:hint="default"/>
      </w:rPr>
    </w:lvl>
    <w:lvl w:ilvl="5" w:tplc="CE0899DC">
      <w:start w:val="1"/>
      <w:numFmt w:val="bullet"/>
      <w:lvlText w:val=""/>
      <w:lvlJc w:val="left"/>
      <w:pPr>
        <w:ind w:left="4320" w:hanging="360"/>
      </w:pPr>
      <w:rPr>
        <w:rFonts w:ascii="Wingdings" w:hAnsi="Wingdings" w:hint="default"/>
      </w:rPr>
    </w:lvl>
    <w:lvl w:ilvl="6" w:tplc="FCDE6D52">
      <w:start w:val="1"/>
      <w:numFmt w:val="bullet"/>
      <w:lvlText w:val=""/>
      <w:lvlJc w:val="left"/>
      <w:pPr>
        <w:ind w:left="5040" w:hanging="360"/>
      </w:pPr>
      <w:rPr>
        <w:rFonts w:ascii="Symbol" w:hAnsi="Symbol" w:hint="default"/>
      </w:rPr>
    </w:lvl>
    <w:lvl w:ilvl="7" w:tplc="5532E4F2">
      <w:start w:val="1"/>
      <w:numFmt w:val="bullet"/>
      <w:lvlText w:val="o"/>
      <w:lvlJc w:val="left"/>
      <w:pPr>
        <w:ind w:left="5760" w:hanging="360"/>
      </w:pPr>
      <w:rPr>
        <w:rFonts w:ascii="Courier New" w:hAnsi="Courier New" w:cs="Times New Roman" w:hint="default"/>
      </w:rPr>
    </w:lvl>
    <w:lvl w:ilvl="8" w:tplc="B68A4BE6">
      <w:start w:val="1"/>
      <w:numFmt w:val="bullet"/>
      <w:lvlText w:val=""/>
      <w:lvlJc w:val="left"/>
      <w:pPr>
        <w:ind w:left="6480" w:hanging="360"/>
      </w:pPr>
      <w:rPr>
        <w:rFonts w:ascii="Wingdings" w:hAnsi="Wingdings" w:hint="default"/>
      </w:rPr>
    </w:lvl>
  </w:abstractNum>
  <w:abstractNum w:abstractNumId="69" w15:restartNumberingAfterBreak="0">
    <w:nsid w:val="7EA12EE9"/>
    <w:multiLevelType w:val="hybridMultilevel"/>
    <w:tmpl w:val="9C7857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0"/>
  </w:num>
  <w:num w:numId="15">
    <w:abstractNumId w:val="18"/>
  </w:num>
  <w:num w:numId="16">
    <w:abstractNumId w:val="43"/>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4"/>
  </w:num>
  <w:num w:numId="21">
    <w:abstractNumId w:val="28"/>
  </w:num>
  <w:num w:numId="22">
    <w:abstractNumId w:val="67"/>
  </w:num>
  <w:num w:numId="23">
    <w:abstractNumId w:val="31"/>
  </w:num>
  <w:num w:numId="24">
    <w:abstractNumId w:val="14"/>
  </w:num>
  <w:num w:numId="25">
    <w:abstractNumId w:val="53"/>
  </w:num>
  <w:num w:numId="26">
    <w:abstractNumId w:val="66"/>
  </w:num>
  <w:num w:numId="27">
    <w:abstractNumId w:val="63"/>
  </w:num>
  <w:num w:numId="28">
    <w:abstractNumId w:val="23"/>
  </w:num>
  <w:num w:numId="29">
    <w:abstractNumId w:val="29"/>
  </w:num>
  <w:num w:numId="30">
    <w:abstractNumId w:val="15"/>
  </w:num>
  <w:num w:numId="31">
    <w:abstractNumId w:val="45"/>
  </w:num>
  <w:num w:numId="32">
    <w:abstractNumId w:val="30"/>
  </w:num>
  <w:num w:numId="33">
    <w:abstractNumId w:val="44"/>
  </w:num>
  <w:num w:numId="34">
    <w:abstractNumId w:val="39"/>
  </w:num>
  <w:num w:numId="35">
    <w:abstractNumId w:val="61"/>
  </w:num>
  <w:num w:numId="36">
    <w:abstractNumId w:val="46"/>
  </w:num>
  <w:num w:numId="37">
    <w:abstractNumId w:val="27"/>
  </w:num>
  <w:num w:numId="38">
    <w:abstractNumId w:val="68"/>
  </w:num>
  <w:num w:numId="39">
    <w:abstractNumId w:val="32"/>
  </w:num>
  <w:num w:numId="40">
    <w:abstractNumId w:val="69"/>
  </w:num>
  <w:num w:numId="41">
    <w:abstractNumId w:val="47"/>
  </w:num>
  <w:num w:numId="42">
    <w:abstractNumId w:val="55"/>
  </w:num>
  <w:num w:numId="43">
    <w:abstractNumId w:val="62"/>
  </w:num>
  <w:num w:numId="44">
    <w:abstractNumId w:val="35"/>
  </w:num>
  <w:num w:numId="45">
    <w:abstractNumId w:val="59"/>
  </w:num>
  <w:num w:numId="46">
    <w:abstractNumId w:val="22"/>
  </w:num>
  <w:num w:numId="47">
    <w:abstractNumId w:val="51"/>
  </w:num>
  <w:num w:numId="48">
    <w:abstractNumId w:val="21"/>
  </w:num>
  <w:num w:numId="49">
    <w:abstractNumId w:val="65"/>
  </w:num>
  <w:num w:numId="50">
    <w:abstractNumId w:val="50"/>
  </w:num>
  <w:num w:numId="51">
    <w:abstractNumId w:val="37"/>
  </w:num>
  <w:num w:numId="52">
    <w:abstractNumId w:val="16"/>
  </w:num>
  <w:num w:numId="53">
    <w:abstractNumId w:val="12"/>
  </w:num>
  <w:num w:numId="54">
    <w:abstractNumId w:val="36"/>
  </w:num>
  <w:num w:numId="55">
    <w:abstractNumId w:val="10"/>
  </w:num>
  <w:num w:numId="56">
    <w:abstractNumId w:val="33"/>
  </w:num>
  <w:num w:numId="57">
    <w:abstractNumId w:val="41"/>
  </w:num>
  <w:num w:numId="58">
    <w:abstractNumId w:val="57"/>
  </w:num>
  <w:num w:numId="59">
    <w:abstractNumId w:val="54"/>
  </w:num>
  <w:num w:numId="60">
    <w:abstractNumId w:val="42"/>
  </w:num>
  <w:num w:numId="61">
    <w:abstractNumId w:val="40"/>
  </w:num>
  <w:num w:numId="62">
    <w:abstractNumId w:val="38"/>
  </w:num>
  <w:num w:numId="63">
    <w:abstractNumId w:val="19"/>
  </w:num>
  <w:num w:numId="64">
    <w:abstractNumId w:val="52"/>
  </w:num>
  <w:num w:numId="65">
    <w:abstractNumId w:val="17"/>
  </w:num>
  <w:num w:numId="66">
    <w:abstractNumId w:val="49"/>
  </w:num>
  <w:num w:numId="67">
    <w:abstractNumId w:val="26"/>
  </w:num>
  <w:num w:numId="68">
    <w:abstractNumId w:val="9"/>
  </w:num>
  <w:num w:numId="69">
    <w:abstractNumId w:val="56"/>
  </w:num>
  <w:num w:numId="70">
    <w:abstractNumId w:val="25"/>
  </w:num>
  <w:num w:numId="71">
    <w:abstractNumId w:val="11"/>
  </w:num>
  <w:num w:numId="72">
    <w:abstractNumId w:val="58"/>
  </w:num>
  <w:num w:numId="73">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8EE"/>
    <w:rsid w:val="00000B20"/>
    <w:rsid w:val="00001E98"/>
    <w:rsid w:val="00001EEF"/>
    <w:rsid w:val="00002721"/>
    <w:rsid w:val="0000322F"/>
    <w:rsid w:val="00005B5A"/>
    <w:rsid w:val="00006138"/>
    <w:rsid w:val="00007033"/>
    <w:rsid w:val="00011DB8"/>
    <w:rsid w:val="000121DC"/>
    <w:rsid w:val="00014F86"/>
    <w:rsid w:val="00024E24"/>
    <w:rsid w:val="00026AEC"/>
    <w:rsid w:val="0002700E"/>
    <w:rsid w:val="00034EAA"/>
    <w:rsid w:val="0003542D"/>
    <w:rsid w:val="00035751"/>
    <w:rsid w:val="0003653A"/>
    <w:rsid w:val="000379E4"/>
    <w:rsid w:val="00042387"/>
    <w:rsid w:val="00042D74"/>
    <w:rsid w:val="00045A01"/>
    <w:rsid w:val="00051C80"/>
    <w:rsid w:val="00052210"/>
    <w:rsid w:val="00053A09"/>
    <w:rsid w:val="00056CF0"/>
    <w:rsid w:val="00057878"/>
    <w:rsid w:val="00060469"/>
    <w:rsid w:val="00063520"/>
    <w:rsid w:val="00063938"/>
    <w:rsid w:val="00064B27"/>
    <w:rsid w:val="000652EE"/>
    <w:rsid w:val="000653F7"/>
    <w:rsid w:val="00070A45"/>
    <w:rsid w:val="00075502"/>
    <w:rsid w:val="00081C31"/>
    <w:rsid w:val="00084DD5"/>
    <w:rsid w:val="00085410"/>
    <w:rsid w:val="000861A6"/>
    <w:rsid w:val="000868F2"/>
    <w:rsid w:val="0008782A"/>
    <w:rsid w:val="00092420"/>
    <w:rsid w:val="00094DCA"/>
    <w:rsid w:val="0009767F"/>
    <w:rsid w:val="000A0403"/>
    <w:rsid w:val="000A2050"/>
    <w:rsid w:val="000A6FBB"/>
    <w:rsid w:val="000B02C7"/>
    <w:rsid w:val="000B0EEF"/>
    <w:rsid w:val="000B21D5"/>
    <w:rsid w:val="000B333C"/>
    <w:rsid w:val="000B5309"/>
    <w:rsid w:val="000B682E"/>
    <w:rsid w:val="000C0D39"/>
    <w:rsid w:val="000C56FE"/>
    <w:rsid w:val="000C687D"/>
    <w:rsid w:val="000C7343"/>
    <w:rsid w:val="000C74ED"/>
    <w:rsid w:val="000D0A19"/>
    <w:rsid w:val="000D646B"/>
    <w:rsid w:val="000D7F62"/>
    <w:rsid w:val="000E02DF"/>
    <w:rsid w:val="000E08F3"/>
    <w:rsid w:val="000E1395"/>
    <w:rsid w:val="000E3CD0"/>
    <w:rsid w:val="000E47C0"/>
    <w:rsid w:val="000E6FBB"/>
    <w:rsid w:val="000E762E"/>
    <w:rsid w:val="000F03DC"/>
    <w:rsid w:val="000F2897"/>
    <w:rsid w:val="000F3111"/>
    <w:rsid w:val="000F3BA2"/>
    <w:rsid w:val="000F4EBB"/>
    <w:rsid w:val="00100680"/>
    <w:rsid w:val="00105968"/>
    <w:rsid w:val="00105D13"/>
    <w:rsid w:val="00105E8B"/>
    <w:rsid w:val="00106709"/>
    <w:rsid w:val="00110D13"/>
    <w:rsid w:val="00113655"/>
    <w:rsid w:val="00113DC6"/>
    <w:rsid w:val="00114E07"/>
    <w:rsid w:val="00114E0B"/>
    <w:rsid w:val="0011562E"/>
    <w:rsid w:val="00116364"/>
    <w:rsid w:val="001175BF"/>
    <w:rsid w:val="00117BFB"/>
    <w:rsid w:val="00117C0D"/>
    <w:rsid w:val="001209A8"/>
    <w:rsid w:val="00121282"/>
    <w:rsid w:val="00123FBC"/>
    <w:rsid w:val="00126C4D"/>
    <w:rsid w:val="00130571"/>
    <w:rsid w:val="00130923"/>
    <w:rsid w:val="00130C54"/>
    <w:rsid w:val="00131DE2"/>
    <w:rsid w:val="001336B0"/>
    <w:rsid w:val="001414F3"/>
    <w:rsid w:val="0014338C"/>
    <w:rsid w:val="00143FCD"/>
    <w:rsid w:val="00144AAF"/>
    <w:rsid w:val="00144E22"/>
    <w:rsid w:val="0014565F"/>
    <w:rsid w:val="001513AB"/>
    <w:rsid w:val="00155460"/>
    <w:rsid w:val="00160518"/>
    <w:rsid w:val="00160DD6"/>
    <w:rsid w:val="00161D0C"/>
    <w:rsid w:val="001623E9"/>
    <w:rsid w:val="001637DF"/>
    <w:rsid w:val="00170048"/>
    <w:rsid w:val="00170252"/>
    <w:rsid w:val="0017594E"/>
    <w:rsid w:val="001764AB"/>
    <w:rsid w:val="001810D7"/>
    <w:rsid w:val="00182C37"/>
    <w:rsid w:val="00183990"/>
    <w:rsid w:val="00184A3A"/>
    <w:rsid w:val="00187E54"/>
    <w:rsid w:val="00190523"/>
    <w:rsid w:val="00193089"/>
    <w:rsid w:val="00193651"/>
    <w:rsid w:val="00196E5D"/>
    <w:rsid w:val="001A08EE"/>
    <w:rsid w:val="001A0F52"/>
    <w:rsid w:val="001A21F9"/>
    <w:rsid w:val="001A743A"/>
    <w:rsid w:val="001B0353"/>
    <w:rsid w:val="001B1C0C"/>
    <w:rsid w:val="001B1FBF"/>
    <w:rsid w:val="001B2386"/>
    <w:rsid w:val="001B52B6"/>
    <w:rsid w:val="001B6467"/>
    <w:rsid w:val="001B7B9C"/>
    <w:rsid w:val="001D269C"/>
    <w:rsid w:val="001D68A4"/>
    <w:rsid w:val="001E1EDB"/>
    <w:rsid w:val="001E1F4D"/>
    <w:rsid w:val="001E64FF"/>
    <w:rsid w:val="001E6B89"/>
    <w:rsid w:val="00200441"/>
    <w:rsid w:val="00200678"/>
    <w:rsid w:val="002016B2"/>
    <w:rsid w:val="002035B1"/>
    <w:rsid w:val="00206FF4"/>
    <w:rsid w:val="00214562"/>
    <w:rsid w:val="002147F2"/>
    <w:rsid w:val="00215938"/>
    <w:rsid w:val="00223219"/>
    <w:rsid w:val="00223EB1"/>
    <w:rsid w:val="0022422A"/>
    <w:rsid w:val="00226978"/>
    <w:rsid w:val="00230286"/>
    <w:rsid w:val="00232723"/>
    <w:rsid w:val="00236194"/>
    <w:rsid w:val="00236917"/>
    <w:rsid w:val="002370B8"/>
    <w:rsid w:val="002413D7"/>
    <w:rsid w:val="00241CB1"/>
    <w:rsid w:val="002439F1"/>
    <w:rsid w:val="00247E23"/>
    <w:rsid w:val="002508C9"/>
    <w:rsid w:val="00251790"/>
    <w:rsid w:val="00252FDA"/>
    <w:rsid w:val="00253A0E"/>
    <w:rsid w:val="00255D45"/>
    <w:rsid w:val="0025712A"/>
    <w:rsid w:val="00261C66"/>
    <w:rsid w:val="00263A0B"/>
    <w:rsid w:val="00265557"/>
    <w:rsid w:val="00265E27"/>
    <w:rsid w:val="002663F0"/>
    <w:rsid w:val="002679F9"/>
    <w:rsid w:val="0027048E"/>
    <w:rsid w:val="00272230"/>
    <w:rsid w:val="00274781"/>
    <w:rsid w:val="00275691"/>
    <w:rsid w:val="00276230"/>
    <w:rsid w:val="00277831"/>
    <w:rsid w:val="00277F7A"/>
    <w:rsid w:val="002844BD"/>
    <w:rsid w:val="0028572F"/>
    <w:rsid w:val="00287CF8"/>
    <w:rsid w:val="0029144C"/>
    <w:rsid w:val="00293094"/>
    <w:rsid w:val="00293B78"/>
    <w:rsid w:val="00294582"/>
    <w:rsid w:val="00294F31"/>
    <w:rsid w:val="002954DB"/>
    <w:rsid w:val="002963AB"/>
    <w:rsid w:val="002A0086"/>
    <w:rsid w:val="002A3244"/>
    <w:rsid w:val="002A3394"/>
    <w:rsid w:val="002A38FE"/>
    <w:rsid w:val="002A3F96"/>
    <w:rsid w:val="002A51AE"/>
    <w:rsid w:val="002A745E"/>
    <w:rsid w:val="002B06E6"/>
    <w:rsid w:val="002B2447"/>
    <w:rsid w:val="002B2A66"/>
    <w:rsid w:val="002B2DCA"/>
    <w:rsid w:val="002B3304"/>
    <w:rsid w:val="002B3B6D"/>
    <w:rsid w:val="002B4E2A"/>
    <w:rsid w:val="002B5FFF"/>
    <w:rsid w:val="002C7A9F"/>
    <w:rsid w:val="002D01B4"/>
    <w:rsid w:val="002D1BA1"/>
    <w:rsid w:val="002D271F"/>
    <w:rsid w:val="002D30EE"/>
    <w:rsid w:val="002D40C8"/>
    <w:rsid w:val="002D44B6"/>
    <w:rsid w:val="002D5705"/>
    <w:rsid w:val="002D5B88"/>
    <w:rsid w:val="002D6386"/>
    <w:rsid w:val="002E0666"/>
    <w:rsid w:val="002E1F84"/>
    <w:rsid w:val="002E3752"/>
    <w:rsid w:val="002E59F2"/>
    <w:rsid w:val="002E5E90"/>
    <w:rsid w:val="002E753B"/>
    <w:rsid w:val="002E7C59"/>
    <w:rsid w:val="002F0E82"/>
    <w:rsid w:val="002F16FD"/>
    <w:rsid w:val="002F1C10"/>
    <w:rsid w:val="002F1D84"/>
    <w:rsid w:val="002F2A39"/>
    <w:rsid w:val="002F2BAE"/>
    <w:rsid w:val="003007F3"/>
    <w:rsid w:val="0030107A"/>
    <w:rsid w:val="00301B4C"/>
    <w:rsid w:val="00305794"/>
    <w:rsid w:val="00305B35"/>
    <w:rsid w:val="00306448"/>
    <w:rsid w:val="003123E1"/>
    <w:rsid w:val="00312C2B"/>
    <w:rsid w:val="0031370C"/>
    <w:rsid w:val="00313873"/>
    <w:rsid w:val="00315880"/>
    <w:rsid w:val="00320490"/>
    <w:rsid w:val="00323220"/>
    <w:rsid w:val="003234A3"/>
    <w:rsid w:val="003242B9"/>
    <w:rsid w:val="003253A0"/>
    <w:rsid w:val="003273FB"/>
    <w:rsid w:val="003325BE"/>
    <w:rsid w:val="00332A42"/>
    <w:rsid w:val="00333FB2"/>
    <w:rsid w:val="003418C0"/>
    <w:rsid w:val="00341AC9"/>
    <w:rsid w:val="00343B4C"/>
    <w:rsid w:val="00346F3C"/>
    <w:rsid w:val="00347E44"/>
    <w:rsid w:val="003535B0"/>
    <w:rsid w:val="00354B07"/>
    <w:rsid w:val="003555F5"/>
    <w:rsid w:val="003556B8"/>
    <w:rsid w:val="003564B8"/>
    <w:rsid w:val="00356C95"/>
    <w:rsid w:val="0035741F"/>
    <w:rsid w:val="00360F79"/>
    <w:rsid w:val="003616B4"/>
    <w:rsid w:val="00362EB0"/>
    <w:rsid w:val="0036697B"/>
    <w:rsid w:val="00366DE5"/>
    <w:rsid w:val="00367EAF"/>
    <w:rsid w:val="0037220A"/>
    <w:rsid w:val="003737F9"/>
    <w:rsid w:val="003756E7"/>
    <w:rsid w:val="00375869"/>
    <w:rsid w:val="00376920"/>
    <w:rsid w:val="00381605"/>
    <w:rsid w:val="003837A1"/>
    <w:rsid w:val="00383928"/>
    <w:rsid w:val="0039209A"/>
    <w:rsid w:val="00392106"/>
    <w:rsid w:val="003926DB"/>
    <w:rsid w:val="003932ED"/>
    <w:rsid w:val="00395C58"/>
    <w:rsid w:val="00396428"/>
    <w:rsid w:val="003A0886"/>
    <w:rsid w:val="003A08AE"/>
    <w:rsid w:val="003A0E3D"/>
    <w:rsid w:val="003A168D"/>
    <w:rsid w:val="003A4AD4"/>
    <w:rsid w:val="003A56F2"/>
    <w:rsid w:val="003A718D"/>
    <w:rsid w:val="003A7D58"/>
    <w:rsid w:val="003B1C38"/>
    <w:rsid w:val="003B4D38"/>
    <w:rsid w:val="003B5662"/>
    <w:rsid w:val="003B664E"/>
    <w:rsid w:val="003D2962"/>
    <w:rsid w:val="003D437E"/>
    <w:rsid w:val="003D527F"/>
    <w:rsid w:val="003D67FC"/>
    <w:rsid w:val="003D73FC"/>
    <w:rsid w:val="003D7508"/>
    <w:rsid w:val="003F436A"/>
    <w:rsid w:val="003F46A7"/>
    <w:rsid w:val="003F5BBA"/>
    <w:rsid w:val="003F7272"/>
    <w:rsid w:val="00401B1D"/>
    <w:rsid w:val="00402255"/>
    <w:rsid w:val="00402A6E"/>
    <w:rsid w:val="00405422"/>
    <w:rsid w:val="00405581"/>
    <w:rsid w:val="0040614B"/>
    <w:rsid w:val="00406E5A"/>
    <w:rsid w:val="004113C7"/>
    <w:rsid w:val="00411A91"/>
    <w:rsid w:val="00416882"/>
    <w:rsid w:val="00417DF0"/>
    <w:rsid w:val="00421E0F"/>
    <w:rsid w:val="00422365"/>
    <w:rsid w:val="004264F2"/>
    <w:rsid w:val="00431AE1"/>
    <w:rsid w:val="0043384D"/>
    <w:rsid w:val="00435033"/>
    <w:rsid w:val="00435C2D"/>
    <w:rsid w:val="004362EF"/>
    <w:rsid w:val="00441119"/>
    <w:rsid w:val="0044148F"/>
    <w:rsid w:val="004422FE"/>
    <w:rsid w:val="004427B8"/>
    <w:rsid w:val="00444A02"/>
    <w:rsid w:val="00444B29"/>
    <w:rsid w:val="00444D9A"/>
    <w:rsid w:val="00445EEB"/>
    <w:rsid w:val="00446762"/>
    <w:rsid w:val="00446B04"/>
    <w:rsid w:val="00447851"/>
    <w:rsid w:val="00450200"/>
    <w:rsid w:val="00450AFA"/>
    <w:rsid w:val="00455540"/>
    <w:rsid w:val="00455760"/>
    <w:rsid w:val="00455B34"/>
    <w:rsid w:val="0045699E"/>
    <w:rsid w:val="00457F55"/>
    <w:rsid w:val="00461B56"/>
    <w:rsid w:val="00462D38"/>
    <w:rsid w:val="00462F93"/>
    <w:rsid w:val="004651FC"/>
    <w:rsid w:val="00466438"/>
    <w:rsid w:val="004674BA"/>
    <w:rsid w:val="004702FC"/>
    <w:rsid w:val="00470592"/>
    <w:rsid w:val="00471457"/>
    <w:rsid w:val="00473957"/>
    <w:rsid w:val="00474EB9"/>
    <w:rsid w:val="00480942"/>
    <w:rsid w:val="00481745"/>
    <w:rsid w:val="004819C0"/>
    <w:rsid w:val="00483BC0"/>
    <w:rsid w:val="00486EFF"/>
    <w:rsid w:val="0048762C"/>
    <w:rsid w:val="004965F7"/>
    <w:rsid w:val="00497DE3"/>
    <w:rsid w:val="004A06B4"/>
    <w:rsid w:val="004A0D66"/>
    <w:rsid w:val="004A0D98"/>
    <w:rsid w:val="004A31B5"/>
    <w:rsid w:val="004A719A"/>
    <w:rsid w:val="004A775A"/>
    <w:rsid w:val="004B163A"/>
    <w:rsid w:val="004B256F"/>
    <w:rsid w:val="004B2FC0"/>
    <w:rsid w:val="004B7B7E"/>
    <w:rsid w:val="004C2331"/>
    <w:rsid w:val="004C2A14"/>
    <w:rsid w:val="004C3384"/>
    <w:rsid w:val="004C4424"/>
    <w:rsid w:val="004C4D3B"/>
    <w:rsid w:val="004D09D7"/>
    <w:rsid w:val="004D27BF"/>
    <w:rsid w:val="004D349D"/>
    <w:rsid w:val="004D384D"/>
    <w:rsid w:val="004D3C3C"/>
    <w:rsid w:val="004D3E21"/>
    <w:rsid w:val="004D4AC3"/>
    <w:rsid w:val="004D5E43"/>
    <w:rsid w:val="004D6080"/>
    <w:rsid w:val="004D62E9"/>
    <w:rsid w:val="004D7147"/>
    <w:rsid w:val="004D7A28"/>
    <w:rsid w:val="004E0E5F"/>
    <w:rsid w:val="004E1A59"/>
    <w:rsid w:val="004E1E0C"/>
    <w:rsid w:val="004E2B1A"/>
    <w:rsid w:val="004E3422"/>
    <w:rsid w:val="004E42D1"/>
    <w:rsid w:val="004E53AA"/>
    <w:rsid w:val="004F30F8"/>
    <w:rsid w:val="004F3348"/>
    <w:rsid w:val="004F498F"/>
    <w:rsid w:val="004F5669"/>
    <w:rsid w:val="004F7996"/>
    <w:rsid w:val="005007D8"/>
    <w:rsid w:val="005012B8"/>
    <w:rsid w:val="0050143F"/>
    <w:rsid w:val="00504968"/>
    <w:rsid w:val="0050513F"/>
    <w:rsid w:val="00506802"/>
    <w:rsid w:val="005113B6"/>
    <w:rsid w:val="005146EF"/>
    <w:rsid w:val="00515F9B"/>
    <w:rsid w:val="00522DF3"/>
    <w:rsid w:val="00524789"/>
    <w:rsid w:val="00524794"/>
    <w:rsid w:val="00525C00"/>
    <w:rsid w:val="00526EA2"/>
    <w:rsid w:val="00526F37"/>
    <w:rsid w:val="005310FC"/>
    <w:rsid w:val="00531817"/>
    <w:rsid w:val="00534280"/>
    <w:rsid w:val="0053604E"/>
    <w:rsid w:val="005365B0"/>
    <w:rsid w:val="0053798A"/>
    <w:rsid w:val="00540146"/>
    <w:rsid w:val="00540F0A"/>
    <w:rsid w:val="0054253B"/>
    <w:rsid w:val="00542B3D"/>
    <w:rsid w:val="00543D82"/>
    <w:rsid w:val="00544D7A"/>
    <w:rsid w:val="005451DA"/>
    <w:rsid w:val="00547297"/>
    <w:rsid w:val="0054738E"/>
    <w:rsid w:val="00554050"/>
    <w:rsid w:val="00555535"/>
    <w:rsid w:val="00555B32"/>
    <w:rsid w:val="00555D9B"/>
    <w:rsid w:val="00556F06"/>
    <w:rsid w:val="005602A2"/>
    <w:rsid w:val="00560CA0"/>
    <w:rsid w:val="005624C2"/>
    <w:rsid w:val="005624F3"/>
    <w:rsid w:val="00562CE4"/>
    <w:rsid w:val="00562E1E"/>
    <w:rsid w:val="005632AD"/>
    <w:rsid w:val="0056333B"/>
    <w:rsid w:val="00570E4A"/>
    <w:rsid w:val="005749D6"/>
    <w:rsid w:val="00575845"/>
    <w:rsid w:val="00577E1F"/>
    <w:rsid w:val="005811EF"/>
    <w:rsid w:val="00581BC4"/>
    <w:rsid w:val="0058283A"/>
    <w:rsid w:val="005838CB"/>
    <w:rsid w:val="00584879"/>
    <w:rsid w:val="00584C7F"/>
    <w:rsid w:val="00586FE0"/>
    <w:rsid w:val="005900D9"/>
    <w:rsid w:val="005923DE"/>
    <w:rsid w:val="00595A71"/>
    <w:rsid w:val="00597283"/>
    <w:rsid w:val="005A0EFC"/>
    <w:rsid w:val="005A1ABB"/>
    <w:rsid w:val="005A6AA3"/>
    <w:rsid w:val="005A74CB"/>
    <w:rsid w:val="005B0878"/>
    <w:rsid w:val="005B2085"/>
    <w:rsid w:val="005B47D1"/>
    <w:rsid w:val="005B526E"/>
    <w:rsid w:val="005B6043"/>
    <w:rsid w:val="005B7884"/>
    <w:rsid w:val="005C01AB"/>
    <w:rsid w:val="005C085A"/>
    <w:rsid w:val="005C10B5"/>
    <w:rsid w:val="005C15C0"/>
    <w:rsid w:val="005C3979"/>
    <w:rsid w:val="005C407B"/>
    <w:rsid w:val="005C42A1"/>
    <w:rsid w:val="005C7C59"/>
    <w:rsid w:val="005D1F0B"/>
    <w:rsid w:val="005D5D3B"/>
    <w:rsid w:val="005D6406"/>
    <w:rsid w:val="005D6F1E"/>
    <w:rsid w:val="005D7390"/>
    <w:rsid w:val="005E1FC1"/>
    <w:rsid w:val="005E6187"/>
    <w:rsid w:val="005E6A14"/>
    <w:rsid w:val="005F3DB0"/>
    <w:rsid w:val="005F5FEB"/>
    <w:rsid w:val="005F7E4A"/>
    <w:rsid w:val="0061028E"/>
    <w:rsid w:val="00610654"/>
    <w:rsid w:val="00610B21"/>
    <w:rsid w:val="0061483A"/>
    <w:rsid w:val="00616F26"/>
    <w:rsid w:val="00617104"/>
    <w:rsid w:val="0061774E"/>
    <w:rsid w:val="006208FC"/>
    <w:rsid w:val="0062414C"/>
    <w:rsid w:val="0062528A"/>
    <w:rsid w:val="0062593B"/>
    <w:rsid w:val="006266AF"/>
    <w:rsid w:val="006270B3"/>
    <w:rsid w:val="00630722"/>
    <w:rsid w:val="00630968"/>
    <w:rsid w:val="00631ECB"/>
    <w:rsid w:val="006332BB"/>
    <w:rsid w:val="00636A4F"/>
    <w:rsid w:val="00636A85"/>
    <w:rsid w:val="00637C04"/>
    <w:rsid w:val="00637CA7"/>
    <w:rsid w:val="00640214"/>
    <w:rsid w:val="00640453"/>
    <w:rsid w:val="00640614"/>
    <w:rsid w:val="00643BF4"/>
    <w:rsid w:val="00645E4C"/>
    <w:rsid w:val="0065002D"/>
    <w:rsid w:val="006512B4"/>
    <w:rsid w:val="00652190"/>
    <w:rsid w:val="00654394"/>
    <w:rsid w:val="0066043A"/>
    <w:rsid w:val="00664211"/>
    <w:rsid w:val="00665D35"/>
    <w:rsid w:val="0066741A"/>
    <w:rsid w:val="0067026C"/>
    <w:rsid w:val="0067044A"/>
    <w:rsid w:val="00670A0B"/>
    <w:rsid w:val="006758E7"/>
    <w:rsid w:val="00681228"/>
    <w:rsid w:val="00681CFD"/>
    <w:rsid w:val="00683152"/>
    <w:rsid w:val="00685F80"/>
    <w:rsid w:val="00687FCB"/>
    <w:rsid w:val="00690481"/>
    <w:rsid w:val="00690A1C"/>
    <w:rsid w:val="00690D31"/>
    <w:rsid w:val="006963A1"/>
    <w:rsid w:val="006A2B53"/>
    <w:rsid w:val="006A49FF"/>
    <w:rsid w:val="006A5D01"/>
    <w:rsid w:val="006A6ABD"/>
    <w:rsid w:val="006A76C2"/>
    <w:rsid w:val="006B0D73"/>
    <w:rsid w:val="006B781A"/>
    <w:rsid w:val="006C1AC9"/>
    <w:rsid w:val="006C40BF"/>
    <w:rsid w:val="006C499E"/>
    <w:rsid w:val="006C5746"/>
    <w:rsid w:val="006D1366"/>
    <w:rsid w:val="006D39D1"/>
    <w:rsid w:val="006D39F6"/>
    <w:rsid w:val="006D4042"/>
    <w:rsid w:val="006D405C"/>
    <w:rsid w:val="006D4B5E"/>
    <w:rsid w:val="006D50FA"/>
    <w:rsid w:val="006D66D5"/>
    <w:rsid w:val="006E16F9"/>
    <w:rsid w:val="006E1BEA"/>
    <w:rsid w:val="006E2649"/>
    <w:rsid w:val="006E2D49"/>
    <w:rsid w:val="006E6C38"/>
    <w:rsid w:val="006E730D"/>
    <w:rsid w:val="006F227C"/>
    <w:rsid w:val="006F346A"/>
    <w:rsid w:val="006F3CCC"/>
    <w:rsid w:val="006F409A"/>
    <w:rsid w:val="006F6271"/>
    <w:rsid w:val="006F716C"/>
    <w:rsid w:val="0070109D"/>
    <w:rsid w:val="007016E3"/>
    <w:rsid w:val="00701953"/>
    <w:rsid w:val="00701AA5"/>
    <w:rsid w:val="00702CA5"/>
    <w:rsid w:val="007037B4"/>
    <w:rsid w:val="00704E28"/>
    <w:rsid w:val="00706246"/>
    <w:rsid w:val="00711398"/>
    <w:rsid w:val="007132FD"/>
    <w:rsid w:val="0071344B"/>
    <w:rsid w:val="00715B5D"/>
    <w:rsid w:val="00716CDB"/>
    <w:rsid w:val="0072416F"/>
    <w:rsid w:val="00730C40"/>
    <w:rsid w:val="00733095"/>
    <w:rsid w:val="00734F6E"/>
    <w:rsid w:val="00740C8B"/>
    <w:rsid w:val="007444DF"/>
    <w:rsid w:val="00744977"/>
    <w:rsid w:val="00746087"/>
    <w:rsid w:val="007468C2"/>
    <w:rsid w:val="007468FC"/>
    <w:rsid w:val="00752950"/>
    <w:rsid w:val="007558B6"/>
    <w:rsid w:val="00756E2A"/>
    <w:rsid w:val="007572E6"/>
    <w:rsid w:val="00761560"/>
    <w:rsid w:val="00762607"/>
    <w:rsid w:val="007639D5"/>
    <w:rsid w:val="00763EBE"/>
    <w:rsid w:val="00764424"/>
    <w:rsid w:val="00764625"/>
    <w:rsid w:val="007650F8"/>
    <w:rsid w:val="00766A64"/>
    <w:rsid w:val="007709F0"/>
    <w:rsid w:val="00773AA3"/>
    <w:rsid w:val="007742EA"/>
    <w:rsid w:val="0077471E"/>
    <w:rsid w:val="00775992"/>
    <w:rsid w:val="0077725E"/>
    <w:rsid w:val="00777DE9"/>
    <w:rsid w:val="00780951"/>
    <w:rsid w:val="00780F00"/>
    <w:rsid w:val="0078661A"/>
    <w:rsid w:val="00790688"/>
    <w:rsid w:val="00791268"/>
    <w:rsid w:val="00792864"/>
    <w:rsid w:val="00792CA3"/>
    <w:rsid w:val="00795963"/>
    <w:rsid w:val="00795A66"/>
    <w:rsid w:val="007A26E5"/>
    <w:rsid w:val="007A49FC"/>
    <w:rsid w:val="007A54B0"/>
    <w:rsid w:val="007A5DB4"/>
    <w:rsid w:val="007A60D3"/>
    <w:rsid w:val="007A615F"/>
    <w:rsid w:val="007A6E1B"/>
    <w:rsid w:val="007B0390"/>
    <w:rsid w:val="007B092B"/>
    <w:rsid w:val="007B2FDD"/>
    <w:rsid w:val="007B310E"/>
    <w:rsid w:val="007B398D"/>
    <w:rsid w:val="007B7FB3"/>
    <w:rsid w:val="007C67B0"/>
    <w:rsid w:val="007D1210"/>
    <w:rsid w:val="007D529B"/>
    <w:rsid w:val="007D7729"/>
    <w:rsid w:val="007D7841"/>
    <w:rsid w:val="007E2ADB"/>
    <w:rsid w:val="007E6D73"/>
    <w:rsid w:val="007E73BE"/>
    <w:rsid w:val="007F0625"/>
    <w:rsid w:val="007F22F2"/>
    <w:rsid w:val="007F239F"/>
    <w:rsid w:val="007F712A"/>
    <w:rsid w:val="00801793"/>
    <w:rsid w:val="00801B4B"/>
    <w:rsid w:val="00802066"/>
    <w:rsid w:val="00804BDC"/>
    <w:rsid w:val="00805B48"/>
    <w:rsid w:val="008069BA"/>
    <w:rsid w:val="00811BB5"/>
    <w:rsid w:val="0081290A"/>
    <w:rsid w:val="00813558"/>
    <w:rsid w:val="00814124"/>
    <w:rsid w:val="008141D6"/>
    <w:rsid w:val="008162F9"/>
    <w:rsid w:val="0081715D"/>
    <w:rsid w:val="008178F2"/>
    <w:rsid w:val="00817E54"/>
    <w:rsid w:val="00817ED9"/>
    <w:rsid w:val="0082434E"/>
    <w:rsid w:val="008275DE"/>
    <w:rsid w:val="0083287A"/>
    <w:rsid w:val="00833244"/>
    <w:rsid w:val="0083468A"/>
    <w:rsid w:val="0083503E"/>
    <w:rsid w:val="00836999"/>
    <w:rsid w:val="00841522"/>
    <w:rsid w:val="00842D43"/>
    <w:rsid w:val="00843125"/>
    <w:rsid w:val="00845560"/>
    <w:rsid w:val="00846A7E"/>
    <w:rsid w:val="00846B91"/>
    <w:rsid w:val="00847C9F"/>
    <w:rsid w:val="00852C26"/>
    <w:rsid w:val="00852D5C"/>
    <w:rsid w:val="00853E22"/>
    <w:rsid w:val="00855CB9"/>
    <w:rsid w:val="00856098"/>
    <w:rsid w:val="00856816"/>
    <w:rsid w:val="00856D1C"/>
    <w:rsid w:val="00861A29"/>
    <w:rsid w:val="008624D8"/>
    <w:rsid w:val="008626D3"/>
    <w:rsid w:val="008664FA"/>
    <w:rsid w:val="00867159"/>
    <w:rsid w:val="00867243"/>
    <w:rsid w:val="00875746"/>
    <w:rsid w:val="008765C1"/>
    <w:rsid w:val="008767DA"/>
    <w:rsid w:val="00876AC0"/>
    <w:rsid w:val="00877A8E"/>
    <w:rsid w:val="00877EA6"/>
    <w:rsid w:val="00880674"/>
    <w:rsid w:val="00882398"/>
    <w:rsid w:val="00882662"/>
    <w:rsid w:val="0088325A"/>
    <w:rsid w:val="00884E4E"/>
    <w:rsid w:val="00885EBD"/>
    <w:rsid w:val="00886DA7"/>
    <w:rsid w:val="008901E7"/>
    <w:rsid w:val="00892064"/>
    <w:rsid w:val="00893DB4"/>
    <w:rsid w:val="00894F19"/>
    <w:rsid w:val="008959C4"/>
    <w:rsid w:val="008959D6"/>
    <w:rsid w:val="0089702F"/>
    <w:rsid w:val="00897C40"/>
    <w:rsid w:val="00897CC8"/>
    <w:rsid w:val="008A02FE"/>
    <w:rsid w:val="008A18C3"/>
    <w:rsid w:val="008A2376"/>
    <w:rsid w:val="008A382D"/>
    <w:rsid w:val="008A3E67"/>
    <w:rsid w:val="008B0308"/>
    <w:rsid w:val="008B3026"/>
    <w:rsid w:val="008B45B7"/>
    <w:rsid w:val="008B78E4"/>
    <w:rsid w:val="008C3832"/>
    <w:rsid w:val="008C3BCF"/>
    <w:rsid w:val="008D0251"/>
    <w:rsid w:val="008D06CF"/>
    <w:rsid w:val="008D0BB9"/>
    <w:rsid w:val="008D2703"/>
    <w:rsid w:val="008D49D1"/>
    <w:rsid w:val="008D4F50"/>
    <w:rsid w:val="008D51D9"/>
    <w:rsid w:val="008D78EA"/>
    <w:rsid w:val="008E46AA"/>
    <w:rsid w:val="008F0DFF"/>
    <w:rsid w:val="008F3483"/>
    <w:rsid w:val="008F65EF"/>
    <w:rsid w:val="008F68C0"/>
    <w:rsid w:val="0090019E"/>
    <w:rsid w:val="00901F82"/>
    <w:rsid w:val="00903286"/>
    <w:rsid w:val="00905665"/>
    <w:rsid w:val="009116EA"/>
    <w:rsid w:val="00912088"/>
    <w:rsid w:val="009120D9"/>
    <w:rsid w:val="00912F4C"/>
    <w:rsid w:val="00914D91"/>
    <w:rsid w:val="009152D5"/>
    <w:rsid w:val="009164B1"/>
    <w:rsid w:val="00921ADC"/>
    <w:rsid w:val="00923BCA"/>
    <w:rsid w:val="009242AE"/>
    <w:rsid w:val="00926616"/>
    <w:rsid w:val="00926D18"/>
    <w:rsid w:val="009315D0"/>
    <w:rsid w:val="00931BEC"/>
    <w:rsid w:val="00933671"/>
    <w:rsid w:val="00933B0F"/>
    <w:rsid w:val="00934050"/>
    <w:rsid w:val="00935162"/>
    <w:rsid w:val="00935DA6"/>
    <w:rsid w:val="0094247F"/>
    <w:rsid w:val="00942A55"/>
    <w:rsid w:val="00942B33"/>
    <w:rsid w:val="00942B98"/>
    <w:rsid w:val="00942EDD"/>
    <w:rsid w:val="0094353C"/>
    <w:rsid w:val="0094720E"/>
    <w:rsid w:val="009472F8"/>
    <w:rsid w:val="00947679"/>
    <w:rsid w:val="00947E2F"/>
    <w:rsid w:val="009507D5"/>
    <w:rsid w:val="00955042"/>
    <w:rsid w:val="00955E76"/>
    <w:rsid w:val="009563AF"/>
    <w:rsid w:val="009569E7"/>
    <w:rsid w:val="00960528"/>
    <w:rsid w:val="00961F8F"/>
    <w:rsid w:val="00963FC1"/>
    <w:rsid w:val="00965118"/>
    <w:rsid w:val="00966166"/>
    <w:rsid w:val="0097057C"/>
    <w:rsid w:val="00972DD5"/>
    <w:rsid w:val="00974BAC"/>
    <w:rsid w:val="00976443"/>
    <w:rsid w:val="009803B3"/>
    <w:rsid w:val="00980839"/>
    <w:rsid w:val="00984879"/>
    <w:rsid w:val="00985632"/>
    <w:rsid w:val="00985A24"/>
    <w:rsid w:val="00991B63"/>
    <w:rsid w:val="00991E98"/>
    <w:rsid w:val="00992574"/>
    <w:rsid w:val="00995F77"/>
    <w:rsid w:val="00996371"/>
    <w:rsid w:val="009A0643"/>
    <w:rsid w:val="009A0D3F"/>
    <w:rsid w:val="009A3EA3"/>
    <w:rsid w:val="009A466F"/>
    <w:rsid w:val="009A709D"/>
    <w:rsid w:val="009B0096"/>
    <w:rsid w:val="009B031C"/>
    <w:rsid w:val="009B2428"/>
    <w:rsid w:val="009B3586"/>
    <w:rsid w:val="009B376A"/>
    <w:rsid w:val="009B3F3A"/>
    <w:rsid w:val="009B522B"/>
    <w:rsid w:val="009B5CB7"/>
    <w:rsid w:val="009B7CDA"/>
    <w:rsid w:val="009D0F61"/>
    <w:rsid w:val="009D104E"/>
    <w:rsid w:val="009D1605"/>
    <w:rsid w:val="009D23BF"/>
    <w:rsid w:val="009D454F"/>
    <w:rsid w:val="009D57F5"/>
    <w:rsid w:val="009D63B5"/>
    <w:rsid w:val="009D653F"/>
    <w:rsid w:val="009E1E03"/>
    <w:rsid w:val="009E206A"/>
    <w:rsid w:val="009E3178"/>
    <w:rsid w:val="009E5193"/>
    <w:rsid w:val="009E6C1D"/>
    <w:rsid w:val="009E793A"/>
    <w:rsid w:val="009F00E0"/>
    <w:rsid w:val="009F3526"/>
    <w:rsid w:val="009F435A"/>
    <w:rsid w:val="009F7437"/>
    <w:rsid w:val="00A0107E"/>
    <w:rsid w:val="00A01855"/>
    <w:rsid w:val="00A02487"/>
    <w:rsid w:val="00A041BC"/>
    <w:rsid w:val="00A06C39"/>
    <w:rsid w:val="00A111DB"/>
    <w:rsid w:val="00A12BAF"/>
    <w:rsid w:val="00A140E1"/>
    <w:rsid w:val="00A16D88"/>
    <w:rsid w:val="00A16DC9"/>
    <w:rsid w:val="00A17B97"/>
    <w:rsid w:val="00A2030F"/>
    <w:rsid w:val="00A24FA1"/>
    <w:rsid w:val="00A300A2"/>
    <w:rsid w:val="00A31242"/>
    <w:rsid w:val="00A31723"/>
    <w:rsid w:val="00A34DFF"/>
    <w:rsid w:val="00A35981"/>
    <w:rsid w:val="00A35EA3"/>
    <w:rsid w:val="00A424CC"/>
    <w:rsid w:val="00A426D5"/>
    <w:rsid w:val="00A46170"/>
    <w:rsid w:val="00A50013"/>
    <w:rsid w:val="00A52250"/>
    <w:rsid w:val="00A52530"/>
    <w:rsid w:val="00A52A8E"/>
    <w:rsid w:val="00A54AB2"/>
    <w:rsid w:val="00A551BF"/>
    <w:rsid w:val="00A556B8"/>
    <w:rsid w:val="00A61653"/>
    <w:rsid w:val="00A65CA6"/>
    <w:rsid w:val="00A67435"/>
    <w:rsid w:val="00A7035D"/>
    <w:rsid w:val="00A70524"/>
    <w:rsid w:val="00A73406"/>
    <w:rsid w:val="00A7470D"/>
    <w:rsid w:val="00A77801"/>
    <w:rsid w:val="00A8086F"/>
    <w:rsid w:val="00A80905"/>
    <w:rsid w:val="00A81A6B"/>
    <w:rsid w:val="00A8231F"/>
    <w:rsid w:val="00A83D56"/>
    <w:rsid w:val="00A87ADC"/>
    <w:rsid w:val="00A92611"/>
    <w:rsid w:val="00A930D6"/>
    <w:rsid w:val="00A945D5"/>
    <w:rsid w:val="00A959EA"/>
    <w:rsid w:val="00AA0069"/>
    <w:rsid w:val="00AA1D48"/>
    <w:rsid w:val="00AA423A"/>
    <w:rsid w:val="00AA4969"/>
    <w:rsid w:val="00AB0AF4"/>
    <w:rsid w:val="00AB1A15"/>
    <w:rsid w:val="00AB51B5"/>
    <w:rsid w:val="00AB5540"/>
    <w:rsid w:val="00AB59B3"/>
    <w:rsid w:val="00AB5C75"/>
    <w:rsid w:val="00AB5C88"/>
    <w:rsid w:val="00AB5E0E"/>
    <w:rsid w:val="00AB6809"/>
    <w:rsid w:val="00AC1FCE"/>
    <w:rsid w:val="00AC282F"/>
    <w:rsid w:val="00AC308C"/>
    <w:rsid w:val="00AC35BB"/>
    <w:rsid w:val="00AC4AB9"/>
    <w:rsid w:val="00AC4B34"/>
    <w:rsid w:val="00AC65DA"/>
    <w:rsid w:val="00AC6B84"/>
    <w:rsid w:val="00AC6CEE"/>
    <w:rsid w:val="00AC76E5"/>
    <w:rsid w:val="00AD021A"/>
    <w:rsid w:val="00AD43FC"/>
    <w:rsid w:val="00AD73A7"/>
    <w:rsid w:val="00AE2988"/>
    <w:rsid w:val="00AE4274"/>
    <w:rsid w:val="00AE4BFA"/>
    <w:rsid w:val="00AE72B1"/>
    <w:rsid w:val="00AE7E2C"/>
    <w:rsid w:val="00AF06C0"/>
    <w:rsid w:val="00AF0811"/>
    <w:rsid w:val="00AF18E2"/>
    <w:rsid w:val="00AF2596"/>
    <w:rsid w:val="00AF2B8B"/>
    <w:rsid w:val="00AF303A"/>
    <w:rsid w:val="00AF374D"/>
    <w:rsid w:val="00B004DD"/>
    <w:rsid w:val="00B006EC"/>
    <w:rsid w:val="00B02EB1"/>
    <w:rsid w:val="00B04EBD"/>
    <w:rsid w:val="00B14DCC"/>
    <w:rsid w:val="00B15CA5"/>
    <w:rsid w:val="00B17D4C"/>
    <w:rsid w:val="00B20669"/>
    <w:rsid w:val="00B2096C"/>
    <w:rsid w:val="00B20D0F"/>
    <w:rsid w:val="00B21A38"/>
    <w:rsid w:val="00B233C7"/>
    <w:rsid w:val="00B234EC"/>
    <w:rsid w:val="00B23EFF"/>
    <w:rsid w:val="00B26441"/>
    <w:rsid w:val="00B2722A"/>
    <w:rsid w:val="00B27918"/>
    <w:rsid w:val="00B301D5"/>
    <w:rsid w:val="00B307E2"/>
    <w:rsid w:val="00B3082A"/>
    <w:rsid w:val="00B31435"/>
    <w:rsid w:val="00B320B0"/>
    <w:rsid w:val="00B325E0"/>
    <w:rsid w:val="00B327E5"/>
    <w:rsid w:val="00B34E5F"/>
    <w:rsid w:val="00B35FF7"/>
    <w:rsid w:val="00B37114"/>
    <w:rsid w:val="00B37409"/>
    <w:rsid w:val="00B37669"/>
    <w:rsid w:val="00B410AF"/>
    <w:rsid w:val="00B41452"/>
    <w:rsid w:val="00B465F3"/>
    <w:rsid w:val="00B50FB2"/>
    <w:rsid w:val="00B51394"/>
    <w:rsid w:val="00B52BA8"/>
    <w:rsid w:val="00B55B01"/>
    <w:rsid w:val="00B55BE5"/>
    <w:rsid w:val="00B55D81"/>
    <w:rsid w:val="00B57EDC"/>
    <w:rsid w:val="00B608F1"/>
    <w:rsid w:val="00B6179F"/>
    <w:rsid w:val="00B618BA"/>
    <w:rsid w:val="00B637A7"/>
    <w:rsid w:val="00B64CDB"/>
    <w:rsid w:val="00B64E82"/>
    <w:rsid w:val="00B66C3E"/>
    <w:rsid w:val="00B6733E"/>
    <w:rsid w:val="00B70D0A"/>
    <w:rsid w:val="00B73A93"/>
    <w:rsid w:val="00B73CF6"/>
    <w:rsid w:val="00B74F7E"/>
    <w:rsid w:val="00B7683D"/>
    <w:rsid w:val="00B76FA3"/>
    <w:rsid w:val="00B808BF"/>
    <w:rsid w:val="00B8297B"/>
    <w:rsid w:val="00B8390C"/>
    <w:rsid w:val="00B83EC0"/>
    <w:rsid w:val="00B86CDE"/>
    <w:rsid w:val="00B91D2D"/>
    <w:rsid w:val="00B92EC6"/>
    <w:rsid w:val="00B967D4"/>
    <w:rsid w:val="00BA1901"/>
    <w:rsid w:val="00BA6C57"/>
    <w:rsid w:val="00BA6FFC"/>
    <w:rsid w:val="00BB0850"/>
    <w:rsid w:val="00BB111B"/>
    <w:rsid w:val="00BB31D7"/>
    <w:rsid w:val="00BB4A60"/>
    <w:rsid w:val="00BB5E91"/>
    <w:rsid w:val="00BC0305"/>
    <w:rsid w:val="00BC030D"/>
    <w:rsid w:val="00BC16CC"/>
    <w:rsid w:val="00BC24D9"/>
    <w:rsid w:val="00BC25FD"/>
    <w:rsid w:val="00BC29DD"/>
    <w:rsid w:val="00BD07F6"/>
    <w:rsid w:val="00BD277E"/>
    <w:rsid w:val="00BD4010"/>
    <w:rsid w:val="00BD5538"/>
    <w:rsid w:val="00BD554F"/>
    <w:rsid w:val="00BD609C"/>
    <w:rsid w:val="00BE1081"/>
    <w:rsid w:val="00BE1B51"/>
    <w:rsid w:val="00BE20BF"/>
    <w:rsid w:val="00BE2B14"/>
    <w:rsid w:val="00BE49F4"/>
    <w:rsid w:val="00BF10F2"/>
    <w:rsid w:val="00BF2383"/>
    <w:rsid w:val="00C00A8B"/>
    <w:rsid w:val="00C01832"/>
    <w:rsid w:val="00C01B30"/>
    <w:rsid w:val="00C024CD"/>
    <w:rsid w:val="00C02AF9"/>
    <w:rsid w:val="00C05E74"/>
    <w:rsid w:val="00C10C19"/>
    <w:rsid w:val="00C14650"/>
    <w:rsid w:val="00C158BF"/>
    <w:rsid w:val="00C159D7"/>
    <w:rsid w:val="00C15FCF"/>
    <w:rsid w:val="00C237BF"/>
    <w:rsid w:val="00C304F4"/>
    <w:rsid w:val="00C30968"/>
    <w:rsid w:val="00C32947"/>
    <w:rsid w:val="00C33586"/>
    <w:rsid w:val="00C352F7"/>
    <w:rsid w:val="00C353C8"/>
    <w:rsid w:val="00C41593"/>
    <w:rsid w:val="00C4204E"/>
    <w:rsid w:val="00C42507"/>
    <w:rsid w:val="00C43940"/>
    <w:rsid w:val="00C44B34"/>
    <w:rsid w:val="00C44E00"/>
    <w:rsid w:val="00C47E48"/>
    <w:rsid w:val="00C5044E"/>
    <w:rsid w:val="00C50D00"/>
    <w:rsid w:val="00C5298B"/>
    <w:rsid w:val="00C54B28"/>
    <w:rsid w:val="00C54E11"/>
    <w:rsid w:val="00C5649C"/>
    <w:rsid w:val="00C56841"/>
    <w:rsid w:val="00C601ED"/>
    <w:rsid w:val="00C6192A"/>
    <w:rsid w:val="00C62265"/>
    <w:rsid w:val="00C646FC"/>
    <w:rsid w:val="00C66351"/>
    <w:rsid w:val="00C66FEE"/>
    <w:rsid w:val="00C7011C"/>
    <w:rsid w:val="00C72104"/>
    <w:rsid w:val="00C72768"/>
    <w:rsid w:val="00C746DA"/>
    <w:rsid w:val="00C748D8"/>
    <w:rsid w:val="00C74D48"/>
    <w:rsid w:val="00C75170"/>
    <w:rsid w:val="00C75486"/>
    <w:rsid w:val="00C7591E"/>
    <w:rsid w:val="00C75A3D"/>
    <w:rsid w:val="00C76123"/>
    <w:rsid w:val="00C7675F"/>
    <w:rsid w:val="00C7703A"/>
    <w:rsid w:val="00C81EAF"/>
    <w:rsid w:val="00C8202C"/>
    <w:rsid w:val="00C82BFA"/>
    <w:rsid w:val="00C841FB"/>
    <w:rsid w:val="00C85785"/>
    <w:rsid w:val="00C91B6E"/>
    <w:rsid w:val="00C92005"/>
    <w:rsid w:val="00C9243B"/>
    <w:rsid w:val="00C92A5B"/>
    <w:rsid w:val="00C92FF5"/>
    <w:rsid w:val="00C930F4"/>
    <w:rsid w:val="00C93143"/>
    <w:rsid w:val="00C9430C"/>
    <w:rsid w:val="00C94816"/>
    <w:rsid w:val="00C9777D"/>
    <w:rsid w:val="00CA0E94"/>
    <w:rsid w:val="00CA1729"/>
    <w:rsid w:val="00CA1B06"/>
    <w:rsid w:val="00CA1CF4"/>
    <w:rsid w:val="00CA4041"/>
    <w:rsid w:val="00CA46EC"/>
    <w:rsid w:val="00CA6065"/>
    <w:rsid w:val="00CA6C70"/>
    <w:rsid w:val="00CB085E"/>
    <w:rsid w:val="00CB2402"/>
    <w:rsid w:val="00CB62EA"/>
    <w:rsid w:val="00CB6894"/>
    <w:rsid w:val="00CB75A8"/>
    <w:rsid w:val="00CC0C30"/>
    <w:rsid w:val="00CC173B"/>
    <w:rsid w:val="00CC1C42"/>
    <w:rsid w:val="00CC4D98"/>
    <w:rsid w:val="00CC6BD6"/>
    <w:rsid w:val="00CC6EC4"/>
    <w:rsid w:val="00CC7B82"/>
    <w:rsid w:val="00CD2EDC"/>
    <w:rsid w:val="00CD63A8"/>
    <w:rsid w:val="00CE1422"/>
    <w:rsid w:val="00CE1786"/>
    <w:rsid w:val="00CE3917"/>
    <w:rsid w:val="00CE4733"/>
    <w:rsid w:val="00CE57FE"/>
    <w:rsid w:val="00CE77BB"/>
    <w:rsid w:val="00CF4911"/>
    <w:rsid w:val="00CF5B97"/>
    <w:rsid w:val="00D00B31"/>
    <w:rsid w:val="00D01990"/>
    <w:rsid w:val="00D030A7"/>
    <w:rsid w:val="00D06934"/>
    <w:rsid w:val="00D06FC2"/>
    <w:rsid w:val="00D1057C"/>
    <w:rsid w:val="00D112CF"/>
    <w:rsid w:val="00D121A5"/>
    <w:rsid w:val="00D1291D"/>
    <w:rsid w:val="00D1394D"/>
    <w:rsid w:val="00D14E9B"/>
    <w:rsid w:val="00D153AA"/>
    <w:rsid w:val="00D1683D"/>
    <w:rsid w:val="00D25492"/>
    <w:rsid w:val="00D27250"/>
    <w:rsid w:val="00D30B1A"/>
    <w:rsid w:val="00D3108D"/>
    <w:rsid w:val="00D31A5F"/>
    <w:rsid w:val="00D34C11"/>
    <w:rsid w:val="00D36C69"/>
    <w:rsid w:val="00D373D0"/>
    <w:rsid w:val="00D40A07"/>
    <w:rsid w:val="00D40D50"/>
    <w:rsid w:val="00D41B78"/>
    <w:rsid w:val="00D41D50"/>
    <w:rsid w:val="00D42293"/>
    <w:rsid w:val="00D42748"/>
    <w:rsid w:val="00D42AE8"/>
    <w:rsid w:val="00D43073"/>
    <w:rsid w:val="00D43D41"/>
    <w:rsid w:val="00D442AE"/>
    <w:rsid w:val="00D45D3B"/>
    <w:rsid w:val="00D50E18"/>
    <w:rsid w:val="00D52041"/>
    <w:rsid w:val="00D53E7A"/>
    <w:rsid w:val="00D54A88"/>
    <w:rsid w:val="00D5625D"/>
    <w:rsid w:val="00D564EE"/>
    <w:rsid w:val="00D57A87"/>
    <w:rsid w:val="00D60EA4"/>
    <w:rsid w:val="00D61449"/>
    <w:rsid w:val="00D61D3F"/>
    <w:rsid w:val="00D6251D"/>
    <w:rsid w:val="00D633CD"/>
    <w:rsid w:val="00D6635E"/>
    <w:rsid w:val="00D67616"/>
    <w:rsid w:val="00D741E2"/>
    <w:rsid w:val="00D7531E"/>
    <w:rsid w:val="00D80AA3"/>
    <w:rsid w:val="00D82AEA"/>
    <w:rsid w:val="00D83326"/>
    <w:rsid w:val="00D85A53"/>
    <w:rsid w:val="00D903FD"/>
    <w:rsid w:val="00D91554"/>
    <w:rsid w:val="00D919D9"/>
    <w:rsid w:val="00D92B3C"/>
    <w:rsid w:val="00D93741"/>
    <w:rsid w:val="00D94BC5"/>
    <w:rsid w:val="00D96C08"/>
    <w:rsid w:val="00DA0110"/>
    <w:rsid w:val="00DA136B"/>
    <w:rsid w:val="00DA2687"/>
    <w:rsid w:val="00DA495C"/>
    <w:rsid w:val="00DA7759"/>
    <w:rsid w:val="00DB105C"/>
    <w:rsid w:val="00DB2DF3"/>
    <w:rsid w:val="00DB5605"/>
    <w:rsid w:val="00DC0DD5"/>
    <w:rsid w:val="00DC361F"/>
    <w:rsid w:val="00DC3A5B"/>
    <w:rsid w:val="00DC7591"/>
    <w:rsid w:val="00DD1064"/>
    <w:rsid w:val="00DD1A9A"/>
    <w:rsid w:val="00DD2FB1"/>
    <w:rsid w:val="00DD4698"/>
    <w:rsid w:val="00DD4AA4"/>
    <w:rsid w:val="00DD6169"/>
    <w:rsid w:val="00DD6B5B"/>
    <w:rsid w:val="00DD702C"/>
    <w:rsid w:val="00DE761D"/>
    <w:rsid w:val="00DF2FA8"/>
    <w:rsid w:val="00DF58EC"/>
    <w:rsid w:val="00E00F3B"/>
    <w:rsid w:val="00E014E8"/>
    <w:rsid w:val="00E01EF0"/>
    <w:rsid w:val="00E03660"/>
    <w:rsid w:val="00E04BBD"/>
    <w:rsid w:val="00E055C8"/>
    <w:rsid w:val="00E05DE1"/>
    <w:rsid w:val="00E06016"/>
    <w:rsid w:val="00E06617"/>
    <w:rsid w:val="00E067B4"/>
    <w:rsid w:val="00E077F9"/>
    <w:rsid w:val="00E07B80"/>
    <w:rsid w:val="00E10E1B"/>
    <w:rsid w:val="00E11F92"/>
    <w:rsid w:val="00E11FBF"/>
    <w:rsid w:val="00E176B2"/>
    <w:rsid w:val="00E228C0"/>
    <w:rsid w:val="00E23907"/>
    <w:rsid w:val="00E2403C"/>
    <w:rsid w:val="00E24B6A"/>
    <w:rsid w:val="00E24DBD"/>
    <w:rsid w:val="00E326EB"/>
    <w:rsid w:val="00E329EA"/>
    <w:rsid w:val="00E32B6D"/>
    <w:rsid w:val="00E366B3"/>
    <w:rsid w:val="00E4151A"/>
    <w:rsid w:val="00E420C9"/>
    <w:rsid w:val="00E42E36"/>
    <w:rsid w:val="00E43BF9"/>
    <w:rsid w:val="00E444F5"/>
    <w:rsid w:val="00E44670"/>
    <w:rsid w:val="00E44672"/>
    <w:rsid w:val="00E453DE"/>
    <w:rsid w:val="00E466AC"/>
    <w:rsid w:val="00E55062"/>
    <w:rsid w:val="00E5753D"/>
    <w:rsid w:val="00E57856"/>
    <w:rsid w:val="00E57E34"/>
    <w:rsid w:val="00E617F7"/>
    <w:rsid w:val="00E62B11"/>
    <w:rsid w:val="00E62B5A"/>
    <w:rsid w:val="00E63393"/>
    <w:rsid w:val="00E63700"/>
    <w:rsid w:val="00E64111"/>
    <w:rsid w:val="00E6568F"/>
    <w:rsid w:val="00E65AE3"/>
    <w:rsid w:val="00E70D17"/>
    <w:rsid w:val="00E70E2A"/>
    <w:rsid w:val="00E71DC3"/>
    <w:rsid w:val="00E71FE5"/>
    <w:rsid w:val="00E727BA"/>
    <w:rsid w:val="00E7363F"/>
    <w:rsid w:val="00E73678"/>
    <w:rsid w:val="00E75045"/>
    <w:rsid w:val="00E76289"/>
    <w:rsid w:val="00E77D97"/>
    <w:rsid w:val="00E8246A"/>
    <w:rsid w:val="00E83310"/>
    <w:rsid w:val="00E8481D"/>
    <w:rsid w:val="00E86529"/>
    <w:rsid w:val="00E93781"/>
    <w:rsid w:val="00E94208"/>
    <w:rsid w:val="00E9439E"/>
    <w:rsid w:val="00E95D59"/>
    <w:rsid w:val="00E962B3"/>
    <w:rsid w:val="00EA3239"/>
    <w:rsid w:val="00EA4043"/>
    <w:rsid w:val="00EA4471"/>
    <w:rsid w:val="00EA5A5C"/>
    <w:rsid w:val="00EA6463"/>
    <w:rsid w:val="00EA65D0"/>
    <w:rsid w:val="00EB33DD"/>
    <w:rsid w:val="00EB385C"/>
    <w:rsid w:val="00EB3CBB"/>
    <w:rsid w:val="00EB508B"/>
    <w:rsid w:val="00EB5F3A"/>
    <w:rsid w:val="00EB682E"/>
    <w:rsid w:val="00ED1D5F"/>
    <w:rsid w:val="00ED285C"/>
    <w:rsid w:val="00ED43D2"/>
    <w:rsid w:val="00ED464F"/>
    <w:rsid w:val="00ED605F"/>
    <w:rsid w:val="00EE29A1"/>
    <w:rsid w:val="00EE3B8C"/>
    <w:rsid w:val="00EE4548"/>
    <w:rsid w:val="00EE4B4A"/>
    <w:rsid w:val="00EE54E7"/>
    <w:rsid w:val="00EF4A38"/>
    <w:rsid w:val="00EF4DE9"/>
    <w:rsid w:val="00EF5E90"/>
    <w:rsid w:val="00EF60AD"/>
    <w:rsid w:val="00EF678D"/>
    <w:rsid w:val="00EF7AC4"/>
    <w:rsid w:val="00F00B97"/>
    <w:rsid w:val="00F013EA"/>
    <w:rsid w:val="00F02EDE"/>
    <w:rsid w:val="00F037A4"/>
    <w:rsid w:val="00F03976"/>
    <w:rsid w:val="00F05869"/>
    <w:rsid w:val="00F06864"/>
    <w:rsid w:val="00F1338C"/>
    <w:rsid w:val="00F148E7"/>
    <w:rsid w:val="00F154DB"/>
    <w:rsid w:val="00F16519"/>
    <w:rsid w:val="00F2163E"/>
    <w:rsid w:val="00F240A7"/>
    <w:rsid w:val="00F25755"/>
    <w:rsid w:val="00F25C83"/>
    <w:rsid w:val="00F26ACC"/>
    <w:rsid w:val="00F31B45"/>
    <w:rsid w:val="00F3278D"/>
    <w:rsid w:val="00F34248"/>
    <w:rsid w:val="00F36796"/>
    <w:rsid w:val="00F4045B"/>
    <w:rsid w:val="00F47B21"/>
    <w:rsid w:val="00F50289"/>
    <w:rsid w:val="00F50CC8"/>
    <w:rsid w:val="00F54993"/>
    <w:rsid w:val="00F5719C"/>
    <w:rsid w:val="00F57DA3"/>
    <w:rsid w:val="00F61352"/>
    <w:rsid w:val="00F61C43"/>
    <w:rsid w:val="00F61CEA"/>
    <w:rsid w:val="00F63A52"/>
    <w:rsid w:val="00F63AAE"/>
    <w:rsid w:val="00F651CB"/>
    <w:rsid w:val="00F65B17"/>
    <w:rsid w:val="00F66F15"/>
    <w:rsid w:val="00F70FB7"/>
    <w:rsid w:val="00F714AC"/>
    <w:rsid w:val="00F74080"/>
    <w:rsid w:val="00F75A49"/>
    <w:rsid w:val="00F76089"/>
    <w:rsid w:val="00F777B0"/>
    <w:rsid w:val="00F77A27"/>
    <w:rsid w:val="00F82BBC"/>
    <w:rsid w:val="00F83721"/>
    <w:rsid w:val="00F839B6"/>
    <w:rsid w:val="00F84FEA"/>
    <w:rsid w:val="00F85FE3"/>
    <w:rsid w:val="00F90867"/>
    <w:rsid w:val="00F910F4"/>
    <w:rsid w:val="00F91DE1"/>
    <w:rsid w:val="00F92735"/>
    <w:rsid w:val="00F94417"/>
    <w:rsid w:val="00F94A97"/>
    <w:rsid w:val="00F97A88"/>
    <w:rsid w:val="00F97BF2"/>
    <w:rsid w:val="00FA0A82"/>
    <w:rsid w:val="00FA1D74"/>
    <w:rsid w:val="00FA2474"/>
    <w:rsid w:val="00FA2667"/>
    <w:rsid w:val="00FA2C85"/>
    <w:rsid w:val="00FA3407"/>
    <w:rsid w:val="00FA3CBD"/>
    <w:rsid w:val="00FA4155"/>
    <w:rsid w:val="00FA7FC4"/>
    <w:rsid w:val="00FB0789"/>
    <w:rsid w:val="00FB10CB"/>
    <w:rsid w:val="00FB193B"/>
    <w:rsid w:val="00FB3521"/>
    <w:rsid w:val="00FB36D4"/>
    <w:rsid w:val="00FB410F"/>
    <w:rsid w:val="00FB43D9"/>
    <w:rsid w:val="00FB64F4"/>
    <w:rsid w:val="00FC0193"/>
    <w:rsid w:val="00FC01F3"/>
    <w:rsid w:val="00FC182F"/>
    <w:rsid w:val="00FC1B3F"/>
    <w:rsid w:val="00FC1C0E"/>
    <w:rsid w:val="00FC4617"/>
    <w:rsid w:val="00FC538A"/>
    <w:rsid w:val="00FC55DB"/>
    <w:rsid w:val="00FC6CCC"/>
    <w:rsid w:val="00FD2030"/>
    <w:rsid w:val="00FD2171"/>
    <w:rsid w:val="00FD2715"/>
    <w:rsid w:val="00FD417C"/>
    <w:rsid w:val="00FD4EBE"/>
    <w:rsid w:val="00FD50E4"/>
    <w:rsid w:val="00FD6BB4"/>
    <w:rsid w:val="00FD6C43"/>
    <w:rsid w:val="00FE09B3"/>
    <w:rsid w:val="00FE114F"/>
    <w:rsid w:val="00FE3925"/>
    <w:rsid w:val="00FE4798"/>
    <w:rsid w:val="00FE6774"/>
    <w:rsid w:val="00FE6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AB86"/>
  <w15:docId w15:val="{A26F5840-4440-4D8F-BBE6-D8121D11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C1"/>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qFormat/>
    <w:rsid w:val="00CA46EC"/>
    <w:pPr>
      <w:numPr>
        <w:numId w:val="16"/>
      </w:numPr>
      <w:spacing w:after="120"/>
      <w:ind w:left="369" w:hanging="369"/>
      <w:contextualSpacing/>
    </w:pPr>
  </w:style>
  <w:style w:type="paragraph" w:styleId="ListBullet2">
    <w:name w:val="List Bullet 2"/>
    <w:basedOn w:val="Normal"/>
    <w:uiPriority w:val="99"/>
    <w:unhideWhenUsed/>
    <w:qFormat/>
    <w:rsid w:val="00CA46EC"/>
    <w:pPr>
      <w:numPr>
        <w:ilvl w:val="1"/>
        <w:numId w:val="16"/>
      </w:numPr>
      <w:spacing w:after="120"/>
      <w:ind w:left="766" w:hanging="369"/>
      <w:contextualSpacing/>
    </w:pPr>
  </w:style>
  <w:style w:type="paragraph" w:styleId="ListBullet3">
    <w:name w:val="List Bullet 3"/>
    <w:basedOn w:val="Normal"/>
    <w:uiPriority w:val="99"/>
    <w:unhideWhenUsed/>
    <w:qFormat/>
    <w:rsid w:val="00CA46EC"/>
    <w:pPr>
      <w:numPr>
        <w:ilvl w:val="2"/>
        <w:numId w:val="16"/>
      </w:numPr>
      <w:spacing w:after="120"/>
      <w:ind w:left="1163" w:hanging="369"/>
      <w:contextualSpacing/>
    </w:pPr>
  </w:style>
  <w:style w:type="paragraph" w:styleId="ListBullet4">
    <w:name w:val="List Bullet 4"/>
    <w:basedOn w:val="Normal"/>
    <w:uiPriority w:val="99"/>
    <w:unhideWhenUsed/>
    <w:qFormat/>
    <w:rsid w:val="00CA46EC"/>
    <w:pPr>
      <w:numPr>
        <w:ilvl w:val="3"/>
        <w:numId w:val="16"/>
      </w:numPr>
      <w:spacing w:after="120"/>
      <w:ind w:left="1503" w:hanging="369"/>
      <w:contextualSpacing/>
    </w:pPr>
  </w:style>
  <w:style w:type="table" w:styleId="TableGrid">
    <w:name w:val="Table Grid"/>
    <w:aliases w:val="NRSB Table"/>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7037B4"/>
    <w:pPr>
      <w:tabs>
        <w:tab w:val="right" w:leader="dot" w:pos="9038"/>
      </w:tabs>
      <w:spacing w:after="100"/>
    </w:pPr>
  </w:style>
  <w:style w:type="paragraph" w:styleId="TOC2">
    <w:name w:val="toc 2"/>
    <w:basedOn w:val="Normal"/>
    <w:next w:val="Normal"/>
    <w:autoRedefine/>
    <w:uiPriority w:val="39"/>
    <w:unhideWhenUsed/>
    <w:rsid w:val="008624D8"/>
    <w:pPr>
      <w:tabs>
        <w:tab w:val="right" w:leader="dot" w:pos="9038"/>
      </w:tabs>
      <w:spacing w:after="100"/>
      <w:ind w:left="220"/>
    </w:pPr>
  </w:style>
  <w:style w:type="paragraph" w:styleId="TOC3">
    <w:name w:val="toc 3"/>
    <w:basedOn w:val="Normal"/>
    <w:next w:val="Normal"/>
    <w:autoRedefine/>
    <w:uiPriority w:val="39"/>
    <w:unhideWhenUsed/>
    <w:rsid w:val="00852D5C"/>
    <w:pPr>
      <w:tabs>
        <w:tab w:val="right" w:leader="dot" w:pos="9038"/>
      </w:tabs>
      <w:spacing w:after="100"/>
    </w:pPr>
  </w:style>
  <w:style w:type="paragraph" w:styleId="Caption">
    <w:name w:val="caption"/>
    <w:basedOn w:val="Heading4"/>
    <w:next w:val="Normal"/>
    <w:uiPriority w:val="35"/>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semiHidden/>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semiHidden/>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31"/>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FA3CBD"/>
  </w:style>
  <w:style w:type="paragraph" w:styleId="Revision">
    <w:name w:val="Revision"/>
    <w:hidden/>
    <w:uiPriority w:val="99"/>
    <w:semiHidden/>
    <w:rsid w:val="001B1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322856161">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43077764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6383">
      <w:bodyDiv w:val="1"/>
      <w:marLeft w:val="0"/>
      <w:marRight w:val="0"/>
      <w:marTop w:val="0"/>
      <w:marBottom w:val="0"/>
      <w:divBdr>
        <w:top w:val="none" w:sz="0" w:space="0" w:color="auto"/>
        <w:left w:val="none" w:sz="0" w:space="0" w:color="auto"/>
        <w:bottom w:val="none" w:sz="0" w:space="0" w:color="auto"/>
        <w:right w:val="none" w:sz="0" w:space="0" w:color="auto"/>
      </w:divBdr>
    </w:div>
    <w:div w:id="697589649">
      <w:bodyDiv w:val="1"/>
      <w:marLeft w:val="0"/>
      <w:marRight w:val="0"/>
      <w:marTop w:val="0"/>
      <w:marBottom w:val="0"/>
      <w:divBdr>
        <w:top w:val="none" w:sz="0" w:space="0" w:color="auto"/>
        <w:left w:val="none" w:sz="0" w:space="0" w:color="auto"/>
        <w:bottom w:val="none" w:sz="0" w:space="0" w:color="auto"/>
        <w:right w:val="none" w:sz="0" w:space="0" w:color="auto"/>
      </w:divBdr>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89130014">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438870180">
      <w:bodyDiv w:val="1"/>
      <w:marLeft w:val="0"/>
      <w:marRight w:val="0"/>
      <w:marTop w:val="0"/>
      <w:marBottom w:val="0"/>
      <w:divBdr>
        <w:top w:val="none" w:sz="0" w:space="0" w:color="auto"/>
        <w:left w:val="none" w:sz="0" w:space="0" w:color="auto"/>
        <w:bottom w:val="none" w:sz="0" w:space="0" w:color="auto"/>
        <w:right w:val="none" w:sz="0" w:space="0" w:color="auto"/>
      </w:divBdr>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745685912">
      <w:bodyDiv w:val="1"/>
      <w:marLeft w:val="0"/>
      <w:marRight w:val="0"/>
      <w:marTop w:val="0"/>
      <w:marBottom w:val="0"/>
      <w:divBdr>
        <w:top w:val="none" w:sz="0" w:space="0" w:color="auto"/>
        <w:left w:val="none" w:sz="0" w:space="0" w:color="auto"/>
        <w:bottom w:val="none" w:sz="0" w:space="0" w:color="auto"/>
        <w:right w:val="none" w:sz="0" w:space="0" w:color="auto"/>
      </w:divBdr>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1950576994">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 w:id="20414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dv.vic.gov.au/regional-development-australia" TargetMode="External"/><Relationship Id="rId18" Type="http://schemas.openxmlformats.org/officeDocument/2006/relationships/hyperlink" Target="https://www.regional.gov.au/regional/deals/Albury-Wodonga.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ngaratta.vic.gov.au/Develop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lburywodonga.gov.au/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burycity.nsw.gov.au/council/future-planning/albury-2030" TargetMode="External"/><Relationship Id="rId20" Type="http://schemas.openxmlformats.org/officeDocument/2006/relationships/hyperlink" Target="https://greatershepparton.com.au/council/council-documents/greater-shepparton-2030-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egional.gov.au/regional/programs/building-better-regions-fund.aspx"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campaspe.vic.gov.au/Business/Business-investment/Economic-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al.gov.au/regional/programs/covid-19-relief-and-recovery-fund.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C2B3DB977424F8B1E46DCF8C9BC26" ma:contentTypeVersion="18" ma:contentTypeDescription="Create a new document." ma:contentTypeScope="" ma:versionID="f1ed9e9d48d5f9e78e3df54e4f87de75">
  <xsd:schema xmlns:xsd="http://www.w3.org/2001/XMLSchema" xmlns:xs="http://www.w3.org/2001/XMLSchema" xmlns:p="http://schemas.microsoft.com/office/2006/metadata/properties" xmlns:ns2="f8a5a053-2df5-4093-bd4a-0aede824273b" xmlns:ns3="fe9d6967-ff39-4667-8b34-37e57d41c7ad" targetNamespace="http://schemas.microsoft.com/office/2006/metadata/properties" ma:root="true" ma:fieldsID="e832cbb17d25143040ba431030957fb2" ns2:_="" ns3:_="">
    <xsd:import namespace="f8a5a053-2df5-4093-bd4a-0aede824273b"/>
    <xsd:import namespace="fe9d6967-ff39-4667-8b34-37e57d41c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escription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53-2df5-4093-bd4a-0aede824273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Description0" ma:index="20" nillable="true" ma:displayName="Description" ma:description="Description of the document" ma:internalName="Description0">
      <xsd:simpleType>
        <xsd:restriction base="dms:Not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d6967-ff39-4667-8b34-37e57d41c7ad"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f8a5a053-2df5-4093-bd4a-0aede824273b" xsi:nil="true"/>
  </documentManagement>
</p:properties>
</file>

<file path=customXml/itemProps1.xml><?xml version="1.0" encoding="utf-8"?>
<ds:datastoreItem xmlns:ds="http://schemas.openxmlformats.org/officeDocument/2006/customXml" ds:itemID="{6D65FEA8-DCBE-4DF6-AA96-8C52BE7DB512}">
  <ds:schemaRefs>
    <ds:schemaRef ds:uri="http://schemas.openxmlformats.org/officeDocument/2006/bibliography"/>
  </ds:schemaRefs>
</ds:datastoreItem>
</file>

<file path=customXml/itemProps2.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3.xml><?xml version="1.0" encoding="utf-8"?>
<ds:datastoreItem xmlns:ds="http://schemas.openxmlformats.org/officeDocument/2006/customXml" ds:itemID="{B2A9B8AA-A049-4F70-92F4-84F011B6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53-2df5-4093-bd4a-0aede824273b"/>
    <ds:schemaRef ds:uri="fe9d6967-ff39-4667-8b34-37e57d41c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8984E-8555-4BA4-AC00-790F52B8B571}">
  <ds:schemaRefs>
    <ds:schemaRef ds:uri="http://schemas.microsoft.com/office/infopath/2007/PartnerControls"/>
    <ds:schemaRef ds:uri="http://purl.org/dc/terms/"/>
    <ds:schemaRef ds:uri="http://purl.org/dc/dcmitype/"/>
    <ds:schemaRef ds:uri="fe9d6967-ff39-4667-8b34-37e57d41c7a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8a5a053-2df5-4093-bd4a-0aede8242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MCDONALD,Janice</dc:creator>
  <cp:lastModifiedBy>MANNIE,Ryan</cp:lastModifiedBy>
  <cp:revision>2</cp:revision>
  <cp:lastPrinted>2021-11-29T22:40:00Z</cp:lastPrinted>
  <dcterms:created xsi:type="dcterms:W3CDTF">2022-01-30T23:27:00Z</dcterms:created>
  <dcterms:modified xsi:type="dcterms:W3CDTF">2022-01-30T23:27:00Z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0x010100B4EC2B3DB977424F8B1E46DCF8C9BC26</vt:lpwstr>
  </property>
</Properties>
</file>