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D4B88" w14:textId="77777777" w:rsidR="00DC361F" w:rsidRDefault="00481745">
      <w:pPr>
        <w:pStyle w:val="Title"/>
        <w:jc w:val="center"/>
      </w:pPr>
      <w:r>
        <w:t xml:space="preserve">                                                                                                                                                                                                                                                                                                                                                                                                                                                                                                                                                                                                                                                                                                                                                                                                                                                                                                                                                                                                                                                                                                                                                                                                                                                                                                                                                                                                                                                                                                                                                                                                                                                                                                                                                                                                                                                                                                                                                                                                                                                                                                                                                                                                                                                                                                                                                                                                                                                                                                                                                                                                                                                                                                                                                                                                                                                                                                                                                                                                                                                                                                                                                                                                                                                                                                                                                                                                                                                                                                                                                                                                                                                                                                                                                                                                                                                                                                                                                                                                                                                                                                                                                                                   </w:t>
      </w:r>
    </w:p>
    <w:p w14:paraId="5BD1ABEE" w14:textId="79427346" w:rsidR="00236194" w:rsidRPr="00C15FCF" w:rsidRDefault="003F7272" w:rsidP="00DC361F">
      <w:pPr>
        <w:pStyle w:val="Title"/>
        <w:jc w:val="center"/>
        <w:sectPr w:rsidR="00236194" w:rsidRPr="00C15FCF" w:rsidSect="009A0D3F">
          <w:headerReference w:type="default" r:id="rId11"/>
          <w:type w:val="continuous"/>
          <w:pgSz w:w="11906" w:h="16838"/>
          <w:pgMar w:top="1985" w:right="1418" w:bottom="993" w:left="1440" w:header="709" w:footer="567" w:gutter="0"/>
          <w:cols w:space="708"/>
          <w:docGrid w:linePitch="360"/>
        </w:sectPr>
      </w:pPr>
      <w:r w:rsidRPr="007D1210">
        <w:rPr>
          <w:noProof/>
          <w:lang w:eastAsia="en-AU"/>
        </w:rPr>
        <w:drawing>
          <wp:inline distT="0" distB="0" distL="0" distR="0" wp14:anchorId="5E639EC0" wp14:editId="794DEB05">
            <wp:extent cx="4144645" cy="960120"/>
            <wp:effectExtent l="0" t="0" r="8255" b="0"/>
            <wp:docPr id="5" name="Picture 5" descr="Australian Government Local Job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Local Jobs Program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44645" cy="960120"/>
                    </a:xfrm>
                    <a:prstGeom prst="rect">
                      <a:avLst/>
                    </a:prstGeom>
                  </pic:spPr>
                </pic:pic>
              </a:graphicData>
            </a:graphic>
          </wp:inline>
        </w:drawing>
      </w:r>
      <w:bookmarkStart w:id="0" w:name="_Toc364946114"/>
    </w:p>
    <w:p w14:paraId="53BF95A1" w14:textId="42E9E279" w:rsidR="006D4042" w:rsidRPr="007D1210" w:rsidRDefault="006D4042" w:rsidP="00C15FCF">
      <w:bookmarkStart w:id="1" w:name="_Toc24447248"/>
      <w:bookmarkEnd w:id="0"/>
    </w:p>
    <w:p w14:paraId="429CCDFC" w14:textId="77777777" w:rsidR="006D4042" w:rsidRPr="007D1210" w:rsidRDefault="006D4042" w:rsidP="006D4042">
      <w:pPr>
        <w:jc w:val="center"/>
      </w:pPr>
    </w:p>
    <w:p w14:paraId="30D4D6F9" w14:textId="1DC7D2DF" w:rsidR="006D4042" w:rsidRDefault="006D4042" w:rsidP="009E1049">
      <w:pPr>
        <w:spacing w:before="120" w:after="480" w:line="240" w:lineRule="auto"/>
        <w:jc w:val="center"/>
        <w:rPr>
          <w:b/>
          <w:bCs/>
          <w:color w:val="002060"/>
          <w:sz w:val="72"/>
          <w:szCs w:val="72"/>
        </w:rPr>
      </w:pPr>
      <w:r w:rsidRPr="007D1210">
        <w:rPr>
          <w:b/>
          <w:bCs/>
          <w:color w:val="002060"/>
          <w:sz w:val="72"/>
          <w:szCs w:val="72"/>
        </w:rPr>
        <w:t>Local Jobs Plan</w:t>
      </w:r>
    </w:p>
    <w:p w14:paraId="15F16E7C" w14:textId="67E25101" w:rsidR="009E1049" w:rsidRDefault="009E1049" w:rsidP="009E1049">
      <w:pPr>
        <w:spacing w:before="120" w:after="480" w:line="240" w:lineRule="auto"/>
        <w:jc w:val="center"/>
        <w:rPr>
          <w:b/>
          <w:bCs/>
          <w:color w:val="002060"/>
          <w:sz w:val="72"/>
          <w:szCs w:val="72"/>
        </w:rPr>
      </w:pPr>
      <w:r>
        <w:rPr>
          <w:b/>
          <w:bCs/>
          <w:color w:val="002060"/>
          <w:sz w:val="72"/>
          <w:szCs w:val="72"/>
        </w:rPr>
        <w:t>North and North West</w:t>
      </w:r>
      <w:r w:rsidR="00DD7BBC">
        <w:rPr>
          <w:b/>
          <w:bCs/>
          <w:color w:val="002060"/>
          <w:sz w:val="72"/>
          <w:szCs w:val="72"/>
        </w:rPr>
        <w:t>ern</w:t>
      </w:r>
    </w:p>
    <w:p w14:paraId="5CACC051" w14:textId="09537B8F" w:rsidR="00B004DD" w:rsidRDefault="009E1049" w:rsidP="009E1049">
      <w:pPr>
        <w:spacing w:before="120" w:after="480" w:line="240" w:lineRule="auto"/>
        <w:jc w:val="center"/>
        <w:rPr>
          <w:b/>
          <w:bCs/>
          <w:color w:val="002060"/>
          <w:sz w:val="72"/>
          <w:szCs w:val="72"/>
        </w:rPr>
      </w:pPr>
      <w:r>
        <w:rPr>
          <w:b/>
          <w:bCs/>
          <w:color w:val="002060"/>
          <w:sz w:val="72"/>
          <w:szCs w:val="72"/>
        </w:rPr>
        <w:t>Tasmania</w:t>
      </w:r>
    </w:p>
    <w:p w14:paraId="62B7C64F" w14:textId="77777777" w:rsidR="002D4E30" w:rsidRPr="007D1210" w:rsidRDefault="002D4E30" w:rsidP="009E1049">
      <w:pPr>
        <w:spacing w:before="120" w:after="480" w:line="240" w:lineRule="auto"/>
        <w:jc w:val="center"/>
        <w:rPr>
          <w:b/>
          <w:bCs/>
          <w:color w:val="002060"/>
          <w:sz w:val="64"/>
          <w:szCs w:val="64"/>
        </w:rPr>
      </w:pPr>
    </w:p>
    <w:p w14:paraId="7A5FD959" w14:textId="26E65A82" w:rsidR="006D4042" w:rsidRPr="007D1210" w:rsidRDefault="00B316C5" w:rsidP="003418C0">
      <w:pPr>
        <w:spacing w:before="120" w:after="480"/>
        <w:jc w:val="center"/>
        <w:rPr>
          <w:color w:val="002060"/>
          <w:sz w:val="60"/>
          <w:szCs w:val="60"/>
        </w:rPr>
      </w:pPr>
      <w:r>
        <w:rPr>
          <w:color w:val="002060"/>
          <w:sz w:val="60"/>
          <w:szCs w:val="60"/>
        </w:rPr>
        <w:t>August</w:t>
      </w:r>
      <w:r>
        <w:rPr>
          <w:color w:val="002060"/>
          <w:sz w:val="60"/>
          <w:szCs w:val="60"/>
        </w:rPr>
        <w:t xml:space="preserve"> </w:t>
      </w:r>
      <w:r w:rsidR="006D4042" w:rsidRPr="007D1210">
        <w:rPr>
          <w:color w:val="002060"/>
          <w:sz w:val="60"/>
          <w:szCs w:val="60"/>
        </w:rPr>
        <w:t>2021</w:t>
      </w:r>
    </w:p>
    <w:p w14:paraId="4D4BE0AB" w14:textId="77777777" w:rsidR="00BC25FD" w:rsidRDefault="00BC25FD">
      <w:r>
        <w:br w:type="page"/>
      </w:r>
    </w:p>
    <w:sdt>
      <w:sdtPr>
        <w:rPr>
          <w:rFonts w:asciiTheme="minorHAnsi" w:eastAsiaTheme="minorEastAsia" w:hAnsiTheme="minorHAnsi" w:cstheme="minorBidi"/>
          <w:noProof w:val="0"/>
          <w:color w:val="auto"/>
          <w:sz w:val="22"/>
          <w:szCs w:val="22"/>
          <w:lang w:val="en" w:bidi="ar-SA"/>
        </w:rPr>
        <w:id w:val="-476842593"/>
        <w:docPartObj>
          <w:docPartGallery w:val="Table of Contents"/>
          <w:docPartUnique/>
        </w:docPartObj>
      </w:sdtPr>
      <w:sdtEndPr>
        <w:rPr>
          <w:b/>
          <w:bCs/>
          <w:lang w:val="en-AU"/>
        </w:rPr>
      </w:sdtEndPr>
      <w:sdtContent>
        <w:p w14:paraId="4E2487A0" w14:textId="25B50818" w:rsidR="006D4042" w:rsidRDefault="006D4042">
          <w:pPr>
            <w:pStyle w:val="TOCHeading"/>
            <w:rPr>
              <w:noProof w:val="0"/>
            </w:rPr>
          </w:pPr>
          <w:r w:rsidRPr="007D1210">
            <w:rPr>
              <w:noProof w:val="0"/>
            </w:rPr>
            <w:t>Contents</w:t>
          </w:r>
        </w:p>
        <w:p w14:paraId="2D045803" w14:textId="77777777" w:rsidR="006F6A4C" w:rsidRPr="006F6A4C" w:rsidRDefault="006F6A4C" w:rsidP="006F6A4C">
          <w:pPr>
            <w:rPr>
              <w:lang w:bidi="en-US"/>
            </w:rPr>
          </w:pPr>
        </w:p>
        <w:p w14:paraId="00C4FA6F" w14:textId="545D78AA" w:rsidR="002900D4" w:rsidRDefault="006D4042">
          <w:pPr>
            <w:pStyle w:val="TOC1"/>
            <w:tabs>
              <w:tab w:val="right" w:leader="dot" w:pos="9038"/>
            </w:tabs>
            <w:rPr>
              <w:noProof/>
              <w:lang w:eastAsia="en-AU"/>
            </w:rPr>
          </w:pPr>
          <w:r w:rsidRPr="007D1210">
            <w:fldChar w:fldCharType="begin"/>
          </w:r>
          <w:r w:rsidRPr="007D1210">
            <w:instrText xml:space="preserve"> TOC \o "1-3" \h \z \u </w:instrText>
          </w:r>
          <w:r w:rsidRPr="007D1210">
            <w:fldChar w:fldCharType="separate"/>
          </w:r>
          <w:hyperlink w:anchor="_Toc80086429" w:history="1">
            <w:r w:rsidR="002900D4" w:rsidRPr="00E70E26">
              <w:rPr>
                <w:rStyle w:val="Hyperlink"/>
                <w:noProof/>
              </w:rPr>
              <w:t>The Local Jobs Program</w:t>
            </w:r>
            <w:r w:rsidR="002900D4">
              <w:rPr>
                <w:noProof/>
                <w:webHidden/>
              </w:rPr>
              <w:tab/>
            </w:r>
            <w:r w:rsidR="002900D4">
              <w:rPr>
                <w:noProof/>
                <w:webHidden/>
              </w:rPr>
              <w:fldChar w:fldCharType="begin"/>
            </w:r>
            <w:r w:rsidR="002900D4">
              <w:rPr>
                <w:noProof/>
                <w:webHidden/>
              </w:rPr>
              <w:instrText xml:space="preserve"> PAGEREF _Toc80086429 \h </w:instrText>
            </w:r>
            <w:r w:rsidR="002900D4">
              <w:rPr>
                <w:noProof/>
                <w:webHidden/>
              </w:rPr>
            </w:r>
            <w:r w:rsidR="002900D4">
              <w:rPr>
                <w:noProof/>
                <w:webHidden/>
              </w:rPr>
              <w:fldChar w:fldCharType="separate"/>
            </w:r>
            <w:r w:rsidR="00153898">
              <w:rPr>
                <w:noProof/>
                <w:webHidden/>
              </w:rPr>
              <w:t>3</w:t>
            </w:r>
            <w:r w:rsidR="002900D4">
              <w:rPr>
                <w:noProof/>
                <w:webHidden/>
              </w:rPr>
              <w:fldChar w:fldCharType="end"/>
            </w:r>
          </w:hyperlink>
        </w:p>
        <w:p w14:paraId="1FC821A8" w14:textId="17026176" w:rsidR="002900D4" w:rsidRDefault="00153898">
          <w:pPr>
            <w:pStyle w:val="TOC1"/>
            <w:tabs>
              <w:tab w:val="right" w:leader="dot" w:pos="9038"/>
            </w:tabs>
            <w:rPr>
              <w:noProof/>
              <w:lang w:eastAsia="en-AU"/>
            </w:rPr>
          </w:pPr>
          <w:hyperlink w:anchor="_Toc80086430" w:history="1">
            <w:r w:rsidR="002900D4" w:rsidRPr="00E70E26">
              <w:rPr>
                <w:rStyle w:val="Hyperlink"/>
                <w:noProof/>
              </w:rPr>
              <w:t>Key employment and training priorities  – North and North Western Tasmania</w:t>
            </w:r>
            <w:r w:rsidR="002900D4">
              <w:rPr>
                <w:noProof/>
                <w:webHidden/>
              </w:rPr>
              <w:tab/>
            </w:r>
            <w:r w:rsidR="002900D4">
              <w:rPr>
                <w:noProof/>
                <w:webHidden/>
              </w:rPr>
              <w:fldChar w:fldCharType="begin"/>
            </w:r>
            <w:r w:rsidR="002900D4">
              <w:rPr>
                <w:noProof/>
                <w:webHidden/>
              </w:rPr>
              <w:instrText xml:space="preserve"> PAGEREF _Toc80086430 \h </w:instrText>
            </w:r>
            <w:r w:rsidR="002900D4">
              <w:rPr>
                <w:noProof/>
                <w:webHidden/>
              </w:rPr>
            </w:r>
            <w:r w:rsidR="002900D4">
              <w:rPr>
                <w:noProof/>
                <w:webHidden/>
              </w:rPr>
              <w:fldChar w:fldCharType="separate"/>
            </w:r>
            <w:r>
              <w:rPr>
                <w:noProof/>
                <w:webHidden/>
              </w:rPr>
              <w:t>4</w:t>
            </w:r>
            <w:r w:rsidR="002900D4">
              <w:rPr>
                <w:noProof/>
                <w:webHidden/>
              </w:rPr>
              <w:fldChar w:fldCharType="end"/>
            </w:r>
          </w:hyperlink>
        </w:p>
        <w:p w14:paraId="5BBFFFC0" w14:textId="2CFEF88B" w:rsidR="002900D4" w:rsidRDefault="00153898">
          <w:pPr>
            <w:pStyle w:val="TOC1"/>
            <w:tabs>
              <w:tab w:val="right" w:leader="dot" w:pos="9038"/>
            </w:tabs>
            <w:rPr>
              <w:noProof/>
              <w:lang w:eastAsia="en-AU"/>
            </w:rPr>
          </w:pPr>
          <w:hyperlink w:anchor="_Toc80086431" w:history="1">
            <w:r w:rsidR="002900D4" w:rsidRPr="00E70E26">
              <w:rPr>
                <w:rStyle w:val="Hyperlink"/>
                <w:noProof/>
              </w:rPr>
              <w:t>Employment Region overview</w:t>
            </w:r>
            <w:r w:rsidR="002900D4">
              <w:rPr>
                <w:noProof/>
                <w:webHidden/>
              </w:rPr>
              <w:tab/>
            </w:r>
            <w:r w:rsidR="002900D4">
              <w:rPr>
                <w:noProof/>
                <w:webHidden/>
              </w:rPr>
              <w:fldChar w:fldCharType="begin"/>
            </w:r>
            <w:r w:rsidR="002900D4">
              <w:rPr>
                <w:noProof/>
                <w:webHidden/>
              </w:rPr>
              <w:instrText xml:space="preserve"> PAGEREF _Toc80086431 \h </w:instrText>
            </w:r>
            <w:r w:rsidR="002900D4">
              <w:rPr>
                <w:noProof/>
                <w:webHidden/>
              </w:rPr>
            </w:r>
            <w:r w:rsidR="002900D4">
              <w:rPr>
                <w:noProof/>
                <w:webHidden/>
              </w:rPr>
              <w:fldChar w:fldCharType="separate"/>
            </w:r>
            <w:r>
              <w:rPr>
                <w:noProof/>
                <w:webHidden/>
              </w:rPr>
              <w:t>5</w:t>
            </w:r>
            <w:r w:rsidR="002900D4">
              <w:rPr>
                <w:noProof/>
                <w:webHidden/>
              </w:rPr>
              <w:fldChar w:fldCharType="end"/>
            </w:r>
          </w:hyperlink>
        </w:p>
        <w:p w14:paraId="6FC3464C" w14:textId="0BC0ED77" w:rsidR="002900D4" w:rsidRDefault="00153898" w:rsidP="00596DA0">
          <w:pPr>
            <w:pStyle w:val="TOC2"/>
            <w:tabs>
              <w:tab w:val="right" w:leader="dot" w:pos="9038"/>
            </w:tabs>
            <w:ind w:left="0"/>
            <w:rPr>
              <w:noProof/>
              <w:lang w:eastAsia="en-AU"/>
            </w:rPr>
          </w:pPr>
          <w:hyperlink w:anchor="_Toc80086432" w:history="1">
            <w:r w:rsidR="002900D4" w:rsidRPr="00E70E26">
              <w:rPr>
                <w:rStyle w:val="Hyperlink"/>
                <w:rFonts w:cs="Calibri"/>
                <w:noProof/>
                <w:lang w:val="en"/>
              </w:rPr>
              <w:t>Socio-economic profile</w:t>
            </w:r>
            <w:r w:rsidR="002900D4">
              <w:rPr>
                <w:noProof/>
                <w:webHidden/>
              </w:rPr>
              <w:tab/>
            </w:r>
            <w:r w:rsidR="002900D4">
              <w:rPr>
                <w:noProof/>
                <w:webHidden/>
              </w:rPr>
              <w:fldChar w:fldCharType="begin"/>
            </w:r>
            <w:r w:rsidR="002900D4">
              <w:rPr>
                <w:noProof/>
                <w:webHidden/>
              </w:rPr>
              <w:instrText xml:space="preserve"> PAGEREF _Toc80086432 \h </w:instrText>
            </w:r>
            <w:r w:rsidR="002900D4">
              <w:rPr>
                <w:noProof/>
                <w:webHidden/>
              </w:rPr>
            </w:r>
            <w:r w:rsidR="002900D4">
              <w:rPr>
                <w:noProof/>
                <w:webHidden/>
              </w:rPr>
              <w:fldChar w:fldCharType="separate"/>
            </w:r>
            <w:r>
              <w:rPr>
                <w:noProof/>
                <w:webHidden/>
              </w:rPr>
              <w:t>6</w:t>
            </w:r>
            <w:r w:rsidR="002900D4">
              <w:rPr>
                <w:noProof/>
                <w:webHidden/>
              </w:rPr>
              <w:fldChar w:fldCharType="end"/>
            </w:r>
          </w:hyperlink>
        </w:p>
        <w:p w14:paraId="316CB62A" w14:textId="7BC83891" w:rsidR="002900D4" w:rsidRDefault="00153898">
          <w:pPr>
            <w:pStyle w:val="TOC1"/>
            <w:tabs>
              <w:tab w:val="right" w:leader="dot" w:pos="9038"/>
            </w:tabs>
            <w:rPr>
              <w:noProof/>
              <w:lang w:eastAsia="en-AU"/>
            </w:rPr>
          </w:pPr>
          <w:hyperlink w:anchor="_Toc80086433" w:history="1">
            <w:r w:rsidR="002900D4" w:rsidRPr="00E70E26">
              <w:rPr>
                <w:rStyle w:val="Hyperlink"/>
                <w:noProof/>
              </w:rPr>
              <w:t>Key challenges in North and North West Tasmania Employment Region</w:t>
            </w:r>
            <w:r w:rsidR="002900D4">
              <w:rPr>
                <w:noProof/>
                <w:webHidden/>
              </w:rPr>
              <w:tab/>
            </w:r>
            <w:r w:rsidR="002900D4">
              <w:rPr>
                <w:noProof/>
                <w:webHidden/>
              </w:rPr>
              <w:fldChar w:fldCharType="begin"/>
            </w:r>
            <w:r w:rsidR="002900D4">
              <w:rPr>
                <w:noProof/>
                <w:webHidden/>
              </w:rPr>
              <w:instrText xml:space="preserve"> PAGEREF _Toc80086433 \h </w:instrText>
            </w:r>
            <w:r w:rsidR="002900D4">
              <w:rPr>
                <w:noProof/>
                <w:webHidden/>
              </w:rPr>
            </w:r>
            <w:r w:rsidR="002900D4">
              <w:rPr>
                <w:noProof/>
                <w:webHidden/>
              </w:rPr>
              <w:fldChar w:fldCharType="separate"/>
            </w:r>
            <w:r>
              <w:rPr>
                <w:noProof/>
                <w:webHidden/>
              </w:rPr>
              <w:t>6</w:t>
            </w:r>
            <w:r w:rsidR="002900D4">
              <w:rPr>
                <w:noProof/>
                <w:webHidden/>
              </w:rPr>
              <w:fldChar w:fldCharType="end"/>
            </w:r>
          </w:hyperlink>
        </w:p>
        <w:p w14:paraId="32953A1B" w14:textId="66FFBE8D" w:rsidR="002900D4" w:rsidRDefault="00153898">
          <w:pPr>
            <w:pStyle w:val="TOC1"/>
            <w:tabs>
              <w:tab w:val="right" w:leader="dot" w:pos="9038"/>
            </w:tabs>
            <w:rPr>
              <w:noProof/>
              <w:lang w:eastAsia="en-AU"/>
            </w:rPr>
          </w:pPr>
          <w:hyperlink w:anchor="_Toc80086434" w:history="1">
            <w:r w:rsidR="002900D4" w:rsidRPr="00E70E26">
              <w:rPr>
                <w:rStyle w:val="Hyperlink"/>
                <w:noProof/>
              </w:rPr>
              <w:t>Local stakeholders and opportunities</w:t>
            </w:r>
            <w:r w:rsidR="002900D4">
              <w:rPr>
                <w:noProof/>
                <w:webHidden/>
              </w:rPr>
              <w:tab/>
            </w:r>
            <w:r w:rsidR="002900D4">
              <w:rPr>
                <w:noProof/>
                <w:webHidden/>
              </w:rPr>
              <w:fldChar w:fldCharType="begin"/>
            </w:r>
            <w:r w:rsidR="002900D4">
              <w:rPr>
                <w:noProof/>
                <w:webHidden/>
              </w:rPr>
              <w:instrText xml:space="preserve"> PAGEREF _Toc80086434 \h </w:instrText>
            </w:r>
            <w:r w:rsidR="002900D4">
              <w:rPr>
                <w:noProof/>
                <w:webHidden/>
              </w:rPr>
            </w:r>
            <w:r w:rsidR="002900D4">
              <w:rPr>
                <w:noProof/>
                <w:webHidden/>
              </w:rPr>
              <w:fldChar w:fldCharType="separate"/>
            </w:r>
            <w:r>
              <w:rPr>
                <w:noProof/>
                <w:webHidden/>
              </w:rPr>
              <w:t>8</w:t>
            </w:r>
            <w:r w:rsidR="002900D4">
              <w:rPr>
                <w:noProof/>
                <w:webHidden/>
              </w:rPr>
              <w:fldChar w:fldCharType="end"/>
            </w:r>
          </w:hyperlink>
        </w:p>
        <w:p w14:paraId="21E2F746" w14:textId="7481948A" w:rsidR="002900D4" w:rsidRDefault="00153898" w:rsidP="00596DA0">
          <w:pPr>
            <w:pStyle w:val="TOC2"/>
            <w:tabs>
              <w:tab w:val="right" w:leader="dot" w:pos="9038"/>
            </w:tabs>
            <w:ind w:left="0"/>
            <w:rPr>
              <w:noProof/>
              <w:lang w:eastAsia="en-AU"/>
            </w:rPr>
          </w:pPr>
          <w:hyperlink w:anchor="_Toc80086435" w:history="1">
            <w:r w:rsidR="002900D4" w:rsidRPr="00E70E26">
              <w:rPr>
                <w:rStyle w:val="Hyperlink"/>
                <w:rFonts w:eastAsia="Times New Roman"/>
                <w:noProof/>
              </w:rPr>
              <w:t>Attachment A – Key employment and training priorities: strategies and stakeholders</w:t>
            </w:r>
            <w:r w:rsidR="002900D4">
              <w:rPr>
                <w:noProof/>
                <w:webHidden/>
              </w:rPr>
              <w:tab/>
            </w:r>
            <w:r w:rsidR="002900D4">
              <w:rPr>
                <w:noProof/>
                <w:webHidden/>
              </w:rPr>
              <w:fldChar w:fldCharType="begin"/>
            </w:r>
            <w:r w:rsidR="002900D4">
              <w:rPr>
                <w:noProof/>
                <w:webHidden/>
              </w:rPr>
              <w:instrText xml:space="preserve"> PAGEREF _Toc80086435 \h </w:instrText>
            </w:r>
            <w:r w:rsidR="002900D4">
              <w:rPr>
                <w:noProof/>
                <w:webHidden/>
              </w:rPr>
            </w:r>
            <w:r w:rsidR="002900D4">
              <w:rPr>
                <w:noProof/>
                <w:webHidden/>
              </w:rPr>
              <w:fldChar w:fldCharType="separate"/>
            </w:r>
            <w:r>
              <w:rPr>
                <w:noProof/>
                <w:webHidden/>
              </w:rPr>
              <w:t>9</w:t>
            </w:r>
            <w:r w:rsidR="002900D4">
              <w:rPr>
                <w:noProof/>
                <w:webHidden/>
              </w:rPr>
              <w:fldChar w:fldCharType="end"/>
            </w:r>
          </w:hyperlink>
        </w:p>
        <w:p w14:paraId="1B350DA0" w14:textId="030C02F2" w:rsidR="002900D4" w:rsidRDefault="00153898" w:rsidP="00596DA0">
          <w:pPr>
            <w:pStyle w:val="TOC2"/>
            <w:tabs>
              <w:tab w:val="right" w:leader="dot" w:pos="9038"/>
            </w:tabs>
            <w:ind w:left="0"/>
            <w:rPr>
              <w:noProof/>
              <w:lang w:eastAsia="en-AU"/>
            </w:rPr>
          </w:pPr>
          <w:hyperlink w:anchor="_Toc80086436" w:history="1">
            <w:r w:rsidR="002900D4" w:rsidRPr="00E70E26">
              <w:rPr>
                <w:rStyle w:val="Hyperlink"/>
                <w:rFonts w:eastAsia="Times New Roman"/>
                <w:noProof/>
              </w:rPr>
              <w:t>Attachment B – Labour Market Data Dashboard (July 2021)</w:t>
            </w:r>
            <w:r w:rsidR="002900D4">
              <w:rPr>
                <w:noProof/>
                <w:webHidden/>
              </w:rPr>
              <w:tab/>
            </w:r>
            <w:r w:rsidR="002900D4">
              <w:rPr>
                <w:noProof/>
                <w:webHidden/>
              </w:rPr>
              <w:fldChar w:fldCharType="begin"/>
            </w:r>
            <w:r w:rsidR="002900D4">
              <w:rPr>
                <w:noProof/>
                <w:webHidden/>
              </w:rPr>
              <w:instrText xml:space="preserve"> PAGEREF _Toc80086436 \h </w:instrText>
            </w:r>
            <w:r w:rsidR="002900D4">
              <w:rPr>
                <w:noProof/>
                <w:webHidden/>
              </w:rPr>
            </w:r>
            <w:r w:rsidR="002900D4">
              <w:rPr>
                <w:noProof/>
                <w:webHidden/>
              </w:rPr>
              <w:fldChar w:fldCharType="separate"/>
            </w:r>
            <w:r>
              <w:rPr>
                <w:noProof/>
                <w:webHidden/>
              </w:rPr>
              <w:t>14</w:t>
            </w:r>
            <w:r w:rsidR="002900D4">
              <w:rPr>
                <w:noProof/>
                <w:webHidden/>
              </w:rPr>
              <w:fldChar w:fldCharType="end"/>
            </w:r>
          </w:hyperlink>
        </w:p>
        <w:p w14:paraId="6A73EED9" w14:textId="0FD0880A" w:rsidR="006D4042" w:rsidRPr="007D1210" w:rsidRDefault="006D4042">
          <w:r w:rsidRPr="007D1210">
            <w:rPr>
              <w:b/>
              <w:bCs/>
            </w:rPr>
            <w:fldChar w:fldCharType="end"/>
          </w:r>
        </w:p>
      </w:sdtContent>
    </w:sdt>
    <w:p w14:paraId="7C6E4EA6" w14:textId="1CDB4A01" w:rsidR="00BC25FD" w:rsidRDefault="00BC25FD"/>
    <w:p w14:paraId="659154AE" w14:textId="136A904C" w:rsidR="00DA5E14" w:rsidRDefault="00DA5E14"/>
    <w:p w14:paraId="7A2E7B76" w14:textId="6443657C" w:rsidR="00DA5E14" w:rsidRDefault="00DA5E14"/>
    <w:p w14:paraId="08993D90" w14:textId="79DB65EC" w:rsidR="00DA5E14" w:rsidRDefault="00DA5E14"/>
    <w:p w14:paraId="70E1F9CE" w14:textId="28394368" w:rsidR="00DA5E14" w:rsidRDefault="00DA5E14"/>
    <w:p w14:paraId="37DBB217" w14:textId="024BF6DF" w:rsidR="00DA5E14" w:rsidRDefault="00DA5E14"/>
    <w:p w14:paraId="374A8CAC" w14:textId="42037D26" w:rsidR="00DA5E14" w:rsidRDefault="00DA5E14"/>
    <w:p w14:paraId="1AE50368" w14:textId="5EC07622" w:rsidR="00DA5E14" w:rsidRDefault="00DA5E14"/>
    <w:p w14:paraId="1880EFE3" w14:textId="257FA2C5" w:rsidR="00DA5E14" w:rsidRDefault="00DA5E14"/>
    <w:p w14:paraId="2C942819" w14:textId="4AD31A54" w:rsidR="00DA5E14" w:rsidRDefault="00DA5E14"/>
    <w:p w14:paraId="1FA5DACA" w14:textId="38C73BCB" w:rsidR="00DA5E14" w:rsidRDefault="00DA5E14"/>
    <w:p w14:paraId="4E4DAE5E" w14:textId="15271AE7" w:rsidR="00DA5E14" w:rsidRDefault="00DA5E14"/>
    <w:p w14:paraId="65B1F62E" w14:textId="77777777" w:rsidR="00DA5E14" w:rsidRDefault="00DA5E14">
      <w:pPr>
        <w:rPr>
          <w:rFonts w:ascii="Calibri" w:eastAsia="Calibri" w:hAnsi="Calibri" w:cs="Calibri"/>
          <w:lang w:val="en"/>
        </w:rPr>
      </w:pPr>
      <w:r>
        <w:rPr>
          <w:rFonts w:ascii="Calibri" w:eastAsia="Calibri" w:hAnsi="Calibri" w:cs="Calibri"/>
          <w:lang w:val="en"/>
        </w:rPr>
        <w:br w:type="page"/>
      </w:r>
    </w:p>
    <w:p w14:paraId="183FBFBA" w14:textId="4AD4EDC2" w:rsidR="00DA5E14" w:rsidRPr="00DD7BBC" w:rsidRDefault="00DA5E14" w:rsidP="00DD7BBC">
      <w:pPr>
        <w:jc w:val="center"/>
        <w:rPr>
          <w:b/>
          <w:bCs/>
          <w:color w:val="0070C0"/>
        </w:rPr>
      </w:pPr>
      <w:r w:rsidRPr="00DD7BBC">
        <w:rPr>
          <w:rFonts w:ascii="Calibri" w:eastAsia="Calibri" w:hAnsi="Calibri" w:cs="Calibri"/>
          <w:b/>
          <w:bCs/>
          <w:color w:val="0070C0"/>
          <w:lang w:val="en"/>
        </w:rPr>
        <w:lastRenderedPageBreak/>
        <w:t xml:space="preserve">The Department of Education, Skills and Employment acknowledges the traditional owners and custodians of country throughout Australia and acknowledges their continuing connection to land, water, and community. We pay our respects to the people, the </w:t>
      </w:r>
      <w:proofErr w:type="gramStart"/>
      <w:r w:rsidRPr="00DD7BBC">
        <w:rPr>
          <w:rFonts w:ascii="Calibri" w:eastAsia="Calibri" w:hAnsi="Calibri" w:cs="Calibri"/>
          <w:b/>
          <w:bCs/>
          <w:color w:val="0070C0"/>
          <w:lang w:val="en"/>
        </w:rPr>
        <w:t>cultures</w:t>
      </w:r>
      <w:proofErr w:type="gramEnd"/>
      <w:r w:rsidRPr="00DD7BBC">
        <w:rPr>
          <w:rFonts w:ascii="Calibri" w:eastAsia="Calibri" w:hAnsi="Calibri" w:cs="Calibri"/>
          <w:b/>
          <w:bCs/>
          <w:color w:val="0070C0"/>
          <w:lang w:val="en"/>
        </w:rPr>
        <w:t xml:space="preserve"> and the elders past, present and emerging.</w:t>
      </w:r>
    </w:p>
    <w:p w14:paraId="3E169AB0" w14:textId="77777777" w:rsidR="002900D4" w:rsidRPr="002900D4" w:rsidRDefault="002900D4"/>
    <w:p w14:paraId="093D475D" w14:textId="20348D56" w:rsidR="00DA5E14" w:rsidRPr="007D1210" w:rsidRDefault="00DA5E14" w:rsidP="002D4E30">
      <w:pPr>
        <w:pStyle w:val="Heading1"/>
        <w:rPr>
          <w:noProof w:val="0"/>
        </w:rPr>
      </w:pPr>
      <w:bookmarkStart w:id="2" w:name="_Toc80086429"/>
      <w:r>
        <w:t>The Local Jobs Program</w:t>
      </w:r>
      <w:bookmarkEnd w:id="2"/>
    </w:p>
    <w:p w14:paraId="0E07A44F" w14:textId="4F86E0EF" w:rsidR="00AA75E7" w:rsidRPr="008A1F43" w:rsidRDefault="00AA75E7" w:rsidP="00AA75E7">
      <w:pPr>
        <w:spacing w:before="120" w:after="120" w:line="257" w:lineRule="auto"/>
        <w:rPr>
          <w:rFonts w:eastAsia="Calibri" w:cstheme="minorHAnsi"/>
          <w:lang w:val="en-US"/>
        </w:rPr>
      </w:pPr>
      <w:bookmarkStart w:id="3" w:name="_Toc24447236"/>
      <w:r w:rsidRPr="008A1F43">
        <w:rPr>
          <w:rFonts w:eastAsia="Calibri" w:cstheme="minorHAnsi"/>
          <w:lang w:val="en-US"/>
        </w:rPr>
        <w:t xml:space="preserve">The Local Jobs Program (LJP) is an Australian Government initiative that brings together expertise, </w:t>
      </w:r>
      <w:proofErr w:type="gramStart"/>
      <w:r w:rsidRPr="008A1F43">
        <w:rPr>
          <w:rFonts w:eastAsia="Calibri" w:cstheme="minorHAnsi"/>
          <w:lang w:val="en-US"/>
        </w:rPr>
        <w:t>resources</w:t>
      </w:r>
      <w:proofErr w:type="gramEnd"/>
      <w:r w:rsidRPr="008A1F43">
        <w:rPr>
          <w:rFonts w:eastAsia="Calibri" w:cstheme="minorHAnsi"/>
          <w:lang w:val="en-US"/>
        </w:rPr>
        <w:t xml:space="preserve"> and access to funding at the local level as part of supporting Australia’s economic recovery from the COVID-19 pandemic. The </w:t>
      </w:r>
      <w:r>
        <w:rPr>
          <w:rFonts w:eastAsia="Calibri" w:cstheme="minorHAnsi"/>
          <w:lang w:val="en-US"/>
        </w:rPr>
        <w:t xml:space="preserve">North and North Western Tasmania Region </w:t>
      </w:r>
      <w:r w:rsidRPr="008A1F43">
        <w:rPr>
          <w:rFonts w:eastAsia="Calibri" w:cstheme="minorHAnsi"/>
          <w:lang w:val="en-US"/>
        </w:rPr>
        <w:t xml:space="preserve">is one of </w:t>
      </w:r>
      <w:r>
        <w:rPr>
          <w:rFonts w:eastAsia="Calibri" w:cstheme="minorHAnsi"/>
          <w:lang w:val="en-US"/>
        </w:rPr>
        <w:t>51</w:t>
      </w:r>
      <w:r w:rsidRPr="008A1F43">
        <w:rPr>
          <w:rFonts w:eastAsia="Calibri" w:cstheme="minorHAnsi"/>
          <w:lang w:val="en-US"/>
        </w:rPr>
        <w:t xml:space="preserve"> </w:t>
      </w:r>
      <w:r>
        <w:rPr>
          <w:rFonts w:eastAsia="Calibri" w:cstheme="minorHAnsi"/>
          <w:lang w:val="en-US"/>
        </w:rPr>
        <w:t xml:space="preserve">Employment </w:t>
      </w:r>
      <w:r w:rsidRPr="008A1F43">
        <w:rPr>
          <w:rFonts w:eastAsia="Calibri" w:cstheme="minorHAnsi"/>
          <w:lang w:val="en-US"/>
        </w:rPr>
        <w:t>Regions which will see a focus on the reskilling, upskilling and generation of employment pathways for job seekers.</w:t>
      </w:r>
    </w:p>
    <w:p w14:paraId="563717F4" w14:textId="077FD96B" w:rsidR="00AA75E7" w:rsidRPr="008A1F43" w:rsidRDefault="00AA75E7" w:rsidP="00AA75E7">
      <w:pPr>
        <w:spacing w:before="120" w:after="120" w:line="257" w:lineRule="auto"/>
        <w:rPr>
          <w:rFonts w:eastAsia="Calibri" w:cstheme="minorHAnsi"/>
          <w:lang w:val="en-US"/>
        </w:rPr>
      </w:pPr>
      <w:r w:rsidRPr="008A1F43">
        <w:rPr>
          <w:rFonts w:eastAsia="Calibri" w:cstheme="minorHAnsi"/>
          <w:lang w:val="en-US"/>
        </w:rPr>
        <w:t xml:space="preserve">The LJP is centered on the development of a Local Jobs Plan (‘Plan’) that sets out the training and employment challenges and priorities of the region, and associated strategies that will drive the design and implementation of projects to be implemented to address these challenges. The Plan will be subject to revision and adjustment as priorities shift </w:t>
      </w:r>
      <w:proofErr w:type="gramStart"/>
      <w:r w:rsidRPr="008A1F43">
        <w:rPr>
          <w:rFonts w:eastAsia="Calibri" w:cstheme="minorHAnsi"/>
          <w:lang w:val="en-US"/>
        </w:rPr>
        <w:t>during the course of</w:t>
      </w:r>
      <w:proofErr w:type="gramEnd"/>
      <w:r w:rsidRPr="008A1F43">
        <w:rPr>
          <w:rFonts w:eastAsia="Calibri" w:cstheme="minorHAnsi"/>
          <w:lang w:val="en-US"/>
        </w:rPr>
        <w:t xml:space="preserve"> the LJP, with strategic input provided by </w:t>
      </w:r>
      <w:r>
        <w:rPr>
          <w:rFonts w:eastAsia="Calibri" w:cstheme="minorHAnsi"/>
          <w:lang w:val="en-US"/>
        </w:rPr>
        <w:t>the North and North Western Tasmania Region</w:t>
      </w:r>
      <w:r w:rsidRPr="008A1F43">
        <w:rPr>
          <w:rFonts w:eastAsia="Calibri" w:cstheme="minorHAnsi"/>
          <w:lang w:val="en-US"/>
        </w:rPr>
        <w:t xml:space="preserve"> Local Jobs and Skills Taskforce. Overall coordination of the Plan and its implementation is the responsibility of the </w:t>
      </w:r>
      <w:r>
        <w:rPr>
          <w:rFonts w:eastAsia="Calibri" w:cstheme="minorHAnsi"/>
          <w:lang w:val="en-US"/>
        </w:rPr>
        <w:t xml:space="preserve">North and North Western Tasmania Region </w:t>
      </w:r>
      <w:r w:rsidRPr="008A1F43">
        <w:rPr>
          <w:rFonts w:eastAsia="Calibri" w:cstheme="minorHAnsi"/>
          <w:lang w:val="en-US"/>
        </w:rPr>
        <w:t>Employment Facilitator.</w:t>
      </w:r>
    </w:p>
    <w:p w14:paraId="1A9EE0C2" w14:textId="77777777" w:rsidR="00AA75E7" w:rsidRPr="008A1F43" w:rsidRDefault="00AA75E7" w:rsidP="00AA75E7">
      <w:pPr>
        <w:spacing w:before="120" w:after="120" w:line="257" w:lineRule="auto"/>
        <w:rPr>
          <w:rFonts w:eastAsia="Calibri" w:cstheme="minorHAnsi"/>
          <w:lang w:val="en-US"/>
        </w:rPr>
      </w:pPr>
      <w:r w:rsidRPr="008A1F43">
        <w:rPr>
          <w:rFonts w:eastAsia="Calibri" w:cstheme="minorHAnsi"/>
          <w:lang w:val="en-US"/>
        </w:rPr>
        <w:t xml:space="preserve">Full details of the LJP can be found at </w:t>
      </w:r>
      <w:hyperlink r:id="rId13" w:history="1">
        <w:r w:rsidRPr="008A1F43">
          <w:rPr>
            <w:rStyle w:val="Hyperlink"/>
            <w:rFonts w:eastAsia="Calibri" w:cstheme="minorHAnsi"/>
            <w:lang w:val="en-US"/>
          </w:rPr>
          <w:t>www.dese.gov.au/local-jobs-program</w:t>
        </w:r>
      </w:hyperlink>
    </w:p>
    <w:p w14:paraId="0A6CCAEA" w14:textId="30DBA72E" w:rsidR="00545E14" w:rsidRPr="00DC47F7" w:rsidRDefault="00545E14" w:rsidP="00545E14">
      <w:bookmarkStart w:id="4" w:name="_Hlk80106704"/>
      <w:r>
        <w:t xml:space="preserve">This is the second version of the </w:t>
      </w:r>
      <w:r w:rsidR="00B316C5">
        <w:t>North and North Western</w:t>
      </w:r>
      <w:r>
        <w:t xml:space="preserve"> Tasmania Local Jobs Plan. The first Local Jobs Plan was published in October 2020.  </w:t>
      </w:r>
    </w:p>
    <w:bookmarkEnd w:id="4"/>
    <w:p w14:paraId="782939DA" w14:textId="77777777" w:rsidR="00545E14" w:rsidRPr="00545E14" w:rsidRDefault="00545E14" w:rsidP="002D4E30">
      <w:pPr>
        <w:spacing w:after="240"/>
        <w:rPr>
          <w:rFonts w:eastAsiaTheme="minorHAnsi"/>
        </w:rPr>
      </w:pPr>
    </w:p>
    <w:p w14:paraId="0AEB2E51" w14:textId="77777777" w:rsidR="00DA33B0" w:rsidRDefault="00DA33B0" w:rsidP="0095440B">
      <w:pPr>
        <w:pStyle w:val="Normal-AfterTableFigure"/>
      </w:pPr>
    </w:p>
    <w:p w14:paraId="2674242A" w14:textId="77777777" w:rsidR="00DA33B0" w:rsidRDefault="00DA33B0" w:rsidP="0095440B">
      <w:pPr>
        <w:pStyle w:val="Normal-AfterTableFigure"/>
      </w:pPr>
    </w:p>
    <w:p w14:paraId="10D1ED97" w14:textId="77777777" w:rsidR="00DA33B0" w:rsidRDefault="00DA33B0" w:rsidP="0095440B">
      <w:pPr>
        <w:pStyle w:val="Normal-AfterTableFigure"/>
      </w:pPr>
    </w:p>
    <w:p w14:paraId="39A062A3" w14:textId="77777777" w:rsidR="00DA33B0" w:rsidRDefault="00DA33B0" w:rsidP="0095440B">
      <w:pPr>
        <w:pStyle w:val="Normal-AfterTableFigure"/>
      </w:pPr>
    </w:p>
    <w:p w14:paraId="44E0ADF7" w14:textId="77777777" w:rsidR="00DA33B0" w:rsidRDefault="00DA33B0" w:rsidP="0095440B">
      <w:pPr>
        <w:pStyle w:val="Normal-AfterTableFigure"/>
      </w:pPr>
    </w:p>
    <w:p w14:paraId="6B038723" w14:textId="77777777" w:rsidR="00DA33B0" w:rsidRDefault="00DA33B0" w:rsidP="0095440B">
      <w:pPr>
        <w:pStyle w:val="Normal-AfterTableFigure"/>
      </w:pPr>
    </w:p>
    <w:p w14:paraId="7FAE0B87" w14:textId="77777777" w:rsidR="00DA33B0" w:rsidRDefault="00DA33B0" w:rsidP="0095440B">
      <w:pPr>
        <w:pStyle w:val="Normal-AfterTableFigure"/>
      </w:pPr>
    </w:p>
    <w:p w14:paraId="57CFFEAC" w14:textId="77777777" w:rsidR="00DA33B0" w:rsidRDefault="00DA33B0" w:rsidP="0095440B">
      <w:pPr>
        <w:pStyle w:val="Normal-AfterTableFigure"/>
      </w:pPr>
    </w:p>
    <w:p w14:paraId="3B30BC39" w14:textId="77777777" w:rsidR="00DA33B0" w:rsidRDefault="00DA33B0" w:rsidP="0095440B">
      <w:pPr>
        <w:pStyle w:val="Normal-AfterTableFigure"/>
      </w:pPr>
    </w:p>
    <w:p w14:paraId="57899420" w14:textId="77777777" w:rsidR="00DA33B0" w:rsidRDefault="00DA33B0" w:rsidP="0095440B">
      <w:pPr>
        <w:pStyle w:val="Normal-AfterTableFigure"/>
      </w:pPr>
    </w:p>
    <w:p w14:paraId="335959B8" w14:textId="77777777" w:rsidR="0095440B" w:rsidRDefault="0095440B" w:rsidP="002D4E30">
      <w:pPr>
        <w:pStyle w:val="Heading1"/>
        <w:rPr>
          <w:noProof w:val="0"/>
        </w:rPr>
      </w:pPr>
    </w:p>
    <w:p w14:paraId="57DC70B3" w14:textId="77777777" w:rsidR="00DA5E14" w:rsidRDefault="00DA5E14">
      <w:pPr>
        <w:rPr>
          <w:rFonts w:ascii="Calibri" w:eastAsia="Times New Roman" w:hAnsi="Calibri" w:cstheme="majorBidi"/>
          <w:color w:val="1D4289"/>
          <w:sz w:val="48"/>
          <w:szCs w:val="48"/>
        </w:rPr>
      </w:pPr>
      <w:r>
        <w:br w:type="page"/>
      </w:r>
    </w:p>
    <w:p w14:paraId="59EF42B5" w14:textId="198ACA60" w:rsidR="00E8481D" w:rsidRPr="00DD7BBC" w:rsidRDefault="00DA5E14" w:rsidP="002D4E30">
      <w:pPr>
        <w:pStyle w:val="Heading1"/>
      </w:pPr>
      <w:bookmarkStart w:id="5" w:name="_Toc80086430"/>
      <w:r>
        <w:rPr>
          <w:noProof w:val="0"/>
        </w:rPr>
        <w:lastRenderedPageBreak/>
        <w:t xml:space="preserve">Key employment and training </w:t>
      </w:r>
      <w:r w:rsidRPr="00DD7BBC">
        <w:t xml:space="preserve">priorities </w:t>
      </w:r>
      <w:r w:rsidR="00545E14" w:rsidRPr="00DD7BBC">
        <w:t xml:space="preserve"> – North and North Western Tasmania</w:t>
      </w:r>
      <w:bookmarkEnd w:id="5"/>
    </w:p>
    <w:p w14:paraId="31F1BB52" w14:textId="77777777" w:rsidR="009E1EF6" w:rsidRPr="009E1EF6" w:rsidRDefault="009E1EF6" w:rsidP="002D4E30"/>
    <w:p w14:paraId="33536433" w14:textId="46D50AB7" w:rsidR="009E1EF6" w:rsidRPr="00DD7BBC" w:rsidRDefault="003F77CE" w:rsidP="002D4E30">
      <w:pPr>
        <w:pStyle w:val="ListParagraph"/>
        <w:numPr>
          <w:ilvl w:val="0"/>
          <w:numId w:val="7"/>
        </w:numPr>
        <w:spacing w:before="120" w:after="120" w:line="256" w:lineRule="auto"/>
        <w:ind w:left="357" w:hanging="357"/>
        <w:rPr>
          <w:rFonts w:ascii="Calibri" w:eastAsia="Calibri" w:hAnsi="Calibri" w:cs="Calibri"/>
          <w:b/>
          <w:bCs/>
          <w:color w:val="000000" w:themeColor="text1"/>
        </w:rPr>
      </w:pPr>
      <w:r w:rsidRPr="00DD7BBC">
        <w:rPr>
          <w:rFonts w:ascii="Calibri" w:eastAsia="Calibri" w:hAnsi="Calibri" w:cs="Calibri"/>
          <w:b/>
          <w:bCs/>
          <w:color w:val="000000" w:themeColor="text1"/>
        </w:rPr>
        <w:t>Maximising the extent to which local positions are filled by local job seekers</w:t>
      </w:r>
      <w:r w:rsidR="00156550" w:rsidRPr="00DD7BBC">
        <w:rPr>
          <w:rFonts w:ascii="Calibri" w:eastAsia="Calibri" w:hAnsi="Calibri" w:cs="Calibri"/>
          <w:b/>
          <w:bCs/>
          <w:color w:val="000000" w:themeColor="text1"/>
        </w:rPr>
        <w:t>.</w:t>
      </w:r>
      <w:r w:rsidRPr="00DD7BBC">
        <w:rPr>
          <w:rFonts w:ascii="Calibri" w:eastAsia="Calibri" w:hAnsi="Calibri" w:cs="Calibri"/>
          <w:b/>
          <w:bCs/>
          <w:color w:val="000000" w:themeColor="text1"/>
        </w:rPr>
        <w:t xml:space="preserve"> </w:t>
      </w:r>
    </w:p>
    <w:p w14:paraId="71722127" w14:textId="77777777" w:rsidR="009E1EF6" w:rsidRDefault="009E1EF6" w:rsidP="002D4E30">
      <w:pPr>
        <w:pStyle w:val="ListParagraph"/>
        <w:spacing w:before="120" w:after="120" w:line="256" w:lineRule="auto"/>
        <w:ind w:left="357"/>
        <w:rPr>
          <w:rFonts w:ascii="Calibri" w:eastAsia="Calibri" w:hAnsi="Calibri" w:cs="Calibri"/>
          <w:color w:val="000000" w:themeColor="text1"/>
        </w:rPr>
      </w:pPr>
    </w:p>
    <w:p w14:paraId="359FA7D3" w14:textId="62A16592" w:rsidR="003F77CE" w:rsidRDefault="009E1EF6" w:rsidP="002D4E30">
      <w:pPr>
        <w:pStyle w:val="ListParagraph"/>
        <w:spacing w:before="120" w:after="120" w:line="256" w:lineRule="auto"/>
        <w:ind w:left="357"/>
        <w:rPr>
          <w:rFonts w:ascii="Calibri" w:eastAsia="Calibri" w:hAnsi="Calibri" w:cs="Calibri"/>
          <w:color w:val="000000" w:themeColor="text1"/>
        </w:rPr>
      </w:pPr>
      <w:r>
        <w:rPr>
          <w:rFonts w:ascii="Calibri" w:eastAsia="Calibri" w:hAnsi="Calibri" w:cs="Calibri"/>
          <w:color w:val="000000" w:themeColor="text1"/>
        </w:rPr>
        <w:t xml:space="preserve">This includes </w:t>
      </w:r>
      <w:r w:rsidR="003F77CE" w:rsidRPr="003F77CE">
        <w:rPr>
          <w:rFonts w:ascii="Calibri" w:eastAsia="Calibri" w:hAnsi="Calibri" w:cs="Calibri"/>
          <w:color w:val="000000" w:themeColor="text1"/>
        </w:rPr>
        <w:t>ensuring apprenticeship positions are filled and locals are skilled to meet the needs of employers in the construction and other relevant sectors.</w:t>
      </w:r>
    </w:p>
    <w:p w14:paraId="64C280DB" w14:textId="77777777" w:rsidR="009E1EF6" w:rsidRPr="003F77CE" w:rsidRDefault="009E1EF6" w:rsidP="002D4E30">
      <w:pPr>
        <w:pStyle w:val="ListParagraph"/>
        <w:spacing w:before="120" w:after="120" w:line="256" w:lineRule="auto"/>
        <w:ind w:left="357"/>
        <w:rPr>
          <w:rFonts w:ascii="Calibri" w:eastAsia="Calibri" w:hAnsi="Calibri" w:cs="Calibri"/>
          <w:color w:val="000000" w:themeColor="text1"/>
        </w:rPr>
      </w:pPr>
    </w:p>
    <w:p w14:paraId="3F6A2455" w14:textId="6600A672" w:rsidR="00D03452" w:rsidRPr="00DD7BBC" w:rsidRDefault="003F77CE" w:rsidP="002D4E30">
      <w:pPr>
        <w:pStyle w:val="ListParagraph"/>
        <w:numPr>
          <w:ilvl w:val="0"/>
          <w:numId w:val="7"/>
        </w:numPr>
        <w:spacing w:before="120" w:after="120" w:line="256" w:lineRule="auto"/>
        <w:ind w:left="357" w:hanging="357"/>
        <w:rPr>
          <w:rFonts w:ascii="Calibri" w:eastAsia="Calibri" w:hAnsi="Calibri" w:cs="Calibri"/>
          <w:b/>
          <w:bCs/>
          <w:color w:val="000000" w:themeColor="text1"/>
        </w:rPr>
      </w:pPr>
      <w:r w:rsidRPr="00DD7BBC">
        <w:rPr>
          <w:rFonts w:ascii="Calibri" w:eastAsia="Calibri" w:hAnsi="Calibri" w:cs="Calibri"/>
          <w:b/>
          <w:bCs/>
          <w:color w:val="000000" w:themeColor="text1"/>
        </w:rPr>
        <w:t xml:space="preserve">Maximising the outcomes of existing Australian and Tasmania Government programs aimed at skills development and employment pathways. </w:t>
      </w:r>
    </w:p>
    <w:p w14:paraId="41FE4DE3" w14:textId="77777777" w:rsidR="00D03452" w:rsidRDefault="00D03452" w:rsidP="002D4E30">
      <w:pPr>
        <w:pStyle w:val="ListParagraph"/>
        <w:spacing w:before="120" w:after="120" w:line="256" w:lineRule="auto"/>
        <w:ind w:left="357"/>
        <w:rPr>
          <w:rFonts w:ascii="Calibri" w:eastAsia="Calibri" w:hAnsi="Calibri" w:cs="Calibri"/>
          <w:b/>
          <w:bCs/>
          <w:color w:val="000000" w:themeColor="text1"/>
          <w:sz w:val="28"/>
          <w:szCs w:val="28"/>
        </w:rPr>
      </w:pPr>
    </w:p>
    <w:p w14:paraId="5EC06DA1" w14:textId="7608D908" w:rsidR="009E1EF6" w:rsidRPr="00DD7BBC" w:rsidRDefault="003F77CE" w:rsidP="002D4E30">
      <w:pPr>
        <w:pStyle w:val="ListParagraph"/>
        <w:numPr>
          <w:ilvl w:val="0"/>
          <w:numId w:val="7"/>
        </w:numPr>
        <w:spacing w:before="120" w:after="120" w:line="256" w:lineRule="auto"/>
        <w:ind w:left="357" w:hanging="357"/>
        <w:rPr>
          <w:rFonts w:ascii="Calibri" w:eastAsia="Calibri" w:hAnsi="Calibri" w:cs="Calibri"/>
          <w:b/>
          <w:bCs/>
          <w:color w:val="000000" w:themeColor="text1"/>
        </w:rPr>
      </w:pPr>
      <w:r w:rsidRPr="00DD7BBC">
        <w:rPr>
          <w:rFonts w:ascii="Calibri" w:eastAsia="Calibri" w:hAnsi="Calibri" w:cs="Calibri"/>
          <w:b/>
          <w:bCs/>
          <w:color w:val="000000" w:themeColor="text1"/>
        </w:rPr>
        <w:t>Engaging employers and their networks in the design and delivery of initiatives</w:t>
      </w:r>
      <w:r w:rsidR="00156550" w:rsidRPr="00DD7BBC">
        <w:rPr>
          <w:rFonts w:ascii="Calibri" w:eastAsia="Calibri" w:hAnsi="Calibri" w:cs="Calibri"/>
          <w:b/>
          <w:bCs/>
          <w:color w:val="000000" w:themeColor="text1"/>
        </w:rPr>
        <w:t>.</w:t>
      </w:r>
      <w:r w:rsidRPr="00DD7BBC">
        <w:rPr>
          <w:rFonts w:ascii="Calibri" w:eastAsia="Calibri" w:hAnsi="Calibri" w:cs="Calibri"/>
          <w:color w:val="000000" w:themeColor="text1"/>
        </w:rPr>
        <w:t xml:space="preserve"> </w:t>
      </w:r>
    </w:p>
    <w:p w14:paraId="173AA311" w14:textId="77777777" w:rsidR="009E1EF6" w:rsidRPr="009E1EF6" w:rsidRDefault="009E1EF6" w:rsidP="002D4E30">
      <w:pPr>
        <w:pStyle w:val="ListParagraph"/>
        <w:rPr>
          <w:rFonts w:ascii="Calibri" w:eastAsia="Calibri" w:hAnsi="Calibri" w:cs="Calibri"/>
          <w:color w:val="000000" w:themeColor="text1"/>
        </w:rPr>
      </w:pPr>
    </w:p>
    <w:p w14:paraId="22A02E45" w14:textId="79E94BE2" w:rsidR="003F77CE" w:rsidRDefault="009E1EF6" w:rsidP="002D4E30">
      <w:pPr>
        <w:pStyle w:val="ListParagraph"/>
        <w:spacing w:before="120" w:after="120" w:line="256" w:lineRule="auto"/>
        <w:ind w:left="357"/>
        <w:rPr>
          <w:rFonts w:ascii="Calibri" w:eastAsia="Calibri" w:hAnsi="Calibri" w:cs="Calibri"/>
          <w:color w:val="000000" w:themeColor="text1"/>
        </w:rPr>
      </w:pPr>
      <w:r>
        <w:rPr>
          <w:rFonts w:ascii="Calibri" w:eastAsia="Calibri" w:hAnsi="Calibri" w:cs="Calibri"/>
          <w:color w:val="000000" w:themeColor="text1"/>
        </w:rPr>
        <w:t>P</w:t>
      </w:r>
      <w:r w:rsidR="003F77CE" w:rsidRPr="003F77CE">
        <w:rPr>
          <w:rFonts w:ascii="Calibri" w:eastAsia="Calibri" w:hAnsi="Calibri" w:cs="Calibri"/>
          <w:color w:val="000000" w:themeColor="text1"/>
        </w:rPr>
        <w:t>articularly in industries experiencing growth (for example Aged and Disability Care) or workforce shortages (for example Construction, Horticulture and Renewable Energy).</w:t>
      </w:r>
    </w:p>
    <w:p w14:paraId="06110927" w14:textId="77777777" w:rsidR="009E1EF6" w:rsidRPr="003F77CE" w:rsidRDefault="009E1EF6" w:rsidP="002D4E30">
      <w:pPr>
        <w:pStyle w:val="ListParagraph"/>
        <w:spacing w:before="120" w:after="120" w:line="256" w:lineRule="auto"/>
        <w:ind w:left="357"/>
        <w:rPr>
          <w:rFonts w:ascii="Calibri" w:eastAsia="Calibri" w:hAnsi="Calibri" w:cs="Calibri"/>
          <w:color w:val="000000" w:themeColor="text1"/>
        </w:rPr>
      </w:pPr>
    </w:p>
    <w:p w14:paraId="761BDD16" w14:textId="5698CDF2" w:rsidR="003F77CE" w:rsidRPr="00DD7BBC" w:rsidRDefault="003F77CE" w:rsidP="002D4E30">
      <w:pPr>
        <w:pStyle w:val="ListParagraph"/>
        <w:numPr>
          <w:ilvl w:val="0"/>
          <w:numId w:val="7"/>
        </w:numPr>
        <w:spacing w:before="120" w:after="120" w:line="256" w:lineRule="auto"/>
        <w:ind w:left="357" w:hanging="357"/>
        <w:rPr>
          <w:rFonts w:ascii="Calibri" w:eastAsia="Calibri" w:hAnsi="Calibri" w:cs="Calibri"/>
          <w:b/>
          <w:bCs/>
          <w:color w:val="000000" w:themeColor="text1"/>
        </w:rPr>
      </w:pPr>
      <w:r w:rsidRPr="00DD7BBC">
        <w:rPr>
          <w:rFonts w:ascii="Calibri" w:eastAsia="Calibri" w:hAnsi="Calibri" w:cs="Calibri"/>
          <w:b/>
          <w:bCs/>
          <w:color w:val="000000" w:themeColor="text1"/>
        </w:rPr>
        <w:t xml:space="preserve">Reducing labour market disadvantage (including for Indigenous Australians, long-term unemployed, women, mature age workers and youth) through facilitating access to employment and training opportunities. </w:t>
      </w:r>
    </w:p>
    <w:p w14:paraId="3F21A045" w14:textId="77777777" w:rsidR="009E1EF6" w:rsidRPr="009E1EF6" w:rsidRDefault="009E1EF6" w:rsidP="002D4E30">
      <w:pPr>
        <w:pStyle w:val="ListParagraph"/>
        <w:spacing w:before="120" w:after="120" w:line="256" w:lineRule="auto"/>
        <w:ind w:left="357"/>
        <w:rPr>
          <w:rFonts w:ascii="Calibri" w:eastAsia="Calibri" w:hAnsi="Calibri" w:cs="Calibri"/>
          <w:b/>
          <w:bCs/>
          <w:color w:val="000000" w:themeColor="text1"/>
        </w:rPr>
      </w:pPr>
    </w:p>
    <w:p w14:paraId="276DEF86" w14:textId="030533D2" w:rsidR="009E1EF6" w:rsidRPr="00DD7BBC" w:rsidRDefault="003F77CE" w:rsidP="00DD7BBC">
      <w:pPr>
        <w:pStyle w:val="ListParagraph"/>
        <w:numPr>
          <w:ilvl w:val="0"/>
          <w:numId w:val="7"/>
        </w:numPr>
        <w:spacing w:before="120" w:after="0" w:line="256" w:lineRule="auto"/>
        <w:ind w:left="357" w:hanging="357"/>
        <w:rPr>
          <w:rFonts w:ascii="Calibri" w:eastAsia="Calibri" w:hAnsi="Calibri" w:cs="Calibri"/>
          <w:b/>
          <w:bCs/>
          <w:color w:val="000000" w:themeColor="text1"/>
        </w:rPr>
      </w:pPr>
      <w:r w:rsidRPr="00DD7BBC">
        <w:rPr>
          <w:rFonts w:ascii="Calibri" w:eastAsia="Calibri" w:hAnsi="Calibri" w:cs="Calibri"/>
          <w:b/>
          <w:bCs/>
          <w:color w:val="000000" w:themeColor="text1"/>
        </w:rPr>
        <w:t>Complementing and advancing local and state government economic development priorities and workforce strategies.</w:t>
      </w:r>
    </w:p>
    <w:p w14:paraId="79A1B9F4" w14:textId="77777777" w:rsidR="009E1EF6" w:rsidRPr="009E1EF6" w:rsidRDefault="009E1EF6" w:rsidP="002D4E30">
      <w:pPr>
        <w:spacing w:before="120" w:after="120" w:line="256" w:lineRule="auto"/>
        <w:rPr>
          <w:rFonts w:ascii="Calibri" w:eastAsia="Calibri" w:hAnsi="Calibri" w:cs="Calibri"/>
          <w:b/>
          <w:bCs/>
          <w:color w:val="000000" w:themeColor="text1"/>
        </w:rPr>
      </w:pPr>
    </w:p>
    <w:p w14:paraId="0C45F16E" w14:textId="77777777" w:rsidR="003F77CE" w:rsidRPr="00DD7BBC" w:rsidRDefault="003F77CE" w:rsidP="002D4E30">
      <w:pPr>
        <w:pStyle w:val="ListParagraph"/>
        <w:numPr>
          <w:ilvl w:val="0"/>
          <w:numId w:val="7"/>
        </w:numPr>
        <w:spacing w:before="120" w:after="120" w:line="256" w:lineRule="auto"/>
        <w:ind w:left="357" w:hanging="357"/>
        <w:rPr>
          <w:rFonts w:ascii="Calibri" w:eastAsia="Calibri" w:hAnsi="Calibri" w:cs="Calibri"/>
          <w:b/>
          <w:bCs/>
          <w:color w:val="000000" w:themeColor="text1"/>
        </w:rPr>
      </w:pPr>
      <w:r w:rsidRPr="00DD7BBC">
        <w:rPr>
          <w:rFonts w:ascii="Calibri" w:eastAsia="Calibri" w:hAnsi="Calibri" w:cs="Calibri"/>
          <w:b/>
          <w:bCs/>
          <w:color w:val="000000" w:themeColor="text1"/>
        </w:rPr>
        <w:t>Facilitating local responses where economic structural adjustment or redundancy events impact job seekers.</w:t>
      </w:r>
    </w:p>
    <w:p w14:paraId="02ACAFAE" w14:textId="6507348A" w:rsidR="00C15FCF" w:rsidRDefault="00C15FCF" w:rsidP="002D4E30">
      <w:pPr>
        <w:spacing w:after="120"/>
      </w:pPr>
    </w:p>
    <w:p w14:paraId="60777E1A" w14:textId="4D3BB088" w:rsidR="00C15FCF" w:rsidRDefault="00C15FCF" w:rsidP="002D4E30">
      <w:pPr>
        <w:spacing w:after="120"/>
      </w:pPr>
    </w:p>
    <w:p w14:paraId="05F03B49" w14:textId="705F574C" w:rsidR="00C15FCF" w:rsidRDefault="00C15FCF" w:rsidP="002D4E30">
      <w:pPr>
        <w:spacing w:after="120"/>
      </w:pPr>
    </w:p>
    <w:p w14:paraId="14A4DF0C" w14:textId="61CA4994" w:rsidR="00C15FCF" w:rsidRDefault="00C15FCF" w:rsidP="002D4E30">
      <w:pPr>
        <w:spacing w:after="120"/>
      </w:pPr>
    </w:p>
    <w:p w14:paraId="2875A243" w14:textId="7EED8E81" w:rsidR="00C15FCF" w:rsidRDefault="00C15FCF" w:rsidP="002D4E30">
      <w:pPr>
        <w:spacing w:after="120"/>
        <w:rPr>
          <w:rFonts w:eastAsiaTheme="minorHAnsi"/>
        </w:rPr>
      </w:pPr>
    </w:p>
    <w:p w14:paraId="7A80E5BE" w14:textId="3DFAA608" w:rsidR="009E1EF6" w:rsidRDefault="009E1EF6" w:rsidP="002D4E30">
      <w:pPr>
        <w:spacing w:after="120"/>
        <w:rPr>
          <w:rFonts w:eastAsiaTheme="minorHAnsi"/>
        </w:rPr>
      </w:pPr>
    </w:p>
    <w:p w14:paraId="53C04C0F" w14:textId="0F78C852" w:rsidR="009E1EF6" w:rsidRDefault="009E1EF6" w:rsidP="002D4E30">
      <w:pPr>
        <w:spacing w:after="120"/>
        <w:rPr>
          <w:rFonts w:eastAsiaTheme="minorHAnsi"/>
        </w:rPr>
      </w:pPr>
    </w:p>
    <w:p w14:paraId="27A9B347" w14:textId="344F7B31" w:rsidR="00990594" w:rsidRDefault="00990594" w:rsidP="002D4E30">
      <w:pPr>
        <w:spacing w:after="120"/>
        <w:rPr>
          <w:rFonts w:eastAsiaTheme="minorHAnsi"/>
        </w:rPr>
      </w:pPr>
    </w:p>
    <w:p w14:paraId="6835DCD1" w14:textId="75652BD8" w:rsidR="00990594" w:rsidRDefault="00990594" w:rsidP="002D4E30">
      <w:pPr>
        <w:spacing w:after="120"/>
        <w:rPr>
          <w:rFonts w:eastAsiaTheme="minorHAnsi"/>
        </w:rPr>
      </w:pPr>
    </w:p>
    <w:p w14:paraId="454FE937" w14:textId="053A28D2" w:rsidR="00990594" w:rsidRDefault="00990594" w:rsidP="002D4E30">
      <w:pPr>
        <w:spacing w:after="120"/>
        <w:rPr>
          <w:rFonts w:eastAsiaTheme="minorHAnsi"/>
        </w:rPr>
      </w:pPr>
    </w:p>
    <w:p w14:paraId="233CB8A3" w14:textId="6B840F77" w:rsidR="00990594" w:rsidRDefault="00990594" w:rsidP="002D4E30">
      <w:pPr>
        <w:spacing w:after="120"/>
        <w:rPr>
          <w:rFonts w:eastAsiaTheme="minorHAnsi"/>
        </w:rPr>
      </w:pPr>
    </w:p>
    <w:p w14:paraId="445248A8" w14:textId="23BA3BC3" w:rsidR="00990594" w:rsidRDefault="00990594" w:rsidP="002D4E30">
      <w:pPr>
        <w:spacing w:after="120"/>
        <w:rPr>
          <w:rFonts w:eastAsiaTheme="minorHAnsi"/>
        </w:rPr>
      </w:pPr>
    </w:p>
    <w:p w14:paraId="3A935C71" w14:textId="424E2228" w:rsidR="00990594" w:rsidRDefault="00990594" w:rsidP="002D4E30">
      <w:pPr>
        <w:spacing w:after="120"/>
        <w:rPr>
          <w:rFonts w:eastAsiaTheme="minorHAnsi"/>
        </w:rPr>
      </w:pPr>
    </w:p>
    <w:p w14:paraId="4A8140D5" w14:textId="77777777" w:rsidR="00990594" w:rsidRDefault="00990594" w:rsidP="002D4E30">
      <w:pPr>
        <w:spacing w:after="120"/>
        <w:rPr>
          <w:rFonts w:eastAsiaTheme="minorHAnsi"/>
        </w:rPr>
      </w:pPr>
    </w:p>
    <w:p w14:paraId="250EBCED" w14:textId="3D7FAA01" w:rsidR="00E7363F" w:rsidRDefault="002900D4" w:rsidP="002D4E30">
      <w:pPr>
        <w:pStyle w:val="Heading1"/>
        <w:rPr>
          <w:noProof w:val="0"/>
        </w:rPr>
      </w:pPr>
      <w:bookmarkStart w:id="6" w:name="_Toc80086431"/>
      <w:r>
        <w:rPr>
          <w:noProof w:val="0"/>
        </w:rPr>
        <w:lastRenderedPageBreak/>
        <w:t>Employment Region overview</w:t>
      </w:r>
      <w:bookmarkEnd w:id="6"/>
    </w:p>
    <w:p w14:paraId="026B51CB" w14:textId="6853202D" w:rsidR="00990594" w:rsidRDefault="00990594" w:rsidP="00990594">
      <w:pPr>
        <w:rPr>
          <w:rFonts w:ascii="Calibri" w:hAnsi="Calibri" w:cs="Calibri"/>
        </w:rPr>
      </w:pPr>
      <w:r>
        <w:rPr>
          <w:rFonts w:ascii="Calibri" w:hAnsi="Calibri" w:cs="Calibri"/>
          <w:sz w:val="20"/>
          <w:szCs w:val="20"/>
        </w:rPr>
        <w:t>Th</w:t>
      </w:r>
      <w:r w:rsidRPr="009E1EF6">
        <w:rPr>
          <w:rFonts w:ascii="Calibri" w:hAnsi="Calibri" w:cs="Calibri"/>
        </w:rPr>
        <w:t>e North and North West</w:t>
      </w:r>
      <w:r w:rsidR="00DD7BBC">
        <w:rPr>
          <w:rFonts w:ascii="Calibri" w:hAnsi="Calibri" w:cs="Calibri"/>
        </w:rPr>
        <w:t>ern</w:t>
      </w:r>
      <w:r w:rsidRPr="009E1EF6">
        <w:rPr>
          <w:rFonts w:ascii="Calibri" w:hAnsi="Calibri" w:cs="Calibri"/>
        </w:rPr>
        <w:t xml:space="preserve"> Tasmania Employment Region (the region) comprises 16 of the state’s 29 Local Government Areas (LGAs) including King and Flinders Islands. The southern borders of the region adjoin the LGAs of Huon Valley, Derwent Valley, Central Highlands, Southern Midlands and</w:t>
      </w:r>
      <w:r>
        <w:rPr>
          <w:rFonts w:ascii="Calibri" w:hAnsi="Calibri" w:cs="Calibri"/>
        </w:rPr>
        <w:t xml:space="preserve"> </w:t>
      </w:r>
      <w:r w:rsidRPr="009E1EF6">
        <w:rPr>
          <w:rFonts w:ascii="Calibri" w:hAnsi="Calibri" w:cs="Calibri"/>
        </w:rPr>
        <w:t>Glamorgan Spring Bay, running west to east.</w:t>
      </w:r>
    </w:p>
    <w:p w14:paraId="08AE61F2" w14:textId="77777777" w:rsidR="00990594" w:rsidRPr="009E1EF6" w:rsidRDefault="00990594" w:rsidP="00990594">
      <w:pPr>
        <w:spacing w:before="120" w:after="120"/>
        <w:rPr>
          <w:rFonts w:ascii="Calibri" w:hAnsi="Calibri" w:cs="Calibri"/>
        </w:rPr>
      </w:pPr>
      <w:r w:rsidRPr="009E1EF6">
        <w:rPr>
          <w:rFonts w:ascii="Calibri" w:hAnsi="Calibri" w:cs="Calibri"/>
        </w:rPr>
        <w:t xml:space="preserve">Major population centres across the region include Burnie, Devonport, Smithton, Ulverstone, Latrobe, Deloraine, Longford, Launceston, Georgetown, Scottsdale and St Helens. Launceston is the second largest city in Tasmania and the largest in the region. </w:t>
      </w:r>
    </w:p>
    <w:p w14:paraId="77343CBB" w14:textId="40CEC6AC" w:rsidR="00ED2BB0" w:rsidRDefault="00ED2BB0" w:rsidP="00DD7BBC">
      <w:pPr>
        <w:pStyle w:val="Caption"/>
        <w:keepNext/>
      </w:pPr>
      <w:r>
        <w:t xml:space="preserve">Figure </w:t>
      </w:r>
      <w:r w:rsidR="00596DA0">
        <w:fldChar w:fldCharType="begin"/>
      </w:r>
      <w:r w:rsidR="00596DA0">
        <w:instrText xml:space="preserve"> SEQ Figure \* ARABIC </w:instrText>
      </w:r>
      <w:r w:rsidR="00596DA0">
        <w:fldChar w:fldCharType="separate"/>
      </w:r>
      <w:r w:rsidR="00153898">
        <w:rPr>
          <w:noProof/>
        </w:rPr>
        <w:t>1</w:t>
      </w:r>
      <w:r w:rsidR="00596DA0">
        <w:rPr>
          <w:noProof/>
        </w:rPr>
        <w:fldChar w:fldCharType="end"/>
      </w:r>
      <w:r>
        <w:t xml:space="preserve"> </w:t>
      </w:r>
      <w:r w:rsidRPr="00670ED9">
        <w:t>North and North West</w:t>
      </w:r>
      <w:r w:rsidR="00DD7BBC">
        <w:t>ern</w:t>
      </w:r>
      <w:r w:rsidRPr="00670ED9">
        <w:t xml:space="preserve"> Tasmania Employment Region</w:t>
      </w:r>
    </w:p>
    <w:p w14:paraId="439940C3" w14:textId="77777777" w:rsidR="00990594" w:rsidRDefault="003F77CE" w:rsidP="00DD7BBC">
      <w:pPr>
        <w:keepNext/>
        <w:spacing w:before="120" w:after="120"/>
      </w:pPr>
      <w:r>
        <w:rPr>
          <w:noProof/>
        </w:rPr>
        <w:drawing>
          <wp:inline distT="0" distB="0" distL="0" distR="0" wp14:anchorId="0F4373AD" wp14:editId="4DDCE295">
            <wp:extent cx="2781300" cy="3164840"/>
            <wp:effectExtent l="0" t="0" r="0" b="0"/>
            <wp:docPr id="1" name="Picture 1" descr="Map of North and North West Tasmania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of North and North West Tasmania Employment Regio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781300" cy="3164840"/>
                    </a:xfrm>
                    <a:prstGeom prst="rect">
                      <a:avLst/>
                    </a:prstGeom>
                    <a:noFill/>
                  </pic:spPr>
                </pic:pic>
              </a:graphicData>
            </a:graphic>
          </wp:inline>
        </w:drawing>
      </w:r>
    </w:p>
    <w:p w14:paraId="57A56D37" w14:textId="02F27F02" w:rsidR="009E1EF6" w:rsidRDefault="003F77CE" w:rsidP="002D4E30">
      <w:pPr>
        <w:spacing w:before="120" w:after="120"/>
        <w:rPr>
          <w:rFonts w:ascii="Calibri" w:hAnsi="Calibri" w:cs="Calibri"/>
        </w:rPr>
      </w:pPr>
      <w:r w:rsidRPr="009E1EF6">
        <w:rPr>
          <w:rFonts w:ascii="Calibri" w:hAnsi="Calibri" w:cs="Calibri"/>
        </w:rPr>
        <w:t>The Launceston City Deal (a shared vision between the Australian and Tasmanian governments and the City of Launceston) includes a focus on jobs, skills and business growth, and infrastructure projects such as the University of Tasmania (UTAS) campus renewal.</w:t>
      </w:r>
    </w:p>
    <w:p w14:paraId="517831B8" w14:textId="3A58AC88" w:rsidR="00443753" w:rsidRPr="00443753" w:rsidRDefault="00443753" w:rsidP="002D4E30">
      <w:pPr>
        <w:spacing w:before="120" w:after="120"/>
        <w:rPr>
          <w:rFonts w:ascii="Calibri" w:hAnsi="Calibri" w:cs="Calibri"/>
          <w:sz w:val="10"/>
          <w:szCs w:val="10"/>
        </w:rPr>
      </w:pPr>
    </w:p>
    <w:p w14:paraId="59C62C82" w14:textId="53EB2D21" w:rsidR="009E1EF6" w:rsidRDefault="003F77CE" w:rsidP="002D4E30">
      <w:pPr>
        <w:spacing w:before="120" w:after="120"/>
        <w:rPr>
          <w:rFonts w:ascii="Calibri" w:hAnsi="Calibri" w:cs="Calibri"/>
        </w:rPr>
      </w:pPr>
      <w:r w:rsidRPr="009E1EF6">
        <w:rPr>
          <w:rFonts w:ascii="Calibri" w:hAnsi="Calibri" w:cs="Calibri"/>
        </w:rPr>
        <w:t xml:space="preserve">The West Coast, Circular Head and Waratah-Wynyard areas have diverse mining, forestry, tourism, aquaculture and agriculture industries. Dairy is strongly represented in Circular Head, Meander Valley, Dorset and Waratah-Wynyard. </w:t>
      </w:r>
      <w:r w:rsidR="00C460D8">
        <w:rPr>
          <w:rFonts w:ascii="Calibri" w:hAnsi="Calibri" w:cs="Calibri"/>
        </w:rPr>
        <w:t xml:space="preserve">The </w:t>
      </w:r>
      <w:r w:rsidRPr="009E1EF6">
        <w:rPr>
          <w:rFonts w:ascii="Calibri" w:hAnsi="Calibri" w:cs="Calibri"/>
        </w:rPr>
        <w:t>George</w:t>
      </w:r>
      <w:r w:rsidR="00DD7BBC">
        <w:rPr>
          <w:rFonts w:ascii="Calibri" w:hAnsi="Calibri" w:cs="Calibri"/>
        </w:rPr>
        <w:t xml:space="preserve"> T</w:t>
      </w:r>
      <w:r w:rsidRPr="009E1EF6">
        <w:rPr>
          <w:rFonts w:ascii="Calibri" w:hAnsi="Calibri" w:cs="Calibri"/>
        </w:rPr>
        <w:t>own LGA has Bell Bay heavy industry precinct. Horticulture is a strongly consolidating sector across Central Coast, Latrobe, Meander Valley, Northern Midlands and Launceston, while Burnie and Launceston have major tertiary education and health facilities servicing the region.</w:t>
      </w:r>
    </w:p>
    <w:p w14:paraId="24960046" w14:textId="77777777" w:rsidR="00443753" w:rsidRPr="00443753" w:rsidRDefault="00443753" w:rsidP="002D4E30">
      <w:pPr>
        <w:spacing w:before="120" w:after="120"/>
        <w:rPr>
          <w:rFonts w:ascii="Calibri" w:hAnsi="Calibri" w:cs="Calibri"/>
          <w:sz w:val="10"/>
          <w:szCs w:val="10"/>
        </w:rPr>
      </w:pPr>
    </w:p>
    <w:p w14:paraId="5DA3E497" w14:textId="22A67064" w:rsidR="003F77CE" w:rsidRDefault="003F77CE" w:rsidP="002D4E30">
      <w:pPr>
        <w:spacing w:before="120" w:after="120"/>
        <w:rPr>
          <w:rFonts w:ascii="Calibri" w:hAnsi="Calibri" w:cs="Calibri"/>
        </w:rPr>
      </w:pPr>
      <w:r w:rsidRPr="009E1EF6">
        <w:rPr>
          <w:rFonts w:ascii="Calibri" w:hAnsi="Calibri" w:cs="Calibri"/>
        </w:rPr>
        <w:t>Bridport and St Helens are coastal tourist destinations, with niche offerings in links golf at Barnbougle/Lost Farm at Bridport. Scottsdale and St Helens offer rapidly consolidating world class mountain biking and other tourism opportunities.</w:t>
      </w:r>
    </w:p>
    <w:p w14:paraId="6632632C" w14:textId="77777777" w:rsidR="009E1EF6" w:rsidRPr="00443753" w:rsidRDefault="009E1EF6" w:rsidP="002D4E30">
      <w:pPr>
        <w:spacing w:before="120" w:after="120"/>
        <w:rPr>
          <w:rFonts w:ascii="Calibri" w:hAnsi="Calibri" w:cs="Calibri"/>
          <w:sz w:val="10"/>
          <w:szCs w:val="10"/>
        </w:rPr>
      </w:pPr>
    </w:p>
    <w:p w14:paraId="096A0C39" w14:textId="77777777" w:rsidR="002900D4" w:rsidRDefault="002900D4">
      <w:pPr>
        <w:rPr>
          <w:rStyle w:val="Heading2Char"/>
          <w:rFonts w:cs="Calibri"/>
          <w:b w:val="0"/>
          <w:bCs w:val="0"/>
          <w:color w:val="1D4289"/>
          <w:sz w:val="48"/>
          <w:szCs w:val="48"/>
        </w:rPr>
      </w:pPr>
      <w:bookmarkStart w:id="7" w:name="_Toc54953691"/>
      <w:bookmarkStart w:id="8" w:name="_Toc77340161"/>
      <w:bookmarkStart w:id="9" w:name="_Toc79140385"/>
      <w:bookmarkStart w:id="10" w:name="_Toc80086432"/>
      <w:r>
        <w:rPr>
          <w:rStyle w:val="Heading2Char"/>
          <w:rFonts w:cs="Calibri"/>
          <w:b w:val="0"/>
          <w:bCs w:val="0"/>
          <w:color w:val="1D4289"/>
          <w:sz w:val="48"/>
          <w:szCs w:val="48"/>
        </w:rPr>
        <w:br w:type="page"/>
      </w:r>
    </w:p>
    <w:p w14:paraId="73854B05" w14:textId="65A9C3C6" w:rsidR="003F77CE" w:rsidRDefault="003F77CE" w:rsidP="002D4E30">
      <w:pPr>
        <w:spacing w:before="120" w:after="120"/>
        <w:rPr>
          <w:color w:val="000000" w:themeColor="text1"/>
        </w:rPr>
      </w:pPr>
      <w:r w:rsidRPr="00DD7BBC">
        <w:rPr>
          <w:rStyle w:val="Heading2Char"/>
          <w:rFonts w:cs="Calibri"/>
          <w:b w:val="0"/>
          <w:bCs w:val="0"/>
          <w:color w:val="1D4289"/>
          <w:sz w:val="48"/>
          <w:szCs w:val="48"/>
        </w:rPr>
        <w:lastRenderedPageBreak/>
        <w:t>Socio-economic profile</w:t>
      </w:r>
      <w:bookmarkEnd w:id="7"/>
      <w:bookmarkEnd w:id="8"/>
      <w:bookmarkEnd w:id="9"/>
      <w:bookmarkEnd w:id="10"/>
      <w:r w:rsidRPr="00DD7BBC">
        <w:rPr>
          <w:rStyle w:val="Heading2Char"/>
          <w:rFonts w:cs="Calibri"/>
          <w:sz w:val="48"/>
          <w:szCs w:val="48"/>
        </w:rPr>
        <w:br/>
      </w:r>
      <w:r w:rsidRPr="009E1EF6">
        <w:rPr>
          <w:color w:val="000000" w:themeColor="text1"/>
        </w:rPr>
        <w:t xml:space="preserve">The </w:t>
      </w:r>
      <w:r w:rsidR="009E1EF6">
        <w:rPr>
          <w:color w:val="000000" w:themeColor="text1"/>
        </w:rPr>
        <w:t xml:space="preserve">North and North Western Tasmania </w:t>
      </w:r>
      <w:r w:rsidRPr="009E1EF6">
        <w:rPr>
          <w:color w:val="000000" w:themeColor="text1"/>
        </w:rPr>
        <w:t xml:space="preserve">region contains some very disadvantaged areas, with </w:t>
      </w:r>
      <w:r w:rsidR="00A258DC">
        <w:rPr>
          <w:color w:val="000000" w:themeColor="text1"/>
        </w:rPr>
        <w:t>seven</w:t>
      </w:r>
      <w:r w:rsidRPr="009E1EF6">
        <w:rPr>
          <w:color w:val="000000" w:themeColor="text1"/>
        </w:rPr>
        <w:t xml:space="preserve"> LGAs (George Town, West Coast, Break </w:t>
      </w:r>
      <w:proofErr w:type="spellStart"/>
      <w:r w:rsidRPr="009E1EF6">
        <w:rPr>
          <w:color w:val="000000" w:themeColor="text1"/>
        </w:rPr>
        <w:t>O’Day</w:t>
      </w:r>
      <w:proofErr w:type="spellEnd"/>
      <w:r w:rsidRPr="009E1EF6">
        <w:rPr>
          <w:color w:val="000000" w:themeColor="text1"/>
        </w:rPr>
        <w:t>, Burnie, Central Highlands, Devonport and Dorset) ranked in the lowest quintile in the 2016 Socio-Economic Index for Areas (SEIFA) in Australia.</w:t>
      </w:r>
      <w:r w:rsidRPr="009E1EF6">
        <w:rPr>
          <w:rStyle w:val="FootnoteReference"/>
          <w:color w:val="000000" w:themeColor="text1"/>
        </w:rPr>
        <w:footnoteReference w:id="1"/>
      </w:r>
      <w:r w:rsidRPr="009E1EF6">
        <w:rPr>
          <w:color w:val="000000" w:themeColor="text1"/>
        </w:rPr>
        <w:t xml:space="preserve"> Ravenswood, a Statistical Area 2 (SA2) within the Launceston LGA is the most disadvantaged SA2 in the region and is the 27</w:t>
      </w:r>
      <w:r w:rsidRPr="009E1EF6">
        <w:rPr>
          <w:color w:val="000000" w:themeColor="text1"/>
          <w:vertAlign w:val="superscript"/>
        </w:rPr>
        <w:t>th</w:t>
      </w:r>
      <w:r w:rsidRPr="009E1EF6">
        <w:rPr>
          <w:color w:val="000000" w:themeColor="text1"/>
        </w:rPr>
        <w:t xml:space="preserve"> most disadvantaged SA2 in Australia, out of 2,184 SA2s. </w:t>
      </w:r>
    </w:p>
    <w:p w14:paraId="4D3AB94B" w14:textId="77777777" w:rsidR="00D03452" w:rsidRPr="009E1EF6" w:rsidRDefault="00D03452" w:rsidP="002D4E30">
      <w:pPr>
        <w:spacing w:before="120" w:after="120"/>
        <w:rPr>
          <w:color w:val="000000" w:themeColor="text1"/>
        </w:rPr>
      </w:pPr>
    </w:p>
    <w:p w14:paraId="6E9B75E8" w14:textId="3B4C731B" w:rsidR="00417DF0" w:rsidRPr="007D1210" w:rsidRDefault="00417DF0" w:rsidP="002D4E30">
      <w:pPr>
        <w:pStyle w:val="Heading1"/>
        <w:spacing w:after="240"/>
        <w:rPr>
          <w:noProof w:val="0"/>
        </w:rPr>
      </w:pPr>
      <w:bookmarkStart w:id="11" w:name="_Toc80086433"/>
      <w:r w:rsidRPr="007D1210">
        <w:rPr>
          <w:noProof w:val="0"/>
        </w:rPr>
        <w:t xml:space="preserve">Key </w:t>
      </w:r>
      <w:r w:rsidR="004D5E43" w:rsidRPr="007D1210">
        <w:rPr>
          <w:noProof w:val="0"/>
        </w:rPr>
        <w:t xml:space="preserve">challenges in </w:t>
      </w:r>
      <w:r w:rsidR="003F77CE">
        <w:rPr>
          <w:noProof w:val="0"/>
        </w:rPr>
        <w:t>North and North West</w:t>
      </w:r>
      <w:r w:rsidR="00DD7BBC">
        <w:rPr>
          <w:noProof w:val="0"/>
        </w:rPr>
        <w:t>ern</w:t>
      </w:r>
      <w:r w:rsidR="003F77CE">
        <w:rPr>
          <w:noProof w:val="0"/>
        </w:rPr>
        <w:t xml:space="preserve"> Tasmania</w:t>
      </w:r>
      <w:r w:rsidR="004E1E0C">
        <w:rPr>
          <w:noProof w:val="0"/>
        </w:rPr>
        <w:t xml:space="preserve"> Employment Region</w:t>
      </w:r>
      <w:bookmarkEnd w:id="11"/>
    </w:p>
    <w:p w14:paraId="4E238FED" w14:textId="3DFBF5FE" w:rsidR="003F77CE" w:rsidRDefault="003F77CE" w:rsidP="002D4E30">
      <w:pPr>
        <w:rPr>
          <w:rFonts w:ascii="Calibri" w:hAnsi="Calibri" w:cs="Calibri"/>
        </w:rPr>
      </w:pPr>
      <w:r>
        <w:rPr>
          <w:rFonts w:ascii="Calibri" w:hAnsi="Calibri" w:cs="Calibri"/>
        </w:rPr>
        <w:t>Tasmania and the North and North West</w:t>
      </w:r>
      <w:r w:rsidR="00DD7BBC">
        <w:rPr>
          <w:rFonts w:ascii="Calibri" w:hAnsi="Calibri" w:cs="Calibri"/>
        </w:rPr>
        <w:t>ern</w:t>
      </w:r>
      <w:r>
        <w:rPr>
          <w:rFonts w:ascii="Calibri" w:hAnsi="Calibri" w:cs="Calibri"/>
        </w:rPr>
        <w:t xml:space="preserve"> Tasmania region face several challenges, including: </w:t>
      </w:r>
    </w:p>
    <w:p w14:paraId="6E44EEFD" w14:textId="053E2FBD" w:rsidR="00024EDA" w:rsidRPr="00024EDA" w:rsidRDefault="003F77CE" w:rsidP="002D4E30">
      <w:r w:rsidRPr="00024EDA">
        <w:rPr>
          <w:b/>
          <w:bCs/>
        </w:rPr>
        <w:t>Low population growth, high youth unemployment and an ageing population.</w:t>
      </w:r>
    </w:p>
    <w:p w14:paraId="45554CAA" w14:textId="62BEF282" w:rsidR="003F77CE" w:rsidRDefault="003F77CE" w:rsidP="002D4E30">
      <w:pPr>
        <w:pStyle w:val="ListParagraph"/>
        <w:numPr>
          <w:ilvl w:val="0"/>
          <w:numId w:val="14"/>
        </w:numPr>
        <w:ind w:left="567" w:hanging="425"/>
      </w:pPr>
      <w:r>
        <w:t>Historically, North and North West</w:t>
      </w:r>
      <w:r w:rsidR="00DD7BBC">
        <w:t>ern</w:t>
      </w:r>
      <w:r>
        <w:t xml:space="preserve"> Tasmania have experienced a lower rate of population growth than experienced in other areas of Tasmania. For example, from 2018 to 2019, the estimated resident population grew by 0.83 per cent in North Tasmania, while North West Tasmania grew by 0.74 per cent. In comparison, growth in Tasmania was 1.17 per cent and in Australia 1.51 per cent over the same period.</w:t>
      </w:r>
      <w:r w:rsidR="00F46867">
        <w:rPr>
          <w:rStyle w:val="FootnoteReference"/>
        </w:rPr>
        <w:footnoteReference w:id="2"/>
      </w:r>
      <w:r>
        <w:t xml:space="preserve"> </w:t>
      </w:r>
    </w:p>
    <w:p w14:paraId="746B003A" w14:textId="77777777" w:rsidR="003F77CE" w:rsidRPr="00024EDA" w:rsidRDefault="003F77CE" w:rsidP="002D4E30">
      <w:pPr>
        <w:pStyle w:val="ListParagraph"/>
        <w:numPr>
          <w:ilvl w:val="0"/>
          <w:numId w:val="14"/>
        </w:numPr>
        <w:ind w:left="567" w:hanging="425"/>
        <w:rPr>
          <w:rFonts w:ascii="Calibri" w:hAnsi="Calibri" w:cs="Calibri"/>
        </w:rPr>
      </w:pPr>
      <w:r w:rsidRPr="00024EDA">
        <w:rPr>
          <w:rFonts w:ascii="Calibri" w:hAnsi="Calibri" w:cs="Calibri"/>
        </w:rPr>
        <w:t xml:space="preserve">The trend of low population growth has continued in the North West, with a population growth of 0.88 per cent compared to growth in Tasmania of 1.16 per cent and growth in Australia of 1.31 per cent. </w:t>
      </w:r>
    </w:p>
    <w:p w14:paraId="47F4B58B" w14:textId="3169E9B7" w:rsidR="003F77CE" w:rsidRPr="00024EDA" w:rsidRDefault="003F77CE" w:rsidP="002D4E30">
      <w:pPr>
        <w:pStyle w:val="ListParagraph"/>
        <w:numPr>
          <w:ilvl w:val="0"/>
          <w:numId w:val="14"/>
        </w:numPr>
        <w:ind w:left="567" w:hanging="425"/>
        <w:rPr>
          <w:rFonts w:ascii="Calibri" w:hAnsi="Calibri" w:cs="Calibri"/>
          <w:i/>
          <w:iCs/>
        </w:rPr>
      </w:pPr>
      <w:r w:rsidRPr="00024EDA">
        <w:rPr>
          <w:rFonts w:ascii="Calibri" w:hAnsi="Calibri" w:cs="Calibri"/>
        </w:rPr>
        <w:t>In Northern Tasmania, population growth has increased. Since 2019, the population is estimated to have grown 1.19 per cent, which means that the region’s growth rate now sits just higher than the rest of Tasmania</w:t>
      </w:r>
      <w:r w:rsidRPr="00024EDA">
        <w:rPr>
          <w:rStyle w:val="FootnoteReference"/>
          <w:rFonts w:cs="Calibri"/>
        </w:rPr>
        <w:footnoteReference w:id="3"/>
      </w:r>
      <w:r w:rsidR="009B7138">
        <w:rPr>
          <w:rFonts w:ascii="Calibri" w:hAnsi="Calibri" w:cs="Calibri"/>
        </w:rPr>
        <w:t>.</w:t>
      </w:r>
      <w:r w:rsidRPr="00024EDA">
        <w:rPr>
          <w:rFonts w:ascii="Calibri" w:hAnsi="Calibri" w:cs="Calibri"/>
        </w:rPr>
        <w:t xml:space="preserve"> This is consistent with other data sources: according to Regional Australia Institute’s 2020 </w:t>
      </w:r>
      <w:r w:rsidRPr="00024EDA">
        <w:rPr>
          <w:rFonts w:ascii="Calibri" w:hAnsi="Calibri" w:cs="Calibri"/>
          <w:i/>
          <w:iCs/>
        </w:rPr>
        <w:t>The Big Movers</w:t>
      </w:r>
      <w:r w:rsidRPr="00024EDA">
        <w:rPr>
          <w:rFonts w:ascii="Calibri" w:hAnsi="Calibri" w:cs="Calibri"/>
        </w:rPr>
        <w:t xml:space="preserve"> Report, four out of the five Tasmanian LGAs that had the highest inflow of new population were based in Northern Tasmania. This demonstrates interest and demand for this region as an internal migration hotspot. </w:t>
      </w:r>
    </w:p>
    <w:p w14:paraId="71CC112E" w14:textId="3272AAAD" w:rsidR="00024EDA" w:rsidRPr="00024EDA" w:rsidRDefault="003F77CE" w:rsidP="002D4E30">
      <w:pPr>
        <w:pStyle w:val="ListParagraph"/>
        <w:numPr>
          <w:ilvl w:val="0"/>
          <w:numId w:val="14"/>
        </w:numPr>
        <w:ind w:left="567" w:hanging="425"/>
        <w:rPr>
          <w:rFonts w:ascii="Calibri" w:hAnsi="Calibri" w:cs="Calibri"/>
        </w:rPr>
      </w:pPr>
      <w:r w:rsidRPr="00024EDA">
        <w:rPr>
          <w:rFonts w:ascii="Calibri" w:hAnsi="Calibri" w:cs="Calibri"/>
        </w:rPr>
        <w:t xml:space="preserve">It is also of note that Tasmanian youth unemployment has historically been higher than in other parts of Australia, and the population is ageing more rapidly.  </w:t>
      </w:r>
    </w:p>
    <w:p w14:paraId="1ACABB7A" w14:textId="77777777" w:rsidR="00024EDA" w:rsidRDefault="003F77CE" w:rsidP="002D4E30">
      <w:pPr>
        <w:rPr>
          <w:i/>
          <w:iCs/>
        </w:rPr>
      </w:pPr>
      <w:r w:rsidRPr="00024EDA">
        <w:rPr>
          <w:b/>
          <w:bCs/>
        </w:rPr>
        <w:t>Low levels of digital literacy.</w:t>
      </w:r>
      <w:r w:rsidRPr="00024EDA">
        <w:rPr>
          <w:i/>
          <w:iCs/>
        </w:rPr>
        <w:t xml:space="preserve"> </w:t>
      </w:r>
    </w:p>
    <w:p w14:paraId="2E56B407" w14:textId="311FCA30" w:rsidR="00024EDA" w:rsidRDefault="003F77CE" w:rsidP="002D4E30">
      <w:pPr>
        <w:pStyle w:val="ListParagraph"/>
        <w:numPr>
          <w:ilvl w:val="0"/>
          <w:numId w:val="15"/>
        </w:numPr>
        <w:ind w:left="567" w:hanging="425"/>
      </w:pPr>
      <w:r>
        <w:t>Tasmania was the first state to be connected to the NBN, however in 2020 was ranked as the least digitally advanced of all the states.</w:t>
      </w:r>
      <w:r>
        <w:rPr>
          <w:rStyle w:val="FootnoteReference"/>
        </w:rPr>
        <w:footnoteReference w:id="4"/>
      </w:r>
      <w:r>
        <w:t xml:space="preserve"> While digital access has increased across the state in recent years, several low socio-economic areas of the region are still well below the national average. LGAs in the region have up to 28 per cent of households without internet access.</w:t>
      </w:r>
      <w:r>
        <w:rPr>
          <w:rStyle w:val="FootnoteReference"/>
        </w:rPr>
        <w:footnoteReference w:id="5"/>
      </w:r>
    </w:p>
    <w:p w14:paraId="3F0FB124" w14:textId="23861D0B" w:rsidR="00024EDA" w:rsidRDefault="003F77CE" w:rsidP="002D4E30">
      <w:pPr>
        <w:rPr>
          <w:b/>
          <w:bCs/>
        </w:rPr>
      </w:pPr>
      <w:r w:rsidRPr="00024EDA">
        <w:rPr>
          <w:b/>
          <w:bCs/>
        </w:rPr>
        <w:lastRenderedPageBreak/>
        <w:t>Limited public transport outside of metropolitan centres which inhibits opportunities for some job</w:t>
      </w:r>
      <w:r w:rsidR="005916F8">
        <w:rPr>
          <w:b/>
          <w:bCs/>
        </w:rPr>
        <w:t xml:space="preserve"> </w:t>
      </w:r>
      <w:r w:rsidRPr="00024EDA">
        <w:rPr>
          <w:b/>
          <w:bCs/>
        </w:rPr>
        <w:t xml:space="preserve">seekers to take on work and training. </w:t>
      </w:r>
    </w:p>
    <w:p w14:paraId="09233D87" w14:textId="7F68E661" w:rsidR="003F77CE" w:rsidRDefault="003F77CE" w:rsidP="009E1C1D">
      <w:pPr>
        <w:pStyle w:val="ListParagraph"/>
        <w:numPr>
          <w:ilvl w:val="0"/>
          <w:numId w:val="15"/>
        </w:numPr>
        <w:ind w:left="567" w:hanging="425"/>
      </w:pPr>
      <w:r>
        <w:t xml:space="preserve">Public transport is largely limited to metropolitan town centres within the region and timetables do not always align with employer needs for shift times. The cost of public transport is a further barrier to employment for those on low incomes, as is access to private vehicles, and in some regions lower level of car ownership and the cost of operating and maintaining a vehicle </w:t>
      </w:r>
      <w:bookmarkStart w:id="12" w:name="_Hlk54505680"/>
      <w:r>
        <w:t>are barriers to economic participation.</w:t>
      </w:r>
      <w:r w:rsidRPr="00DD7BBC">
        <w:rPr>
          <w:vertAlign w:val="superscript"/>
        </w:rPr>
        <w:footnoteReference w:id="6"/>
      </w:r>
      <w:r w:rsidRPr="00DD7BBC">
        <w:rPr>
          <w:vertAlign w:val="superscript"/>
        </w:rPr>
        <w:t xml:space="preserve"> </w:t>
      </w:r>
    </w:p>
    <w:bookmarkEnd w:id="12"/>
    <w:p w14:paraId="4C9D4431" w14:textId="77777777" w:rsidR="00C140CD" w:rsidRDefault="003F77CE" w:rsidP="002D4E30">
      <w:pPr>
        <w:rPr>
          <w:b/>
          <w:bCs/>
        </w:rPr>
      </w:pPr>
      <w:r w:rsidRPr="00C140CD">
        <w:rPr>
          <w:b/>
          <w:bCs/>
        </w:rPr>
        <w:t xml:space="preserve">Historic and generational low educational attainment, particularly outside of metropolitan areas. </w:t>
      </w:r>
    </w:p>
    <w:p w14:paraId="27FC26E1" w14:textId="59848975" w:rsidR="003F77CE" w:rsidRDefault="003F77CE" w:rsidP="009E1C1D">
      <w:r>
        <w:t>While educational attainment across Tasmania has increased in recent years</w:t>
      </w:r>
      <w:r w:rsidR="009F6527">
        <w:t>,</w:t>
      </w:r>
      <w:r>
        <w:t xml:space="preserve"> it is still below the national average on some indicators. Some comparisons drawn from 2016 ABS Census data highlight the disparities: </w:t>
      </w:r>
    </w:p>
    <w:p w14:paraId="0F6C607B" w14:textId="77777777" w:rsidR="003F77CE" w:rsidRPr="009E1C1D" w:rsidRDefault="003F77CE" w:rsidP="009E1C1D">
      <w:pPr>
        <w:pStyle w:val="ListParagraph"/>
        <w:numPr>
          <w:ilvl w:val="0"/>
          <w:numId w:val="15"/>
        </w:numPr>
        <w:ind w:left="567" w:hanging="425"/>
      </w:pPr>
      <w:r w:rsidRPr="009E1C1D">
        <w:t>In Northern Tasmania, 35.2 per cent of residents had completed year 12 equivalent, in the North West it was 27.6 per cent. Both parts of the region were well below the Australian rate of 51.9 per cent.</w:t>
      </w:r>
    </w:p>
    <w:p w14:paraId="4BBE00E3" w14:textId="77B4A77A" w:rsidR="003F77CE" w:rsidRPr="009E1C1D" w:rsidRDefault="003F77CE" w:rsidP="009E1C1D">
      <w:pPr>
        <w:pStyle w:val="ListParagraph"/>
        <w:numPr>
          <w:ilvl w:val="0"/>
          <w:numId w:val="15"/>
        </w:numPr>
        <w:ind w:left="567" w:hanging="425"/>
      </w:pPr>
      <w:r w:rsidRPr="009E1C1D">
        <w:t>University qualification attainment in North West</w:t>
      </w:r>
      <w:r w:rsidR="00DD7BBC">
        <w:t>ern</w:t>
      </w:r>
      <w:r w:rsidRPr="009E1C1D">
        <w:t xml:space="preserve"> Tasmania was 16.6 per cent and 21.2 per cent in Northern Tasmania, well below 30.9 per cent nationally, and 23.8 per cent for Tasmania.</w:t>
      </w:r>
    </w:p>
    <w:p w14:paraId="75B1BF9F" w14:textId="31AD3049" w:rsidR="00C140CD" w:rsidRPr="009E1C1D" w:rsidRDefault="003F77CE" w:rsidP="009E1C1D">
      <w:pPr>
        <w:pStyle w:val="ListParagraph"/>
        <w:numPr>
          <w:ilvl w:val="0"/>
          <w:numId w:val="15"/>
        </w:numPr>
        <w:ind w:left="567" w:hanging="425"/>
      </w:pPr>
      <w:r w:rsidRPr="009E1C1D">
        <w:t>Vocational education attainment in Northern Tasmania was 21.6 per cent and 24.1 per cent in North West</w:t>
      </w:r>
      <w:r w:rsidR="00DD7BBC">
        <w:t>ern</w:t>
      </w:r>
      <w:r w:rsidRPr="009E1C1D">
        <w:t xml:space="preserve"> Tasmania, above 18.8 per cent nationally.</w:t>
      </w:r>
    </w:p>
    <w:p w14:paraId="79DFB5D9" w14:textId="77777777" w:rsidR="00C140CD" w:rsidRDefault="003F77CE" w:rsidP="002D4E30">
      <w:r w:rsidRPr="00C140CD">
        <w:rPr>
          <w:b/>
          <w:bCs/>
        </w:rPr>
        <w:t>Impact of COVID-19 related border closures on international workforce</w:t>
      </w:r>
      <w:r>
        <w:t xml:space="preserve">.  </w:t>
      </w:r>
    </w:p>
    <w:p w14:paraId="3E4CFAF4" w14:textId="2AC1241E" w:rsidR="003F77CE" w:rsidRPr="00D03452" w:rsidRDefault="003F77CE" w:rsidP="009E1C1D">
      <w:pPr>
        <w:pStyle w:val="ListParagraph"/>
        <w:numPr>
          <w:ilvl w:val="0"/>
          <w:numId w:val="15"/>
        </w:numPr>
        <w:ind w:left="567" w:hanging="425"/>
      </w:pPr>
      <w:r>
        <w:t xml:space="preserve">Effective closure of Australia’s international borders from late March 2020 meant that a number of industry sectors which would normally rely on temporary overseas workers (e.g., working holiday makers) experienced subsequent labour shortages. Sectors which have reported particular impacts include horticulture, stone fruits and hospitality, although strategic action to support the continued entry of Pacific Islanders under the Seasonal Worker Programme has offset the horticulture workforce shortfall to a degree.     </w:t>
      </w:r>
    </w:p>
    <w:p w14:paraId="4211BF35" w14:textId="77777777" w:rsidR="00C140CD" w:rsidRDefault="003F77CE" w:rsidP="002D4E30">
      <w:r w:rsidRPr="00C140CD">
        <w:rPr>
          <w:b/>
          <w:bCs/>
        </w:rPr>
        <w:t>The employment outlook across the region is generally positive but employers struggle to recruit.</w:t>
      </w:r>
      <w:r>
        <w:t xml:space="preserve"> </w:t>
      </w:r>
    </w:p>
    <w:p w14:paraId="4467773E" w14:textId="38C071FA" w:rsidR="00D03452" w:rsidRDefault="003F77CE" w:rsidP="009E1C1D">
      <w:pPr>
        <w:pStyle w:val="ListParagraph"/>
        <w:numPr>
          <w:ilvl w:val="0"/>
          <w:numId w:val="15"/>
        </w:numPr>
        <w:ind w:left="567" w:hanging="425"/>
      </w:pPr>
      <w:r>
        <w:t>Against the backdrop of the challenges identified above, the broader Employment Region offers a range of employment opportunities across industry sectors which are in consolidation or expansion mode. These include horticulture, agriculture and dairy farming, mining/minerals processing, forestry, and timber processing, meat processing, manufacturing, freight and transport, and hospitality. Of note is an April 2021 employer survey in the region that indicated only 2</w:t>
      </w:r>
      <w:r w:rsidR="00201C4C">
        <w:t> per cent</w:t>
      </w:r>
      <w:r>
        <w:t xml:space="preserve"> of respondent businesses expected to decrease staff numbers in the coming months while nearly 20</w:t>
      </w:r>
      <w:r w:rsidR="00201C4C">
        <w:t> per cent</w:t>
      </w:r>
      <w:r>
        <w:t xml:space="preserve"> expected to increase. The range of occupations advertised across the region in the period December 2020 to March 2021 covered general clerks, sales assistants, chefs, farm workers, labourers, various trades, and truck drivers. Th</w:t>
      </w:r>
      <w:r w:rsidR="009F6527">
        <w:t>e</w:t>
      </w:r>
      <w:r>
        <w:t xml:space="preserve"> broad range of advertised positions indicate continued opportunities across various occupations, industries, and skill levels.</w:t>
      </w:r>
    </w:p>
    <w:p w14:paraId="44BD33ED" w14:textId="77777777" w:rsidR="00D03452" w:rsidRDefault="00D03452" w:rsidP="009E1C1D">
      <w:pPr>
        <w:pStyle w:val="ListParagraph"/>
        <w:ind w:left="567"/>
      </w:pPr>
    </w:p>
    <w:p w14:paraId="17ED9F8E" w14:textId="78992423" w:rsidR="003F77CE" w:rsidRPr="009E1C1D" w:rsidRDefault="003F77CE" w:rsidP="009E1C1D">
      <w:pPr>
        <w:pStyle w:val="ListParagraph"/>
        <w:numPr>
          <w:ilvl w:val="0"/>
          <w:numId w:val="15"/>
        </w:numPr>
        <w:ind w:left="567" w:hanging="425"/>
      </w:pPr>
      <w:r w:rsidRPr="009E1C1D">
        <w:lastRenderedPageBreak/>
        <w:t>Surveys in the region also indicate that employers often struggle to recruit suitable or “right-fit” people for their needs. The Recruitment Experiences and Outlook Survey (REOS) for August 2020 to April 2021 conducted by the National Skills Commission, showed that 41</w:t>
      </w:r>
      <w:r w:rsidR="00201C4C">
        <w:t> per cent</w:t>
      </w:r>
      <w:r w:rsidRPr="009E1C1D">
        <w:t xml:space="preserve"> of businesses recruiting for staff in that time experienced difficult</w:t>
      </w:r>
      <w:r w:rsidR="00C92AA9">
        <w:t>ies</w:t>
      </w:r>
      <w:r w:rsidRPr="009E1C1D">
        <w:t xml:space="preserve">. </w:t>
      </w:r>
      <w:r w:rsidR="009F6527">
        <w:t>The r</w:t>
      </w:r>
      <w:r w:rsidRPr="009E1C1D">
        <w:t>easons include lack of suitable applicants, remote or regional locations and applicants lacking technical skills.</w:t>
      </w:r>
    </w:p>
    <w:p w14:paraId="638631FD" w14:textId="62F3A3EE" w:rsidR="00C140CD" w:rsidRDefault="003F77CE" w:rsidP="002D4E30">
      <w:r w:rsidRPr="00C140CD">
        <w:rPr>
          <w:b/>
          <w:bCs/>
        </w:rPr>
        <w:t>The informal job market is a significant factor across the Employment Region.</w:t>
      </w:r>
      <w:r>
        <w:t xml:space="preserve"> </w:t>
      </w:r>
    </w:p>
    <w:p w14:paraId="519DFE90" w14:textId="5FC65B72" w:rsidR="00D03452" w:rsidRDefault="003F77CE" w:rsidP="0056026A">
      <w:pPr>
        <w:pStyle w:val="ListParagraph"/>
        <w:numPr>
          <w:ilvl w:val="0"/>
          <w:numId w:val="15"/>
        </w:numPr>
        <w:ind w:left="567" w:hanging="425"/>
      </w:pPr>
      <w:r>
        <w:t>The REOS Survey confirmed that 40</w:t>
      </w:r>
      <w:r w:rsidR="00201C4C">
        <w:t> per cent</w:t>
      </w:r>
      <w:r>
        <w:t xml:space="preserve"> of employers recruited through word of mouth or poaching staff to fill their positions. This presents a particular challenge for job</w:t>
      </w:r>
      <w:r w:rsidR="005916F8">
        <w:t xml:space="preserve"> </w:t>
      </w:r>
      <w:r>
        <w:t>seekers in maximising their job prospects, as they need to have a wide range of job searches, communication and presentation skills to identify opportunities in this critical pathway.  Feedback from employment service providers, employers, and job</w:t>
      </w:r>
      <w:r w:rsidR="005916F8">
        <w:t xml:space="preserve"> </w:t>
      </w:r>
      <w:r>
        <w:t>seekers indicate that many people struggle to understand and engage with the informal job market to the best extent possible.</w:t>
      </w:r>
    </w:p>
    <w:p w14:paraId="7B9862C2" w14:textId="3DDA3107" w:rsidR="00417DF0" w:rsidRDefault="00417DF0" w:rsidP="002D4E30">
      <w:pPr>
        <w:pStyle w:val="Heading1"/>
        <w:spacing w:after="240"/>
        <w:rPr>
          <w:noProof w:val="0"/>
        </w:rPr>
      </w:pPr>
      <w:bookmarkStart w:id="13" w:name="_Toc80086434"/>
      <w:r w:rsidRPr="007D1210">
        <w:rPr>
          <w:noProof w:val="0"/>
        </w:rPr>
        <w:t xml:space="preserve">Local </w:t>
      </w:r>
      <w:r w:rsidR="007D1210">
        <w:rPr>
          <w:noProof w:val="0"/>
        </w:rPr>
        <w:t>s</w:t>
      </w:r>
      <w:r w:rsidRPr="004E1E0C">
        <w:rPr>
          <w:noProof w:val="0"/>
        </w:rPr>
        <w:t xml:space="preserve">takeholders and </w:t>
      </w:r>
      <w:r w:rsidR="007D1210">
        <w:rPr>
          <w:noProof w:val="0"/>
        </w:rPr>
        <w:t>o</w:t>
      </w:r>
      <w:r w:rsidRPr="004E1E0C">
        <w:rPr>
          <w:noProof w:val="0"/>
        </w:rPr>
        <w:t>pportunities</w:t>
      </w:r>
      <w:bookmarkEnd w:id="13"/>
    </w:p>
    <w:p w14:paraId="3F0B7AD7" w14:textId="60D39FE0" w:rsidR="00D03452" w:rsidRDefault="00D03452" w:rsidP="007E742F">
      <w:pPr>
        <w:pStyle w:val="ListParagraph"/>
        <w:spacing w:before="120" w:after="120"/>
        <w:ind w:left="0"/>
        <w:rPr>
          <w:rFonts w:ascii="Calibri" w:hAnsi="Calibri" w:cstheme="minorHAnsi"/>
        </w:rPr>
      </w:pPr>
      <w:r w:rsidRPr="00D00406">
        <w:rPr>
          <w:rFonts w:ascii="Calibri" w:hAnsi="Calibri" w:cstheme="minorHAnsi"/>
        </w:rPr>
        <w:t>Many industries are indicating strong demand for workforce in the coming months and years</w:t>
      </w:r>
      <w:r w:rsidR="00D00406" w:rsidRPr="00D00406">
        <w:rPr>
          <w:rFonts w:ascii="Calibri" w:hAnsi="Calibri" w:cstheme="minorHAnsi"/>
        </w:rPr>
        <w:t xml:space="preserve">, </w:t>
      </w:r>
      <w:r w:rsidRPr="00D00406">
        <w:rPr>
          <w:rFonts w:ascii="Calibri" w:hAnsi="Calibri" w:cstheme="minorHAnsi"/>
        </w:rPr>
        <w:t xml:space="preserve">including </w:t>
      </w:r>
      <w:r w:rsidR="00D00406" w:rsidRPr="00D00406">
        <w:rPr>
          <w:rFonts w:ascii="Calibri" w:hAnsi="Calibri" w:cstheme="minorHAnsi"/>
        </w:rPr>
        <w:t xml:space="preserve">disability support services, hospitality and tourism, building and construction, polymer processing, agriculture/ horticulture and meatworks. </w:t>
      </w:r>
      <w:r w:rsidRPr="00D00406">
        <w:rPr>
          <w:rFonts w:ascii="Calibri" w:hAnsi="Calibri" w:cstheme="minorHAnsi"/>
        </w:rPr>
        <w:t>Much of th</w:t>
      </w:r>
      <w:r w:rsidR="00D00406" w:rsidRPr="00D00406">
        <w:rPr>
          <w:rFonts w:ascii="Calibri" w:hAnsi="Calibri" w:cstheme="minorHAnsi"/>
        </w:rPr>
        <w:t>is</w:t>
      </w:r>
      <w:r w:rsidRPr="00D00406">
        <w:rPr>
          <w:rFonts w:ascii="Calibri" w:hAnsi="Calibri" w:cstheme="minorHAnsi"/>
        </w:rPr>
        <w:t xml:space="preserve"> demand has been validated and quantified through industry led workforce development and strategic plans across various industries such as:</w:t>
      </w:r>
    </w:p>
    <w:p w14:paraId="367461D9" w14:textId="77777777" w:rsidR="00D03452" w:rsidRPr="0056026A" w:rsidRDefault="00153898" w:rsidP="007E742F">
      <w:pPr>
        <w:pStyle w:val="ListParagraph"/>
        <w:numPr>
          <w:ilvl w:val="0"/>
          <w:numId w:val="15"/>
        </w:numPr>
        <w:spacing w:before="120" w:after="120"/>
        <w:ind w:left="567" w:hanging="425"/>
      </w:pPr>
      <w:hyperlink r:id="rId16" w:history="1">
        <w:r w:rsidR="00D03452" w:rsidRPr="0056026A">
          <w:t>Building and construction</w:t>
        </w:r>
      </w:hyperlink>
      <w:r w:rsidR="00D03452" w:rsidRPr="0056026A">
        <w:t xml:space="preserve"> including residential, commercial and </w:t>
      </w:r>
      <w:hyperlink r:id="rId17" w:history="1">
        <w:r w:rsidR="00D03452" w:rsidRPr="0056026A">
          <w:t>civil construction</w:t>
        </w:r>
      </w:hyperlink>
    </w:p>
    <w:p w14:paraId="29DA9035" w14:textId="77777777" w:rsidR="00D03452" w:rsidRPr="0056026A" w:rsidRDefault="00D03452" w:rsidP="0056026A">
      <w:pPr>
        <w:pStyle w:val="ListParagraph"/>
        <w:numPr>
          <w:ilvl w:val="0"/>
          <w:numId w:val="15"/>
        </w:numPr>
        <w:ind w:left="567" w:hanging="425"/>
      </w:pPr>
      <w:r w:rsidRPr="0056026A">
        <w:t xml:space="preserve">Community services including aged care, </w:t>
      </w:r>
      <w:hyperlink r:id="rId18" w:history="1">
        <w:r w:rsidRPr="0056026A">
          <w:t>disability</w:t>
        </w:r>
      </w:hyperlink>
      <w:r w:rsidRPr="0056026A">
        <w:t>, health care and community-based roles</w:t>
      </w:r>
    </w:p>
    <w:p w14:paraId="40DB1AF1" w14:textId="3E626079" w:rsidR="00D03452" w:rsidRPr="0056026A" w:rsidRDefault="00D03452" w:rsidP="0056026A">
      <w:pPr>
        <w:pStyle w:val="ListParagraph"/>
        <w:numPr>
          <w:ilvl w:val="0"/>
          <w:numId w:val="15"/>
        </w:numPr>
        <w:ind w:left="567" w:hanging="425"/>
      </w:pPr>
      <w:r w:rsidRPr="0056026A">
        <w:t xml:space="preserve">Energy infrastructure including </w:t>
      </w:r>
      <w:r w:rsidR="00293EB6" w:rsidRPr="0056026A">
        <w:t xml:space="preserve">renewable energy (particularly associated with wind farms) and </w:t>
      </w:r>
      <w:r w:rsidRPr="0056026A">
        <w:t>advanced manufacturing</w:t>
      </w:r>
    </w:p>
    <w:p w14:paraId="30A579A7" w14:textId="6679EC6D" w:rsidR="00D03452" w:rsidRPr="0056026A" w:rsidRDefault="00D03452" w:rsidP="0056026A">
      <w:pPr>
        <w:pStyle w:val="ListParagraph"/>
        <w:numPr>
          <w:ilvl w:val="0"/>
          <w:numId w:val="15"/>
        </w:numPr>
        <w:ind w:left="567" w:hanging="425"/>
      </w:pPr>
      <w:r w:rsidRPr="0056026A">
        <w:t xml:space="preserve">Primary industries including </w:t>
      </w:r>
      <w:r w:rsidR="00293EB6" w:rsidRPr="0056026A">
        <w:t xml:space="preserve">aquaculture, </w:t>
      </w:r>
      <w:r w:rsidRPr="0056026A">
        <w:t>fruit growers, vegetable growers, wine industry, dairy and wool growers</w:t>
      </w:r>
    </w:p>
    <w:p w14:paraId="6E6FFFBE" w14:textId="1E3800D8" w:rsidR="00293EB6" w:rsidRPr="0056026A" w:rsidRDefault="00293EB6" w:rsidP="0056026A">
      <w:pPr>
        <w:pStyle w:val="ListParagraph"/>
        <w:numPr>
          <w:ilvl w:val="0"/>
          <w:numId w:val="15"/>
        </w:numPr>
        <w:ind w:left="567" w:hanging="425"/>
      </w:pPr>
      <w:r w:rsidRPr="0056026A">
        <w:t>Mining and minerals processing industries</w:t>
      </w:r>
    </w:p>
    <w:p w14:paraId="5738B6EF" w14:textId="71693EAD" w:rsidR="00D03452" w:rsidRPr="0056026A" w:rsidRDefault="00153898" w:rsidP="0056026A">
      <w:pPr>
        <w:pStyle w:val="ListParagraph"/>
        <w:numPr>
          <w:ilvl w:val="0"/>
          <w:numId w:val="15"/>
        </w:numPr>
        <w:ind w:left="567" w:hanging="425"/>
      </w:pPr>
      <w:hyperlink r:id="rId19" w:history="1">
        <w:r w:rsidR="00D03452" w:rsidRPr="0056026A">
          <w:t>Transport industr</w:t>
        </w:r>
      </w:hyperlink>
      <w:r w:rsidR="00D03452" w:rsidRPr="0056026A">
        <w:t>y</w:t>
      </w:r>
      <w:r w:rsidR="00201C4C">
        <w:t>,</w:t>
      </w:r>
      <w:r w:rsidR="00D03452" w:rsidRPr="0056026A">
        <w:t xml:space="preserve"> and</w:t>
      </w:r>
    </w:p>
    <w:p w14:paraId="7EF2B4F0" w14:textId="6D966AA8" w:rsidR="0056026A" w:rsidRPr="0056026A" w:rsidRDefault="00153898" w:rsidP="0056026A">
      <w:pPr>
        <w:pStyle w:val="ListParagraph"/>
        <w:numPr>
          <w:ilvl w:val="0"/>
          <w:numId w:val="15"/>
        </w:numPr>
        <w:ind w:left="567" w:hanging="425"/>
      </w:pPr>
      <w:hyperlink r:id="rId20" w:history="1">
        <w:r w:rsidR="00D03452" w:rsidRPr="0056026A">
          <w:t>Tourism and hospitality</w:t>
        </w:r>
      </w:hyperlink>
      <w:r w:rsidR="00201C4C">
        <w:t>.</w:t>
      </w:r>
    </w:p>
    <w:p w14:paraId="24F5E9FA" w14:textId="35475138" w:rsidR="00D00406" w:rsidRPr="00D00406" w:rsidRDefault="00D03452" w:rsidP="002D4E30">
      <w:pPr>
        <w:spacing w:before="120" w:after="120" w:line="254" w:lineRule="auto"/>
        <w:rPr>
          <w:rFonts w:ascii="Calibri" w:hAnsi="Calibri" w:cstheme="minorHAnsi"/>
        </w:rPr>
      </w:pPr>
      <w:r w:rsidRPr="00D00406">
        <w:rPr>
          <w:rFonts w:ascii="Calibri" w:hAnsi="Calibri" w:cstheme="minorHAnsi"/>
        </w:rPr>
        <w:t xml:space="preserve">The </w:t>
      </w:r>
      <w:r w:rsidR="00D00406" w:rsidRPr="00D00406">
        <w:rPr>
          <w:rFonts w:ascii="Calibri" w:hAnsi="Calibri" w:cstheme="minorHAnsi"/>
        </w:rPr>
        <w:t>Launceston</w:t>
      </w:r>
      <w:r w:rsidRPr="00D00406">
        <w:rPr>
          <w:rFonts w:ascii="Calibri" w:hAnsi="Calibri" w:cstheme="minorHAnsi"/>
        </w:rPr>
        <w:t xml:space="preserve"> City Deal (a shared vision between the Australian and Tasmanian </w:t>
      </w:r>
      <w:r w:rsidR="007E742F">
        <w:rPr>
          <w:rFonts w:ascii="Calibri" w:hAnsi="Calibri" w:cstheme="minorHAnsi"/>
        </w:rPr>
        <w:t>G</w:t>
      </w:r>
      <w:r w:rsidRPr="00D00406">
        <w:rPr>
          <w:rFonts w:ascii="Calibri" w:hAnsi="Calibri" w:cstheme="minorHAnsi"/>
        </w:rPr>
        <w:t xml:space="preserve">overnments and the </w:t>
      </w:r>
      <w:r w:rsidR="00D00406" w:rsidRPr="00D00406">
        <w:rPr>
          <w:rFonts w:ascii="Calibri" w:hAnsi="Calibri" w:cstheme="minorHAnsi"/>
        </w:rPr>
        <w:t xml:space="preserve">Launceston </w:t>
      </w:r>
      <w:r w:rsidR="007E742F">
        <w:rPr>
          <w:rFonts w:ascii="Calibri" w:hAnsi="Calibri" w:cstheme="minorHAnsi"/>
        </w:rPr>
        <w:t>C</w:t>
      </w:r>
      <w:r w:rsidR="00D00406" w:rsidRPr="00D00406">
        <w:rPr>
          <w:rFonts w:ascii="Calibri" w:hAnsi="Calibri" w:cstheme="minorHAnsi"/>
        </w:rPr>
        <w:t>ity</w:t>
      </w:r>
      <w:r w:rsidRPr="00D00406">
        <w:rPr>
          <w:rFonts w:ascii="Calibri" w:hAnsi="Calibri" w:cstheme="minorHAnsi"/>
        </w:rPr>
        <w:t xml:space="preserve"> </w:t>
      </w:r>
      <w:r w:rsidR="007E742F">
        <w:rPr>
          <w:rFonts w:ascii="Calibri" w:hAnsi="Calibri" w:cstheme="minorHAnsi"/>
        </w:rPr>
        <w:t>C</w:t>
      </w:r>
      <w:r w:rsidRPr="00D00406">
        <w:rPr>
          <w:rFonts w:ascii="Calibri" w:hAnsi="Calibri" w:cstheme="minorHAnsi"/>
        </w:rPr>
        <w:t xml:space="preserve">ouncil) includes </w:t>
      </w:r>
      <w:r w:rsidR="00D00406" w:rsidRPr="00D00406">
        <w:rPr>
          <w:rFonts w:ascii="Calibri" w:hAnsi="Calibri" w:cstheme="minorHAnsi"/>
        </w:rPr>
        <w:t>the Inveresk precinct redevelopment, enhancement of Launceston’s City Heart precinct as a regional retail, cultural and business hub, improved governance and planning for the Tamar River estuary, and the Launceston apprenticeships pipeline project.</w:t>
      </w:r>
    </w:p>
    <w:p w14:paraId="419D2469" w14:textId="407CE2A3" w:rsidR="00D03452" w:rsidRDefault="00D03452" w:rsidP="002D4E30">
      <w:pPr>
        <w:spacing w:before="240" w:after="160"/>
        <w:rPr>
          <w:rFonts w:ascii="Calibri" w:hAnsi="Calibri" w:cs="Calibri"/>
        </w:rPr>
      </w:pPr>
      <w:r w:rsidRPr="00D00406">
        <w:rPr>
          <w:rFonts w:ascii="Calibri" w:hAnsi="Calibri" w:cs="Calibri"/>
        </w:rPr>
        <w:t xml:space="preserve">Whilst employers experience recruitment and retention challenges, there are </w:t>
      </w:r>
      <w:r w:rsidR="00D00406" w:rsidRPr="00D00406">
        <w:rPr>
          <w:rFonts w:ascii="Calibri" w:hAnsi="Calibri" w:cs="Calibri"/>
        </w:rPr>
        <w:t xml:space="preserve">some unique challenges faced by industries </w:t>
      </w:r>
      <w:r w:rsidRPr="00D00406">
        <w:rPr>
          <w:rFonts w:ascii="Calibri" w:hAnsi="Calibri" w:cs="Calibri"/>
        </w:rPr>
        <w:t xml:space="preserve">that are highly casualised, employ low skilled workers and are seasonal. </w:t>
      </w:r>
      <w:r w:rsidR="00D00406" w:rsidRPr="00D00406">
        <w:rPr>
          <w:rFonts w:ascii="Calibri" w:hAnsi="Calibri" w:cs="Calibri"/>
        </w:rPr>
        <w:t>This is because t</w:t>
      </w:r>
      <w:r w:rsidRPr="00D00406">
        <w:rPr>
          <w:rFonts w:ascii="Calibri" w:hAnsi="Calibri" w:cs="Calibri"/>
        </w:rPr>
        <w:t>hese industries are less appealing to job seekers and as a result</w:t>
      </w:r>
      <w:r w:rsidR="007E742F">
        <w:rPr>
          <w:rFonts w:ascii="Calibri" w:hAnsi="Calibri" w:cs="Calibri"/>
        </w:rPr>
        <w:t xml:space="preserve">, </w:t>
      </w:r>
      <w:r w:rsidRPr="00D00406">
        <w:rPr>
          <w:rFonts w:ascii="Calibri" w:hAnsi="Calibri" w:cs="Calibri"/>
        </w:rPr>
        <w:t>affected by shortages of skilled and/or experienced labour.</w:t>
      </w:r>
    </w:p>
    <w:p w14:paraId="7697AA76" w14:textId="24F5F77D" w:rsidR="00D03452" w:rsidRDefault="00D03452" w:rsidP="002D4E30"/>
    <w:p w14:paraId="1161FF82" w14:textId="4BC6F814" w:rsidR="007D1210" w:rsidRPr="007E742F" w:rsidRDefault="00690A1C" w:rsidP="002D4E30">
      <w:pPr>
        <w:pStyle w:val="Heading2"/>
        <w:rPr>
          <w:rFonts w:eastAsia="Times New Roman"/>
          <w:b w:val="0"/>
          <w:bCs w:val="0"/>
          <w:noProof/>
          <w:color w:val="1D4289"/>
          <w:sz w:val="48"/>
          <w:szCs w:val="48"/>
        </w:rPr>
      </w:pPr>
      <w:bookmarkStart w:id="14" w:name="_Toc25859225"/>
      <w:bookmarkStart w:id="15" w:name="_Toc25859302"/>
      <w:bookmarkStart w:id="16" w:name="_Toc25860024"/>
      <w:bookmarkStart w:id="17" w:name="_Toc25859229"/>
      <w:bookmarkStart w:id="18" w:name="_Toc25859306"/>
      <w:bookmarkStart w:id="19" w:name="_Toc25860028"/>
      <w:bookmarkStart w:id="20" w:name="_Toc25859230"/>
      <w:bookmarkStart w:id="21" w:name="_Toc25859307"/>
      <w:bookmarkStart w:id="22" w:name="_Toc25860029"/>
      <w:bookmarkStart w:id="23" w:name="_Toc25859233"/>
      <w:bookmarkStart w:id="24" w:name="_Toc25859310"/>
      <w:bookmarkStart w:id="25" w:name="_Toc25860032"/>
      <w:bookmarkStart w:id="26" w:name="_Toc80086435"/>
      <w:bookmarkEnd w:id="1"/>
      <w:bookmarkEnd w:id="3"/>
      <w:bookmarkEnd w:id="14"/>
      <w:bookmarkEnd w:id="15"/>
      <w:bookmarkEnd w:id="16"/>
      <w:bookmarkEnd w:id="17"/>
      <w:bookmarkEnd w:id="18"/>
      <w:bookmarkEnd w:id="19"/>
      <w:bookmarkEnd w:id="20"/>
      <w:bookmarkEnd w:id="21"/>
      <w:bookmarkEnd w:id="22"/>
      <w:bookmarkEnd w:id="23"/>
      <w:bookmarkEnd w:id="24"/>
      <w:bookmarkEnd w:id="25"/>
      <w:r w:rsidRPr="007E742F">
        <w:rPr>
          <w:rFonts w:eastAsia="Times New Roman"/>
          <w:b w:val="0"/>
          <w:bCs w:val="0"/>
          <w:noProof/>
          <w:color w:val="1D4289"/>
          <w:sz w:val="48"/>
          <w:szCs w:val="48"/>
        </w:rPr>
        <w:lastRenderedPageBreak/>
        <w:t xml:space="preserve">Attachment A – Key </w:t>
      </w:r>
      <w:r w:rsidR="007D1210" w:rsidRPr="007E742F">
        <w:rPr>
          <w:rFonts w:eastAsia="Times New Roman"/>
          <w:b w:val="0"/>
          <w:bCs w:val="0"/>
          <w:noProof/>
          <w:color w:val="1D4289"/>
          <w:sz w:val="48"/>
          <w:szCs w:val="48"/>
        </w:rPr>
        <w:t>e</w:t>
      </w:r>
      <w:r w:rsidRPr="007E742F">
        <w:rPr>
          <w:rFonts w:eastAsia="Times New Roman"/>
          <w:b w:val="0"/>
          <w:bCs w:val="0"/>
          <w:noProof/>
          <w:color w:val="1D4289"/>
          <w:sz w:val="48"/>
          <w:szCs w:val="48"/>
        </w:rPr>
        <w:t xml:space="preserve">mployment and </w:t>
      </w:r>
      <w:r w:rsidR="007D1210" w:rsidRPr="007E742F">
        <w:rPr>
          <w:rFonts w:eastAsia="Times New Roman"/>
          <w:b w:val="0"/>
          <w:bCs w:val="0"/>
          <w:noProof/>
          <w:color w:val="1D4289"/>
          <w:sz w:val="48"/>
          <w:szCs w:val="48"/>
        </w:rPr>
        <w:t>t</w:t>
      </w:r>
      <w:r w:rsidRPr="007E742F">
        <w:rPr>
          <w:rFonts w:eastAsia="Times New Roman"/>
          <w:b w:val="0"/>
          <w:bCs w:val="0"/>
          <w:noProof/>
          <w:color w:val="1D4289"/>
          <w:sz w:val="48"/>
          <w:szCs w:val="48"/>
        </w:rPr>
        <w:t xml:space="preserve">raining </w:t>
      </w:r>
      <w:r w:rsidR="007D1210" w:rsidRPr="007E742F">
        <w:rPr>
          <w:rFonts w:eastAsia="Times New Roman"/>
          <w:b w:val="0"/>
          <w:bCs w:val="0"/>
          <w:noProof/>
          <w:color w:val="1D4289"/>
          <w:sz w:val="48"/>
          <w:szCs w:val="48"/>
        </w:rPr>
        <w:t>pr</w:t>
      </w:r>
      <w:r w:rsidRPr="007E742F">
        <w:rPr>
          <w:rFonts w:eastAsia="Times New Roman"/>
          <w:b w:val="0"/>
          <w:bCs w:val="0"/>
          <w:noProof/>
          <w:color w:val="1D4289"/>
          <w:sz w:val="48"/>
          <w:szCs w:val="48"/>
        </w:rPr>
        <w:t>iorities</w:t>
      </w:r>
      <w:r w:rsidR="00762607" w:rsidRPr="007E742F">
        <w:rPr>
          <w:rFonts w:eastAsia="Times New Roman"/>
          <w:b w:val="0"/>
          <w:bCs w:val="0"/>
          <w:noProof/>
          <w:color w:val="1D4289"/>
          <w:sz w:val="48"/>
          <w:szCs w:val="48"/>
        </w:rPr>
        <w:t xml:space="preserve">: </w:t>
      </w:r>
      <w:r w:rsidR="007D1210" w:rsidRPr="007E742F">
        <w:rPr>
          <w:rFonts w:eastAsia="Times New Roman"/>
          <w:b w:val="0"/>
          <w:bCs w:val="0"/>
          <w:noProof/>
          <w:color w:val="1D4289"/>
          <w:sz w:val="48"/>
          <w:szCs w:val="48"/>
        </w:rPr>
        <w:t>s</w:t>
      </w:r>
      <w:r w:rsidR="00762607" w:rsidRPr="007E742F">
        <w:rPr>
          <w:rFonts w:eastAsia="Times New Roman"/>
          <w:b w:val="0"/>
          <w:bCs w:val="0"/>
          <w:noProof/>
          <w:color w:val="1D4289"/>
          <w:sz w:val="48"/>
          <w:szCs w:val="48"/>
        </w:rPr>
        <w:t xml:space="preserve">trategies and </w:t>
      </w:r>
      <w:r w:rsidR="007D1210" w:rsidRPr="007E742F">
        <w:rPr>
          <w:rFonts w:eastAsia="Times New Roman"/>
          <w:b w:val="0"/>
          <w:bCs w:val="0"/>
          <w:noProof/>
          <w:color w:val="1D4289"/>
          <w:sz w:val="48"/>
          <w:szCs w:val="48"/>
        </w:rPr>
        <w:t>s</w:t>
      </w:r>
      <w:r w:rsidR="00762607" w:rsidRPr="007E742F">
        <w:rPr>
          <w:rFonts w:eastAsia="Times New Roman"/>
          <w:b w:val="0"/>
          <w:bCs w:val="0"/>
          <w:noProof/>
          <w:color w:val="1D4289"/>
          <w:sz w:val="48"/>
          <w:szCs w:val="48"/>
        </w:rPr>
        <w:t>takeholders</w:t>
      </w:r>
      <w:bookmarkEnd w:id="26"/>
    </w:p>
    <w:p w14:paraId="5F643828" w14:textId="77777777" w:rsidR="00D03452" w:rsidRPr="00D03452" w:rsidRDefault="00D03452" w:rsidP="002D4E30"/>
    <w:p w14:paraId="7793D752" w14:textId="77777777" w:rsidR="00D03452" w:rsidRDefault="00D03452" w:rsidP="002D4E30">
      <w:pPr>
        <w:pStyle w:val="ListParagraph"/>
        <w:numPr>
          <w:ilvl w:val="0"/>
          <w:numId w:val="8"/>
        </w:numPr>
        <w:spacing w:afterLines="200" w:after="480"/>
        <w:ind w:left="357" w:hanging="357"/>
      </w:pPr>
      <w:bookmarkStart w:id="27" w:name="_Toc54508453"/>
      <w:r>
        <w:rPr>
          <w:b/>
        </w:rPr>
        <w:t>Maximising the extent to which local positions are filled by local job seekers – including through ensuring apprenticeship positions are filled and locals are skilled to meet the needs of employers in the construction and other relevant sector</w:t>
      </w:r>
      <w:bookmarkEnd w:id="27"/>
      <w:r>
        <w:rPr>
          <w:b/>
        </w:rPr>
        <w:t>s.</w:t>
      </w:r>
      <w:r>
        <w:t xml:space="preserve"> </w:t>
      </w:r>
    </w:p>
    <w:p w14:paraId="7DB84E5C" w14:textId="77777777" w:rsidR="00D03452" w:rsidRDefault="00D03452" w:rsidP="0056026A">
      <w:pPr>
        <w:pStyle w:val="ListParagraph"/>
        <w:ind w:left="567"/>
      </w:pPr>
    </w:p>
    <w:p w14:paraId="46393ADF" w14:textId="5D6968A3" w:rsidR="0056026A" w:rsidRPr="0056026A" w:rsidRDefault="00D03452" w:rsidP="00087E69">
      <w:pPr>
        <w:pStyle w:val="ListParagraph"/>
        <w:numPr>
          <w:ilvl w:val="0"/>
          <w:numId w:val="15"/>
        </w:numPr>
        <w:ind w:left="567" w:hanging="425"/>
      </w:pPr>
      <w:r w:rsidRPr="0056026A">
        <w:t>A range of current and future residential and infrastructure construction projects offer opportunities for employment and apprenticeships. Major infrastructure projects in the region include:</w:t>
      </w:r>
    </w:p>
    <w:p w14:paraId="669F5344" w14:textId="77777777" w:rsidR="00D03452" w:rsidRDefault="00D03452" w:rsidP="0056026A">
      <w:pPr>
        <w:pStyle w:val="ListParagraph"/>
        <w:numPr>
          <w:ilvl w:val="0"/>
          <w:numId w:val="22"/>
        </w:numPr>
        <w:spacing w:afterLines="200" w:after="480"/>
      </w:pPr>
      <w:r>
        <w:t>the Burnie and Launceston UTAS campus redevelopments</w:t>
      </w:r>
    </w:p>
    <w:p w14:paraId="094A5117" w14:textId="77777777" w:rsidR="00D03452" w:rsidRDefault="00D03452" w:rsidP="0056026A">
      <w:pPr>
        <w:pStyle w:val="ListParagraph"/>
        <w:numPr>
          <w:ilvl w:val="0"/>
          <w:numId w:val="22"/>
        </w:numPr>
        <w:spacing w:afterLines="200" w:after="480"/>
      </w:pPr>
      <w:r>
        <w:t>building of the Northern Regional Prison</w:t>
      </w:r>
    </w:p>
    <w:p w14:paraId="03159CBA" w14:textId="77777777" w:rsidR="00D03452" w:rsidRDefault="00D03452" w:rsidP="0056026A">
      <w:pPr>
        <w:pStyle w:val="ListParagraph"/>
        <w:numPr>
          <w:ilvl w:val="0"/>
          <w:numId w:val="22"/>
        </w:numPr>
        <w:spacing w:afterLines="200" w:after="480"/>
      </w:pPr>
      <w:r>
        <w:t>hydrogen energy initiatives</w:t>
      </w:r>
    </w:p>
    <w:p w14:paraId="6F2A35FA" w14:textId="77777777" w:rsidR="00D03452" w:rsidRDefault="00D03452" w:rsidP="0056026A">
      <w:pPr>
        <w:pStyle w:val="ListParagraph"/>
        <w:numPr>
          <w:ilvl w:val="0"/>
          <w:numId w:val="22"/>
        </w:numPr>
        <w:spacing w:afterLines="200" w:after="480"/>
      </w:pPr>
      <w:r>
        <w:t>renewable energy initiatives such as the Battery of the Nation and Project Marinus, Robbins Island, Cattle Hill and Jim’s Plains wind farms</w:t>
      </w:r>
    </w:p>
    <w:p w14:paraId="4165B0AF" w14:textId="77777777" w:rsidR="00D03452" w:rsidRDefault="00D03452" w:rsidP="0056026A">
      <w:pPr>
        <w:pStyle w:val="ListParagraph"/>
        <w:numPr>
          <w:ilvl w:val="0"/>
          <w:numId w:val="22"/>
        </w:numPr>
        <w:spacing w:afterLines="200" w:after="480"/>
      </w:pPr>
      <w:r>
        <w:t xml:space="preserve">the Launceston Sewer Improvement Program, and </w:t>
      </w:r>
    </w:p>
    <w:p w14:paraId="7537F387" w14:textId="77777777" w:rsidR="00D03452" w:rsidRDefault="00D03452" w:rsidP="0056026A">
      <w:pPr>
        <w:pStyle w:val="ListParagraph"/>
        <w:numPr>
          <w:ilvl w:val="0"/>
          <w:numId w:val="22"/>
        </w:numPr>
        <w:spacing w:after="0"/>
      </w:pPr>
      <w:r>
        <w:t xml:space="preserve">the consolidation, reopening or redevelopment of Savage River, Mount Lyell and Beaconsfield mines. </w:t>
      </w:r>
    </w:p>
    <w:p w14:paraId="7E866698" w14:textId="77777777" w:rsidR="00D03452" w:rsidRDefault="00D03452" w:rsidP="002D4E30">
      <w:pPr>
        <w:pStyle w:val="ListParagraph"/>
        <w:spacing w:after="0"/>
        <w:ind w:left="717"/>
      </w:pPr>
    </w:p>
    <w:p w14:paraId="051ACC6F" w14:textId="77777777" w:rsidR="00D03452" w:rsidRPr="0056026A" w:rsidRDefault="00D03452" w:rsidP="0056026A">
      <w:pPr>
        <w:pStyle w:val="ListParagraph"/>
        <w:numPr>
          <w:ilvl w:val="0"/>
          <w:numId w:val="15"/>
        </w:numPr>
        <w:ind w:left="567" w:hanging="425"/>
      </w:pPr>
      <w:r w:rsidRPr="0056026A">
        <w:t xml:space="preserve">Several state-wide infrastructure projects also appear likely to have a significant impact on the region, including the Pipeline to Prosperity irrigation infrastructure development project, the Tasmanian Freight Rail Revitalisation Program and upgrades to road infrastructure, including the Midland and Bass Highway. </w:t>
      </w:r>
    </w:p>
    <w:p w14:paraId="7021717F" w14:textId="77777777" w:rsidR="00D03452" w:rsidRPr="0056026A" w:rsidRDefault="00D03452" w:rsidP="0056026A">
      <w:pPr>
        <w:pStyle w:val="ListParagraph"/>
        <w:ind w:left="567"/>
      </w:pPr>
    </w:p>
    <w:p w14:paraId="4E0C17A9" w14:textId="7185B4F5" w:rsidR="00D03452" w:rsidRPr="0056026A" w:rsidRDefault="00D03452" w:rsidP="0056026A">
      <w:pPr>
        <w:pStyle w:val="ListParagraph"/>
        <w:numPr>
          <w:ilvl w:val="0"/>
          <w:numId w:val="15"/>
        </w:numPr>
        <w:ind w:left="567" w:hanging="425"/>
      </w:pPr>
      <w:r w:rsidRPr="0056026A">
        <w:t>Of particular note are employment impacts such as an industry identified need for workers with polymer welding skills to facilitate irrigation infrastructure rollout. Employers have reported strong demand for road infrastructure related traffic management qualifications/skills, and CNC machining and metal fabrication skills required by employers in Defence contracting supply chains and other industry contracts.</w:t>
      </w:r>
    </w:p>
    <w:p w14:paraId="40F4986B" w14:textId="77777777" w:rsidR="00D03452" w:rsidRPr="0056026A" w:rsidRDefault="00D03452" w:rsidP="0056026A">
      <w:pPr>
        <w:pStyle w:val="ListParagraph"/>
        <w:ind w:left="567"/>
      </w:pPr>
    </w:p>
    <w:p w14:paraId="02881B8A" w14:textId="050A7230" w:rsidR="00D03452" w:rsidRDefault="00D03452" w:rsidP="002900D4">
      <w:pPr>
        <w:pStyle w:val="ListParagraph"/>
        <w:numPr>
          <w:ilvl w:val="0"/>
          <w:numId w:val="15"/>
        </w:numPr>
        <w:spacing w:line="240" w:lineRule="auto"/>
        <w:ind w:left="567" w:hanging="425"/>
      </w:pPr>
      <w:r>
        <w:t xml:space="preserve">Other emerging sectors across the employment region include mountain biking, adventure and general tourism guiding. Fermentation and distilling are also facing the need for skilled local job seekers.  These sectors represent potential employment opportunities for entry level workers where the Local Jobs Program can consider strategic engagement.   </w:t>
      </w:r>
      <w:r w:rsidRPr="0056026A">
        <w:t xml:space="preserve"> </w:t>
      </w:r>
    </w:p>
    <w:p w14:paraId="1DD338DC" w14:textId="77777777" w:rsidR="002900D4" w:rsidRDefault="002900D4" w:rsidP="00DD7BBC">
      <w:pPr>
        <w:pStyle w:val="ListParagraph"/>
      </w:pPr>
    </w:p>
    <w:p w14:paraId="073A7093" w14:textId="42F7FDAA" w:rsidR="00D03452" w:rsidRDefault="00D03452" w:rsidP="00322CDD">
      <w:pPr>
        <w:pStyle w:val="ListParagraph"/>
        <w:keepNext/>
        <w:keepLines/>
        <w:numPr>
          <w:ilvl w:val="0"/>
          <w:numId w:val="8"/>
        </w:numPr>
        <w:spacing w:before="120" w:after="120"/>
        <w:rPr>
          <w:b/>
        </w:rPr>
      </w:pPr>
      <w:bookmarkStart w:id="28" w:name="_Toc54508454"/>
      <w:r>
        <w:rPr>
          <w:b/>
        </w:rPr>
        <w:lastRenderedPageBreak/>
        <w:t>Maximising the benefits of existing Australian and Tasmania Government programs aimed at skills development and employment pathways</w:t>
      </w:r>
      <w:bookmarkEnd w:id="28"/>
    </w:p>
    <w:p w14:paraId="3ECB449D" w14:textId="77777777" w:rsidR="0056026A" w:rsidRDefault="0056026A" w:rsidP="00322CDD">
      <w:pPr>
        <w:pStyle w:val="ListParagraph"/>
        <w:keepNext/>
        <w:keepLines/>
        <w:spacing w:before="120" w:after="120"/>
        <w:ind w:left="360"/>
        <w:rPr>
          <w:b/>
        </w:rPr>
      </w:pPr>
    </w:p>
    <w:p w14:paraId="67FD7A63" w14:textId="55294191" w:rsidR="00D03452" w:rsidRPr="0056026A" w:rsidRDefault="00D03452" w:rsidP="00322CDD">
      <w:pPr>
        <w:pStyle w:val="ListParagraph"/>
        <w:keepNext/>
        <w:keepLines/>
        <w:numPr>
          <w:ilvl w:val="0"/>
          <w:numId w:val="15"/>
        </w:numPr>
        <w:spacing w:after="120"/>
        <w:ind w:left="567" w:hanging="425"/>
        <w:contextualSpacing w:val="0"/>
      </w:pPr>
      <w:r w:rsidRPr="0056026A">
        <w:t>Several Australian and Tasmanian Government programs targeting skills development and employment pathways are already operating in North and North</w:t>
      </w:r>
      <w:r w:rsidR="00C92AA9">
        <w:t xml:space="preserve"> </w:t>
      </w:r>
      <w:r w:rsidRPr="0056026A">
        <w:t>West</w:t>
      </w:r>
      <w:r w:rsidR="00C92AA9">
        <w:t>ern</w:t>
      </w:r>
      <w:r w:rsidRPr="0056026A">
        <w:t xml:space="preserve"> Tasmania. There is potential to support people and businesses to take advantage of these in an integrated and place-based way. The range of programs and services include, but are not limited to: </w:t>
      </w:r>
    </w:p>
    <w:p w14:paraId="024D10A5" w14:textId="50F50BD1" w:rsidR="00D03452" w:rsidRDefault="00D03452" w:rsidP="0056026A">
      <w:pPr>
        <w:pStyle w:val="ListParagraph"/>
        <w:numPr>
          <w:ilvl w:val="0"/>
          <w:numId w:val="22"/>
        </w:numPr>
        <w:spacing w:afterLines="200" w:after="480"/>
      </w:pPr>
      <w:r>
        <w:t xml:space="preserve">Australian Government employment services including jobactive, Transition to Work, Parents </w:t>
      </w:r>
      <w:r w:rsidR="00322CDD">
        <w:t>N</w:t>
      </w:r>
      <w:r>
        <w:t xml:space="preserve">ext, Employability Skills Training, PaTH industry pilots, Skills for Education and Employment (SEE). </w:t>
      </w:r>
    </w:p>
    <w:p w14:paraId="618433E6" w14:textId="77777777" w:rsidR="00D03452" w:rsidRDefault="00D03452" w:rsidP="0056026A">
      <w:pPr>
        <w:pStyle w:val="ListParagraph"/>
        <w:numPr>
          <w:ilvl w:val="0"/>
          <w:numId w:val="22"/>
        </w:numPr>
        <w:spacing w:afterLines="200" w:after="480"/>
      </w:pPr>
      <w:r>
        <w:t>The Australian Government Industry Training Hub and the Career Facilitator</w:t>
      </w:r>
      <w:r w:rsidRPr="0056026A">
        <w:t xml:space="preserve"> </w:t>
      </w:r>
      <w:r>
        <w:t xml:space="preserve">in Burnie. The Industry Training Hub has been in place since March 2020 and aims to improve opportunities for young people in regions with high youth unemployment, targeting Year 11 and Year 12 students. The Career Facilitator works with young people to build skills and choose occupations in demand in their region. </w:t>
      </w:r>
    </w:p>
    <w:p w14:paraId="27C7F3F9" w14:textId="77777777" w:rsidR="00D03452" w:rsidRPr="0056026A" w:rsidRDefault="00D03452" w:rsidP="0056026A">
      <w:pPr>
        <w:pStyle w:val="ListParagraph"/>
        <w:numPr>
          <w:ilvl w:val="0"/>
          <w:numId w:val="22"/>
        </w:numPr>
        <w:spacing w:afterLines="200" w:after="480"/>
      </w:pPr>
      <w:r>
        <w:t xml:space="preserve">The </w:t>
      </w:r>
      <w:proofErr w:type="spellStart"/>
      <w:r>
        <w:t>JobTrainer</w:t>
      </w:r>
      <w:proofErr w:type="spellEnd"/>
      <w:r>
        <w:t xml:space="preserve"> Fund provides fee-free, nationally recognised training in up to 200 priority qualifications for industries with an identified need for more skilled workers and represents up to 7,000 additional placements for Tasmanians. </w:t>
      </w:r>
    </w:p>
    <w:p w14:paraId="3CE753C6" w14:textId="77777777" w:rsidR="00D03452" w:rsidRPr="0056026A" w:rsidRDefault="00D03452" w:rsidP="0056026A">
      <w:pPr>
        <w:pStyle w:val="ListParagraph"/>
        <w:numPr>
          <w:ilvl w:val="0"/>
          <w:numId w:val="22"/>
        </w:numPr>
        <w:spacing w:afterLines="200" w:after="480"/>
      </w:pPr>
      <w:r>
        <w:t xml:space="preserve">Opportunities as part of the Energising Tasmania commitment to develop a skilled workforce equipped with the expertise needed for the renewable energy and related sectors in Tasmania. </w:t>
      </w:r>
      <w:r w:rsidRPr="0056026A">
        <w:t>Energising Tasmania is a $16.1 million funding commitment from the Australian Government to develop a skilled workforce to meet demand across our major energy projects, including Project Marinus and Battery of the Nation.</w:t>
      </w:r>
    </w:p>
    <w:p w14:paraId="1185B53D" w14:textId="098EB8F3" w:rsidR="00D03452" w:rsidRDefault="00D03452" w:rsidP="0056026A">
      <w:pPr>
        <w:pStyle w:val="ListParagraph"/>
        <w:numPr>
          <w:ilvl w:val="0"/>
          <w:numId w:val="22"/>
        </w:numPr>
        <w:spacing w:afterLines="200" w:after="480"/>
      </w:pPr>
      <w:r>
        <w:t>The</w:t>
      </w:r>
      <w:r w:rsidRPr="0056026A">
        <w:t xml:space="preserve"> </w:t>
      </w:r>
      <w:r>
        <w:t>Rapid Response Skills Initiative provides up to $3,000 towards the cost of training for eligible people who have lost casual, full-time or part-time work in the last 12 months due to</w:t>
      </w:r>
      <w:r w:rsidR="0056026A">
        <w:t xml:space="preserve"> </w:t>
      </w:r>
      <w:r>
        <w:t xml:space="preserve">retrenchment, downsizing or business closure. </w:t>
      </w:r>
    </w:p>
    <w:p w14:paraId="4359F228" w14:textId="77777777" w:rsidR="0056026A" w:rsidRDefault="0056026A" w:rsidP="0056026A">
      <w:pPr>
        <w:pStyle w:val="ListParagraph"/>
        <w:spacing w:afterLines="200" w:after="480"/>
        <w:ind w:left="717"/>
      </w:pPr>
    </w:p>
    <w:p w14:paraId="4134F8DC" w14:textId="0F4519EB" w:rsidR="00087E69" w:rsidRPr="0056026A" w:rsidRDefault="00D03452" w:rsidP="00087E69">
      <w:pPr>
        <w:pStyle w:val="ListParagraph"/>
        <w:numPr>
          <w:ilvl w:val="0"/>
          <w:numId w:val="15"/>
        </w:numPr>
        <w:ind w:left="567" w:hanging="425"/>
      </w:pPr>
      <w:r w:rsidRPr="0056026A">
        <w:t>Further to the above, the Tasmanian government has made a number of policy commitments in 2021 relevant to skills and employment initiatives. These include:</w:t>
      </w:r>
    </w:p>
    <w:p w14:paraId="35666232" w14:textId="77777777" w:rsidR="00D03452" w:rsidRDefault="00D03452" w:rsidP="0056026A">
      <w:pPr>
        <w:pStyle w:val="ListParagraph"/>
        <w:numPr>
          <w:ilvl w:val="0"/>
          <w:numId w:val="22"/>
        </w:numPr>
        <w:spacing w:afterLines="200" w:after="480"/>
      </w:pPr>
      <w:r w:rsidRPr="0056026A">
        <w:t>$20.5 million</w:t>
      </w:r>
      <w:r>
        <w:t xml:space="preserve"> committed to Jobs Tasmania Local Jobs Networks, as well as the establishment of a new Jobs and Participation Unit in Skills Tasmania to oversee the implementation of these Local Jobs Networks.  There are two existing hubs (Break </w:t>
      </w:r>
      <w:proofErr w:type="spellStart"/>
      <w:r>
        <w:t>O'Day</w:t>
      </w:r>
      <w:proofErr w:type="spellEnd"/>
      <w:r>
        <w:t xml:space="preserve"> Employment Connect and Northern Employment Business Hub), to which a third will be added in Burnie</w:t>
      </w:r>
    </w:p>
    <w:p w14:paraId="33D1EA5D" w14:textId="23C1CC79" w:rsidR="00D03452" w:rsidRDefault="00D03452" w:rsidP="0056026A">
      <w:pPr>
        <w:pStyle w:val="ListParagraph"/>
        <w:numPr>
          <w:ilvl w:val="0"/>
          <w:numId w:val="22"/>
        </w:numPr>
        <w:spacing w:afterLines="200" w:after="480"/>
      </w:pPr>
      <w:r w:rsidRPr="0056026A">
        <w:t>$2 million</w:t>
      </w:r>
      <w:r>
        <w:t xml:space="preserve"> for a Tasmanian Job Ready Fund to help job</w:t>
      </w:r>
      <w:r w:rsidR="005916F8">
        <w:t xml:space="preserve"> </w:t>
      </w:r>
      <w:r>
        <w:t>seekers gain essential tools to get a job</w:t>
      </w:r>
    </w:p>
    <w:p w14:paraId="1718AF3B" w14:textId="63D33601" w:rsidR="00D03452" w:rsidRDefault="00D03452" w:rsidP="0056026A">
      <w:pPr>
        <w:pStyle w:val="ListParagraph"/>
        <w:numPr>
          <w:ilvl w:val="0"/>
          <w:numId w:val="22"/>
        </w:numPr>
        <w:spacing w:afterLines="200" w:after="480"/>
      </w:pPr>
      <w:r w:rsidRPr="0056026A">
        <w:t>$3.2 million</w:t>
      </w:r>
      <w:r>
        <w:t xml:space="preserve"> to expand the Area Connect Service from 6 to 16 regions</w:t>
      </w:r>
    </w:p>
    <w:p w14:paraId="29071BD0" w14:textId="5CCE146C" w:rsidR="00D03452" w:rsidRDefault="00D03452" w:rsidP="0056026A">
      <w:pPr>
        <w:pStyle w:val="ListParagraph"/>
        <w:numPr>
          <w:ilvl w:val="0"/>
          <w:numId w:val="22"/>
        </w:numPr>
        <w:spacing w:afterLines="200" w:after="480"/>
      </w:pPr>
      <w:r w:rsidRPr="0056026A">
        <w:t>$400,000</w:t>
      </w:r>
      <w:r>
        <w:t xml:space="preserve"> for a Worker Connect Portal for Tasmanian businesses and job</w:t>
      </w:r>
      <w:r w:rsidR="005916F8">
        <w:t xml:space="preserve"> </w:t>
      </w:r>
      <w:r>
        <w:t>seekers to share and access information on support services, programs and local jobs</w:t>
      </w:r>
    </w:p>
    <w:p w14:paraId="10C2C8F1" w14:textId="38CB9F7A" w:rsidR="00D03452" w:rsidRDefault="00D03452" w:rsidP="0056026A">
      <w:pPr>
        <w:pStyle w:val="ListParagraph"/>
        <w:numPr>
          <w:ilvl w:val="0"/>
          <w:numId w:val="22"/>
        </w:numPr>
        <w:spacing w:afterLines="200" w:after="480"/>
      </w:pPr>
      <w:r w:rsidRPr="0056026A">
        <w:t>$200,000</w:t>
      </w:r>
      <w:r>
        <w:t xml:space="preserve"> for a Regional Jobs Show and Events program to demonstrate opportunities for employment, which will run in partnership with the local community and Local Jobs Networks</w:t>
      </w:r>
    </w:p>
    <w:p w14:paraId="1BA378E1" w14:textId="20F92FD8" w:rsidR="00D03452" w:rsidRDefault="00D03452" w:rsidP="0056026A">
      <w:pPr>
        <w:pStyle w:val="ListParagraph"/>
        <w:numPr>
          <w:ilvl w:val="0"/>
          <w:numId w:val="22"/>
        </w:numPr>
        <w:spacing w:afterLines="200" w:after="480"/>
      </w:pPr>
      <w:r w:rsidRPr="0056026A">
        <w:t>$2.4 million</w:t>
      </w:r>
      <w:r>
        <w:t xml:space="preserve"> for the expansion of the </w:t>
      </w:r>
      <w:r w:rsidR="00D7484A">
        <w:t>j</w:t>
      </w:r>
      <w:r>
        <w:t xml:space="preserve">ob </w:t>
      </w:r>
      <w:r w:rsidR="00D7484A">
        <w:t>m</w:t>
      </w:r>
      <w:r>
        <w:t>atching service</w:t>
      </w:r>
    </w:p>
    <w:p w14:paraId="69611379" w14:textId="77777777" w:rsidR="00D03452" w:rsidRDefault="00D03452" w:rsidP="0056026A">
      <w:pPr>
        <w:pStyle w:val="ListParagraph"/>
        <w:numPr>
          <w:ilvl w:val="0"/>
          <w:numId w:val="22"/>
        </w:numPr>
        <w:spacing w:afterLines="200" w:after="480"/>
      </w:pPr>
      <w:r w:rsidRPr="0056026A">
        <w:t>$6.5 million</w:t>
      </w:r>
      <w:r>
        <w:t xml:space="preserve"> to fund the Tasmanian Employer Bonus, providing $6,500 per employer as an incentive to employ long term unemployed with skills and experience</w:t>
      </w:r>
    </w:p>
    <w:p w14:paraId="4C34EA97" w14:textId="77777777" w:rsidR="00D03452" w:rsidRDefault="00D03452" w:rsidP="0056026A">
      <w:pPr>
        <w:pStyle w:val="ListParagraph"/>
        <w:numPr>
          <w:ilvl w:val="0"/>
          <w:numId w:val="22"/>
        </w:numPr>
        <w:spacing w:afterLines="200" w:after="480"/>
      </w:pPr>
      <w:r w:rsidRPr="0056026A">
        <w:t>$300 million</w:t>
      </w:r>
      <w:r>
        <w:t xml:space="preserve"> to provide an additional 600 training places in Certificate III of Individual Support</w:t>
      </w:r>
    </w:p>
    <w:p w14:paraId="25187055" w14:textId="77777777" w:rsidR="00D03452" w:rsidRDefault="00D03452" w:rsidP="0056026A">
      <w:pPr>
        <w:pStyle w:val="ListParagraph"/>
        <w:numPr>
          <w:ilvl w:val="0"/>
          <w:numId w:val="22"/>
        </w:numPr>
        <w:spacing w:afterLines="200" w:after="480"/>
      </w:pPr>
      <w:r w:rsidRPr="0056026A">
        <w:lastRenderedPageBreak/>
        <w:t>$1 million</w:t>
      </w:r>
      <w:r>
        <w:t xml:space="preserve"> to extend the Skill Up initiative for an additional 12 months to provide training for those most impacted by COVID-19, and</w:t>
      </w:r>
    </w:p>
    <w:p w14:paraId="359A3FAD" w14:textId="6E0B3706" w:rsidR="00D03452" w:rsidRDefault="00D03452" w:rsidP="0056026A">
      <w:pPr>
        <w:pStyle w:val="ListParagraph"/>
        <w:numPr>
          <w:ilvl w:val="0"/>
          <w:numId w:val="22"/>
        </w:numPr>
        <w:spacing w:afterLines="200" w:after="480"/>
      </w:pPr>
      <w:r w:rsidRPr="0056026A">
        <w:t>$850,000</w:t>
      </w:r>
      <w:r>
        <w:t xml:space="preserve"> to the Youth Navigators project, which is a youth employment alliance formed</w:t>
      </w:r>
      <w:r w:rsidR="0056026A">
        <w:t xml:space="preserve"> </w:t>
      </w:r>
      <w:r>
        <w:t>between community organisations.</w:t>
      </w:r>
    </w:p>
    <w:p w14:paraId="3F4AC13D" w14:textId="77777777" w:rsidR="0056026A" w:rsidRDefault="0056026A" w:rsidP="0056026A">
      <w:pPr>
        <w:pStyle w:val="ListParagraph"/>
        <w:spacing w:afterLines="200" w:after="480"/>
        <w:ind w:left="717"/>
      </w:pPr>
    </w:p>
    <w:p w14:paraId="0146FD28" w14:textId="3318C181" w:rsidR="00087E69" w:rsidRDefault="00D03452" w:rsidP="00087E69">
      <w:pPr>
        <w:pStyle w:val="ListParagraph"/>
        <w:numPr>
          <w:ilvl w:val="0"/>
          <w:numId w:val="15"/>
        </w:numPr>
        <w:ind w:left="567" w:hanging="425"/>
      </w:pPr>
      <w:r w:rsidRPr="0056026A">
        <w:t xml:space="preserve">Working closely with the Tasmanian government and its services funded under these new initiatives will be critical to ensuring maximum effectiveness of the Local Jobs Plan.  The </w:t>
      </w:r>
      <w:r w:rsidR="00D7484A">
        <w:t xml:space="preserve">Local Jobs and Skills </w:t>
      </w:r>
      <w:r w:rsidRPr="0056026A">
        <w:t>Taskforce will ensure these issues are standing items in agendas for future meetings.</w:t>
      </w:r>
      <w:bookmarkStart w:id="29" w:name="_Toc54508455"/>
    </w:p>
    <w:p w14:paraId="57C453CB" w14:textId="77777777" w:rsidR="00322CDD" w:rsidRDefault="00322CDD" w:rsidP="00322CDD">
      <w:pPr>
        <w:pStyle w:val="ListParagraph"/>
        <w:ind w:left="567"/>
      </w:pPr>
    </w:p>
    <w:p w14:paraId="1D12EA36" w14:textId="025490E3" w:rsidR="00D03452" w:rsidRPr="00087E69" w:rsidRDefault="00D03452" w:rsidP="00087E69">
      <w:pPr>
        <w:pStyle w:val="ListParagraph"/>
        <w:numPr>
          <w:ilvl w:val="0"/>
          <w:numId w:val="8"/>
        </w:numPr>
        <w:spacing w:before="120" w:after="120"/>
        <w:rPr>
          <w:b/>
        </w:rPr>
      </w:pPr>
      <w:r w:rsidRPr="00087E69">
        <w:rPr>
          <w:b/>
        </w:rPr>
        <w:t>Engaging employers and their networks in the design and delivery of initiatives – particularly in industries experiencing growth (for example Aged and Disability Care) or workforce shortages</w:t>
      </w:r>
      <w:bookmarkEnd w:id="29"/>
      <w:r w:rsidRPr="00087E69">
        <w:rPr>
          <w:b/>
        </w:rPr>
        <w:t xml:space="preserve"> (for example Construction, Horticulture and Renewable Energy)</w:t>
      </w:r>
    </w:p>
    <w:p w14:paraId="4ED7E314" w14:textId="77777777" w:rsidR="0056026A" w:rsidRPr="00087E69" w:rsidRDefault="0056026A" w:rsidP="0056026A">
      <w:pPr>
        <w:pStyle w:val="ListParagraph"/>
        <w:spacing w:before="120" w:after="120"/>
        <w:ind w:left="360"/>
        <w:rPr>
          <w:b/>
          <w:sz w:val="16"/>
          <w:szCs w:val="16"/>
        </w:rPr>
      </w:pPr>
    </w:p>
    <w:p w14:paraId="79AFDE19" w14:textId="77777777" w:rsidR="00D03452" w:rsidRPr="0056026A" w:rsidRDefault="00D03452" w:rsidP="0056026A">
      <w:pPr>
        <w:pStyle w:val="ListParagraph"/>
        <w:numPr>
          <w:ilvl w:val="0"/>
          <w:numId w:val="15"/>
        </w:numPr>
        <w:ind w:left="567" w:hanging="425"/>
      </w:pPr>
      <w:r w:rsidRPr="0056026A">
        <w:t>Business and industry sectors are best placed to know their workforce needs. Major employers and sectors which operate state-wide in Tasmania include:</w:t>
      </w:r>
    </w:p>
    <w:p w14:paraId="6AE86608" w14:textId="77777777" w:rsidR="00D03452" w:rsidRDefault="00D03452" w:rsidP="0056026A">
      <w:pPr>
        <w:pStyle w:val="ListParagraph"/>
        <w:numPr>
          <w:ilvl w:val="0"/>
          <w:numId w:val="22"/>
        </w:numPr>
        <w:spacing w:afterLines="200" w:after="480"/>
      </w:pPr>
      <w:r>
        <w:t>The Federal Group (hospitality/accommodation sector, also freight movement) with multiple sites around the state.</w:t>
      </w:r>
    </w:p>
    <w:p w14:paraId="709F31F8" w14:textId="77777777" w:rsidR="00D03452" w:rsidRDefault="00D03452" w:rsidP="0056026A">
      <w:pPr>
        <w:pStyle w:val="ListParagraph"/>
        <w:numPr>
          <w:ilvl w:val="0"/>
          <w:numId w:val="22"/>
        </w:numPr>
        <w:spacing w:afterLines="200" w:after="480"/>
      </w:pPr>
      <w:r>
        <w:t>The University of Tasmania (education sector) with multiple sites across the state.</w:t>
      </w:r>
    </w:p>
    <w:p w14:paraId="264CFB0B" w14:textId="77777777" w:rsidR="00D03452" w:rsidRDefault="00D03452" w:rsidP="0056026A">
      <w:pPr>
        <w:pStyle w:val="ListParagraph"/>
        <w:numPr>
          <w:ilvl w:val="0"/>
          <w:numId w:val="22"/>
        </w:numPr>
        <w:spacing w:afterLines="200" w:after="480"/>
      </w:pPr>
      <w:r>
        <w:t>The Tasmanian State Service (Public Administration including Tasmanian Health Service) with multiple sites around the state.</w:t>
      </w:r>
    </w:p>
    <w:p w14:paraId="7247A9E3" w14:textId="77777777" w:rsidR="00D03452" w:rsidRDefault="00D03452" w:rsidP="0056026A">
      <w:pPr>
        <w:pStyle w:val="ListParagraph"/>
        <w:numPr>
          <w:ilvl w:val="0"/>
          <w:numId w:val="22"/>
        </w:numPr>
        <w:spacing w:afterLines="200" w:after="480"/>
      </w:pPr>
      <w:r>
        <w:t>The Australian Public Service (Public Administration) operating in multiple sites/agencies around the State.</w:t>
      </w:r>
    </w:p>
    <w:p w14:paraId="424D61F3" w14:textId="77777777" w:rsidR="00D03452" w:rsidRDefault="00D03452" w:rsidP="0056026A">
      <w:pPr>
        <w:pStyle w:val="ListParagraph"/>
        <w:numPr>
          <w:ilvl w:val="0"/>
          <w:numId w:val="22"/>
        </w:numPr>
        <w:spacing w:afterLines="200" w:after="480"/>
      </w:pPr>
      <w:r>
        <w:t xml:space="preserve">The seafood industry (covering farmed producers </w:t>
      </w:r>
      <w:proofErr w:type="spellStart"/>
      <w:r>
        <w:t>Petuna</w:t>
      </w:r>
      <w:proofErr w:type="spellEnd"/>
      <w:r>
        <w:t xml:space="preserve">, Huon Aquaculture and </w:t>
      </w:r>
      <w:proofErr w:type="spellStart"/>
      <w:r>
        <w:t>Tassal</w:t>
      </w:r>
      <w:proofErr w:type="spellEnd"/>
      <w:r>
        <w:t>, their supply chains and wild fisheries) with diverse sites around the State.</w:t>
      </w:r>
    </w:p>
    <w:p w14:paraId="2DB3841D" w14:textId="5B83BD9A" w:rsidR="00D03452" w:rsidRDefault="00D03452" w:rsidP="0056026A">
      <w:pPr>
        <w:pStyle w:val="ListParagraph"/>
        <w:numPr>
          <w:ilvl w:val="0"/>
          <w:numId w:val="22"/>
        </w:numPr>
        <w:spacing w:afterLines="200" w:after="480"/>
      </w:pPr>
      <w:r>
        <w:t>RAC Tasmania (Retail, Transport, Accommodation and Hospitality) at various sites around</w:t>
      </w:r>
      <w:r w:rsidR="0056026A">
        <w:t xml:space="preserve"> </w:t>
      </w:r>
      <w:r>
        <w:t xml:space="preserve">Tasmania. </w:t>
      </w:r>
    </w:p>
    <w:p w14:paraId="680DA7CA" w14:textId="77777777" w:rsidR="0056026A" w:rsidRPr="00087E69" w:rsidRDefault="0056026A" w:rsidP="0056026A">
      <w:pPr>
        <w:pStyle w:val="ListParagraph"/>
        <w:spacing w:afterLines="200" w:after="480"/>
        <w:ind w:left="717"/>
        <w:rPr>
          <w:sz w:val="16"/>
          <w:szCs w:val="16"/>
        </w:rPr>
      </w:pPr>
    </w:p>
    <w:p w14:paraId="5AE02865" w14:textId="77777777" w:rsidR="00D03452" w:rsidRPr="0056026A" w:rsidRDefault="00D03452" w:rsidP="0056026A">
      <w:pPr>
        <w:pStyle w:val="ListParagraph"/>
        <w:numPr>
          <w:ilvl w:val="0"/>
          <w:numId w:val="15"/>
        </w:numPr>
        <w:ind w:left="567" w:hanging="425"/>
      </w:pPr>
      <w:r w:rsidRPr="0056026A">
        <w:t>Major employers based in the region include:</w:t>
      </w:r>
    </w:p>
    <w:p w14:paraId="647A9F0E" w14:textId="77777777" w:rsidR="00D03452" w:rsidRDefault="00D03452" w:rsidP="0056026A">
      <w:pPr>
        <w:pStyle w:val="ListParagraph"/>
        <w:numPr>
          <w:ilvl w:val="0"/>
          <w:numId w:val="22"/>
        </w:numPr>
        <w:spacing w:afterLines="200" w:after="480"/>
      </w:pPr>
      <w:r>
        <w:t>Costa Berries (Horticulture grower/distributor with sites/farms across north and north-west Tasmania).</w:t>
      </w:r>
    </w:p>
    <w:p w14:paraId="4F34B94C" w14:textId="77777777" w:rsidR="00D03452" w:rsidRDefault="00D03452" w:rsidP="0056026A">
      <w:pPr>
        <w:pStyle w:val="ListParagraph"/>
        <w:numPr>
          <w:ilvl w:val="0"/>
          <w:numId w:val="22"/>
        </w:numPr>
        <w:spacing w:afterLines="200" w:after="480"/>
      </w:pPr>
      <w:r>
        <w:t>Bell Bay Aluminium (minerals processing at Georgetown).</w:t>
      </w:r>
    </w:p>
    <w:p w14:paraId="0C8E13F4" w14:textId="77777777" w:rsidR="00087E69" w:rsidRDefault="00D03452" w:rsidP="00087E69">
      <w:pPr>
        <w:pStyle w:val="ListParagraph"/>
        <w:numPr>
          <w:ilvl w:val="0"/>
          <w:numId w:val="22"/>
        </w:numPr>
        <w:spacing w:afterLines="200" w:after="480"/>
      </w:pPr>
      <w:r>
        <w:t>Simplot Australia (vegetable growing/processing).</w:t>
      </w:r>
    </w:p>
    <w:p w14:paraId="2FBAFA09" w14:textId="41A022F3" w:rsidR="00D03452" w:rsidRDefault="00D03452" w:rsidP="00087E69">
      <w:pPr>
        <w:pStyle w:val="ListParagraph"/>
        <w:numPr>
          <w:ilvl w:val="0"/>
          <w:numId w:val="22"/>
        </w:numPr>
        <w:spacing w:afterLines="200" w:after="480"/>
      </w:pPr>
      <w:r>
        <w:t xml:space="preserve">Grange Resources (mining/minerals processing at Savage River/Port </w:t>
      </w:r>
      <w:proofErr w:type="spellStart"/>
      <w:r>
        <w:t>Latta</w:t>
      </w:r>
      <w:proofErr w:type="spellEnd"/>
      <w:r>
        <w:t>, HQ in Burnie).</w:t>
      </w:r>
    </w:p>
    <w:p w14:paraId="37699DAB" w14:textId="77777777" w:rsidR="00087E69" w:rsidRPr="00087E69" w:rsidRDefault="00087E69" w:rsidP="00087E69">
      <w:pPr>
        <w:pStyle w:val="ListParagraph"/>
        <w:spacing w:afterLines="200" w:after="480"/>
        <w:ind w:left="717"/>
        <w:rPr>
          <w:sz w:val="16"/>
          <w:szCs w:val="16"/>
        </w:rPr>
      </w:pPr>
    </w:p>
    <w:p w14:paraId="3E902357" w14:textId="4393C878" w:rsidR="00D03452" w:rsidRPr="00087E69" w:rsidRDefault="00D03452" w:rsidP="00087E69">
      <w:pPr>
        <w:pStyle w:val="ListParagraph"/>
        <w:numPr>
          <w:ilvl w:val="0"/>
          <w:numId w:val="15"/>
        </w:numPr>
        <w:ind w:left="567" w:hanging="425"/>
      </w:pPr>
      <w:r w:rsidRPr="00087E69">
        <w:t>It is recogni</w:t>
      </w:r>
      <w:r w:rsidR="00ED3618">
        <w:t>s</w:t>
      </w:r>
      <w:r w:rsidRPr="00087E69">
        <w:t xml:space="preserve">ed that securing suitable employees is an issue for businesses of all scales, from small to medium, up to larger enterprises of 200 plus workers. The Taskforce receives regular feedback and commentary that this challenge affects employing firms of all sizes and is mindful of the need to engage appropriately. It will look to pursue those engagements through local and regional Chambers of Commerce, </w:t>
      </w:r>
      <w:r w:rsidR="00B36A62">
        <w:t xml:space="preserve">industry </w:t>
      </w:r>
      <w:r w:rsidRPr="00087E69">
        <w:t xml:space="preserve">peak bodies, employment service providers and informal networks of businesses at place and sub-regional level. </w:t>
      </w:r>
    </w:p>
    <w:p w14:paraId="3AA8A28A" w14:textId="77777777" w:rsidR="00D03452" w:rsidRPr="00087E69" w:rsidRDefault="00D03452" w:rsidP="002D4E30">
      <w:pPr>
        <w:pStyle w:val="ListParagraph"/>
        <w:spacing w:before="120" w:after="120"/>
        <w:ind w:left="714"/>
        <w:rPr>
          <w:rFonts w:ascii="Calibri" w:hAnsi="Calibri" w:cs="Calibri"/>
          <w:sz w:val="16"/>
          <w:szCs w:val="16"/>
        </w:rPr>
      </w:pPr>
    </w:p>
    <w:p w14:paraId="72704B1E" w14:textId="22B4D7B9" w:rsidR="00D03452" w:rsidRDefault="00D03452" w:rsidP="00087E69">
      <w:pPr>
        <w:pStyle w:val="ListParagraph"/>
        <w:numPr>
          <w:ilvl w:val="0"/>
          <w:numId w:val="8"/>
        </w:numPr>
        <w:spacing w:before="120" w:after="120"/>
        <w:rPr>
          <w:b/>
        </w:rPr>
      </w:pPr>
      <w:r w:rsidRPr="00087E69">
        <w:rPr>
          <w:b/>
        </w:rPr>
        <w:t>Reducing labour market disadvantage (including for Indigenous Australians, long-term unemployed, women, mature age workers and youth) through facilitating access to employment and training opportunities</w:t>
      </w:r>
    </w:p>
    <w:p w14:paraId="08C943C5" w14:textId="77777777" w:rsidR="00087E69" w:rsidRPr="00087E69" w:rsidRDefault="00087E69" w:rsidP="00087E69">
      <w:pPr>
        <w:pStyle w:val="ListParagraph"/>
        <w:spacing w:before="120" w:after="120"/>
        <w:ind w:left="360"/>
        <w:rPr>
          <w:b/>
          <w:sz w:val="16"/>
          <w:szCs w:val="16"/>
        </w:rPr>
      </w:pPr>
    </w:p>
    <w:p w14:paraId="6A30E08D" w14:textId="26B871F7" w:rsidR="00D03452" w:rsidRDefault="00D03452" w:rsidP="00087E69">
      <w:pPr>
        <w:pStyle w:val="ListParagraph"/>
        <w:numPr>
          <w:ilvl w:val="0"/>
          <w:numId w:val="15"/>
        </w:numPr>
        <w:spacing w:after="0"/>
        <w:ind w:left="567" w:hanging="425"/>
      </w:pPr>
      <w:r w:rsidRPr="00087E69">
        <w:t xml:space="preserve">All Australian governments are working with Aboriginal and Torres Strait Islander people, their communities, organisations, and businesses to implement the new </w:t>
      </w:r>
      <w:hyperlink r:id="rId21" w:history="1">
        <w:r w:rsidRPr="00087E69">
          <w:t xml:space="preserve">National Agreement on </w:t>
        </w:r>
        <w:r w:rsidRPr="00087E69">
          <w:lastRenderedPageBreak/>
          <w:t>Closing the Gap</w:t>
        </w:r>
      </w:hyperlink>
      <w:r w:rsidRPr="00087E69">
        <w:t xml:space="preserve"> (</w:t>
      </w:r>
      <w:hyperlink r:id="rId22" w:history="1">
        <w:r w:rsidR="00690576" w:rsidRPr="00690576">
          <w:rPr>
            <w:rStyle w:val="Hyperlink"/>
          </w:rPr>
          <w:t>https://www.closingthegap.gov.au/national-agreement</w:t>
        </w:r>
      </w:hyperlink>
      <w:r w:rsidR="00690576">
        <w:t>)</w:t>
      </w:r>
      <w:r w:rsidRPr="00087E69">
        <w:t xml:space="preserve"> at the national, state and territory and local levels. Within North and North West</w:t>
      </w:r>
      <w:r w:rsidR="00C92AA9">
        <w:t>ern</w:t>
      </w:r>
      <w:r w:rsidRPr="00087E69">
        <w:t xml:space="preserve"> Tasmania 10.18</w:t>
      </w:r>
      <w:r w:rsidR="00ED3618">
        <w:t> per cent</w:t>
      </w:r>
      <w:r w:rsidRPr="00087E69">
        <w:t xml:space="preserve"> of the jobactive caseload</w:t>
      </w:r>
      <w:r w:rsidR="00391021">
        <w:t>,</w:t>
      </w:r>
      <w:r w:rsidRPr="00087E69">
        <w:t xml:space="preserve"> identify as Aboriginal and Torres Strait Islander (as of March 2021). </w:t>
      </w:r>
    </w:p>
    <w:p w14:paraId="3BF7A5B3" w14:textId="028FE94C" w:rsidR="00204330" w:rsidRDefault="00D03452" w:rsidP="00C92AA9">
      <w:pPr>
        <w:pStyle w:val="ListParagraph"/>
        <w:numPr>
          <w:ilvl w:val="1"/>
          <w:numId w:val="15"/>
        </w:numPr>
        <w:spacing w:after="0"/>
      </w:pPr>
      <w:r w:rsidRPr="00087E69">
        <w:t>This is an overrepresentation</w:t>
      </w:r>
      <w:r w:rsidR="00C92AA9">
        <w:t>,</w:t>
      </w:r>
      <w:r w:rsidRPr="00087E69">
        <w:t xml:space="preserve"> in comparison to the 7.7 per cent of the population in Northern Tasmania and 6.9 per cent in </w:t>
      </w:r>
      <w:r w:rsidR="00C92AA9">
        <w:t xml:space="preserve">the </w:t>
      </w:r>
      <w:r w:rsidRPr="00087E69">
        <w:t>North</w:t>
      </w:r>
      <w:r w:rsidR="00C92AA9">
        <w:t xml:space="preserve"> </w:t>
      </w:r>
      <w:r w:rsidRPr="00087E69">
        <w:t>West</w:t>
      </w:r>
      <w:r w:rsidR="00C92AA9">
        <w:t>ern</w:t>
      </w:r>
      <w:r w:rsidRPr="00087E69">
        <w:t xml:space="preserve"> Tasmania population in the region in the 2016 Census.</w:t>
      </w:r>
      <w:r w:rsidRPr="00087E69">
        <w:rPr>
          <w:rStyle w:val="FootnoteReference"/>
          <w:rFonts w:ascii="Calibri" w:eastAsiaTheme="minorHAnsi" w:hAnsi="Calibri" w:cs="Calibri"/>
          <w:sz w:val="18"/>
          <w:szCs w:val="18"/>
        </w:rPr>
        <w:footnoteReference w:id="7"/>
      </w:r>
    </w:p>
    <w:p w14:paraId="32CAFCBA" w14:textId="77777777" w:rsidR="00ED3618" w:rsidRPr="00087E69" w:rsidRDefault="00ED3618" w:rsidP="00ED3618">
      <w:pPr>
        <w:spacing w:after="0"/>
      </w:pPr>
    </w:p>
    <w:p w14:paraId="3C4925CD" w14:textId="12CC2F55" w:rsidR="00D03452" w:rsidRDefault="00D03452" w:rsidP="00204330">
      <w:pPr>
        <w:pStyle w:val="ListParagraph"/>
        <w:numPr>
          <w:ilvl w:val="0"/>
          <w:numId w:val="15"/>
        </w:numPr>
        <w:spacing w:after="0"/>
        <w:ind w:left="567" w:hanging="425"/>
      </w:pPr>
      <w:r w:rsidRPr="00204330">
        <w:t xml:space="preserve">The Tasmanian Government’s interim </w:t>
      </w:r>
      <w:r w:rsidR="0062604F">
        <w:t>Premier’s Economic and Social Recovery Advisory Council (</w:t>
      </w:r>
      <w:r w:rsidRPr="00204330">
        <w:t>PESRAC</w:t>
      </w:r>
      <w:r w:rsidR="0062604F" w:rsidRPr="00204330">
        <w:t>)</w:t>
      </w:r>
      <w:r w:rsidRPr="00204330">
        <w:t xml:space="preserve"> </w:t>
      </w:r>
      <w:r w:rsidR="00391021">
        <w:t>r</w:t>
      </w:r>
      <w:r w:rsidRPr="00204330">
        <w:t>eport noted</w:t>
      </w:r>
      <w:r w:rsidR="00391021">
        <w:t xml:space="preserve"> that</w:t>
      </w:r>
      <w:r w:rsidRPr="00204330">
        <w:t xml:space="preserve"> among the industries hardest hit by the COVID</w:t>
      </w:r>
      <w:r w:rsidR="00391021">
        <w:t>-19,</w:t>
      </w:r>
      <w:r w:rsidRPr="00204330">
        <w:t xml:space="preserve"> suppression response in Tasmanian were industries that historically employ a high proportion of women and youth, such as</w:t>
      </w:r>
      <w:r w:rsidR="00391021">
        <w:t xml:space="preserve"> </w:t>
      </w:r>
      <w:r w:rsidRPr="00204330">
        <w:t xml:space="preserve">accommodation and food services, health care and social assistance, and arts and recreation services. </w:t>
      </w:r>
    </w:p>
    <w:p w14:paraId="77CF6165" w14:textId="77777777" w:rsidR="00DD3FB7" w:rsidRPr="00204330" w:rsidRDefault="00DD3FB7" w:rsidP="00DD3FB7">
      <w:pPr>
        <w:pStyle w:val="ListParagraph"/>
        <w:spacing w:after="0"/>
        <w:ind w:left="567"/>
      </w:pPr>
    </w:p>
    <w:p w14:paraId="5D3BFF7D" w14:textId="6AD588C0" w:rsidR="00D03452" w:rsidRDefault="00D03452" w:rsidP="00204330">
      <w:pPr>
        <w:pStyle w:val="ListParagraph"/>
        <w:numPr>
          <w:ilvl w:val="0"/>
          <w:numId w:val="15"/>
        </w:numPr>
        <w:spacing w:after="0"/>
        <w:ind w:left="567" w:hanging="425"/>
      </w:pPr>
      <w:r w:rsidRPr="00204330">
        <w:t xml:space="preserve">The final </w:t>
      </w:r>
      <w:r>
        <w:t xml:space="preserve">PESRAC Report shows recovery in female employment data. Based on the ABS Weekly Payroll Jobs and Wages in Australia data, as of January 2021, both male and female jobs index were increasing as of January 2021 but are not yet back to pre-COVID levels. A similar increase is evident for the same data for youth. All ages are increasing on the Weekly Payroll Jobs and Wages index, but the sharpest increase in wages is seen in the 15-19 year age group. This age group is seeing some of its highest increases since pre-COVID. </w:t>
      </w:r>
    </w:p>
    <w:p w14:paraId="2A080E45" w14:textId="77777777" w:rsidR="00DD3FB7" w:rsidRDefault="00DD3FB7" w:rsidP="00DD3FB7">
      <w:pPr>
        <w:pStyle w:val="ListParagraph"/>
      </w:pPr>
    </w:p>
    <w:p w14:paraId="61C54C54" w14:textId="4A8C1C49" w:rsidR="00D03452" w:rsidRDefault="00D03452" w:rsidP="00204330">
      <w:pPr>
        <w:pStyle w:val="ListParagraph"/>
        <w:numPr>
          <w:ilvl w:val="0"/>
          <w:numId w:val="15"/>
        </w:numPr>
        <w:spacing w:after="0"/>
        <w:ind w:left="567" w:hanging="425"/>
      </w:pPr>
      <w:r w:rsidRPr="00204330">
        <w:t>Within the Employment Region, 52.75</w:t>
      </w:r>
      <w:r w:rsidR="00ED3618">
        <w:t> per cent</w:t>
      </w:r>
      <w:r w:rsidRPr="00204330">
        <w:t xml:space="preserve"> of the total jobactive caseload are Long-Term Unemployed (November 2020</w:t>
      </w:r>
      <w:r w:rsidRPr="00D03452">
        <w:t xml:space="preserve">). This is a higher percentage than is seen in the </w:t>
      </w:r>
      <w:r w:rsidR="00391021">
        <w:t>S</w:t>
      </w:r>
      <w:r w:rsidRPr="00D03452">
        <w:t>outh of the state (45.45%) and compared with other employment regions such as Cairns (48.67%) Hunter (46.33%) and Gippsland (46.79%).</w:t>
      </w:r>
      <w:r>
        <w:t xml:space="preserve"> </w:t>
      </w:r>
    </w:p>
    <w:p w14:paraId="51424052" w14:textId="77777777" w:rsidR="00DD3FB7" w:rsidRDefault="00DD3FB7" w:rsidP="00DD3FB7">
      <w:pPr>
        <w:spacing w:after="0"/>
      </w:pPr>
    </w:p>
    <w:p w14:paraId="6D442BDB" w14:textId="5B0E02F1" w:rsidR="00D03452" w:rsidRDefault="00D03452" w:rsidP="00DD3FB7">
      <w:pPr>
        <w:pStyle w:val="ListParagraph"/>
        <w:numPr>
          <w:ilvl w:val="0"/>
          <w:numId w:val="15"/>
        </w:numPr>
        <w:spacing w:after="0"/>
        <w:ind w:left="567" w:hanging="425"/>
      </w:pPr>
      <w:r w:rsidRPr="00204330">
        <w:t xml:space="preserve">The Tasmanian Government’s final PESRAC </w:t>
      </w:r>
      <w:r w:rsidR="00391021">
        <w:t>r</w:t>
      </w:r>
      <w:r w:rsidRPr="00204330">
        <w:t xml:space="preserve">eport noted the critical importance of removing employment barriers and better matching job seekers with employers. Anecdotal and service provider evidence gathered throughout the region has indicated that there are a number of organisations that are looking to hire, but </w:t>
      </w:r>
      <w:r w:rsidR="00391021">
        <w:t>a common</w:t>
      </w:r>
      <w:r w:rsidRPr="00204330">
        <w:t xml:space="preserve"> barrier is a lack of digital literacy and low levels of language, literacy and numeracy proficiency. For example, job</w:t>
      </w:r>
      <w:r w:rsidR="005916F8" w:rsidRPr="00204330">
        <w:t xml:space="preserve"> </w:t>
      </w:r>
      <w:r w:rsidRPr="00204330">
        <w:t xml:space="preserve">seekers can capture photographic images of their resume for forwarding on, but either </w:t>
      </w:r>
      <w:r w:rsidR="00C34628">
        <w:t xml:space="preserve">lack </w:t>
      </w:r>
      <w:r w:rsidRPr="00204330">
        <w:t xml:space="preserve">digital literacy skills </w:t>
      </w:r>
      <w:r w:rsidR="00C34628">
        <w:t xml:space="preserve">or have no access to </w:t>
      </w:r>
      <w:r w:rsidRPr="00204330">
        <w:t>scan</w:t>
      </w:r>
      <w:r w:rsidR="00C34628">
        <w:t>ners</w:t>
      </w:r>
      <w:r w:rsidRPr="00204330">
        <w:t xml:space="preserve"> and email.</w:t>
      </w:r>
    </w:p>
    <w:p w14:paraId="6C7FE051" w14:textId="77777777" w:rsidR="00DD3FB7" w:rsidRPr="00DD3FB7" w:rsidRDefault="00DD3FB7" w:rsidP="00DD3FB7">
      <w:pPr>
        <w:spacing w:after="0"/>
      </w:pPr>
    </w:p>
    <w:p w14:paraId="5DABD1D2" w14:textId="30D779C1" w:rsidR="00D03452" w:rsidRDefault="00D03452" w:rsidP="00204330">
      <w:pPr>
        <w:pStyle w:val="ListParagraph"/>
        <w:numPr>
          <w:ilvl w:val="0"/>
          <w:numId w:val="8"/>
        </w:numPr>
        <w:spacing w:before="120" w:after="120"/>
        <w:rPr>
          <w:b/>
        </w:rPr>
      </w:pPr>
      <w:bookmarkStart w:id="30" w:name="_Toc54508457"/>
      <w:r>
        <w:rPr>
          <w:b/>
        </w:rPr>
        <w:t>Complementing and advancing local and state government economic development priorities and workforce strategies</w:t>
      </w:r>
      <w:bookmarkEnd w:id="30"/>
      <w:r>
        <w:rPr>
          <w:b/>
        </w:rPr>
        <w:t xml:space="preserve"> </w:t>
      </w:r>
    </w:p>
    <w:p w14:paraId="5566BF4C" w14:textId="77777777" w:rsidR="00204330" w:rsidRDefault="00204330" w:rsidP="00204330">
      <w:pPr>
        <w:pStyle w:val="ListParagraph"/>
        <w:spacing w:before="120" w:after="120" w:line="240" w:lineRule="auto"/>
        <w:ind w:left="360"/>
        <w:rPr>
          <w:b/>
        </w:rPr>
      </w:pPr>
    </w:p>
    <w:p w14:paraId="239D4B32" w14:textId="77777777" w:rsidR="00D03452" w:rsidRPr="00204330" w:rsidRDefault="00D03452" w:rsidP="00204330">
      <w:pPr>
        <w:pStyle w:val="ListParagraph"/>
        <w:numPr>
          <w:ilvl w:val="0"/>
          <w:numId w:val="15"/>
        </w:numPr>
        <w:spacing w:after="0"/>
        <w:ind w:left="567" w:hanging="425"/>
      </w:pPr>
      <w:r w:rsidRPr="00204330">
        <w:t xml:space="preserve">State and local government initiatives around employment and skills pathways are established across the region and have strong linkages with the employers, industries, and communities in which they operate. These include: </w:t>
      </w:r>
    </w:p>
    <w:p w14:paraId="645A71D6" w14:textId="0A49A216" w:rsidR="00D03452" w:rsidRDefault="0062604F" w:rsidP="00204330">
      <w:pPr>
        <w:pStyle w:val="ListParagraph"/>
        <w:numPr>
          <w:ilvl w:val="0"/>
          <w:numId w:val="22"/>
        </w:numPr>
        <w:spacing w:afterLines="200" w:after="480"/>
      </w:pPr>
      <w:r>
        <w:t>Department of Premier and Cabinet Regional Recovery Committees</w:t>
      </w:r>
      <w:r w:rsidR="00D03452">
        <w:t>.</w:t>
      </w:r>
    </w:p>
    <w:p w14:paraId="7CCE132D" w14:textId="77777777" w:rsidR="00D03452" w:rsidRDefault="00D03452" w:rsidP="00204330">
      <w:pPr>
        <w:pStyle w:val="ListParagraph"/>
        <w:numPr>
          <w:ilvl w:val="0"/>
          <w:numId w:val="22"/>
        </w:numPr>
        <w:spacing w:afterLines="200" w:after="480"/>
      </w:pPr>
      <w:r>
        <w:t>Cradle Coast Authority Regional Futures Plan.</w:t>
      </w:r>
    </w:p>
    <w:p w14:paraId="08C2AFE5" w14:textId="77777777" w:rsidR="00D03452" w:rsidRDefault="00D03452" w:rsidP="00204330">
      <w:pPr>
        <w:pStyle w:val="ListParagraph"/>
        <w:numPr>
          <w:ilvl w:val="0"/>
          <w:numId w:val="22"/>
        </w:numPr>
        <w:spacing w:afterLines="200" w:after="480"/>
      </w:pPr>
      <w:r>
        <w:t>Northern Tasmania Development Corporation (NTDC).</w:t>
      </w:r>
    </w:p>
    <w:p w14:paraId="2FE29220" w14:textId="77777777" w:rsidR="00D03452" w:rsidRDefault="00D03452" w:rsidP="00204330">
      <w:pPr>
        <w:pStyle w:val="ListParagraph"/>
        <w:numPr>
          <w:ilvl w:val="0"/>
          <w:numId w:val="22"/>
        </w:numPr>
        <w:spacing w:afterLines="200" w:after="480"/>
      </w:pPr>
      <w:r>
        <w:t>Tasmanian Minerals, Manufacturing and Energy Council (TMEC).</w:t>
      </w:r>
    </w:p>
    <w:p w14:paraId="5BDFF685" w14:textId="221B266F" w:rsidR="00204330" w:rsidRDefault="00D03452" w:rsidP="00204330">
      <w:pPr>
        <w:pStyle w:val="ListParagraph"/>
        <w:numPr>
          <w:ilvl w:val="0"/>
          <w:numId w:val="22"/>
        </w:numPr>
        <w:spacing w:afterLines="200" w:after="480"/>
      </w:pPr>
      <w:r>
        <w:t>Launceston City Deal</w:t>
      </w:r>
      <w:r w:rsidR="00204330">
        <w:t>.</w:t>
      </w:r>
    </w:p>
    <w:p w14:paraId="069E344A" w14:textId="77777777" w:rsidR="00204330" w:rsidRDefault="00204330" w:rsidP="00204330">
      <w:pPr>
        <w:pStyle w:val="ListParagraph"/>
        <w:spacing w:afterLines="200" w:after="480"/>
        <w:ind w:left="717"/>
      </w:pPr>
    </w:p>
    <w:p w14:paraId="57F1453A" w14:textId="55FA67CF" w:rsidR="00D03452" w:rsidRDefault="00F569D9" w:rsidP="00204330">
      <w:pPr>
        <w:pStyle w:val="ListParagraph"/>
        <w:numPr>
          <w:ilvl w:val="0"/>
          <w:numId w:val="15"/>
        </w:numPr>
        <w:spacing w:after="0"/>
        <w:ind w:left="567" w:hanging="425"/>
      </w:pPr>
      <w:r>
        <w:t>The main</w:t>
      </w:r>
      <w:r w:rsidR="00D03452" w:rsidRPr="00204330">
        <w:t xml:space="preserve"> function of the Local Jobs Program and Activities funded through the Local Recovery Fund will be working with local and state </w:t>
      </w:r>
      <w:r w:rsidR="00690576">
        <w:t>businesses</w:t>
      </w:r>
      <w:r w:rsidR="00D03452" w:rsidRPr="00204330">
        <w:t xml:space="preserve"> to further these identified economic development priorities and workforce strategies. With key growth industries such as manufacturing, hospitality, tourism and construction, there is an ever-growing need to ensure that across these strategies</w:t>
      </w:r>
      <w:r w:rsidR="00C34628">
        <w:t>,</w:t>
      </w:r>
      <w:r w:rsidR="00D03452" w:rsidRPr="00204330">
        <w:t xml:space="preserve"> there is a consistent focus on sustainable and effective workforce development. This coordinated approach will require ongoing and strategic collaboration between existing service providers at a federal, state, and local level. </w:t>
      </w:r>
    </w:p>
    <w:p w14:paraId="026D5DAC" w14:textId="77777777" w:rsidR="00C92AA9" w:rsidRPr="00204330" w:rsidRDefault="00C92AA9" w:rsidP="00C92AA9">
      <w:pPr>
        <w:pStyle w:val="ListParagraph"/>
        <w:spacing w:after="0"/>
        <w:ind w:left="567"/>
      </w:pPr>
    </w:p>
    <w:p w14:paraId="5DF99AEF" w14:textId="7A028EA1" w:rsidR="00D03452" w:rsidRDefault="00D03452" w:rsidP="00204330">
      <w:pPr>
        <w:pStyle w:val="ListParagraph"/>
        <w:numPr>
          <w:ilvl w:val="0"/>
          <w:numId w:val="8"/>
        </w:numPr>
        <w:spacing w:after="0"/>
        <w:ind w:left="357" w:hanging="357"/>
        <w:rPr>
          <w:b/>
        </w:rPr>
      </w:pPr>
      <w:bookmarkStart w:id="31" w:name="_Toc54508458"/>
      <w:r>
        <w:rPr>
          <w:b/>
        </w:rPr>
        <w:t>Facilitating local responses where economic structural adjustment or redundancy events impact job seekers</w:t>
      </w:r>
      <w:bookmarkEnd w:id="31"/>
    </w:p>
    <w:p w14:paraId="4F26BC3C" w14:textId="77777777" w:rsidR="00204330" w:rsidRDefault="00204330" w:rsidP="00204330">
      <w:pPr>
        <w:pStyle w:val="ListParagraph"/>
        <w:spacing w:after="0"/>
        <w:ind w:left="357"/>
        <w:rPr>
          <w:b/>
        </w:rPr>
      </w:pPr>
    </w:p>
    <w:p w14:paraId="4BB9ACFF" w14:textId="77777777" w:rsidR="00D03452" w:rsidRPr="00204330" w:rsidRDefault="00D03452" w:rsidP="00204330">
      <w:pPr>
        <w:pStyle w:val="ListParagraph"/>
        <w:numPr>
          <w:ilvl w:val="0"/>
          <w:numId w:val="15"/>
        </w:numPr>
        <w:spacing w:after="0"/>
        <w:ind w:left="567" w:hanging="425"/>
      </w:pPr>
      <w:bookmarkStart w:id="32" w:name="_Hlk54015810"/>
      <w:r w:rsidRPr="00204330">
        <w:t xml:space="preserve">The full economic impact of the pandemic remains to be seen in its entirety, but we have already seen some emerging trends. For example: </w:t>
      </w:r>
    </w:p>
    <w:p w14:paraId="2D2E9B3D" w14:textId="14AA5DB3" w:rsidR="00D03452" w:rsidRDefault="00D03452" w:rsidP="00204330">
      <w:pPr>
        <w:pStyle w:val="ListParagraph"/>
        <w:numPr>
          <w:ilvl w:val="0"/>
          <w:numId w:val="22"/>
        </w:numPr>
        <w:spacing w:afterLines="200" w:after="480"/>
      </w:pPr>
      <w:r>
        <w:t xml:space="preserve">Supply chain breakdown related to current and future outbreaks of COVID-19 will potentially impact businesses. Outbreaks and consequent border closures </w:t>
      </w:r>
      <w:r w:rsidR="00AC5432">
        <w:t>result</w:t>
      </w:r>
      <w:r>
        <w:t xml:space="preserve"> i</w:t>
      </w:r>
      <w:r w:rsidR="00AC5432">
        <w:t>n</w:t>
      </w:r>
      <w:r>
        <w:t xml:space="preserve"> an inherent fragility to supply chains. Businesses in the region have reported a reduced capacity to restock or obtain critical componentry in a timely fashion. </w:t>
      </w:r>
    </w:p>
    <w:p w14:paraId="70063C83" w14:textId="77777777" w:rsidR="00D03452" w:rsidRDefault="00D03452" w:rsidP="00204330">
      <w:pPr>
        <w:pStyle w:val="ListParagraph"/>
        <w:numPr>
          <w:ilvl w:val="0"/>
          <w:numId w:val="22"/>
        </w:numPr>
        <w:spacing w:afterLines="200" w:after="480"/>
      </w:pPr>
      <w:r>
        <w:t>Several industries can be expected to be severely impacted by limited labour mobility due to COVID-19 restrictions. The continuation of international border closures and internal border uncertainty has placed a heavy burden on those industries that have been historically reliant upon international employees, such as backpackers. Affected industries include agriculture, especially with the upcoming harvest season, and hospitality.</w:t>
      </w:r>
    </w:p>
    <w:p w14:paraId="3A4C6720" w14:textId="77777777" w:rsidR="00D03452" w:rsidRDefault="00D03452" w:rsidP="00204330">
      <w:pPr>
        <w:pStyle w:val="ListParagraph"/>
        <w:numPr>
          <w:ilvl w:val="0"/>
          <w:numId w:val="22"/>
        </w:numPr>
        <w:spacing w:afterLines="200" w:after="480"/>
      </w:pPr>
      <w:r>
        <w:t>Uncertain future demand for exports, including tourism.</w:t>
      </w:r>
      <w:bookmarkEnd w:id="32"/>
    </w:p>
    <w:p w14:paraId="201D0214" w14:textId="77777777" w:rsidR="00D03452" w:rsidRDefault="00D03452" w:rsidP="002D4E30">
      <w:pPr>
        <w:spacing w:after="0" w:line="240" w:lineRule="auto"/>
        <w:ind w:left="360"/>
        <w:rPr>
          <w:rFonts w:ascii="Times New Roman" w:hAnsi="Times New Roman" w:cs="Times New Roman"/>
          <w:sz w:val="24"/>
          <w:szCs w:val="24"/>
          <w:lang w:eastAsia="en-AU"/>
        </w:rPr>
      </w:pPr>
    </w:p>
    <w:p w14:paraId="13E58FBC" w14:textId="77777777" w:rsidR="00D03452" w:rsidRDefault="00D03452" w:rsidP="002D4E30">
      <w:pPr>
        <w:spacing w:after="0" w:line="240" w:lineRule="auto"/>
        <w:ind w:left="360"/>
        <w:rPr>
          <w:rFonts w:ascii="Times New Roman" w:hAnsi="Times New Roman" w:cs="Times New Roman"/>
          <w:sz w:val="24"/>
          <w:szCs w:val="24"/>
          <w:lang w:eastAsia="en-AU"/>
        </w:rPr>
      </w:pPr>
    </w:p>
    <w:p w14:paraId="68C7EA4C" w14:textId="77777777" w:rsidR="00D03452" w:rsidRPr="003F77CE" w:rsidRDefault="00D03452" w:rsidP="002D4E30">
      <w:pPr>
        <w:keepNext/>
        <w:spacing w:before="120" w:after="120" w:line="240" w:lineRule="auto"/>
        <w:rPr>
          <w:rFonts w:ascii="Calibri" w:eastAsia="Calibri" w:hAnsi="Calibri" w:cs="Times New Roman"/>
          <w:b/>
          <w:bCs/>
          <w:i/>
          <w:iCs/>
          <w:color w:val="FF0000"/>
          <w:highlight w:val="yellow"/>
        </w:rPr>
      </w:pPr>
    </w:p>
    <w:p w14:paraId="47215F55" w14:textId="77777777" w:rsidR="00D03452" w:rsidRDefault="00D03452" w:rsidP="002D4E30">
      <w:r>
        <w:br w:type="page"/>
      </w:r>
    </w:p>
    <w:p w14:paraId="3AB4E2A3" w14:textId="5AB2D3CC" w:rsidR="00AC5432" w:rsidRPr="00443753" w:rsidRDefault="00AC5432" w:rsidP="002D4E30">
      <w:pPr>
        <w:rPr>
          <w:rFonts w:ascii="Calibri" w:eastAsiaTheme="majorEastAsia" w:hAnsi="Calibri" w:cstheme="majorBidi"/>
          <w:b/>
          <w:bCs/>
        </w:rPr>
        <w:sectPr w:rsidR="00AC5432" w:rsidRPr="00443753" w:rsidSect="00D03452">
          <w:headerReference w:type="default" r:id="rId23"/>
          <w:footerReference w:type="default" r:id="rId24"/>
          <w:type w:val="continuous"/>
          <w:pgSz w:w="11906" w:h="16838"/>
          <w:pgMar w:top="851" w:right="1418" w:bottom="1135" w:left="1440" w:header="709" w:footer="567" w:gutter="0"/>
          <w:cols w:space="708"/>
          <w:docGrid w:linePitch="360"/>
        </w:sectPr>
      </w:pPr>
    </w:p>
    <w:p w14:paraId="1FA69744" w14:textId="7568DB77" w:rsidR="00443753" w:rsidRPr="00443753" w:rsidRDefault="00D61449" w:rsidP="002D4E30">
      <w:pPr>
        <w:pStyle w:val="Heading2"/>
        <w:rPr>
          <w:rFonts w:eastAsia="Times New Roman"/>
          <w:sz w:val="22"/>
          <w:szCs w:val="22"/>
        </w:rPr>
      </w:pPr>
      <w:bookmarkStart w:id="33" w:name="_Toc80086436"/>
      <w:r w:rsidRPr="00443753">
        <w:rPr>
          <w:rFonts w:eastAsia="Times New Roman"/>
          <w:sz w:val="22"/>
          <w:szCs w:val="22"/>
        </w:rPr>
        <w:lastRenderedPageBreak/>
        <w:t>Attachment B – Labour Market Data Dashboard (</w:t>
      </w:r>
      <w:r w:rsidR="00443753" w:rsidRPr="00443753">
        <w:rPr>
          <w:rFonts w:eastAsia="Times New Roman"/>
          <w:sz w:val="22"/>
          <w:szCs w:val="22"/>
        </w:rPr>
        <w:t>J</w:t>
      </w:r>
      <w:r w:rsidR="002900D4">
        <w:rPr>
          <w:rFonts w:eastAsia="Times New Roman"/>
          <w:sz w:val="22"/>
          <w:szCs w:val="22"/>
        </w:rPr>
        <w:t>uly</w:t>
      </w:r>
      <w:r w:rsidR="00443753" w:rsidRPr="00443753">
        <w:rPr>
          <w:rFonts w:eastAsia="Times New Roman"/>
          <w:sz w:val="22"/>
          <w:szCs w:val="22"/>
        </w:rPr>
        <w:t xml:space="preserve"> </w:t>
      </w:r>
      <w:r w:rsidRPr="00443753">
        <w:rPr>
          <w:rFonts w:eastAsia="Times New Roman"/>
          <w:sz w:val="22"/>
          <w:szCs w:val="22"/>
        </w:rPr>
        <w:t>2021)</w:t>
      </w:r>
      <w:bookmarkEnd w:id="33"/>
    </w:p>
    <w:p w14:paraId="766A9145" w14:textId="153EA942" w:rsidR="00690A1C" w:rsidRPr="00443753" w:rsidRDefault="005424F6" w:rsidP="002D4E30">
      <w:r>
        <w:rPr>
          <w:noProof/>
        </w:rPr>
        <w:drawing>
          <wp:inline distT="0" distB="0" distL="0" distR="0" wp14:anchorId="6454FCE7" wp14:editId="06A04D91">
            <wp:extent cx="8754453" cy="6028660"/>
            <wp:effectExtent l="0" t="0" r="8890" b="0"/>
            <wp:docPr id="3" name="Picture 3" descr="This Labour Market Data Dashboard was published on 14 July 2021 and provides a summary of the key indicators for the North and North Western Tasmania labour market. &#10;The dashboards combine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Labour Market Data Dashboard was published on 14 July 2021 and provides a summary of the key indicators for the North and North Western Tasmania labour market. &#10;The dashboards combine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
                    <pic:cNvPicPr/>
                  </pic:nvPicPr>
                  <pic:blipFill>
                    <a:blip r:embed="rId25">
                      <a:extLst>
                        <a:ext uri="{28A0092B-C50C-407E-A947-70E740481C1C}">
                          <a14:useLocalDpi xmlns:a14="http://schemas.microsoft.com/office/drawing/2010/main" val="0"/>
                        </a:ext>
                      </a:extLst>
                    </a:blip>
                    <a:stretch>
                      <a:fillRect/>
                    </a:stretch>
                  </pic:blipFill>
                  <pic:spPr>
                    <a:xfrm>
                      <a:off x="0" y="0"/>
                      <a:ext cx="8767216" cy="6037449"/>
                    </a:xfrm>
                    <a:prstGeom prst="rect">
                      <a:avLst/>
                    </a:prstGeom>
                  </pic:spPr>
                </pic:pic>
              </a:graphicData>
            </a:graphic>
          </wp:inline>
        </w:drawing>
      </w:r>
    </w:p>
    <w:sectPr w:rsidR="00690A1C" w:rsidRPr="00443753" w:rsidSect="00443753">
      <w:pgSz w:w="16838" w:h="11906" w:orient="landscape"/>
      <w:pgMar w:top="426" w:right="1276" w:bottom="568" w:left="113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88249" w14:textId="77777777" w:rsidR="00E40476" w:rsidRDefault="00E40476" w:rsidP="009B031C">
      <w:r>
        <w:separator/>
      </w:r>
    </w:p>
  </w:endnote>
  <w:endnote w:type="continuationSeparator" w:id="0">
    <w:p w14:paraId="3307DA68" w14:textId="77777777" w:rsidR="00E40476" w:rsidRDefault="00E40476" w:rsidP="009B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0510346"/>
      <w:docPartObj>
        <w:docPartGallery w:val="Page Numbers (Bottom of Page)"/>
        <w:docPartUnique/>
      </w:docPartObj>
    </w:sdtPr>
    <w:sdtEndPr>
      <w:rPr>
        <w:noProof/>
        <w:color w:val="E7E6E6"/>
      </w:rPr>
    </w:sdtEndPr>
    <w:sdtContent>
      <w:p w14:paraId="5CE092B1" w14:textId="77777777" w:rsidR="009B7CDA" w:rsidRPr="003273FB" w:rsidRDefault="009B7CDA">
        <w:pPr>
          <w:pStyle w:val="Footer"/>
          <w:jc w:val="right"/>
          <w:rPr>
            <w:color w:val="E7E6E6"/>
          </w:rPr>
        </w:pPr>
        <w:r>
          <w:rPr>
            <w:noProof/>
          </w:rPr>
          <w:drawing>
            <wp:anchor distT="0" distB="0" distL="114300" distR="114300" simplePos="0" relativeHeight="251660288" behindDoc="1" locked="0" layoutInCell="1" allowOverlap="1" wp14:anchorId="209E1D63" wp14:editId="6CDA11C4">
              <wp:simplePos x="0" y="0"/>
              <wp:positionH relativeFrom="page">
                <wp:align>right</wp:align>
              </wp:positionH>
              <wp:positionV relativeFrom="paragraph">
                <wp:posOffset>-1098550</wp:posOffset>
              </wp:positionV>
              <wp:extent cx="2517866" cy="1792379"/>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tom graphic.png"/>
                      <pic:cNvPicPr/>
                    </pic:nvPicPr>
                    <pic:blipFill>
                      <a:blip r:embed="rId1">
                        <a:extLst>
                          <a:ext uri="{28A0092B-C50C-407E-A947-70E740481C1C}">
                            <a14:useLocalDpi xmlns:a14="http://schemas.microsoft.com/office/drawing/2010/main" val="0"/>
                          </a:ext>
                        </a:extLst>
                      </a:blip>
                      <a:stretch>
                        <a:fillRect/>
                      </a:stretch>
                    </pic:blipFill>
                    <pic:spPr>
                      <a:xfrm>
                        <a:off x="0" y="0"/>
                        <a:ext cx="2517866" cy="1792379"/>
                      </a:xfrm>
                      <a:prstGeom prst="rect">
                        <a:avLst/>
                      </a:prstGeom>
                    </pic:spPr>
                  </pic:pic>
                </a:graphicData>
              </a:graphic>
            </wp:anchor>
          </w:drawing>
        </w:r>
        <w:r w:rsidRPr="003273FB">
          <w:rPr>
            <w:color w:val="E7E6E6"/>
          </w:rPr>
          <w:fldChar w:fldCharType="begin"/>
        </w:r>
        <w:r w:rsidRPr="003273FB">
          <w:rPr>
            <w:color w:val="E7E6E6"/>
          </w:rPr>
          <w:instrText xml:space="preserve"> PAGE   \* MERGEFORMAT </w:instrText>
        </w:r>
        <w:r w:rsidRPr="003273FB">
          <w:rPr>
            <w:color w:val="E7E6E6"/>
          </w:rPr>
          <w:fldChar w:fldCharType="separate"/>
        </w:r>
        <w:r w:rsidRPr="003273FB">
          <w:rPr>
            <w:noProof/>
            <w:color w:val="E7E6E6"/>
          </w:rPr>
          <w:t>2</w:t>
        </w:r>
        <w:r w:rsidRPr="003273FB">
          <w:rPr>
            <w:noProof/>
            <w:color w:val="E7E6E6"/>
          </w:rPr>
          <w:fldChar w:fldCharType="end"/>
        </w:r>
      </w:p>
    </w:sdtContent>
  </w:sdt>
  <w:p w14:paraId="2E6877A1" w14:textId="77777777" w:rsidR="006266AF" w:rsidRDefault="006266AF" w:rsidP="009B0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DA9EE" w14:textId="77777777" w:rsidR="00E40476" w:rsidRDefault="00E40476" w:rsidP="009B031C">
      <w:r>
        <w:separator/>
      </w:r>
    </w:p>
  </w:footnote>
  <w:footnote w:type="continuationSeparator" w:id="0">
    <w:p w14:paraId="20AECABC" w14:textId="77777777" w:rsidR="00E40476" w:rsidRDefault="00E40476" w:rsidP="009B031C">
      <w:r>
        <w:continuationSeparator/>
      </w:r>
    </w:p>
  </w:footnote>
  <w:footnote w:id="1">
    <w:p w14:paraId="5B9BFAAC" w14:textId="440C576D" w:rsidR="003F77CE" w:rsidRDefault="003F77CE" w:rsidP="003F77CE">
      <w:pPr>
        <w:pStyle w:val="FootnoteText"/>
        <w:rPr>
          <w:rFonts w:cstheme="minorHAnsi"/>
          <w:szCs w:val="18"/>
        </w:rPr>
      </w:pPr>
      <w:r>
        <w:rPr>
          <w:rStyle w:val="FootnoteReference"/>
          <w:rFonts w:cs="Calibri"/>
          <w:szCs w:val="18"/>
        </w:rPr>
        <w:footnoteRef/>
      </w:r>
      <w:r>
        <w:rPr>
          <w:rFonts w:cstheme="minorHAnsi"/>
          <w:szCs w:val="18"/>
        </w:rPr>
        <w:t xml:space="preserve"> </w:t>
      </w:r>
      <w:r>
        <w:rPr>
          <w:rFonts w:eastAsia="Calibri" w:cs="Calibri"/>
          <w:szCs w:val="18"/>
        </w:rPr>
        <w:t>ABS</w:t>
      </w:r>
      <w:r>
        <w:rPr>
          <w:rFonts w:cstheme="minorHAnsi"/>
          <w:szCs w:val="18"/>
        </w:rPr>
        <w:t xml:space="preserve"> (Cat 2033.0.55.001)</w:t>
      </w:r>
      <w:r w:rsidR="002900D4">
        <w:rPr>
          <w:rFonts w:cstheme="minorHAnsi"/>
          <w:szCs w:val="18"/>
        </w:rPr>
        <w:t>,</w:t>
      </w:r>
      <w:r>
        <w:rPr>
          <w:rFonts w:cstheme="minorHAnsi"/>
          <w:szCs w:val="18"/>
        </w:rPr>
        <w:t xml:space="preserve"> S</w:t>
      </w:r>
      <w:r w:rsidR="002900D4">
        <w:rPr>
          <w:rFonts w:cstheme="minorHAnsi"/>
          <w:szCs w:val="18"/>
        </w:rPr>
        <w:t xml:space="preserve">ocio-Economic Index for Areas, </w:t>
      </w:r>
      <w:r>
        <w:rPr>
          <w:rFonts w:cstheme="minorHAnsi"/>
          <w:szCs w:val="18"/>
        </w:rPr>
        <w:t xml:space="preserve">2016 </w:t>
      </w:r>
    </w:p>
  </w:footnote>
  <w:footnote w:id="2">
    <w:p w14:paraId="76F03DCA" w14:textId="3C89D71C" w:rsidR="00F46867" w:rsidRDefault="00F46867">
      <w:pPr>
        <w:pStyle w:val="FootnoteText"/>
      </w:pPr>
      <w:r>
        <w:rPr>
          <w:rStyle w:val="FootnoteReference"/>
        </w:rPr>
        <w:footnoteRef/>
      </w:r>
      <w:r>
        <w:t xml:space="preserve"> ABS (</w:t>
      </w:r>
      <w:r w:rsidR="00E547F5">
        <w:t xml:space="preserve">Cat 3218.0), </w:t>
      </w:r>
      <w:r w:rsidR="00E547F5" w:rsidRPr="00DD7BBC">
        <w:rPr>
          <w:i/>
          <w:iCs/>
        </w:rPr>
        <w:t>Regional Population Growth by Statistical Area Level 2, 2018 to 2019</w:t>
      </w:r>
      <w:r w:rsidR="00E547F5">
        <w:t xml:space="preserve"> </w:t>
      </w:r>
    </w:p>
  </w:footnote>
  <w:footnote w:id="3">
    <w:p w14:paraId="5CA68613" w14:textId="68BDB08A" w:rsidR="003F77CE" w:rsidRPr="00E86346" w:rsidRDefault="003F77CE" w:rsidP="00CF0A12">
      <w:pPr>
        <w:spacing w:after="0"/>
        <w:rPr>
          <w:rFonts w:eastAsia="Arial"/>
          <w:sz w:val="18"/>
          <w:szCs w:val="18"/>
        </w:rPr>
      </w:pPr>
      <w:r w:rsidRPr="00E86346">
        <w:rPr>
          <w:rFonts w:ascii="Calibri" w:eastAsia="Arial" w:hAnsi="Calibri" w:cs="Calibri"/>
          <w:sz w:val="18"/>
          <w:szCs w:val="18"/>
          <w:vertAlign w:val="superscript"/>
        </w:rPr>
        <w:footnoteRef/>
      </w:r>
      <w:r w:rsidRPr="00E86346">
        <w:rPr>
          <w:rFonts w:eastAsia="Arial"/>
          <w:sz w:val="18"/>
          <w:szCs w:val="18"/>
        </w:rPr>
        <w:t xml:space="preserve"> </w:t>
      </w:r>
      <w:r w:rsidRPr="00E86346">
        <w:rPr>
          <w:rFonts w:ascii="Calibri" w:eastAsia="Calibri" w:hAnsi="Calibri" w:cs="Calibri"/>
          <w:sz w:val="18"/>
          <w:szCs w:val="18"/>
        </w:rPr>
        <w:t>ABS</w:t>
      </w:r>
      <w:r w:rsidR="002900D4">
        <w:rPr>
          <w:rFonts w:ascii="Calibri" w:eastAsia="Calibri" w:hAnsi="Calibri" w:cs="Calibri"/>
          <w:sz w:val="18"/>
          <w:szCs w:val="18"/>
        </w:rPr>
        <w:t xml:space="preserve"> (Cat 3218.0)</w:t>
      </w:r>
      <w:r w:rsidRPr="00E86346">
        <w:rPr>
          <w:rFonts w:ascii="Calibri" w:eastAsia="Calibri" w:hAnsi="Calibri" w:cs="Calibri"/>
          <w:sz w:val="18"/>
          <w:szCs w:val="18"/>
        </w:rPr>
        <w:t xml:space="preserve">, </w:t>
      </w:r>
      <w:r w:rsidRPr="00DD7BBC">
        <w:rPr>
          <w:rFonts w:ascii="Calibri" w:eastAsia="Calibri" w:hAnsi="Calibri" w:cs="Calibri"/>
          <w:i/>
          <w:iCs/>
          <w:sz w:val="18"/>
          <w:szCs w:val="18"/>
        </w:rPr>
        <w:t>Regional Population Growth</w:t>
      </w:r>
      <w:r w:rsidR="002900D4">
        <w:rPr>
          <w:rFonts w:ascii="Calibri" w:eastAsia="Calibri" w:hAnsi="Calibri" w:cs="Calibri"/>
          <w:i/>
          <w:iCs/>
          <w:sz w:val="18"/>
          <w:szCs w:val="18"/>
        </w:rPr>
        <w:t xml:space="preserve"> as at 30 June 2020,</w:t>
      </w:r>
      <w:r w:rsidRPr="00DD7BBC">
        <w:rPr>
          <w:rFonts w:ascii="Calibri" w:eastAsia="Calibri" w:hAnsi="Calibri" w:cs="Calibri"/>
          <w:i/>
          <w:iCs/>
          <w:sz w:val="18"/>
          <w:szCs w:val="18"/>
        </w:rPr>
        <w:t xml:space="preserve"> Australia</w:t>
      </w:r>
      <w:r w:rsidRPr="00E86346">
        <w:rPr>
          <w:rFonts w:ascii="Calibri" w:eastAsia="Calibri" w:hAnsi="Calibri" w:cs="Calibri"/>
          <w:sz w:val="18"/>
          <w:szCs w:val="18"/>
        </w:rPr>
        <w:t xml:space="preserve"> </w:t>
      </w:r>
    </w:p>
  </w:footnote>
  <w:footnote w:id="4">
    <w:p w14:paraId="7B7275A5" w14:textId="502A9F29" w:rsidR="003F77CE" w:rsidRPr="00E86346" w:rsidRDefault="003F77CE" w:rsidP="00CF0A12">
      <w:pPr>
        <w:spacing w:after="0"/>
        <w:rPr>
          <w:rFonts w:eastAsia="Arial"/>
          <w:sz w:val="18"/>
          <w:szCs w:val="18"/>
        </w:rPr>
      </w:pPr>
      <w:r w:rsidRPr="00E86346">
        <w:rPr>
          <w:rFonts w:ascii="Calibri" w:eastAsia="Arial" w:hAnsi="Calibri" w:cs="Calibri"/>
          <w:sz w:val="18"/>
          <w:szCs w:val="18"/>
          <w:vertAlign w:val="superscript"/>
        </w:rPr>
        <w:footnoteRef/>
      </w:r>
      <w:r w:rsidRPr="00E86346">
        <w:rPr>
          <w:rFonts w:eastAsia="Arial"/>
          <w:sz w:val="18"/>
          <w:szCs w:val="18"/>
        </w:rPr>
        <w:t xml:space="preserve"> Australian Digital </w:t>
      </w:r>
      <w:r w:rsidR="002900D4">
        <w:rPr>
          <w:rFonts w:eastAsia="Arial"/>
          <w:sz w:val="18"/>
          <w:szCs w:val="18"/>
        </w:rPr>
        <w:t>I</w:t>
      </w:r>
      <w:r w:rsidRPr="00E86346">
        <w:rPr>
          <w:rFonts w:eastAsia="Arial"/>
          <w:sz w:val="18"/>
          <w:szCs w:val="18"/>
        </w:rPr>
        <w:t xml:space="preserve">nclusion Index (ADII) accessed via </w:t>
      </w:r>
      <w:hyperlink r:id="rId1" w:history="1">
        <w:r w:rsidRPr="00E86346">
          <w:rPr>
            <w:rStyle w:val="Hyperlink"/>
            <w:rFonts w:eastAsia="Arial"/>
            <w:sz w:val="18"/>
            <w:szCs w:val="18"/>
          </w:rPr>
          <w:t>https://digitalinclusionindex.org.au/</w:t>
        </w:r>
      </w:hyperlink>
    </w:p>
  </w:footnote>
  <w:footnote w:id="5">
    <w:p w14:paraId="7118269C" w14:textId="5985A16C" w:rsidR="003F77CE" w:rsidRPr="00E86346" w:rsidRDefault="003F77CE" w:rsidP="00CF0A12">
      <w:pPr>
        <w:spacing w:after="0"/>
        <w:rPr>
          <w:sz w:val="18"/>
          <w:szCs w:val="18"/>
        </w:rPr>
      </w:pPr>
      <w:r w:rsidRPr="00E86346">
        <w:rPr>
          <w:rFonts w:ascii="Calibri" w:eastAsia="Arial" w:hAnsi="Calibri" w:cstheme="minorHAnsi"/>
          <w:sz w:val="18"/>
          <w:szCs w:val="18"/>
          <w:vertAlign w:val="superscript"/>
        </w:rPr>
        <w:footnoteRef/>
      </w:r>
      <w:r w:rsidRPr="00E86346">
        <w:rPr>
          <w:rFonts w:eastAsia="Arial" w:cstheme="minorHAnsi"/>
          <w:sz w:val="18"/>
          <w:szCs w:val="18"/>
        </w:rPr>
        <w:t xml:space="preserve"> </w:t>
      </w:r>
      <w:proofErr w:type="spellStart"/>
      <w:r w:rsidRPr="00E86346">
        <w:rPr>
          <w:rFonts w:eastAsia="Arial" w:cstheme="minorHAnsi"/>
          <w:sz w:val="18"/>
          <w:szCs w:val="18"/>
        </w:rPr>
        <w:t>TasCOSS</w:t>
      </w:r>
      <w:proofErr w:type="spellEnd"/>
      <w:r w:rsidR="002900D4">
        <w:rPr>
          <w:rFonts w:eastAsia="Arial" w:cstheme="minorHAnsi"/>
          <w:sz w:val="18"/>
          <w:szCs w:val="18"/>
        </w:rPr>
        <w:t>,</w:t>
      </w:r>
      <w:r w:rsidRPr="00E86346">
        <w:rPr>
          <w:rFonts w:eastAsia="Arial" w:cstheme="minorHAnsi"/>
          <w:sz w:val="18"/>
          <w:szCs w:val="18"/>
        </w:rPr>
        <w:t xml:space="preserve"> </w:t>
      </w:r>
      <w:r w:rsidRPr="00DD7BBC">
        <w:rPr>
          <w:rFonts w:eastAsia="Arial" w:cstheme="minorHAnsi"/>
          <w:i/>
          <w:iCs/>
          <w:sz w:val="18"/>
          <w:szCs w:val="18"/>
        </w:rPr>
        <w:t>Understanding Digital Inclusion in Tasmania – Report on Research Findings</w:t>
      </w:r>
      <w:r w:rsidR="002900D4">
        <w:rPr>
          <w:rFonts w:eastAsia="Arial" w:cstheme="minorHAnsi"/>
          <w:i/>
          <w:iCs/>
          <w:sz w:val="18"/>
          <w:szCs w:val="18"/>
        </w:rPr>
        <w:t>,</w:t>
      </w:r>
      <w:r w:rsidRPr="00E86346">
        <w:rPr>
          <w:rFonts w:eastAsia="Arial" w:cstheme="minorHAnsi"/>
          <w:sz w:val="18"/>
          <w:szCs w:val="18"/>
        </w:rPr>
        <w:t xml:space="preserve"> </w:t>
      </w:r>
      <w:hyperlink r:id="rId2" w:history="1">
        <w:r w:rsidRPr="00E86346">
          <w:rPr>
            <w:rStyle w:val="Hyperlink"/>
            <w:rFonts w:eastAsia="Arial" w:cstheme="minorHAnsi"/>
            <w:sz w:val="18"/>
            <w:szCs w:val="18"/>
          </w:rPr>
          <w:t>https://tascoss.org.au/new-submission-to-the-tascoss-vault-11/</w:t>
        </w:r>
      </w:hyperlink>
    </w:p>
  </w:footnote>
  <w:footnote w:id="6">
    <w:p w14:paraId="468E2FA0" w14:textId="77777777" w:rsidR="003F77CE" w:rsidRDefault="003F77CE" w:rsidP="00CF0A12">
      <w:pPr>
        <w:pStyle w:val="FootnoteText"/>
        <w:spacing w:before="0" w:after="0" w:line="276" w:lineRule="auto"/>
      </w:pPr>
      <w:r w:rsidRPr="00E86346">
        <w:rPr>
          <w:rStyle w:val="FootnoteReference"/>
          <w:rFonts w:cs="Calibri"/>
          <w:szCs w:val="18"/>
        </w:rPr>
        <w:footnoteRef/>
      </w:r>
      <w:r w:rsidRPr="00E86346">
        <w:rPr>
          <w:szCs w:val="18"/>
        </w:rPr>
        <w:t xml:space="preserve"> </w:t>
      </w:r>
      <w:hyperlink r:id="rId3" w:history="1">
        <w:r w:rsidRPr="00E86346">
          <w:rPr>
            <w:rStyle w:val="Hyperlink"/>
            <w:rFonts w:eastAsia="Calibri" w:cs="Calibri"/>
            <w:szCs w:val="18"/>
          </w:rPr>
          <w:t>https://www.stategrowth.tas.gov.au/__data/assets/pdf_file/0007/174076/Transport_Access_Strategy.PDF</w:t>
        </w:r>
      </w:hyperlink>
    </w:p>
  </w:footnote>
  <w:footnote w:id="7">
    <w:p w14:paraId="73258EEE" w14:textId="1EC4AF1A" w:rsidR="00D03452" w:rsidRDefault="00D03452" w:rsidP="00D03452">
      <w:pPr>
        <w:pStyle w:val="FootnoteText"/>
        <w:rPr>
          <w:szCs w:val="18"/>
        </w:rPr>
      </w:pPr>
      <w:r>
        <w:rPr>
          <w:rStyle w:val="FootnoteReference"/>
          <w:rFonts w:cs="Calibri"/>
          <w:szCs w:val="18"/>
        </w:rPr>
        <w:footnoteRef/>
      </w:r>
      <w:r>
        <w:rPr>
          <w:szCs w:val="18"/>
        </w:rPr>
        <w:t xml:space="preserve"> ABS</w:t>
      </w:r>
      <w:r w:rsidR="00C92AA9">
        <w:rPr>
          <w:szCs w:val="18"/>
        </w:rPr>
        <w:t>,</w:t>
      </w:r>
      <w:r>
        <w:rPr>
          <w:szCs w:val="18"/>
        </w:rPr>
        <w:t xml:space="preserve"> </w:t>
      </w:r>
      <w:r w:rsidRPr="00C92AA9">
        <w:rPr>
          <w:i/>
          <w:iCs/>
          <w:szCs w:val="18"/>
        </w:rPr>
        <w:t>Census of Population and Housing</w:t>
      </w:r>
      <w:r w:rsidR="00C92AA9">
        <w:rPr>
          <w:i/>
          <w:iCs/>
          <w:szCs w:val="18"/>
        </w:rPr>
        <w:t>,</w:t>
      </w:r>
      <w:r>
        <w:rPr>
          <w:szCs w:val="18"/>
        </w:rPr>
        <w:t xml:space="preserve">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EBD58" w14:textId="77777777" w:rsidR="006266AF" w:rsidRDefault="006266AF" w:rsidP="009B031C">
    <w:pPr>
      <w:pStyle w:val="Header"/>
    </w:pPr>
    <w:r>
      <w:rPr>
        <w:noProof/>
        <w:lang w:eastAsia="en-AU"/>
      </w:rPr>
      <w:drawing>
        <wp:anchor distT="0" distB="0" distL="114300" distR="114300" simplePos="0" relativeHeight="251659264" behindDoc="1" locked="0" layoutInCell="1" allowOverlap="1" wp14:anchorId="4E77D2E0" wp14:editId="65E1C060">
          <wp:simplePos x="0" y="0"/>
          <wp:positionH relativeFrom="page">
            <wp:posOffset>118110</wp:posOffset>
          </wp:positionH>
          <wp:positionV relativeFrom="paragraph">
            <wp:posOffset>-442595</wp:posOffset>
          </wp:positionV>
          <wp:extent cx="7437528" cy="3610800"/>
          <wp:effectExtent l="0" t="0" r="0" b="0"/>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B18-0086 Career Transition Assistance_Factsheet Header_01.jpg"/>
                  <pic:cNvPicPr/>
                </pic:nvPicPr>
                <pic:blipFill>
                  <a:blip r:embed="rId1">
                    <a:extLst>
                      <a:ext uri="{28A0092B-C50C-407E-A947-70E740481C1C}">
                        <a14:useLocalDpi xmlns:a14="http://schemas.microsoft.com/office/drawing/2010/main" val="0"/>
                      </a:ext>
                    </a:extLst>
                  </a:blip>
                  <a:stretch>
                    <a:fillRect/>
                  </a:stretch>
                </pic:blipFill>
                <pic:spPr>
                  <a:xfrm>
                    <a:off x="0" y="0"/>
                    <a:ext cx="7437528" cy="361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7FC0C" w14:textId="77777777" w:rsidR="006266AF" w:rsidRDefault="006266AF" w:rsidP="009B0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1159"/>
    <w:multiLevelType w:val="hybridMultilevel"/>
    <w:tmpl w:val="8ED63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D41B00"/>
    <w:multiLevelType w:val="hybridMultilevel"/>
    <w:tmpl w:val="F6B4D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4E74DB0"/>
    <w:multiLevelType w:val="hybridMultilevel"/>
    <w:tmpl w:val="4104A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501D65"/>
    <w:multiLevelType w:val="hybridMultilevel"/>
    <w:tmpl w:val="8618B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34C625C"/>
    <w:multiLevelType w:val="hybridMultilevel"/>
    <w:tmpl w:val="6D501298"/>
    <w:lvl w:ilvl="0" w:tplc="A224A7F0">
      <w:start w:val="1"/>
      <w:numFmt w:val="decimal"/>
      <w:lvlText w:val="%1."/>
      <w:lvlJc w:val="left"/>
      <w:pPr>
        <w:ind w:left="360" w:hanging="360"/>
      </w:pPr>
      <w:rPr>
        <w:b/>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2DC347FC"/>
    <w:multiLevelType w:val="hybridMultilevel"/>
    <w:tmpl w:val="9DA0846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E384B43"/>
    <w:multiLevelType w:val="hybridMultilevel"/>
    <w:tmpl w:val="0D84E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2857851"/>
    <w:multiLevelType w:val="hybridMultilevel"/>
    <w:tmpl w:val="1B98F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961653"/>
    <w:multiLevelType w:val="hybridMultilevel"/>
    <w:tmpl w:val="43AEDB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5386109B"/>
    <w:multiLevelType w:val="multilevel"/>
    <w:tmpl w:val="39C0C77C"/>
    <w:lvl w:ilvl="0">
      <w:start w:val="1"/>
      <w:numFmt w:val="decimal"/>
      <w:pStyle w:val="BoxHeading-Recommendation"/>
      <w:suff w:val="nothing"/>
      <w:lvlText w:val="Recommendation %1."/>
      <w:lvlJc w:val="left"/>
      <w:pPr>
        <w:ind w:left="357" w:hanging="35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47609E2"/>
    <w:multiLevelType w:val="hybridMultilevel"/>
    <w:tmpl w:val="BCDA993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55EF7206"/>
    <w:multiLevelType w:val="hybridMultilevel"/>
    <w:tmpl w:val="7200E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90115B"/>
    <w:multiLevelType w:val="hybridMultilevel"/>
    <w:tmpl w:val="695A1E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F9D3366"/>
    <w:multiLevelType w:val="hybridMultilevel"/>
    <w:tmpl w:val="711A6858"/>
    <w:lvl w:ilvl="0" w:tplc="0C09000F">
      <w:start w:val="1"/>
      <w:numFmt w:val="decimal"/>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7" w15:restartNumberingAfterBreak="0">
    <w:nsid w:val="71F210D7"/>
    <w:multiLevelType w:val="hybridMultilevel"/>
    <w:tmpl w:val="330E2490"/>
    <w:lvl w:ilvl="0" w:tplc="0C090017">
      <w:start w:val="1"/>
      <w:numFmt w:val="lowerLetter"/>
      <w:lvlText w:val="%1)"/>
      <w:lvlJc w:val="left"/>
      <w:pPr>
        <w:ind w:left="717" w:hanging="360"/>
      </w:pPr>
    </w:lvl>
    <w:lvl w:ilvl="1" w:tplc="0C090019">
      <w:start w:val="1"/>
      <w:numFmt w:val="lowerLetter"/>
      <w:lvlText w:val="%2."/>
      <w:lvlJc w:val="left"/>
      <w:pPr>
        <w:ind w:left="1437" w:hanging="360"/>
      </w:pPr>
    </w:lvl>
    <w:lvl w:ilvl="2" w:tplc="0C09001B">
      <w:start w:val="1"/>
      <w:numFmt w:val="lowerRoman"/>
      <w:lvlText w:val="%3."/>
      <w:lvlJc w:val="right"/>
      <w:pPr>
        <w:ind w:left="2157" w:hanging="180"/>
      </w:pPr>
    </w:lvl>
    <w:lvl w:ilvl="3" w:tplc="0C09000F">
      <w:start w:val="1"/>
      <w:numFmt w:val="decimal"/>
      <w:lvlText w:val="%4."/>
      <w:lvlJc w:val="left"/>
      <w:pPr>
        <w:ind w:left="2877" w:hanging="360"/>
      </w:pPr>
    </w:lvl>
    <w:lvl w:ilvl="4" w:tplc="0C090019">
      <w:start w:val="1"/>
      <w:numFmt w:val="lowerLetter"/>
      <w:lvlText w:val="%5."/>
      <w:lvlJc w:val="left"/>
      <w:pPr>
        <w:ind w:left="3597" w:hanging="360"/>
      </w:pPr>
    </w:lvl>
    <w:lvl w:ilvl="5" w:tplc="0C09001B">
      <w:start w:val="1"/>
      <w:numFmt w:val="lowerRoman"/>
      <w:lvlText w:val="%6."/>
      <w:lvlJc w:val="right"/>
      <w:pPr>
        <w:ind w:left="4317" w:hanging="180"/>
      </w:pPr>
    </w:lvl>
    <w:lvl w:ilvl="6" w:tplc="0C09000F">
      <w:start w:val="1"/>
      <w:numFmt w:val="decimal"/>
      <w:lvlText w:val="%7."/>
      <w:lvlJc w:val="left"/>
      <w:pPr>
        <w:ind w:left="5037" w:hanging="360"/>
      </w:pPr>
    </w:lvl>
    <w:lvl w:ilvl="7" w:tplc="0C090019">
      <w:start w:val="1"/>
      <w:numFmt w:val="lowerLetter"/>
      <w:lvlText w:val="%8."/>
      <w:lvlJc w:val="left"/>
      <w:pPr>
        <w:ind w:left="5757" w:hanging="360"/>
      </w:pPr>
    </w:lvl>
    <w:lvl w:ilvl="8" w:tplc="0C09001B">
      <w:start w:val="1"/>
      <w:numFmt w:val="lowerRoman"/>
      <w:lvlText w:val="%9."/>
      <w:lvlJc w:val="right"/>
      <w:pPr>
        <w:ind w:left="6477" w:hanging="180"/>
      </w:pPr>
    </w:lvl>
  </w:abstractNum>
  <w:abstractNum w:abstractNumId="18" w15:restartNumberingAfterBreak="0">
    <w:nsid w:val="72957C0B"/>
    <w:multiLevelType w:val="hybridMultilevel"/>
    <w:tmpl w:val="1FA8B770"/>
    <w:lvl w:ilvl="0" w:tplc="0C090003">
      <w:start w:val="1"/>
      <w:numFmt w:val="bullet"/>
      <w:lvlText w:val="o"/>
      <w:lvlJc w:val="left"/>
      <w:pPr>
        <w:ind w:left="717" w:hanging="360"/>
      </w:pPr>
      <w:rPr>
        <w:rFonts w:ascii="Courier New" w:hAnsi="Courier New" w:cs="Courier New" w:hint="default"/>
      </w:rPr>
    </w:lvl>
    <w:lvl w:ilvl="1" w:tplc="0C090019">
      <w:start w:val="1"/>
      <w:numFmt w:val="lowerLetter"/>
      <w:lvlText w:val="%2."/>
      <w:lvlJc w:val="left"/>
      <w:pPr>
        <w:ind w:left="1437" w:hanging="360"/>
      </w:pPr>
    </w:lvl>
    <w:lvl w:ilvl="2" w:tplc="0C09001B">
      <w:start w:val="1"/>
      <w:numFmt w:val="lowerRoman"/>
      <w:lvlText w:val="%3."/>
      <w:lvlJc w:val="right"/>
      <w:pPr>
        <w:ind w:left="2157" w:hanging="180"/>
      </w:pPr>
    </w:lvl>
    <w:lvl w:ilvl="3" w:tplc="0C09000F">
      <w:start w:val="1"/>
      <w:numFmt w:val="decimal"/>
      <w:lvlText w:val="%4."/>
      <w:lvlJc w:val="left"/>
      <w:pPr>
        <w:ind w:left="2877" w:hanging="360"/>
      </w:pPr>
    </w:lvl>
    <w:lvl w:ilvl="4" w:tplc="0C090019">
      <w:start w:val="1"/>
      <w:numFmt w:val="lowerLetter"/>
      <w:lvlText w:val="%5."/>
      <w:lvlJc w:val="left"/>
      <w:pPr>
        <w:ind w:left="3597" w:hanging="360"/>
      </w:pPr>
    </w:lvl>
    <w:lvl w:ilvl="5" w:tplc="0C09001B">
      <w:start w:val="1"/>
      <w:numFmt w:val="lowerRoman"/>
      <w:lvlText w:val="%6."/>
      <w:lvlJc w:val="right"/>
      <w:pPr>
        <w:ind w:left="4317" w:hanging="180"/>
      </w:pPr>
    </w:lvl>
    <w:lvl w:ilvl="6" w:tplc="0C09000F">
      <w:start w:val="1"/>
      <w:numFmt w:val="decimal"/>
      <w:lvlText w:val="%7."/>
      <w:lvlJc w:val="left"/>
      <w:pPr>
        <w:ind w:left="5037" w:hanging="360"/>
      </w:pPr>
    </w:lvl>
    <w:lvl w:ilvl="7" w:tplc="0C090019">
      <w:start w:val="1"/>
      <w:numFmt w:val="lowerLetter"/>
      <w:lvlText w:val="%8."/>
      <w:lvlJc w:val="left"/>
      <w:pPr>
        <w:ind w:left="5757" w:hanging="360"/>
      </w:pPr>
    </w:lvl>
    <w:lvl w:ilvl="8" w:tplc="0C09001B">
      <w:start w:val="1"/>
      <w:numFmt w:val="lowerRoman"/>
      <w:lvlText w:val="%9."/>
      <w:lvlJc w:val="right"/>
      <w:pPr>
        <w:ind w:left="6477" w:hanging="180"/>
      </w:pPr>
    </w:lvl>
  </w:abstractNum>
  <w:abstractNum w:abstractNumId="19" w15:restartNumberingAfterBreak="0">
    <w:nsid w:val="74095394"/>
    <w:multiLevelType w:val="hybridMultilevel"/>
    <w:tmpl w:val="C3FAC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DC6582"/>
    <w:multiLevelType w:val="hybridMultilevel"/>
    <w:tmpl w:val="EF94A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0" w:hanging="360"/>
      </w:pPr>
      <w:rPr>
        <w:rFonts w:ascii="Courier New" w:hAnsi="Courier New" w:cs="Courier New" w:hint="default"/>
      </w:rPr>
    </w:lvl>
    <w:lvl w:ilvl="2" w:tplc="0C090005">
      <w:start w:val="1"/>
      <w:numFmt w:val="bullet"/>
      <w:lvlText w:val=""/>
      <w:lvlJc w:val="left"/>
      <w:pPr>
        <w:ind w:left="720" w:hanging="360"/>
      </w:pPr>
      <w:rPr>
        <w:rFonts w:ascii="Wingdings" w:hAnsi="Wingdings" w:hint="default"/>
      </w:rPr>
    </w:lvl>
    <w:lvl w:ilvl="3" w:tplc="0C090001">
      <w:start w:val="1"/>
      <w:numFmt w:val="bullet"/>
      <w:lvlText w:val=""/>
      <w:lvlJc w:val="left"/>
      <w:pPr>
        <w:ind w:left="1440" w:hanging="360"/>
      </w:pPr>
      <w:rPr>
        <w:rFonts w:ascii="Symbol" w:hAnsi="Symbol" w:hint="default"/>
      </w:rPr>
    </w:lvl>
    <w:lvl w:ilvl="4" w:tplc="0C090003">
      <w:start w:val="1"/>
      <w:numFmt w:val="bullet"/>
      <w:lvlText w:val="o"/>
      <w:lvlJc w:val="left"/>
      <w:pPr>
        <w:ind w:left="2160" w:hanging="360"/>
      </w:pPr>
      <w:rPr>
        <w:rFonts w:ascii="Courier New" w:hAnsi="Courier New" w:cs="Courier New" w:hint="default"/>
      </w:rPr>
    </w:lvl>
    <w:lvl w:ilvl="5" w:tplc="0C090005">
      <w:start w:val="1"/>
      <w:numFmt w:val="bullet"/>
      <w:lvlText w:val=""/>
      <w:lvlJc w:val="left"/>
      <w:pPr>
        <w:ind w:left="2880" w:hanging="360"/>
      </w:pPr>
      <w:rPr>
        <w:rFonts w:ascii="Wingdings" w:hAnsi="Wingdings" w:hint="default"/>
      </w:rPr>
    </w:lvl>
    <w:lvl w:ilvl="6" w:tplc="0C090001">
      <w:start w:val="1"/>
      <w:numFmt w:val="bullet"/>
      <w:lvlText w:val=""/>
      <w:lvlJc w:val="left"/>
      <w:pPr>
        <w:ind w:left="3600" w:hanging="360"/>
      </w:pPr>
      <w:rPr>
        <w:rFonts w:ascii="Symbol" w:hAnsi="Symbol" w:hint="default"/>
      </w:rPr>
    </w:lvl>
    <w:lvl w:ilvl="7" w:tplc="0C090003">
      <w:start w:val="1"/>
      <w:numFmt w:val="bullet"/>
      <w:lvlText w:val="o"/>
      <w:lvlJc w:val="left"/>
      <w:pPr>
        <w:ind w:left="4320" w:hanging="360"/>
      </w:pPr>
      <w:rPr>
        <w:rFonts w:ascii="Courier New" w:hAnsi="Courier New" w:cs="Courier New" w:hint="default"/>
      </w:rPr>
    </w:lvl>
    <w:lvl w:ilvl="8" w:tplc="0C090005">
      <w:start w:val="1"/>
      <w:numFmt w:val="bullet"/>
      <w:lvlText w:val=""/>
      <w:lvlJc w:val="left"/>
      <w:pPr>
        <w:ind w:left="5040" w:hanging="360"/>
      </w:pPr>
      <w:rPr>
        <w:rFonts w:ascii="Wingdings" w:hAnsi="Wingdings" w:hint="default"/>
      </w:rPr>
    </w:lvl>
  </w:abstractNum>
  <w:num w:numId="1">
    <w:abstractNumId w:val="5"/>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1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2"/>
  </w:num>
  <w:num w:numId="13">
    <w:abstractNumId w:val="1"/>
  </w:num>
  <w:num w:numId="14">
    <w:abstractNumId w:val="15"/>
  </w:num>
  <w:num w:numId="15">
    <w:abstractNumId w:val="19"/>
  </w:num>
  <w:num w:numId="16">
    <w:abstractNumId w:val="3"/>
  </w:num>
  <w:num w:numId="17">
    <w:abstractNumId w:val="8"/>
  </w:num>
  <w:num w:numId="18">
    <w:abstractNumId w:val="20"/>
  </w:num>
  <w:num w:numId="19">
    <w:abstractNumId w:val="4"/>
  </w:num>
  <w:num w:numId="20">
    <w:abstractNumId w:val="17"/>
  </w:num>
  <w:num w:numId="21">
    <w:abstractNumId w:val="13"/>
  </w:num>
  <w:num w:numId="22">
    <w:abstractNumId w:val="18"/>
  </w:num>
  <w:num w:numId="2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5625D"/>
    <w:rsid w:val="00000B20"/>
    <w:rsid w:val="00001EEF"/>
    <w:rsid w:val="00002721"/>
    <w:rsid w:val="00006138"/>
    <w:rsid w:val="000121DC"/>
    <w:rsid w:val="00024E24"/>
    <w:rsid w:val="00024EDA"/>
    <w:rsid w:val="0002700E"/>
    <w:rsid w:val="00034EAA"/>
    <w:rsid w:val="00053A09"/>
    <w:rsid w:val="00056CF0"/>
    <w:rsid w:val="00057878"/>
    <w:rsid w:val="000653F7"/>
    <w:rsid w:val="00081C31"/>
    <w:rsid w:val="00085410"/>
    <w:rsid w:val="000861A6"/>
    <w:rsid w:val="00087E69"/>
    <w:rsid w:val="00092420"/>
    <w:rsid w:val="000A6FBB"/>
    <w:rsid w:val="000B02C7"/>
    <w:rsid w:val="000B0EEF"/>
    <w:rsid w:val="000B3C97"/>
    <w:rsid w:val="000B682E"/>
    <w:rsid w:val="000C74ED"/>
    <w:rsid w:val="000E6FBB"/>
    <w:rsid w:val="000F03DC"/>
    <w:rsid w:val="000F3111"/>
    <w:rsid w:val="000F3BA2"/>
    <w:rsid w:val="00100680"/>
    <w:rsid w:val="00105968"/>
    <w:rsid w:val="001175BF"/>
    <w:rsid w:val="00126C4D"/>
    <w:rsid w:val="00130923"/>
    <w:rsid w:val="001414F3"/>
    <w:rsid w:val="00143FCD"/>
    <w:rsid w:val="00153898"/>
    <w:rsid w:val="00156550"/>
    <w:rsid w:val="001637DF"/>
    <w:rsid w:val="001764AB"/>
    <w:rsid w:val="00183990"/>
    <w:rsid w:val="00190523"/>
    <w:rsid w:val="001A08EE"/>
    <w:rsid w:val="001A21F9"/>
    <w:rsid w:val="001B6467"/>
    <w:rsid w:val="001E6B89"/>
    <w:rsid w:val="00200441"/>
    <w:rsid w:val="002016B2"/>
    <w:rsid w:val="00201C4C"/>
    <w:rsid w:val="002035B1"/>
    <w:rsid w:val="00204330"/>
    <w:rsid w:val="00223219"/>
    <w:rsid w:val="00223EB1"/>
    <w:rsid w:val="00236194"/>
    <w:rsid w:val="00236917"/>
    <w:rsid w:val="002439F1"/>
    <w:rsid w:val="002508C9"/>
    <w:rsid w:val="00251790"/>
    <w:rsid w:val="00253A0E"/>
    <w:rsid w:val="00261C66"/>
    <w:rsid w:val="00265557"/>
    <w:rsid w:val="00276230"/>
    <w:rsid w:val="002900D4"/>
    <w:rsid w:val="0029144C"/>
    <w:rsid w:val="00293094"/>
    <w:rsid w:val="00293EB6"/>
    <w:rsid w:val="002963AB"/>
    <w:rsid w:val="002A3F96"/>
    <w:rsid w:val="002B06E6"/>
    <w:rsid w:val="002B2447"/>
    <w:rsid w:val="002B3304"/>
    <w:rsid w:val="002B4E2A"/>
    <w:rsid w:val="002D01B4"/>
    <w:rsid w:val="002D271F"/>
    <w:rsid w:val="002D40C8"/>
    <w:rsid w:val="002D4E30"/>
    <w:rsid w:val="002D5705"/>
    <w:rsid w:val="002D6386"/>
    <w:rsid w:val="002E0666"/>
    <w:rsid w:val="002F1C10"/>
    <w:rsid w:val="002F2A39"/>
    <w:rsid w:val="002F2BAE"/>
    <w:rsid w:val="00301B4C"/>
    <w:rsid w:val="00305794"/>
    <w:rsid w:val="00305B35"/>
    <w:rsid w:val="00313873"/>
    <w:rsid w:val="00322A8F"/>
    <w:rsid w:val="00322CDD"/>
    <w:rsid w:val="003242B9"/>
    <w:rsid w:val="003253A0"/>
    <w:rsid w:val="003273FB"/>
    <w:rsid w:val="003418C0"/>
    <w:rsid w:val="00341AC9"/>
    <w:rsid w:val="00346F3C"/>
    <w:rsid w:val="003555F5"/>
    <w:rsid w:val="003616B4"/>
    <w:rsid w:val="00366DE5"/>
    <w:rsid w:val="003837A1"/>
    <w:rsid w:val="00391021"/>
    <w:rsid w:val="00392106"/>
    <w:rsid w:val="003926DB"/>
    <w:rsid w:val="00395C58"/>
    <w:rsid w:val="00397B00"/>
    <w:rsid w:val="003B664E"/>
    <w:rsid w:val="003D67FC"/>
    <w:rsid w:val="003F5BBA"/>
    <w:rsid w:val="003F7272"/>
    <w:rsid w:val="003F77CE"/>
    <w:rsid w:val="00405581"/>
    <w:rsid w:val="00406E5A"/>
    <w:rsid w:val="00417DF0"/>
    <w:rsid w:val="004264F2"/>
    <w:rsid w:val="00431AE1"/>
    <w:rsid w:val="00441119"/>
    <w:rsid w:val="00443753"/>
    <w:rsid w:val="00444B29"/>
    <w:rsid w:val="00444D9A"/>
    <w:rsid w:val="004550BF"/>
    <w:rsid w:val="00455760"/>
    <w:rsid w:val="00455B34"/>
    <w:rsid w:val="00461B56"/>
    <w:rsid w:val="00470592"/>
    <w:rsid w:val="00474EB9"/>
    <w:rsid w:val="00480942"/>
    <w:rsid w:val="00481745"/>
    <w:rsid w:val="004819C0"/>
    <w:rsid w:val="0048762C"/>
    <w:rsid w:val="00497DE3"/>
    <w:rsid w:val="004A06B4"/>
    <w:rsid w:val="004A719A"/>
    <w:rsid w:val="004B256F"/>
    <w:rsid w:val="004D09D7"/>
    <w:rsid w:val="004D3C3C"/>
    <w:rsid w:val="004D5E43"/>
    <w:rsid w:val="004E1E0C"/>
    <w:rsid w:val="004E2B1A"/>
    <w:rsid w:val="004E53AA"/>
    <w:rsid w:val="004E68A8"/>
    <w:rsid w:val="004F30F8"/>
    <w:rsid w:val="004F5669"/>
    <w:rsid w:val="005007D8"/>
    <w:rsid w:val="005113B6"/>
    <w:rsid w:val="005146EF"/>
    <w:rsid w:val="00525C00"/>
    <w:rsid w:val="00531817"/>
    <w:rsid w:val="005424F6"/>
    <w:rsid w:val="0054253B"/>
    <w:rsid w:val="00543D82"/>
    <w:rsid w:val="00545E14"/>
    <w:rsid w:val="00554050"/>
    <w:rsid w:val="00556F06"/>
    <w:rsid w:val="0056026A"/>
    <w:rsid w:val="00560CA0"/>
    <w:rsid w:val="005624F3"/>
    <w:rsid w:val="005632AD"/>
    <w:rsid w:val="00570E4A"/>
    <w:rsid w:val="00575845"/>
    <w:rsid w:val="005811EF"/>
    <w:rsid w:val="00581BC4"/>
    <w:rsid w:val="005916F8"/>
    <w:rsid w:val="00595A71"/>
    <w:rsid w:val="00596DA0"/>
    <w:rsid w:val="00597283"/>
    <w:rsid w:val="005A6AA3"/>
    <w:rsid w:val="005A74CB"/>
    <w:rsid w:val="005B0878"/>
    <w:rsid w:val="005B6043"/>
    <w:rsid w:val="005C15C0"/>
    <w:rsid w:val="005C7C59"/>
    <w:rsid w:val="005D6406"/>
    <w:rsid w:val="0061028E"/>
    <w:rsid w:val="00610654"/>
    <w:rsid w:val="006208FC"/>
    <w:rsid w:val="0062604F"/>
    <w:rsid w:val="006266AF"/>
    <w:rsid w:val="00631ECB"/>
    <w:rsid w:val="00636A85"/>
    <w:rsid w:val="00640614"/>
    <w:rsid w:val="00643BF4"/>
    <w:rsid w:val="006512B4"/>
    <w:rsid w:val="0067026C"/>
    <w:rsid w:val="00690576"/>
    <w:rsid w:val="00690A1C"/>
    <w:rsid w:val="006963A1"/>
    <w:rsid w:val="006A6ABD"/>
    <w:rsid w:val="006A76C2"/>
    <w:rsid w:val="006C499E"/>
    <w:rsid w:val="006D4042"/>
    <w:rsid w:val="006E16F9"/>
    <w:rsid w:val="006E2D49"/>
    <w:rsid w:val="006E6C38"/>
    <w:rsid w:val="006E730D"/>
    <w:rsid w:val="006F227C"/>
    <w:rsid w:val="006F346A"/>
    <w:rsid w:val="006F3CCC"/>
    <w:rsid w:val="006F6A4C"/>
    <w:rsid w:val="007016E3"/>
    <w:rsid w:val="00702CA5"/>
    <w:rsid w:val="00704E28"/>
    <w:rsid w:val="00711398"/>
    <w:rsid w:val="00715B5D"/>
    <w:rsid w:val="00716CDB"/>
    <w:rsid w:val="00730C40"/>
    <w:rsid w:val="00733095"/>
    <w:rsid w:val="00740C8B"/>
    <w:rsid w:val="007468C2"/>
    <w:rsid w:val="007468FC"/>
    <w:rsid w:val="00761560"/>
    <w:rsid w:val="00762607"/>
    <w:rsid w:val="00764625"/>
    <w:rsid w:val="007650F8"/>
    <w:rsid w:val="00773AA3"/>
    <w:rsid w:val="00775992"/>
    <w:rsid w:val="00777DE9"/>
    <w:rsid w:val="00780F00"/>
    <w:rsid w:val="00792CA3"/>
    <w:rsid w:val="007A5DB4"/>
    <w:rsid w:val="007B0390"/>
    <w:rsid w:val="007B2FDD"/>
    <w:rsid w:val="007B310E"/>
    <w:rsid w:val="007B364C"/>
    <w:rsid w:val="007C67B0"/>
    <w:rsid w:val="007D1210"/>
    <w:rsid w:val="007E742F"/>
    <w:rsid w:val="007F22F2"/>
    <w:rsid w:val="007F712A"/>
    <w:rsid w:val="008069BA"/>
    <w:rsid w:val="00811BB5"/>
    <w:rsid w:val="008141D6"/>
    <w:rsid w:val="0081715D"/>
    <w:rsid w:val="0082434E"/>
    <w:rsid w:val="0083468A"/>
    <w:rsid w:val="00842D43"/>
    <w:rsid w:val="00852C26"/>
    <w:rsid w:val="00852D5C"/>
    <w:rsid w:val="00855CB9"/>
    <w:rsid w:val="00856D1C"/>
    <w:rsid w:val="008664FA"/>
    <w:rsid w:val="00876AC0"/>
    <w:rsid w:val="00877EA6"/>
    <w:rsid w:val="00882398"/>
    <w:rsid w:val="00882662"/>
    <w:rsid w:val="00894F19"/>
    <w:rsid w:val="008A02FE"/>
    <w:rsid w:val="008A2376"/>
    <w:rsid w:val="008A382D"/>
    <w:rsid w:val="008C09D4"/>
    <w:rsid w:val="008C3832"/>
    <w:rsid w:val="008C3BCF"/>
    <w:rsid w:val="008D0BB9"/>
    <w:rsid w:val="008D2703"/>
    <w:rsid w:val="008F3483"/>
    <w:rsid w:val="00905665"/>
    <w:rsid w:val="009116EA"/>
    <w:rsid w:val="00914D91"/>
    <w:rsid w:val="009164B1"/>
    <w:rsid w:val="0092107D"/>
    <w:rsid w:val="00921ADC"/>
    <w:rsid w:val="00933671"/>
    <w:rsid w:val="00935DA6"/>
    <w:rsid w:val="00942A55"/>
    <w:rsid w:val="0094720E"/>
    <w:rsid w:val="00947E2F"/>
    <w:rsid w:val="009507D5"/>
    <w:rsid w:val="0095440B"/>
    <w:rsid w:val="00961F8F"/>
    <w:rsid w:val="00963FC1"/>
    <w:rsid w:val="00966166"/>
    <w:rsid w:val="0096619B"/>
    <w:rsid w:val="0097057C"/>
    <w:rsid w:val="00972DD5"/>
    <w:rsid w:val="00976443"/>
    <w:rsid w:val="00980839"/>
    <w:rsid w:val="00984879"/>
    <w:rsid w:val="00985632"/>
    <w:rsid w:val="00990594"/>
    <w:rsid w:val="00991B63"/>
    <w:rsid w:val="009A0643"/>
    <w:rsid w:val="009A0D3F"/>
    <w:rsid w:val="009B031C"/>
    <w:rsid w:val="009B2428"/>
    <w:rsid w:val="009B376A"/>
    <w:rsid w:val="009B5CB7"/>
    <w:rsid w:val="009B7138"/>
    <w:rsid w:val="009B7CDA"/>
    <w:rsid w:val="009D1605"/>
    <w:rsid w:val="009D454F"/>
    <w:rsid w:val="009D57F5"/>
    <w:rsid w:val="009E1049"/>
    <w:rsid w:val="009E1C1D"/>
    <w:rsid w:val="009E1EF6"/>
    <w:rsid w:val="009E6C1D"/>
    <w:rsid w:val="009F00E0"/>
    <w:rsid w:val="009F6527"/>
    <w:rsid w:val="009F7437"/>
    <w:rsid w:val="00A02487"/>
    <w:rsid w:val="00A140E1"/>
    <w:rsid w:val="00A16DC9"/>
    <w:rsid w:val="00A258DC"/>
    <w:rsid w:val="00A31242"/>
    <w:rsid w:val="00A34DFF"/>
    <w:rsid w:val="00A35EA3"/>
    <w:rsid w:val="00A52530"/>
    <w:rsid w:val="00A54AB2"/>
    <w:rsid w:val="00A551BF"/>
    <w:rsid w:val="00A61653"/>
    <w:rsid w:val="00A70524"/>
    <w:rsid w:val="00A73406"/>
    <w:rsid w:val="00A8086F"/>
    <w:rsid w:val="00AA423A"/>
    <w:rsid w:val="00AA75E7"/>
    <w:rsid w:val="00AB0AF4"/>
    <w:rsid w:val="00AB51B5"/>
    <w:rsid w:val="00AC282F"/>
    <w:rsid w:val="00AC35BB"/>
    <w:rsid w:val="00AC4B34"/>
    <w:rsid w:val="00AC5432"/>
    <w:rsid w:val="00AC65DA"/>
    <w:rsid w:val="00AC6CEE"/>
    <w:rsid w:val="00AD43FC"/>
    <w:rsid w:val="00AE7E2C"/>
    <w:rsid w:val="00AF374D"/>
    <w:rsid w:val="00B004DD"/>
    <w:rsid w:val="00B15CA5"/>
    <w:rsid w:val="00B23EFF"/>
    <w:rsid w:val="00B2722A"/>
    <w:rsid w:val="00B316C5"/>
    <w:rsid w:val="00B325E0"/>
    <w:rsid w:val="00B34E5F"/>
    <w:rsid w:val="00B35FF7"/>
    <w:rsid w:val="00B36A62"/>
    <w:rsid w:val="00B410AF"/>
    <w:rsid w:val="00B55B01"/>
    <w:rsid w:val="00B55D81"/>
    <w:rsid w:val="00B618BA"/>
    <w:rsid w:val="00B66C3E"/>
    <w:rsid w:val="00B6733E"/>
    <w:rsid w:val="00B74F7E"/>
    <w:rsid w:val="00B7683D"/>
    <w:rsid w:val="00B76FA3"/>
    <w:rsid w:val="00B808BF"/>
    <w:rsid w:val="00B83EC0"/>
    <w:rsid w:val="00B86CDE"/>
    <w:rsid w:val="00BB5E91"/>
    <w:rsid w:val="00BC030D"/>
    <w:rsid w:val="00BC16CC"/>
    <w:rsid w:val="00BC25FD"/>
    <w:rsid w:val="00BC29DD"/>
    <w:rsid w:val="00BD277E"/>
    <w:rsid w:val="00BD609C"/>
    <w:rsid w:val="00BE1B51"/>
    <w:rsid w:val="00BE2B14"/>
    <w:rsid w:val="00C00A8B"/>
    <w:rsid w:val="00C05E74"/>
    <w:rsid w:val="00C10C19"/>
    <w:rsid w:val="00C140CD"/>
    <w:rsid w:val="00C15FCF"/>
    <w:rsid w:val="00C30968"/>
    <w:rsid w:val="00C33586"/>
    <w:rsid w:val="00C34628"/>
    <w:rsid w:val="00C44E00"/>
    <w:rsid w:val="00C460D8"/>
    <w:rsid w:val="00C47E48"/>
    <w:rsid w:val="00C54863"/>
    <w:rsid w:val="00C54E11"/>
    <w:rsid w:val="00C5649C"/>
    <w:rsid w:val="00C601ED"/>
    <w:rsid w:val="00C6192A"/>
    <w:rsid w:val="00C62265"/>
    <w:rsid w:val="00C646FC"/>
    <w:rsid w:val="00C7011C"/>
    <w:rsid w:val="00C75486"/>
    <w:rsid w:val="00C75A3D"/>
    <w:rsid w:val="00C7703A"/>
    <w:rsid w:val="00C81EAF"/>
    <w:rsid w:val="00C8202C"/>
    <w:rsid w:val="00C92A5B"/>
    <w:rsid w:val="00C92AA9"/>
    <w:rsid w:val="00CA46EC"/>
    <w:rsid w:val="00CA6C70"/>
    <w:rsid w:val="00CB6894"/>
    <w:rsid w:val="00CC1C42"/>
    <w:rsid w:val="00CD23B8"/>
    <w:rsid w:val="00CE1786"/>
    <w:rsid w:val="00CE77BB"/>
    <w:rsid w:val="00CF0A12"/>
    <w:rsid w:val="00CF4911"/>
    <w:rsid w:val="00D00406"/>
    <w:rsid w:val="00D030A7"/>
    <w:rsid w:val="00D03452"/>
    <w:rsid w:val="00D1394D"/>
    <w:rsid w:val="00D153AA"/>
    <w:rsid w:val="00D1683D"/>
    <w:rsid w:val="00D17756"/>
    <w:rsid w:val="00D25492"/>
    <w:rsid w:val="00D3108D"/>
    <w:rsid w:val="00D34C11"/>
    <w:rsid w:val="00D41B78"/>
    <w:rsid w:val="00D42293"/>
    <w:rsid w:val="00D42AE8"/>
    <w:rsid w:val="00D442AE"/>
    <w:rsid w:val="00D5625D"/>
    <w:rsid w:val="00D564EE"/>
    <w:rsid w:val="00D61449"/>
    <w:rsid w:val="00D633CD"/>
    <w:rsid w:val="00D7484A"/>
    <w:rsid w:val="00D83326"/>
    <w:rsid w:val="00D85A53"/>
    <w:rsid w:val="00D903FD"/>
    <w:rsid w:val="00D919D9"/>
    <w:rsid w:val="00D94BC5"/>
    <w:rsid w:val="00D96C08"/>
    <w:rsid w:val="00DA33B0"/>
    <w:rsid w:val="00DA5E14"/>
    <w:rsid w:val="00DB5605"/>
    <w:rsid w:val="00DC361F"/>
    <w:rsid w:val="00DD2FB1"/>
    <w:rsid w:val="00DD3FB7"/>
    <w:rsid w:val="00DD6169"/>
    <w:rsid w:val="00DD7BBC"/>
    <w:rsid w:val="00DF2FA8"/>
    <w:rsid w:val="00DF6A43"/>
    <w:rsid w:val="00E06016"/>
    <w:rsid w:val="00E06617"/>
    <w:rsid w:val="00E077F9"/>
    <w:rsid w:val="00E11FBF"/>
    <w:rsid w:val="00E24DBD"/>
    <w:rsid w:val="00E32B6D"/>
    <w:rsid w:val="00E366B3"/>
    <w:rsid w:val="00E40476"/>
    <w:rsid w:val="00E44672"/>
    <w:rsid w:val="00E547F5"/>
    <w:rsid w:val="00E5753D"/>
    <w:rsid w:val="00E57856"/>
    <w:rsid w:val="00E62B11"/>
    <w:rsid w:val="00E65AE3"/>
    <w:rsid w:val="00E70D17"/>
    <w:rsid w:val="00E71DC3"/>
    <w:rsid w:val="00E7363F"/>
    <w:rsid w:val="00E76289"/>
    <w:rsid w:val="00E8481D"/>
    <w:rsid w:val="00E86346"/>
    <w:rsid w:val="00E962B3"/>
    <w:rsid w:val="00EB33DD"/>
    <w:rsid w:val="00EB508B"/>
    <w:rsid w:val="00EB682E"/>
    <w:rsid w:val="00ED2BB0"/>
    <w:rsid w:val="00ED3618"/>
    <w:rsid w:val="00ED43D2"/>
    <w:rsid w:val="00ED605F"/>
    <w:rsid w:val="00EE3B8C"/>
    <w:rsid w:val="00EE54E7"/>
    <w:rsid w:val="00EF4A38"/>
    <w:rsid w:val="00EF4DE9"/>
    <w:rsid w:val="00EF5E90"/>
    <w:rsid w:val="00F05869"/>
    <w:rsid w:val="00F16519"/>
    <w:rsid w:val="00F36796"/>
    <w:rsid w:val="00F4045B"/>
    <w:rsid w:val="00F46867"/>
    <w:rsid w:val="00F569D9"/>
    <w:rsid w:val="00F5719C"/>
    <w:rsid w:val="00F61352"/>
    <w:rsid w:val="00F651CB"/>
    <w:rsid w:val="00F74080"/>
    <w:rsid w:val="00F82BBC"/>
    <w:rsid w:val="00F83721"/>
    <w:rsid w:val="00F90867"/>
    <w:rsid w:val="00F94417"/>
    <w:rsid w:val="00FA1D74"/>
    <w:rsid w:val="00FA2667"/>
    <w:rsid w:val="00FA2C85"/>
    <w:rsid w:val="00FB10CB"/>
    <w:rsid w:val="00FB36D4"/>
    <w:rsid w:val="00FC182F"/>
    <w:rsid w:val="00FC1B3F"/>
    <w:rsid w:val="00FC3609"/>
    <w:rsid w:val="00FC55DB"/>
    <w:rsid w:val="00FD0F12"/>
    <w:rsid w:val="00FD2030"/>
    <w:rsid w:val="00FD2171"/>
    <w:rsid w:val="00FD2715"/>
    <w:rsid w:val="00FD50E4"/>
    <w:rsid w:val="00FE09B3"/>
    <w:rsid w:val="00FE47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07AB86"/>
  <w15:docId w15:val="{A26F5840-4440-4D8F-BBE6-D8121D11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3FB"/>
  </w:style>
  <w:style w:type="paragraph" w:styleId="Heading1">
    <w:name w:val="heading 1"/>
    <w:basedOn w:val="Normal"/>
    <w:next w:val="Normal"/>
    <w:link w:val="Heading1Char"/>
    <w:uiPriority w:val="9"/>
    <w:qFormat/>
    <w:rsid w:val="00597283"/>
    <w:pPr>
      <w:spacing w:before="120" w:after="120" w:line="240" w:lineRule="auto"/>
      <w:contextualSpacing/>
      <w:outlineLvl w:val="0"/>
    </w:pPr>
    <w:rPr>
      <w:rFonts w:ascii="Calibri" w:eastAsia="Times New Roman" w:hAnsi="Calibri" w:cstheme="majorBidi"/>
      <w:noProof/>
      <w:color w:val="1D4289"/>
      <w:sz w:val="48"/>
      <w:szCs w:val="48"/>
    </w:rPr>
  </w:style>
  <w:style w:type="paragraph" w:styleId="Heading2">
    <w:name w:val="heading 2"/>
    <w:basedOn w:val="Normal"/>
    <w:next w:val="Normal"/>
    <w:link w:val="Heading2Char"/>
    <w:uiPriority w:val="9"/>
    <w:unhideWhenUsed/>
    <w:qFormat/>
    <w:rsid w:val="007B0390"/>
    <w:pPr>
      <w:spacing w:before="200" w:after="0"/>
      <w:outlineLvl w:val="1"/>
    </w:pPr>
    <w:rPr>
      <w:rFonts w:ascii="Calibri" w:eastAsiaTheme="majorEastAsia" w:hAnsi="Calibri" w:cstheme="majorBidi"/>
      <w:b/>
      <w:bCs/>
      <w:color w:val="646363"/>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597283"/>
    <w:rPr>
      <w:rFonts w:ascii="Calibri" w:eastAsia="Times New Roman" w:hAnsi="Calibri" w:cstheme="majorBidi"/>
      <w:noProof/>
      <w:color w:val="1D4289"/>
      <w:sz w:val="48"/>
      <w:szCs w:val="48"/>
    </w:rPr>
  </w:style>
  <w:style w:type="character" w:customStyle="1" w:styleId="Heading2Char">
    <w:name w:val="Heading 2 Char"/>
    <w:basedOn w:val="DefaultParagraphFont"/>
    <w:link w:val="Heading2"/>
    <w:uiPriority w:val="9"/>
    <w:rsid w:val="007B0390"/>
    <w:rPr>
      <w:rFonts w:ascii="Calibri" w:eastAsiaTheme="majorEastAsia" w:hAnsi="Calibri" w:cstheme="majorBidi"/>
      <w:b/>
      <w:bCs/>
      <w:color w:val="646363"/>
      <w:sz w:val="28"/>
      <w:szCs w:val="26"/>
      <w:lang w:val="en"/>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qFormat/>
    <w:rsid w:val="00CA46EC"/>
    <w:pPr>
      <w:numPr>
        <w:numId w:val="2"/>
      </w:numPr>
      <w:spacing w:after="120"/>
      <w:ind w:left="369" w:hanging="369"/>
      <w:contextualSpacing/>
    </w:pPr>
  </w:style>
  <w:style w:type="paragraph" w:styleId="ListBullet2">
    <w:name w:val="List Bullet 2"/>
    <w:basedOn w:val="Normal"/>
    <w:uiPriority w:val="99"/>
    <w:unhideWhenUsed/>
    <w:qFormat/>
    <w:rsid w:val="00CA46EC"/>
    <w:pPr>
      <w:numPr>
        <w:ilvl w:val="1"/>
        <w:numId w:val="2"/>
      </w:numPr>
      <w:spacing w:after="120"/>
      <w:ind w:left="766" w:hanging="369"/>
      <w:contextualSpacing/>
    </w:pPr>
  </w:style>
  <w:style w:type="paragraph" w:styleId="ListBullet3">
    <w:name w:val="List Bullet 3"/>
    <w:basedOn w:val="Normal"/>
    <w:uiPriority w:val="99"/>
    <w:unhideWhenUsed/>
    <w:qFormat/>
    <w:rsid w:val="00CA46EC"/>
    <w:pPr>
      <w:numPr>
        <w:ilvl w:val="2"/>
        <w:numId w:val="2"/>
      </w:numPr>
      <w:spacing w:after="120"/>
      <w:ind w:left="1163" w:hanging="369"/>
      <w:contextualSpacing/>
    </w:pPr>
  </w:style>
  <w:style w:type="paragraph" w:styleId="ListBullet4">
    <w:name w:val="List Bullet 4"/>
    <w:basedOn w:val="Normal"/>
    <w:uiPriority w:val="99"/>
    <w:unhideWhenUsed/>
    <w:qFormat/>
    <w:rsid w:val="00CA46EC"/>
    <w:pPr>
      <w:numPr>
        <w:ilvl w:val="3"/>
        <w:numId w:val="2"/>
      </w:numPr>
      <w:spacing w:after="120"/>
      <w:ind w:left="1503" w:hanging="369"/>
      <w:contextualSpacing/>
    </w:pPr>
  </w:style>
  <w:style w:type="table" w:styleId="TableGrid">
    <w:name w:val="Table Grid"/>
    <w:aliases w:val="NRSB Table"/>
    <w:basedOn w:val="TableNormal"/>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852D5C"/>
    <w:pPr>
      <w:tabs>
        <w:tab w:val="right" w:leader="dot" w:pos="9038"/>
      </w:tabs>
      <w:spacing w:after="100"/>
    </w:pPr>
  </w:style>
  <w:style w:type="paragraph" w:styleId="Caption">
    <w:name w:val="caption"/>
    <w:basedOn w:val="Heading4"/>
    <w:next w:val="Normal"/>
    <w:uiPriority w:val="35"/>
    <w:unhideWhenUsed/>
    <w:qFormat/>
    <w:rsid w:val="00B2722A"/>
    <w:rPr>
      <w:i w:val="0"/>
    </w:rPr>
  </w:style>
  <w:style w:type="paragraph" w:customStyle="1" w:styleId="Source">
    <w:name w:val="Source"/>
    <w:basedOn w:val="Normal"/>
    <w:qFormat/>
    <w:rsid w:val="007B0390"/>
    <w:rPr>
      <w:rFonts w:cstheme="minorHAnsi"/>
      <w:bCs/>
      <w:sz w:val="16"/>
      <w:szCs w:val="16"/>
    </w:rPr>
  </w:style>
  <w:style w:type="paragraph" w:customStyle="1" w:styleId="IntroText">
    <w:name w:val="Intro Text"/>
    <w:basedOn w:val="Normal"/>
    <w:qFormat/>
    <w:rsid w:val="00E62B11"/>
    <w:rPr>
      <w:sz w:val="28"/>
    </w:rPr>
  </w:style>
  <w:style w:type="character" w:styleId="CommentReference">
    <w:name w:val="annotation reference"/>
    <w:basedOn w:val="DefaultParagraphFont"/>
    <w:uiPriority w:val="99"/>
    <w:semiHidden/>
    <w:unhideWhenUsed/>
    <w:rsid w:val="00F94417"/>
    <w:rPr>
      <w:sz w:val="16"/>
      <w:szCs w:val="16"/>
    </w:rPr>
  </w:style>
  <w:style w:type="paragraph" w:styleId="CommentText">
    <w:name w:val="annotation text"/>
    <w:basedOn w:val="Normal"/>
    <w:link w:val="CommentTextChar"/>
    <w:uiPriority w:val="99"/>
    <w:semiHidden/>
    <w:unhideWhenUsed/>
    <w:rsid w:val="00F94417"/>
    <w:pPr>
      <w:spacing w:line="240" w:lineRule="auto"/>
    </w:pPr>
    <w:rPr>
      <w:sz w:val="20"/>
      <w:szCs w:val="20"/>
    </w:rPr>
  </w:style>
  <w:style w:type="character" w:customStyle="1" w:styleId="CommentTextChar">
    <w:name w:val="Comment Text Char"/>
    <w:basedOn w:val="DefaultParagraphFont"/>
    <w:link w:val="CommentText"/>
    <w:uiPriority w:val="99"/>
    <w:semiHidden/>
    <w:rsid w:val="00F94417"/>
    <w:rPr>
      <w:sz w:val="20"/>
      <w:szCs w:val="20"/>
    </w:rPr>
  </w:style>
  <w:style w:type="paragraph" w:styleId="CommentSubject">
    <w:name w:val="annotation subject"/>
    <w:basedOn w:val="CommentText"/>
    <w:next w:val="CommentText"/>
    <w:link w:val="CommentSubjectChar"/>
    <w:uiPriority w:val="99"/>
    <w:semiHidden/>
    <w:unhideWhenUsed/>
    <w:rsid w:val="00F94417"/>
    <w:rPr>
      <w:b/>
      <w:bCs/>
    </w:rPr>
  </w:style>
  <w:style w:type="character" w:customStyle="1" w:styleId="CommentSubjectChar">
    <w:name w:val="Comment Subject Char"/>
    <w:basedOn w:val="CommentTextChar"/>
    <w:link w:val="CommentSubject"/>
    <w:uiPriority w:val="99"/>
    <w:semiHidden/>
    <w:rsid w:val="00F94417"/>
    <w:rPr>
      <w:b/>
      <w:bCs/>
      <w:sz w:val="20"/>
      <w:szCs w:val="20"/>
    </w:rPr>
  </w:style>
  <w:style w:type="character" w:styleId="FollowedHyperlink">
    <w:name w:val="FollowedHyperlink"/>
    <w:basedOn w:val="DefaultParagraphFont"/>
    <w:uiPriority w:val="99"/>
    <w:semiHidden/>
    <w:unhideWhenUsed/>
    <w:rsid w:val="00942A55"/>
    <w:rPr>
      <w:color w:val="000000" w:themeColor="followedHyperlink"/>
      <w:u w:val="single"/>
    </w:rPr>
  </w:style>
  <w:style w:type="character" w:styleId="UnresolvedMention">
    <w:name w:val="Unresolved Mention"/>
    <w:basedOn w:val="DefaultParagraphFont"/>
    <w:uiPriority w:val="99"/>
    <w:semiHidden/>
    <w:unhideWhenUsed/>
    <w:rsid w:val="00811BB5"/>
    <w:rPr>
      <w:color w:val="605E5C"/>
      <w:shd w:val="clear" w:color="auto" w:fill="E1DFDD"/>
    </w:rPr>
  </w:style>
  <w:style w:type="paragraph" w:styleId="Index1">
    <w:name w:val="index 1"/>
    <w:basedOn w:val="Normal"/>
    <w:next w:val="Normal"/>
    <w:autoRedefine/>
    <w:uiPriority w:val="99"/>
    <w:unhideWhenUsed/>
    <w:rsid w:val="00715B5D"/>
    <w:pPr>
      <w:spacing w:after="0" w:line="240" w:lineRule="auto"/>
      <w:ind w:left="220" w:hanging="220"/>
    </w:pPr>
  </w:style>
  <w:style w:type="paragraph" w:styleId="PlainText">
    <w:name w:val="Plain Text"/>
    <w:basedOn w:val="Normal"/>
    <w:link w:val="PlainTextChar"/>
    <w:uiPriority w:val="99"/>
    <w:unhideWhenUsed/>
    <w:rsid w:val="00715B5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15B5D"/>
    <w:rPr>
      <w:rFonts w:ascii="Consolas" w:hAnsi="Consolas"/>
      <w:sz w:val="21"/>
      <w:szCs w:val="21"/>
    </w:rPr>
  </w:style>
  <w:style w:type="paragraph" w:styleId="FootnoteText">
    <w:name w:val="footnote text"/>
    <w:basedOn w:val="Normal"/>
    <w:link w:val="FootnoteTextChar"/>
    <w:uiPriority w:val="99"/>
    <w:qFormat/>
    <w:rsid w:val="009B7CDA"/>
    <w:pPr>
      <w:spacing w:before="120" w:after="120" w:line="240" w:lineRule="auto"/>
    </w:pPr>
    <w:rPr>
      <w:rFonts w:ascii="Calibri" w:eastAsiaTheme="minorHAnsi" w:hAnsi="Calibri"/>
      <w:sz w:val="18"/>
      <w:szCs w:val="20"/>
    </w:rPr>
  </w:style>
  <w:style w:type="character" w:customStyle="1" w:styleId="FootnoteTextChar">
    <w:name w:val="Footnote Text Char"/>
    <w:basedOn w:val="DefaultParagraphFont"/>
    <w:link w:val="FootnoteText"/>
    <w:uiPriority w:val="99"/>
    <w:rsid w:val="009B7CDA"/>
    <w:rPr>
      <w:rFonts w:ascii="Calibri" w:eastAsiaTheme="minorHAnsi" w:hAnsi="Calibri"/>
      <w:sz w:val="18"/>
      <w:szCs w:val="20"/>
    </w:rPr>
  </w:style>
  <w:style w:type="character" w:styleId="FootnoteReference">
    <w:name w:val="footnote reference"/>
    <w:basedOn w:val="DefaultParagraphFont"/>
    <w:uiPriority w:val="99"/>
    <w:unhideWhenUsed/>
    <w:rsid w:val="009B7CDA"/>
    <w:rPr>
      <w:vertAlign w:val="superscript"/>
    </w:rPr>
  </w:style>
  <w:style w:type="paragraph" w:customStyle="1" w:styleId="Normal-Centred">
    <w:name w:val="Normal - Centred"/>
    <w:basedOn w:val="Normal"/>
    <w:qFormat/>
    <w:rsid w:val="009B7CDA"/>
    <w:pPr>
      <w:spacing w:before="120" w:after="120" w:line="240" w:lineRule="auto"/>
      <w:jc w:val="center"/>
    </w:pPr>
    <w:rPr>
      <w:rFonts w:ascii="Calibri" w:eastAsiaTheme="minorHAnsi" w:hAnsi="Calibri"/>
    </w:rPr>
  </w:style>
  <w:style w:type="paragraph" w:customStyle="1" w:styleId="Normal-AfterTableFigure">
    <w:name w:val="Normal - After Table/Figure"/>
    <w:basedOn w:val="Normal"/>
    <w:qFormat/>
    <w:rsid w:val="009B7CDA"/>
    <w:pPr>
      <w:spacing w:before="240" w:after="120" w:line="259" w:lineRule="auto"/>
    </w:pPr>
    <w:rPr>
      <w:rFonts w:ascii="Calibri" w:eastAsiaTheme="minorHAnsi" w:hAnsi="Calibri"/>
    </w:rPr>
  </w:style>
  <w:style w:type="table" w:customStyle="1" w:styleId="NRSBTable1">
    <w:name w:val="NRSB Table1"/>
    <w:basedOn w:val="TableNormal"/>
    <w:next w:val="TableGrid"/>
    <w:rsid w:val="003273FB"/>
    <w:pPr>
      <w:spacing w:after="40" w:line="240" w:lineRule="auto"/>
    </w:pPr>
    <w:rPr>
      <w:rFonts w:ascii="Calibri" w:eastAsia="Calibri" w:hAnsi="Calibri" w:cs="Times New Roman"/>
    </w:rPr>
    <w:tblPr>
      <w:tblStyleRowBandSize w:val="1"/>
      <w:tblInd w:w="0" w:type="nil"/>
      <w:tblCellMar>
        <w:top w:w="45" w:type="dxa"/>
      </w:tblCellMar>
    </w:tblPr>
    <w:tcPr>
      <w:vAlign w:val="center"/>
    </w:tcPr>
    <w:tblStylePr w:type="firstRow">
      <w:pPr>
        <w:jc w:val="left"/>
      </w:pPr>
      <w:rPr>
        <w:rFonts w:ascii="Calibri" w:hAnsi="Calibri" w:cs="Calibri" w:hint="default"/>
        <w:b/>
        <w:color w:val="FFFFFF"/>
        <w:sz w:val="24"/>
        <w:szCs w:val="24"/>
      </w:rPr>
      <w:tblPr/>
      <w:tcPr>
        <w:shd w:val="clear" w:color="auto" w:fill="0F294C"/>
      </w:tcPr>
    </w:tblStylePr>
    <w:tblStylePr w:type="lastRow">
      <w:tblPr/>
      <w:tcPr>
        <w:tcBorders>
          <w:bottom w:val="single" w:sz="4" w:space="0" w:color="0F294C"/>
        </w:tcBorders>
      </w:tcPr>
    </w:tblStylePr>
    <w:tblStylePr w:type="band1Horz">
      <w:tblPr/>
      <w:tcPr>
        <w:shd w:val="clear" w:color="auto" w:fill="D7E0F1"/>
      </w:tcPr>
    </w:tblStylePr>
  </w:style>
  <w:style w:type="table" w:customStyle="1" w:styleId="PullOutBox11">
    <w:name w:val="Pull Out Box 11"/>
    <w:basedOn w:val="TableNormal"/>
    <w:uiPriority w:val="99"/>
    <w:rsid w:val="003273FB"/>
    <w:pPr>
      <w:spacing w:before="120" w:after="0" w:line="240" w:lineRule="auto"/>
    </w:pPr>
    <w:rPr>
      <w:rFonts w:ascii="Calibri" w:eastAsia="Calibri" w:hAnsi="Calibri" w:cs="Times New Roman"/>
    </w:rPr>
    <w:tblPr>
      <w:tblInd w:w="0" w:type="nil"/>
    </w:tblPr>
    <w:tcPr>
      <w:shd w:val="clear" w:color="auto" w:fill="E3E8F4"/>
    </w:tcPr>
  </w:style>
  <w:style w:type="table" w:customStyle="1" w:styleId="PullOutBox1">
    <w:name w:val="Pull Out Box 1"/>
    <w:basedOn w:val="TableNormal"/>
    <w:uiPriority w:val="99"/>
    <w:rsid w:val="009B7CDA"/>
    <w:pPr>
      <w:spacing w:before="120" w:after="0" w:line="240" w:lineRule="auto"/>
    </w:pPr>
    <w:rPr>
      <w:rFonts w:eastAsiaTheme="minorHAnsi"/>
    </w:rPr>
    <w:tblPr/>
    <w:tcPr>
      <w:shd w:val="clear" w:color="auto" w:fill="E3E8F4"/>
    </w:tcPr>
  </w:style>
  <w:style w:type="paragraph" w:customStyle="1" w:styleId="BoxHeading-Finding">
    <w:name w:val="Box Heading - Finding"/>
    <w:basedOn w:val="Normal"/>
    <w:autoRedefine/>
    <w:rsid w:val="009B7CDA"/>
    <w:pPr>
      <w:keepNext/>
      <w:keepLines/>
      <w:spacing w:before="120" w:after="40" w:line="240" w:lineRule="auto"/>
    </w:pPr>
    <w:rPr>
      <w:rFonts w:ascii="Calibri" w:eastAsiaTheme="majorEastAsia" w:hAnsi="Calibri" w:cstheme="majorBidi"/>
      <w:b/>
      <w:color w:val="000000" w:themeColor="text1"/>
      <w:sz w:val="26"/>
      <w:szCs w:val="26"/>
    </w:rPr>
  </w:style>
  <w:style w:type="paragraph" w:customStyle="1" w:styleId="BoxHeading-Recommendation">
    <w:name w:val="Box Heading - Recommendation"/>
    <w:qFormat/>
    <w:rsid w:val="009B7CDA"/>
    <w:pPr>
      <w:numPr>
        <w:numId w:val="4"/>
      </w:numPr>
      <w:spacing w:before="120" w:after="0" w:line="240" w:lineRule="auto"/>
    </w:pPr>
    <w:rPr>
      <w:rFonts w:ascii="Calibri" w:eastAsiaTheme="majorEastAsia" w:hAnsi="Calibri" w:cstheme="majorBidi"/>
      <w:b/>
      <w:color w:val="000000" w:themeColor="text1"/>
      <w:sz w:val="26"/>
      <w:szCs w:val="26"/>
    </w:rPr>
  </w:style>
  <w:style w:type="paragraph" w:customStyle="1" w:styleId="Notes">
    <w:name w:val="Notes"/>
    <w:basedOn w:val="Source"/>
    <w:qFormat/>
    <w:rsid w:val="009B7CDA"/>
    <w:pPr>
      <w:pBdr>
        <w:bottom w:val="single" w:sz="4" w:space="6" w:color="auto"/>
      </w:pBdr>
      <w:tabs>
        <w:tab w:val="left" w:pos="590"/>
      </w:tabs>
      <w:spacing w:before="120" w:after="120" w:line="259" w:lineRule="auto"/>
      <w:ind w:left="590" w:hanging="590"/>
    </w:pPr>
    <w:rPr>
      <w:rFonts w:ascii="Calibri" w:eastAsiaTheme="minorHAnsi" w:hAnsi="Calibri" w:cstheme="minorBidi"/>
      <w:b/>
      <w:sz w:val="18"/>
      <w:szCs w:val="22"/>
    </w:rPr>
  </w:style>
  <w:style w:type="table" w:customStyle="1" w:styleId="PullOutBox32">
    <w:name w:val="Pull Out Box 32"/>
    <w:basedOn w:val="TableNormal"/>
    <w:uiPriority w:val="99"/>
    <w:rsid w:val="009B7CDA"/>
    <w:pPr>
      <w:spacing w:after="0" w:line="240" w:lineRule="auto"/>
    </w:pPr>
    <w:rPr>
      <w:rFonts w:eastAsiaTheme="minorHAnsi"/>
    </w:rPr>
    <w:tblPr/>
    <w:tcPr>
      <w:shd w:val="clear" w:color="auto" w:fill="ECECEC"/>
    </w:tcPr>
  </w:style>
  <w:style w:type="table" w:customStyle="1" w:styleId="PullOutBox22">
    <w:name w:val="Pull Out Box 22"/>
    <w:basedOn w:val="TableNormal"/>
    <w:uiPriority w:val="99"/>
    <w:rsid w:val="009B7CDA"/>
    <w:pPr>
      <w:spacing w:after="0" w:line="240" w:lineRule="auto"/>
    </w:pPr>
    <w:rPr>
      <w:rFonts w:eastAsiaTheme="minorHAnsi"/>
    </w:rPr>
    <w:tblPr/>
    <w:tcPr>
      <w:shd w:val="clear" w:color="auto" w:fill="F8E7DC"/>
    </w:tcPr>
  </w:style>
  <w:style w:type="paragraph" w:customStyle="1" w:styleId="ListBullet2-Pulloutbox">
    <w:name w:val="List Bullet 2 - Pullout box"/>
    <w:basedOn w:val="ListBullet2"/>
    <w:qFormat/>
    <w:rsid w:val="009B7CDA"/>
    <w:pPr>
      <w:numPr>
        <w:ilvl w:val="0"/>
        <w:numId w:val="0"/>
      </w:numPr>
      <w:tabs>
        <w:tab w:val="left" w:pos="567"/>
      </w:tabs>
      <w:spacing w:after="160" w:line="240" w:lineRule="auto"/>
      <w:ind w:left="568" w:hanging="284"/>
    </w:pPr>
    <w:rPr>
      <w:rFonts w:ascii="Calibri" w:eastAsiaTheme="minorHAnsi" w:hAnsi="Calibri"/>
    </w:rPr>
  </w:style>
  <w:style w:type="paragraph" w:customStyle="1" w:styleId="BoxHeading-Box">
    <w:name w:val="Box Heading - Box"/>
    <w:basedOn w:val="BoxHeading-Finding"/>
    <w:qFormat/>
    <w:rsid w:val="009B7CDA"/>
  </w:style>
  <w:style w:type="paragraph" w:customStyle="1" w:styleId="Normal-Pulloutboxlast">
    <w:name w:val="Normal - Pullout box last"/>
    <w:basedOn w:val="Normal"/>
    <w:qFormat/>
    <w:rsid w:val="009B7CDA"/>
    <w:pPr>
      <w:spacing w:before="120" w:after="160" w:line="240" w:lineRule="auto"/>
    </w:pPr>
    <w:rPr>
      <w:rFonts w:ascii="Calibri" w:eastAsiaTheme="minorHAnsi" w:hAnsi="Calibri"/>
    </w:rPr>
  </w:style>
  <w:style w:type="paragraph" w:customStyle="1" w:styleId="ListBullet-Pulloutbox">
    <w:name w:val="List Bullet - Pullout box"/>
    <w:basedOn w:val="ListBullet"/>
    <w:qFormat/>
    <w:rsid w:val="009B7CDA"/>
    <w:pPr>
      <w:tabs>
        <w:tab w:val="num" w:pos="284"/>
      </w:tabs>
      <w:spacing w:before="120" w:after="160" w:line="240" w:lineRule="auto"/>
      <w:ind w:left="284" w:hanging="284"/>
    </w:pPr>
    <w:rPr>
      <w:rFonts w:ascii="Calibri" w:eastAsiaTheme="minorHAnsi" w:hAnsi="Calibri"/>
      <w:noProof/>
    </w:rPr>
  </w:style>
  <w:style w:type="table" w:customStyle="1" w:styleId="PullOutBox321">
    <w:name w:val="Pull Out Box 321"/>
    <w:basedOn w:val="TableNormal"/>
    <w:uiPriority w:val="99"/>
    <w:rsid w:val="003273FB"/>
    <w:pPr>
      <w:spacing w:after="0" w:line="240" w:lineRule="auto"/>
    </w:pPr>
    <w:rPr>
      <w:rFonts w:ascii="Calibri" w:eastAsia="Calibri" w:hAnsi="Calibri" w:cs="Times New Roman"/>
    </w:rPr>
    <w:tblPr>
      <w:tblInd w:w="0" w:type="nil"/>
    </w:tblPr>
    <w:tcPr>
      <w:shd w:val="clear" w:color="auto" w:fill="ECECEC"/>
    </w:tcPr>
  </w:style>
  <w:style w:type="table" w:customStyle="1" w:styleId="PullOutBox221">
    <w:name w:val="Pull Out Box 221"/>
    <w:basedOn w:val="TableNormal"/>
    <w:uiPriority w:val="99"/>
    <w:rsid w:val="003273FB"/>
    <w:pPr>
      <w:spacing w:after="0" w:line="240" w:lineRule="auto"/>
    </w:pPr>
    <w:rPr>
      <w:rFonts w:ascii="Calibri" w:eastAsia="Calibri" w:hAnsi="Calibri" w:cs="Times New Roman"/>
    </w:rPr>
    <w:tblPr>
      <w:tblInd w:w="0" w:type="nil"/>
    </w:tblPr>
    <w:tcPr>
      <w:shd w:val="clear" w:color="auto" w:fill="F8E7DC"/>
    </w:tcPr>
  </w:style>
  <w:style w:type="paragraph" w:customStyle="1" w:styleId="Tableheader">
    <w:name w:val="Table header"/>
    <w:basedOn w:val="Normal"/>
    <w:qFormat/>
    <w:rsid w:val="003273FB"/>
    <w:pPr>
      <w:spacing w:before="120" w:after="40" w:line="240" w:lineRule="auto"/>
    </w:pPr>
    <w:rPr>
      <w:rFonts w:ascii="Calibri" w:eastAsia="Calibri" w:hAnsi="Calibri" w:cs="Times New Roman"/>
      <w:b/>
      <w:color w:val="FFFFFF"/>
      <w:sz w:val="24"/>
      <w:szCs w:val="24"/>
    </w:rPr>
  </w:style>
  <w:style w:type="paragraph" w:customStyle="1" w:styleId="TableBody">
    <w:name w:val="Table Body"/>
    <w:basedOn w:val="Normal"/>
    <w:qFormat/>
    <w:rsid w:val="003273FB"/>
    <w:pPr>
      <w:spacing w:before="120" w:after="40" w:line="240" w:lineRule="auto"/>
    </w:pPr>
    <w:rPr>
      <w:rFonts w:ascii="Calibri" w:eastAsia="Calibri" w:hAnsi="Calibri" w:cs="Times New Roman"/>
    </w:rPr>
  </w:style>
  <w:style w:type="table" w:customStyle="1" w:styleId="TableGrid1">
    <w:name w:val="Table Grid1"/>
    <w:basedOn w:val="TableNormal"/>
    <w:uiPriority w:val="59"/>
    <w:rsid w:val="00D61449"/>
    <w:pPr>
      <w:spacing w:after="0" w:line="240" w:lineRule="auto"/>
    </w:pPr>
    <w:rPr>
      <w:rFonts w:eastAsiaTheme="minorHAnsi"/>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locked/>
    <w:rsid w:val="003F77CE"/>
  </w:style>
  <w:style w:type="paragraph" w:styleId="EndnoteText">
    <w:name w:val="endnote text"/>
    <w:basedOn w:val="Normal"/>
    <w:link w:val="EndnoteTextChar"/>
    <w:uiPriority w:val="99"/>
    <w:semiHidden/>
    <w:unhideWhenUsed/>
    <w:rsid w:val="00F468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6867"/>
    <w:rPr>
      <w:sz w:val="20"/>
      <w:szCs w:val="20"/>
    </w:rPr>
  </w:style>
  <w:style w:type="character" w:styleId="EndnoteReference">
    <w:name w:val="endnote reference"/>
    <w:basedOn w:val="DefaultParagraphFont"/>
    <w:uiPriority w:val="99"/>
    <w:semiHidden/>
    <w:unhideWhenUsed/>
    <w:rsid w:val="00F468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535">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57762607">
      <w:bodyDiv w:val="1"/>
      <w:marLeft w:val="0"/>
      <w:marRight w:val="0"/>
      <w:marTop w:val="0"/>
      <w:marBottom w:val="0"/>
      <w:divBdr>
        <w:top w:val="none" w:sz="0" w:space="0" w:color="auto"/>
        <w:left w:val="none" w:sz="0" w:space="0" w:color="auto"/>
        <w:bottom w:val="none" w:sz="0" w:space="0" w:color="auto"/>
        <w:right w:val="none" w:sz="0" w:space="0" w:color="auto"/>
      </w:divBdr>
    </w:div>
    <w:div w:id="416292422">
      <w:bodyDiv w:val="1"/>
      <w:marLeft w:val="0"/>
      <w:marRight w:val="0"/>
      <w:marTop w:val="0"/>
      <w:marBottom w:val="0"/>
      <w:divBdr>
        <w:top w:val="none" w:sz="0" w:space="0" w:color="auto"/>
        <w:left w:val="none" w:sz="0" w:space="0" w:color="auto"/>
        <w:bottom w:val="none" w:sz="0" w:space="0" w:color="auto"/>
        <w:right w:val="none" w:sz="0" w:space="0" w:color="auto"/>
      </w:divBdr>
    </w:div>
    <w:div w:id="533228127">
      <w:bodyDiv w:val="1"/>
      <w:marLeft w:val="0"/>
      <w:marRight w:val="0"/>
      <w:marTop w:val="0"/>
      <w:marBottom w:val="0"/>
      <w:divBdr>
        <w:top w:val="none" w:sz="0" w:space="0" w:color="auto"/>
        <w:left w:val="none" w:sz="0" w:space="0" w:color="auto"/>
        <w:bottom w:val="none" w:sz="0" w:space="0" w:color="auto"/>
        <w:right w:val="none" w:sz="0" w:space="0" w:color="auto"/>
      </w:divBdr>
    </w:div>
    <w:div w:id="537740695">
      <w:bodyDiv w:val="1"/>
      <w:marLeft w:val="0"/>
      <w:marRight w:val="0"/>
      <w:marTop w:val="0"/>
      <w:marBottom w:val="0"/>
      <w:divBdr>
        <w:top w:val="none" w:sz="0" w:space="0" w:color="auto"/>
        <w:left w:val="none" w:sz="0" w:space="0" w:color="auto"/>
        <w:bottom w:val="none" w:sz="0" w:space="0" w:color="auto"/>
        <w:right w:val="none" w:sz="0" w:space="0" w:color="auto"/>
      </w:divBdr>
      <w:divsChild>
        <w:div w:id="1823622720">
          <w:marLeft w:val="0"/>
          <w:marRight w:val="0"/>
          <w:marTop w:val="0"/>
          <w:marBottom w:val="0"/>
          <w:divBdr>
            <w:top w:val="none" w:sz="0" w:space="0" w:color="auto"/>
            <w:left w:val="none" w:sz="0" w:space="0" w:color="auto"/>
            <w:bottom w:val="none" w:sz="0" w:space="0" w:color="auto"/>
            <w:right w:val="none" w:sz="0" w:space="0" w:color="auto"/>
          </w:divBdr>
          <w:divsChild>
            <w:div w:id="1199856769">
              <w:marLeft w:val="0"/>
              <w:marRight w:val="0"/>
              <w:marTop w:val="0"/>
              <w:marBottom w:val="0"/>
              <w:divBdr>
                <w:top w:val="none" w:sz="0" w:space="0" w:color="auto"/>
                <w:left w:val="none" w:sz="0" w:space="0" w:color="auto"/>
                <w:bottom w:val="none" w:sz="0" w:space="0" w:color="auto"/>
                <w:right w:val="none" w:sz="0" w:space="0" w:color="auto"/>
              </w:divBdr>
              <w:divsChild>
                <w:div w:id="402024756">
                  <w:marLeft w:val="0"/>
                  <w:marRight w:val="0"/>
                  <w:marTop w:val="0"/>
                  <w:marBottom w:val="0"/>
                  <w:divBdr>
                    <w:top w:val="none" w:sz="0" w:space="0" w:color="auto"/>
                    <w:left w:val="none" w:sz="0" w:space="0" w:color="auto"/>
                    <w:bottom w:val="none" w:sz="0" w:space="0" w:color="auto"/>
                    <w:right w:val="none" w:sz="0" w:space="0" w:color="auto"/>
                  </w:divBdr>
                  <w:divsChild>
                    <w:div w:id="1062220661">
                      <w:marLeft w:val="0"/>
                      <w:marRight w:val="0"/>
                      <w:marTop w:val="0"/>
                      <w:marBottom w:val="0"/>
                      <w:divBdr>
                        <w:top w:val="none" w:sz="0" w:space="0" w:color="auto"/>
                        <w:left w:val="none" w:sz="0" w:space="0" w:color="auto"/>
                        <w:bottom w:val="none" w:sz="0" w:space="0" w:color="auto"/>
                        <w:right w:val="none" w:sz="0" w:space="0" w:color="auto"/>
                      </w:divBdr>
                      <w:divsChild>
                        <w:div w:id="2623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5972">
                  <w:marLeft w:val="0"/>
                  <w:marRight w:val="0"/>
                  <w:marTop w:val="0"/>
                  <w:marBottom w:val="0"/>
                  <w:divBdr>
                    <w:top w:val="none" w:sz="0" w:space="0" w:color="auto"/>
                    <w:left w:val="none" w:sz="0" w:space="0" w:color="auto"/>
                    <w:bottom w:val="none" w:sz="0" w:space="0" w:color="auto"/>
                    <w:right w:val="none" w:sz="0" w:space="0" w:color="auto"/>
                  </w:divBdr>
                  <w:divsChild>
                    <w:div w:id="699937031">
                      <w:marLeft w:val="0"/>
                      <w:marRight w:val="0"/>
                      <w:marTop w:val="0"/>
                      <w:marBottom w:val="0"/>
                      <w:divBdr>
                        <w:top w:val="none" w:sz="0" w:space="0" w:color="auto"/>
                        <w:left w:val="none" w:sz="0" w:space="0" w:color="auto"/>
                        <w:bottom w:val="none" w:sz="0" w:space="0" w:color="auto"/>
                        <w:right w:val="none" w:sz="0" w:space="0" w:color="auto"/>
                      </w:divBdr>
                      <w:divsChild>
                        <w:div w:id="1993413714">
                          <w:marLeft w:val="0"/>
                          <w:marRight w:val="0"/>
                          <w:marTop w:val="0"/>
                          <w:marBottom w:val="0"/>
                          <w:divBdr>
                            <w:top w:val="none" w:sz="0" w:space="0" w:color="auto"/>
                            <w:left w:val="none" w:sz="0" w:space="0" w:color="auto"/>
                            <w:bottom w:val="none" w:sz="0" w:space="0" w:color="auto"/>
                            <w:right w:val="none" w:sz="0" w:space="0" w:color="auto"/>
                          </w:divBdr>
                          <w:divsChild>
                            <w:div w:id="10032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752313">
      <w:bodyDiv w:val="1"/>
      <w:marLeft w:val="0"/>
      <w:marRight w:val="0"/>
      <w:marTop w:val="0"/>
      <w:marBottom w:val="0"/>
      <w:divBdr>
        <w:top w:val="none" w:sz="0" w:space="0" w:color="auto"/>
        <w:left w:val="none" w:sz="0" w:space="0" w:color="auto"/>
        <w:bottom w:val="none" w:sz="0" w:space="0" w:color="auto"/>
        <w:right w:val="none" w:sz="0" w:space="0" w:color="auto"/>
      </w:divBdr>
    </w:div>
    <w:div w:id="798764917">
      <w:bodyDiv w:val="1"/>
      <w:marLeft w:val="0"/>
      <w:marRight w:val="0"/>
      <w:marTop w:val="0"/>
      <w:marBottom w:val="0"/>
      <w:divBdr>
        <w:top w:val="none" w:sz="0" w:space="0" w:color="auto"/>
        <w:left w:val="none" w:sz="0" w:space="0" w:color="auto"/>
        <w:bottom w:val="none" w:sz="0" w:space="0" w:color="auto"/>
        <w:right w:val="none" w:sz="0" w:space="0" w:color="auto"/>
      </w:divBdr>
    </w:div>
    <w:div w:id="845873621">
      <w:bodyDiv w:val="1"/>
      <w:marLeft w:val="0"/>
      <w:marRight w:val="0"/>
      <w:marTop w:val="0"/>
      <w:marBottom w:val="0"/>
      <w:divBdr>
        <w:top w:val="none" w:sz="0" w:space="0" w:color="auto"/>
        <w:left w:val="none" w:sz="0" w:space="0" w:color="auto"/>
        <w:bottom w:val="none" w:sz="0" w:space="0" w:color="auto"/>
        <w:right w:val="none" w:sz="0" w:space="0" w:color="auto"/>
      </w:divBdr>
      <w:divsChild>
        <w:div w:id="870410816">
          <w:marLeft w:val="0"/>
          <w:marRight w:val="0"/>
          <w:marTop w:val="0"/>
          <w:marBottom w:val="0"/>
          <w:divBdr>
            <w:top w:val="none" w:sz="0" w:space="0" w:color="auto"/>
            <w:left w:val="none" w:sz="0" w:space="0" w:color="auto"/>
            <w:bottom w:val="none" w:sz="0" w:space="0" w:color="auto"/>
            <w:right w:val="none" w:sz="0" w:space="0" w:color="auto"/>
          </w:divBdr>
          <w:divsChild>
            <w:div w:id="709184168">
              <w:marLeft w:val="0"/>
              <w:marRight w:val="0"/>
              <w:marTop w:val="0"/>
              <w:marBottom w:val="0"/>
              <w:divBdr>
                <w:top w:val="none" w:sz="0" w:space="0" w:color="auto"/>
                <w:left w:val="none" w:sz="0" w:space="0" w:color="auto"/>
                <w:bottom w:val="none" w:sz="0" w:space="0" w:color="auto"/>
                <w:right w:val="none" w:sz="0" w:space="0" w:color="auto"/>
              </w:divBdr>
              <w:divsChild>
                <w:div w:id="817965515">
                  <w:marLeft w:val="0"/>
                  <w:marRight w:val="0"/>
                  <w:marTop w:val="0"/>
                  <w:marBottom w:val="0"/>
                  <w:divBdr>
                    <w:top w:val="none" w:sz="0" w:space="0" w:color="auto"/>
                    <w:left w:val="none" w:sz="0" w:space="0" w:color="auto"/>
                    <w:bottom w:val="none" w:sz="0" w:space="0" w:color="auto"/>
                    <w:right w:val="none" w:sz="0" w:space="0" w:color="auto"/>
                  </w:divBdr>
                  <w:divsChild>
                    <w:div w:id="825517081">
                      <w:marLeft w:val="0"/>
                      <w:marRight w:val="0"/>
                      <w:marTop w:val="0"/>
                      <w:marBottom w:val="0"/>
                      <w:divBdr>
                        <w:top w:val="none" w:sz="0" w:space="0" w:color="auto"/>
                        <w:left w:val="none" w:sz="0" w:space="0" w:color="auto"/>
                        <w:bottom w:val="none" w:sz="0" w:space="0" w:color="auto"/>
                        <w:right w:val="none" w:sz="0" w:space="0" w:color="auto"/>
                      </w:divBdr>
                      <w:divsChild>
                        <w:div w:id="16648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539">
                  <w:marLeft w:val="0"/>
                  <w:marRight w:val="0"/>
                  <w:marTop w:val="0"/>
                  <w:marBottom w:val="0"/>
                  <w:divBdr>
                    <w:top w:val="none" w:sz="0" w:space="0" w:color="auto"/>
                    <w:left w:val="none" w:sz="0" w:space="0" w:color="auto"/>
                    <w:bottom w:val="none" w:sz="0" w:space="0" w:color="auto"/>
                    <w:right w:val="none" w:sz="0" w:space="0" w:color="auto"/>
                  </w:divBdr>
                  <w:divsChild>
                    <w:div w:id="1844396247">
                      <w:marLeft w:val="0"/>
                      <w:marRight w:val="0"/>
                      <w:marTop w:val="0"/>
                      <w:marBottom w:val="0"/>
                      <w:divBdr>
                        <w:top w:val="none" w:sz="0" w:space="0" w:color="auto"/>
                        <w:left w:val="none" w:sz="0" w:space="0" w:color="auto"/>
                        <w:bottom w:val="none" w:sz="0" w:space="0" w:color="auto"/>
                        <w:right w:val="none" w:sz="0" w:space="0" w:color="auto"/>
                      </w:divBdr>
                      <w:divsChild>
                        <w:div w:id="2028944768">
                          <w:marLeft w:val="0"/>
                          <w:marRight w:val="0"/>
                          <w:marTop w:val="0"/>
                          <w:marBottom w:val="0"/>
                          <w:divBdr>
                            <w:top w:val="none" w:sz="0" w:space="0" w:color="auto"/>
                            <w:left w:val="none" w:sz="0" w:space="0" w:color="auto"/>
                            <w:bottom w:val="none" w:sz="0" w:space="0" w:color="auto"/>
                            <w:right w:val="none" w:sz="0" w:space="0" w:color="auto"/>
                          </w:divBdr>
                          <w:divsChild>
                            <w:div w:id="21306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56370">
      <w:bodyDiv w:val="1"/>
      <w:marLeft w:val="0"/>
      <w:marRight w:val="0"/>
      <w:marTop w:val="0"/>
      <w:marBottom w:val="0"/>
      <w:divBdr>
        <w:top w:val="none" w:sz="0" w:space="0" w:color="auto"/>
        <w:left w:val="none" w:sz="0" w:space="0" w:color="auto"/>
        <w:bottom w:val="none" w:sz="0" w:space="0" w:color="auto"/>
        <w:right w:val="none" w:sz="0" w:space="0" w:color="auto"/>
      </w:divBdr>
    </w:div>
    <w:div w:id="941184663">
      <w:bodyDiv w:val="1"/>
      <w:marLeft w:val="0"/>
      <w:marRight w:val="0"/>
      <w:marTop w:val="0"/>
      <w:marBottom w:val="0"/>
      <w:divBdr>
        <w:top w:val="none" w:sz="0" w:space="0" w:color="auto"/>
        <w:left w:val="none" w:sz="0" w:space="0" w:color="auto"/>
        <w:bottom w:val="none" w:sz="0" w:space="0" w:color="auto"/>
        <w:right w:val="none" w:sz="0" w:space="0" w:color="auto"/>
      </w:divBdr>
      <w:divsChild>
        <w:div w:id="1638073329">
          <w:marLeft w:val="0"/>
          <w:marRight w:val="0"/>
          <w:marTop w:val="0"/>
          <w:marBottom w:val="0"/>
          <w:divBdr>
            <w:top w:val="none" w:sz="0" w:space="0" w:color="auto"/>
            <w:left w:val="none" w:sz="0" w:space="0" w:color="auto"/>
            <w:bottom w:val="none" w:sz="0" w:space="0" w:color="auto"/>
            <w:right w:val="none" w:sz="0" w:space="0" w:color="auto"/>
          </w:divBdr>
          <w:divsChild>
            <w:div w:id="2052530010">
              <w:marLeft w:val="0"/>
              <w:marRight w:val="0"/>
              <w:marTop w:val="0"/>
              <w:marBottom w:val="0"/>
              <w:divBdr>
                <w:top w:val="none" w:sz="0" w:space="0" w:color="auto"/>
                <w:left w:val="none" w:sz="0" w:space="0" w:color="auto"/>
                <w:bottom w:val="none" w:sz="0" w:space="0" w:color="auto"/>
                <w:right w:val="none" w:sz="0" w:space="0" w:color="auto"/>
              </w:divBdr>
              <w:divsChild>
                <w:div w:id="682896001">
                  <w:marLeft w:val="0"/>
                  <w:marRight w:val="0"/>
                  <w:marTop w:val="0"/>
                  <w:marBottom w:val="0"/>
                  <w:divBdr>
                    <w:top w:val="none" w:sz="0" w:space="0" w:color="auto"/>
                    <w:left w:val="none" w:sz="0" w:space="0" w:color="auto"/>
                    <w:bottom w:val="none" w:sz="0" w:space="0" w:color="auto"/>
                    <w:right w:val="none" w:sz="0" w:space="0" w:color="auto"/>
                  </w:divBdr>
                  <w:divsChild>
                    <w:div w:id="474761255">
                      <w:marLeft w:val="0"/>
                      <w:marRight w:val="0"/>
                      <w:marTop w:val="0"/>
                      <w:marBottom w:val="0"/>
                      <w:divBdr>
                        <w:top w:val="none" w:sz="0" w:space="0" w:color="auto"/>
                        <w:left w:val="none" w:sz="0" w:space="0" w:color="auto"/>
                        <w:bottom w:val="none" w:sz="0" w:space="0" w:color="auto"/>
                        <w:right w:val="none" w:sz="0" w:space="0" w:color="auto"/>
                      </w:divBdr>
                      <w:divsChild>
                        <w:div w:id="19299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6919">
                  <w:marLeft w:val="0"/>
                  <w:marRight w:val="0"/>
                  <w:marTop w:val="0"/>
                  <w:marBottom w:val="0"/>
                  <w:divBdr>
                    <w:top w:val="none" w:sz="0" w:space="0" w:color="auto"/>
                    <w:left w:val="none" w:sz="0" w:space="0" w:color="auto"/>
                    <w:bottom w:val="none" w:sz="0" w:space="0" w:color="auto"/>
                    <w:right w:val="none" w:sz="0" w:space="0" w:color="auto"/>
                  </w:divBdr>
                  <w:divsChild>
                    <w:div w:id="585967946">
                      <w:marLeft w:val="0"/>
                      <w:marRight w:val="0"/>
                      <w:marTop w:val="0"/>
                      <w:marBottom w:val="0"/>
                      <w:divBdr>
                        <w:top w:val="none" w:sz="0" w:space="0" w:color="auto"/>
                        <w:left w:val="none" w:sz="0" w:space="0" w:color="auto"/>
                        <w:bottom w:val="none" w:sz="0" w:space="0" w:color="auto"/>
                        <w:right w:val="none" w:sz="0" w:space="0" w:color="auto"/>
                      </w:divBdr>
                      <w:divsChild>
                        <w:div w:id="360907423">
                          <w:marLeft w:val="0"/>
                          <w:marRight w:val="0"/>
                          <w:marTop w:val="0"/>
                          <w:marBottom w:val="0"/>
                          <w:divBdr>
                            <w:top w:val="none" w:sz="0" w:space="0" w:color="auto"/>
                            <w:left w:val="none" w:sz="0" w:space="0" w:color="auto"/>
                            <w:bottom w:val="none" w:sz="0" w:space="0" w:color="auto"/>
                            <w:right w:val="none" w:sz="0" w:space="0" w:color="auto"/>
                          </w:divBdr>
                          <w:divsChild>
                            <w:div w:id="5033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385795">
      <w:bodyDiv w:val="1"/>
      <w:marLeft w:val="0"/>
      <w:marRight w:val="0"/>
      <w:marTop w:val="0"/>
      <w:marBottom w:val="0"/>
      <w:divBdr>
        <w:top w:val="none" w:sz="0" w:space="0" w:color="auto"/>
        <w:left w:val="none" w:sz="0" w:space="0" w:color="auto"/>
        <w:bottom w:val="none" w:sz="0" w:space="0" w:color="auto"/>
        <w:right w:val="none" w:sz="0" w:space="0" w:color="auto"/>
      </w:divBdr>
    </w:div>
    <w:div w:id="1136683146">
      <w:bodyDiv w:val="1"/>
      <w:marLeft w:val="0"/>
      <w:marRight w:val="0"/>
      <w:marTop w:val="0"/>
      <w:marBottom w:val="0"/>
      <w:divBdr>
        <w:top w:val="none" w:sz="0" w:space="0" w:color="auto"/>
        <w:left w:val="none" w:sz="0" w:space="0" w:color="auto"/>
        <w:bottom w:val="none" w:sz="0" w:space="0" w:color="auto"/>
        <w:right w:val="none" w:sz="0" w:space="0" w:color="auto"/>
      </w:divBdr>
    </w:div>
    <w:div w:id="1281180499">
      <w:bodyDiv w:val="1"/>
      <w:marLeft w:val="0"/>
      <w:marRight w:val="0"/>
      <w:marTop w:val="0"/>
      <w:marBottom w:val="0"/>
      <w:divBdr>
        <w:top w:val="none" w:sz="0" w:space="0" w:color="auto"/>
        <w:left w:val="none" w:sz="0" w:space="0" w:color="auto"/>
        <w:bottom w:val="none" w:sz="0" w:space="0" w:color="auto"/>
        <w:right w:val="none" w:sz="0" w:space="0" w:color="auto"/>
      </w:divBdr>
    </w:div>
    <w:div w:id="1460879817">
      <w:bodyDiv w:val="1"/>
      <w:marLeft w:val="0"/>
      <w:marRight w:val="0"/>
      <w:marTop w:val="0"/>
      <w:marBottom w:val="0"/>
      <w:divBdr>
        <w:top w:val="none" w:sz="0" w:space="0" w:color="auto"/>
        <w:left w:val="none" w:sz="0" w:space="0" w:color="auto"/>
        <w:bottom w:val="none" w:sz="0" w:space="0" w:color="auto"/>
        <w:right w:val="none" w:sz="0" w:space="0" w:color="auto"/>
      </w:divBdr>
    </w:div>
    <w:div w:id="1473906102">
      <w:bodyDiv w:val="1"/>
      <w:marLeft w:val="0"/>
      <w:marRight w:val="0"/>
      <w:marTop w:val="0"/>
      <w:marBottom w:val="0"/>
      <w:divBdr>
        <w:top w:val="none" w:sz="0" w:space="0" w:color="auto"/>
        <w:left w:val="none" w:sz="0" w:space="0" w:color="auto"/>
        <w:bottom w:val="none" w:sz="0" w:space="0" w:color="auto"/>
        <w:right w:val="none" w:sz="0" w:space="0" w:color="auto"/>
      </w:divBdr>
    </w:div>
    <w:div w:id="1590967582">
      <w:bodyDiv w:val="1"/>
      <w:marLeft w:val="0"/>
      <w:marRight w:val="0"/>
      <w:marTop w:val="0"/>
      <w:marBottom w:val="0"/>
      <w:divBdr>
        <w:top w:val="none" w:sz="0" w:space="0" w:color="auto"/>
        <w:left w:val="none" w:sz="0" w:space="0" w:color="auto"/>
        <w:bottom w:val="none" w:sz="0" w:space="0" w:color="auto"/>
        <w:right w:val="none" w:sz="0" w:space="0" w:color="auto"/>
      </w:divBdr>
    </w:div>
    <w:div w:id="1766537152">
      <w:bodyDiv w:val="1"/>
      <w:marLeft w:val="0"/>
      <w:marRight w:val="0"/>
      <w:marTop w:val="0"/>
      <w:marBottom w:val="0"/>
      <w:divBdr>
        <w:top w:val="none" w:sz="0" w:space="0" w:color="auto"/>
        <w:left w:val="none" w:sz="0" w:space="0" w:color="auto"/>
        <w:bottom w:val="none" w:sz="0" w:space="0" w:color="auto"/>
        <w:right w:val="none" w:sz="0" w:space="0" w:color="auto"/>
      </w:divBdr>
    </w:div>
    <w:div w:id="1878619976">
      <w:bodyDiv w:val="1"/>
      <w:marLeft w:val="0"/>
      <w:marRight w:val="0"/>
      <w:marTop w:val="0"/>
      <w:marBottom w:val="0"/>
      <w:divBdr>
        <w:top w:val="none" w:sz="0" w:space="0" w:color="auto"/>
        <w:left w:val="none" w:sz="0" w:space="0" w:color="auto"/>
        <w:bottom w:val="none" w:sz="0" w:space="0" w:color="auto"/>
        <w:right w:val="none" w:sz="0" w:space="0" w:color="auto"/>
      </w:divBdr>
    </w:div>
    <w:div w:id="1913850943">
      <w:bodyDiv w:val="1"/>
      <w:marLeft w:val="0"/>
      <w:marRight w:val="0"/>
      <w:marTop w:val="0"/>
      <w:marBottom w:val="0"/>
      <w:divBdr>
        <w:top w:val="none" w:sz="0" w:space="0" w:color="auto"/>
        <w:left w:val="none" w:sz="0" w:space="0" w:color="auto"/>
        <w:bottom w:val="none" w:sz="0" w:space="0" w:color="auto"/>
        <w:right w:val="none" w:sz="0" w:space="0" w:color="auto"/>
      </w:divBdr>
    </w:div>
    <w:div w:id="200562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se.gov.au/local-jobs-program" TargetMode="External"/><Relationship Id="rId18" Type="http://schemas.openxmlformats.org/officeDocument/2006/relationships/hyperlink" Target="https://www.dss.gov.au/ndisworkforcepla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losingthegap.gov.au/node/26"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kills.tas.gov.au/__data/assets/pdf_file/0009/211041/Civil_Construction_Industry_Workforce_Plan_2019-2025.pdf"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skills.tas.gov.au/__data/assets/pdf_file/0004/283207/Tasmanian_Building_and_Construction_Industry_Workforce_Action_Plan_-_March_2021.pdf" TargetMode="External"/><Relationship Id="rId20" Type="http://schemas.openxmlformats.org/officeDocument/2006/relationships/hyperlink" Target="https://www.skills.tas.gov.au/__data/assets/pdf_file/0004/217984/Tasmanian_Tourism_and_Hospitality_workforce_development_plan_Nov_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cid:image001.png@01D69670.0C44FE40"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kills.tas.gov.au/__data/assets/pdf_file/0009/174969/Tasmanian_Transport_and_Logistics_Industry_Workforce_Plan_2015-20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closingthegap.gov.au/national-agreemen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stategrowth.tas.gov.au/__data/assets/pdf_file/0007/174076/Transport_Access_Strategy.PDF" TargetMode="External"/><Relationship Id="rId2" Type="http://schemas.openxmlformats.org/officeDocument/2006/relationships/hyperlink" Target="https://tascoss.org.au/new-submission-to-the-tascoss-vault-11/" TargetMode="External"/><Relationship Id="rId1" Type="http://schemas.openxmlformats.org/officeDocument/2006/relationships/hyperlink" Target="https://digitalinclusionindex.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7B3C1674685145921A871DD6A378D3" ma:contentTypeVersion="1" ma:contentTypeDescription="Create a new document." ma:contentTypeScope="" ma:versionID="f7d01cfe3a2a25597c25f7d1a6ae1281">
  <xsd:schema xmlns:xsd="http://www.w3.org/2001/XMLSchema" xmlns:xs="http://www.w3.org/2001/XMLSchema" xmlns:p="http://schemas.microsoft.com/office/2006/metadata/properties" xmlns:ns2="e65dc78a-081f-42c1-acdb-e32608777612" targetNamespace="http://schemas.microsoft.com/office/2006/metadata/properties" ma:root="true" ma:fieldsID="51a073ef5deeae9ab5e1e5643b67cad5" ns2:_="">
    <xsd:import namespace="e65dc78a-081f-42c1-acdb-e32608777612"/>
    <xsd:element name="properties">
      <xsd:complexType>
        <xsd:sequence>
          <xsd:element name="documentManagement">
            <xsd:complexType>
              <xsd:all>
                <xsd:element ref="ns2:_x0071_x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dc78a-081f-42c1-acdb-e32608777612" elementFormDefault="qualified">
    <xsd:import namespace="http://schemas.microsoft.com/office/2006/documentManagement/types"/>
    <xsd:import namespace="http://schemas.microsoft.com/office/infopath/2007/PartnerControls"/>
    <xsd:element name="_x0071_xy2" ma:index="8" nillable="true" ma:displayName="Number" ma:internalName="_x0071_xy2">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71_xy2 xmlns="e65dc78a-081f-42c1-acdb-e32608777612" xsi:nil="true"/>
  </documentManagement>
</p:properties>
</file>

<file path=customXml/itemProps1.xml><?xml version="1.0" encoding="utf-8"?>
<ds:datastoreItem xmlns:ds="http://schemas.openxmlformats.org/officeDocument/2006/customXml" ds:itemID="{6D65FEA8-DCBE-4DF6-AA96-8C52BE7DB512}">
  <ds:schemaRefs>
    <ds:schemaRef ds:uri="http://schemas.openxmlformats.org/officeDocument/2006/bibliography"/>
  </ds:schemaRefs>
</ds:datastoreItem>
</file>

<file path=customXml/itemProps2.xml><?xml version="1.0" encoding="utf-8"?>
<ds:datastoreItem xmlns:ds="http://schemas.openxmlformats.org/officeDocument/2006/customXml" ds:itemID="{75B82BD6-5A4D-4530-915B-03523CDC7219}">
  <ds:schemaRefs>
    <ds:schemaRef ds:uri="http://schemas.microsoft.com/sharepoint/v3/contenttype/forms"/>
  </ds:schemaRefs>
</ds:datastoreItem>
</file>

<file path=customXml/itemProps3.xml><?xml version="1.0" encoding="utf-8"?>
<ds:datastoreItem xmlns:ds="http://schemas.openxmlformats.org/officeDocument/2006/customXml" ds:itemID="{DCB1F9B6-C396-4965-ACE8-455EC8E58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dc78a-081f-42c1-acdb-e32608777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8984E-8555-4BA4-AC00-790F52B8B571}">
  <ds:schemaRefs>
    <ds:schemaRef ds:uri="http://schemas.microsoft.com/office/infopath/2007/PartnerControls"/>
    <ds:schemaRef ds:uri="http://schemas.microsoft.com/office/2006/metadata/properties"/>
    <ds:schemaRef ds:uri="http://purl.org/dc/terms/"/>
    <ds:schemaRef ds:uri="http://www.w3.org/XML/1998/namespace"/>
    <ds:schemaRef ds:uri="http://purl.org/dc/elements/1.1/"/>
    <ds:schemaRef ds:uri="e65dc78a-081f-42c1-acdb-e32608777612"/>
    <ds:schemaRef ds:uri="http://purl.org/dc/dcmitype/"/>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4691</Words>
  <Characters>26744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MCDONALD,Janice</dc:creator>
  <cp:lastModifiedBy>MAYS,Hannah</cp:lastModifiedBy>
  <cp:revision>4</cp:revision>
  <cp:lastPrinted>2021-08-17T05:44:00Z</cp:lastPrinted>
  <dcterms:created xsi:type="dcterms:W3CDTF">2021-08-17T05:37:00Z</dcterms:created>
  <dcterms:modified xsi:type="dcterms:W3CDTF">2021-08-17T05:45:00Z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0x010100DC7B3C1674685145921A871DD6A378D3</vt:lpwstr>
  </property>
</Properties>
</file>