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3AAE" w14:textId="77777777" w:rsidR="00DC361F" w:rsidRDefault="00481745">
      <w:pPr>
        <w:pStyle w:val="Title"/>
        <w:jc w:val="center"/>
      </w:pPr>
      <w:r>
        <w:t xml:space="preserve">                                                                                                                                                                                                                                                                                                                                                                                                                                                                                                                                                                                                                                                                                                                                                                                                                                                                                                                                                                                                                                                                                                                                                                                                                                                                                                                                                                                                                                                                                                                                                                                                                                                                                                                                                                                                                                                                                                                                                                                                                                                                                                                                                                                                                                                                                                                                                                                                                                                                                                                                                                                                                                                                                                                                                                                                                                                                                                                                                                                                                                                                                                                                                                                                                                                                                                                                                                                                                                                                                                                                                                                                                                                                                                                                                                                                                                                                                                                                                                                                                                                                                                                                                                                   </w:t>
      </w:r>
    </w:p>
    <w:p w14:paraId="5754051E" w14:textId="77777777" w:rsidR="00236194" w:rsidRPr="00C15FCF" w:rsidRDefault="003F7272" w:rsidP="00DC361F">
      <w:pPr>
        <w:pStyle w:val="Title"/>
        <w:jc w:val="center"/>
        <w:sectPr w:rsidR="00236194" w:rsidRPr="00C15FCF" w:rsidSect="009A0D3F">
          <w:headerReference w:type="default" r:id="rId11"/>
          <w:type w:val="continuous"/>
          <w:pgSz w:w="11906" w:h="16838"/>
          <w:pgMar w:top="1985" w:right="1418" w:bottom="993" w:left="1440" w:header="709" w:footer="567" w:gutter="0"/>
          <w:cols w:space="708"/>
          <w:docGrid w:linePitch="360"/>
        </w:sectPr>
      </w:pPr>
      <w:r w:rsidRPr="007D1210">
        <w:rPr>
          <w:noProof/>
          <w:lang w:eastAsia="en-AU"/>
        </w:rPr>
        <w:drawing>
          <wp:inline distT="0" distB="0" distL="0" distR="0" wp14:anchorId="7B14DFB5" wp14:editId="6AD7256D">
            <wp:extent cx="4144645" cy="960120"/>
            <wp:effectExtent l="0" t="0" r="8255" b="0"/>
            <wp:docPr id="5" name="Picture 5" descr="Australian Government Local Job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Local Jobs Program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4645" cy="960120"/>
                    </a:xfrm>
                    <a:prstGeom prst="rect">
                      <a:avLst/>
                    </a:prstGeom>
                  </pic:spPr>
                </pic:pic>
              </a:graphicData>
            </a:graphic>
          </wp:inline>
        </w:drawing>
      </w:r>
      <w:bookmarkStart w:id="0" w:name="_Toc364946114"/>
    </w:p>
    <w:p w14:paraId="4D553CEB" w14:textId="77777777" w:rsidR="006D4042" w:rsidRPr="007D1210" w:rsidRDefault="006D4042" w:rsidP="00C15FCF">
      <w:bookmarkStart w:id="1" w:name="_Toc24447248"/>
      <w:bookmarkEnd w:id="0"/>
    </w:p>
    <w:p w14:paraId="5A0EE839" w14:textId="77777777" w:rsidR="006D4042" w:rsidRPr="007D1210" w:rsidRDefault="006D4042" w:rsidP="006D4042">
      <w:pPr>
        <w:jc w:val="center"/>
      </w:pPr>
    </w:p>
    <w:p w14:paraId="08EFBF48" w14:textId="77777777" w:rsidR="006D4042" w:rsidRPr="007D1210" w:rsidRDefault="006D4042" w:rsidP="003418C0">
      <w:pPr>
        <w:spacing w:before="120" w:after="480" w:line="240" w:lineRule="auto"/>
        <w:jc w:val="center"/>
        <w:rPr>
          <w:b/>
          <w:bCs/>
          <w:color w:val="002060"/>
          <w:sz w:val="72"/>
          <w:szCs w:val="72"/>
        </w:rPr>
      </w:pPr>
      <w:r w:rsidRPr="007D1210">
        <w:rPr>
          <w:b/>
          <w:bCs/>
          <w:color w:val="002060"/>
          <w:sz w:val="72"/>
          <w:szCs w:val="72"/>
        </w:rPr>
        <w:t>Local Jobs Plan</w:t>
      </w:r>
    </w:p>
    <w:p w14:paraId="7089E832" w14:textId="77777777" w:rsidR="006D4042" w:rsidRPr="007D1210" w:rsidRDefault="000E2F64" w:rsidP="003418C0">
      <w:pPr>
        <w:spacing w:before="120" w:after="480" w:line="240" w:lineRule="auto"/>
        <w:jc w:val="center"/>
        <w:rPr>
          <w:b/>
          <w:bCs/>
          <w:color w:val="002060"/>
          <w:sz w:val="68"/>
          <w:szCs w:val="68"/>
        </w:rPr>
      </w:pPr>
      <w:r>
        <w:rPr>
          <w:b/>
          <w:bCs/>
          <w:color w:val="002060"/>
          <w:sz w:val="68"/>
          <w:szCs w:val="68"/>
        </w:rPr>
        <w:t>South Eastern Melbourne and Peninsula</w:t>
      </w:r>
    </w:p>
    <w:p w14:paraId="759DCB75" w14:textId="77777777" w:rsidR="00B004DD" w:rsidRPr="007D1210" w:rsidRDefault="000E2F64" w:rsidP="003418C0">
      <w:pPr>
        <w:spacing w:before="120" w:after="480" w:line="240" w:lineRule="auto"/>
        <w:jc w:val="center"/>
        <w:rPr>
          <w:b/>
          <w:bCs/>
          <w:color w:val="002060"/>
          <w:sz w:val="64"/>
          <w:szCs w:val="64"/>
        </w:rPr>
      </w:pPr>
      <w:r w:rsidRPr="000E2F64">
        <w:rPr>
          <w:b/>
          <w:bCs/>
          <w:color w:val="002060"/>
          <w:sz w:val="64"/>
          <w:szCs w:val="64"/>
        </w:rPr>
        <w:t>Victoria</w:t>
      </w:r>
    </w:p>
    <w:p w14:paraId="41934D1A" w14:textId="06267B99" w:rsidR="006D4042" w:rsidRPr="007D1210" w:rsidRDefault="00C931D8" w:rsidP="003418C0">
      <w:pPr>
        <w:spacing w:before="120" w:after="480"/>
        <w:jc w:val="center"/>
        <w:rPr>
          <w:color w:val="002060"/>
          <w:sz w:val="60"/>
          <w:szCs w:val="60"/>
        </w:rPr>
      </w:pPr>
      <w:r>
        <w:rPr>
          <w:color w:val="002060"/>
          <w:sz w:val="60"/>
          <w:szCs w:val="60"/>
        </w:rPr>
        <w:t>Decem</w:t>
      </w:r>
      <w:r w:rsidR="00C6125E">
        <w:rPr>
          <w:color w:val="002060"/>
          <w:sz w:val="60"/>
          <w:szCs w:val="60"/>
        </w:rPr>
        <w:t xml:space="preserve">ber </w:t>
      </w:r>
      <w:r w:rsidR="006D4042" w:rsidRPr="007D1210">
        <w:rPr>
          <w:color w:val="002060"/>
          <w:sz w:val="60"/>
          <w:szCs w:val="60"/>
        </w:rPr>
        <w:t>2021</w:t>
      </w:r>
    </w:p>
    <w:p w14:paraId="4B01B330" w14:textId="77777777" w:rsidR="00BC25FD" w:rsidRDefault="00BC25FD">
      <w:r>
        <w:br w:type="page"/>
      </w:r>
    </w:p>
    <w:sdt>
      <w:sdtPr>
        <w:rPr>
          <w:rFonts w:asciiTheme="minorHAnsi" w:eastAsiaTheme="minorEastAsia" w:hAnsiTheme="minorHAnsi" w:cstheme="minorBidi"/>
          <w:noProof w:val="0"/>
          <w:color w:val="auto"/>
          <w:sz w:val="22"/>
          <w:szCs w:val="22"/>
          <w:lang w:val="en" w:bidi="ar-SA"/>
        </w:rPr>
        <w:id w:val="-476842593"/>
        <w:docPartObj>
          <w:docPartGallery w:val="Table of Contents"/>
          <w:docPartUnique/>
        </w:docPartObj>
      </w:sdtPr>
      <w:sdtEndPr>
        <w:rPr>
          <w:b/>
          <w:bCs/>
          <w:lang w:val="en-AU"/>
        </w:rPr>
      </w:sdtEndPr>
      <w:sdtContent>
        <w:p w14:paraId="1B4422FD" w14:textId="77777777" w:rsidR="006D4042" w:rsidRPr="007D1210" w:rsidRDefault="006D4042">
          <w:pPr>
            <w:pStyle w:val="TOCHeading"/>
            <w:rPr>
              <w:noProof w:val="0"/>
            </w:rPr>
          </w:pPr>
          <w:r w:rsidRPr="007D1210">
            <w:rPr>
              <w:noProof w:val="0"/>
            </w:rPr>
            <w:t>Contents</w:t>
          </w:r>
        </w:p>
        <w:p w14:paraId="3819C9D2" w14:textId="62A5DBF0" w:rsidR="003150C7" w:rsidRDefault="006D4042">
          <w:pPr>
            <w:pStyle w:val="TOC1"/>
            <w:tabs>
              <w:tab w:val="right" w:leader="dot" w:pos="9038"/>
            </w:tabs>
            <w:rPr>
              <w:noProof/>
              <w:lang w:eastAsia="en-AU"/>
            </w:rPr>
          </w:pPr>
          <w:r w:rsidRPr="007D1210">
            <w:fldChar w:fldCharType="begin"/>
          </w:r>
          <w:r w:rsidRPr="007D1210">
            <w:instrText xml:space="preserve"> TOC \o "1-3" \h \z \u </w:instrText>
          </w:r>
          <w:r w:rsidRPr="007D1210">
            <w:fldChar w:fldCharType="separate"/>
          </w:r>
          <w:hyperlink w:anchor="_Toc95225110" w:history="1">
            <w:r w:rsidR="003150C7" w:rsidRPr="00A37852">
              <w:rPr>
                <w:rStyle w:val="Hyperlink"/>
                <w:noProof/>
              </w:rPr>
              <w:t>Preface</w:t>
            </w:r>
            <w:r w:rsidR="003150C7">
              <w:rPr>
                <w:noProof/>
                <w:webHidden/>
              </w:rPr>
              <w:tab/>
            </w:r>
            <w:r w:rsidR="003150C7">
              <w:rPr>
                <w:noProof/>
                <w:webHidden/>
              </w:rPr>
              <w:fldChar w:fldCharType="begin"/>
            </w:r>
            <w:r w:rsidR="003150C7">
              <w:rPr>
                <w:noProof/>
                <w:webHidden/>
              </w:rPr>
              <w:instrText xml:space="preserve"> PAGEREF _Toc95225110 \h </w:instrText>
            </w:r>
            <w:r w:rsidR="003150C7">
              <w:rPr>
                <w:noProof/>
                <w:webHidden/>
              </w:rPr>
            </w:r>
            <w:r w:rsidR="003150C7">
              <w:rPr>
                <w:noProof/>
                <w:webHidden/>
              </w:rPr>
              <w:fldChar w:fldCharType="separate"/>
            </w:r>
            <w:r w:rsidR="006F7328">
              <w:rPr>
                <w:noProof/>
                <w:webHidden/>
              </w:rPr>
              <w:t>3</w:t>
            </w:r>
            <w:r w:rsidR="003150C7">
              <w:rPr>
                <w:noProof/>
                <w:webHidden/>
              </w:rPr>
              <w:fldChar w:fldCharType="end"/>
            </w:r>
          </w:hyperlink>
        </w:p>
        <w:p w14:paraId="5060558E" w14:textId="7043136B" w:rsidR="003150C7" w:rsidRDefault="003150C7">
          <w:pPr>
            <w:pStyle w:val="TOC1"/>
            <w:tabs>
              <w:tab w:val="right" w:leader="dot" w:pos="9038"/>
            </w:tabs>
            <w:rPr>
              <w:noProof/>
              <w:lang w:eastAsia="en-AU"/>
            </w:rPr>
          </w:pPr>
          <w:hyperlink w:anchor="_Toc95225111" w:history="1">
            <w:r w:rsidRPr="00A37852">
              <w:rPr>
                <w:rStyle w:val="Hyperlink"/>
                <w:noProof/>
              </w:rPr>
              <w:t>Local Jobs Program Key Priorities for the SEMP Region</w:t>
            </w:r>
            <w:r>
              <w:rPr>
                <w:noProof/>
                <w:webHidden/>
              </w:rPr>
              <w:tab/>
            </w:r>
            <w:r>
              <w:rPr>
                <w:noProof/>
                <w:webHidden/>
              </w:rPr>
              <w:fldChar w:fldCharType="begin"/>
            </w:r>
            <w:r>
              <w:rPr>
                <w:noProof/>
                <w:webHidden/>
              </w:rPr>
              <w:instrText xml:space="preserve"> PAGEREF _Toc95225111 \h </w:instrText>
            </w:r>
            <w:r>
              <w:rPr>
                <w:noProof/>
                <w:webHidden/>
              </w:rPr>
            </w:r>
            <w:r>
              <w:rPr>
                <w:noProof/>
                <w:webHidden/>
              </w:rPr>
              <w:fldChar w:fldCharType="separate"/>
            </w:r>
            <w:r w:rsidR="006F7328">
              <w:rPr>
                <w:noProof/>
                <w:webHidden/>
              </w:rPr>
              <w:t>3</w:t>
            </w:r>
            <w:r>
              <w:rPr>
                <w:noProof/>
                <w:webHidden/>
              </w:rPr>
              <w:fldChar w:fldCharType="end"/>
            </w:r>
          </w:hyperlink>
        </w:p>
        <w:p w14:paraId="1ABF0161" w14:textId="1AE4F7C1" w:rsidR="003150C7" w:rsidRDefault="003150C7">
          <w:pPr>
            <w:pStyle w:val="TOC1"/>
            <w:tabs>
              <w:tab w:val="right" w:leader="dot" w:pos="9038"/>
            </w:tabs>
            <w:rPr>
              <w:noProof/>
              <w:lang w:eastAsia="en-AU"/>
            </w:rPr>
          </w:pPr>
          <w:hyperlink w:anchor="_Toc95225112" w:history="1">
            <w:r w:rsidRPr="00A37852">
              <w:rPr>
                <w:rStyle w:val="Hyperlink"/>
                <w:noProof/>
              </w:rPr>
              <w:t>SEMP Region overview</w:t>
            </w:r>
            <w:r>
              <w:rPr>
                <w:noProof/>
                <w:webHidden/>
              </w:rPr>
              <w:tab/>
            </w:r>
            <w:r>
              <w:rPr>
                <w:noProof/>
                <w:webHidden/>
              </w:rPr>
              <w:fldChar w:fldCharType="begin"/>
            </w:r>
            <w:r>
              <w:rPr>
                <w:noProof/>
                <w:webHidden/>
              </w:rPr>
              <w:instrText xml:space="preserve"> PAGEREF _Toc95225112 \h </w:instrText>
            </w:r>
            <w:r>
              <w:rPr>
                <w:noProof/>
                <w:webHidden/>
              </w:rPr>
            </w:r>
            <w:r>
              <w:rPr>
                <w:noProof/>
                <w:webHidden/>
              </w:rPr>
              <w:fldChar w:fldCharType="separate"/>
            </w:r>
            <w:r w:rsidR="006F7328">
              <w:rPr>
                <w:noProof/>
                <w:webHidden/>
              </w:rPr>
              <w:t>4</w:t>
            </w:r>
            <w:r>
              <w:rPr>
                <w:noProof/>
                <w:webHidden/>
              </w:rPr>
              <w:fldChar w:fldCharType="end"/>
            </w:r>
          </w:hyperlink>
        </w:p>
        <w:p w14:paraId="2CA4A315" w14:textId="174DCC6B" w:rsidR="003150C7" w:rsidRDefault="003150C7">
          <w:pPr>
            <w:pStyle w:val="TOC1"/>
            <w:tabs>
              <w:tab w:val="right" w:leader="dot" w:pos="9038"/>
            </w:tabs>
            <w:rPr>
              <w:noProof/>
              <w:lang w:eastAsia="en-AU"/>
            </w:rPr>
          </w:pPr>
          <w:hyperlink w:anchor="_Toc95225113" w:history="1">
            <w:r w:rsidRPr="00A37852">
              <w:rPr>
                <w:rStyle w:val="Hyperlink"/>
                <w:noProof/>
              </w:rPr>
              <w:t>Key challenges in the SEMP Region</w:t>
            </w:r>
            <w:r>
              <w:rPr>
                <w:noProof/>
                <w:webHidden/>
              </w:rPr>
              <w:tab/>
            </w:r>
            <w:r>
              <w:rPr>
                <w:noProof/>
                <w:webHidden/>
              </w:rPr>
              <w:fldChar w:fldCharType="begin"/>
            </w:r>
            <w:r>
              <w:rPr>
                <w:noProof/>
                <w:webHidden/>
              </w:rPr>
              <w:instrText xml:space="preserve"> PAGEREF _Toc95225113 \h </w:instrText>
            </w:r>
            <w:r>
              <w:rPr>
                <w:noProof/>
                <w:webHidden/>
              </w:rPr>
            </w:r>
            <w:r>
              <w:rPr>
                <w:noProof/>
                <w:webHidden/>
              </w:rPr>
              <w:fldChar w:fldCharType="separate"/>
            </w:r>
            <w:r w:rsidR="006F7328">
              <w:rPr>
                <w:noProof/>
                <w:webHidden/>
              </w:rPr>
              <w:t>5</w:t>
            </w:r>
            <w:r>
              <w:rPr>
                <w:noProof/>
                <w:webHidden/>
              </w:rPr>
              <w:fldChar w:fldCharType="end"/>
            </w:r>
          </w:hyperlink>
        </w:p>
        <w:p w14:paraId="431122FD" w14:textId="2B3FDC2F" w:rsidR="003150C7" w:rsidRDefault="003150C7">
          <w:pPr>
            <w:pStyle w:val="TOC1"/>
            <w:tabs>
              <w:tab w:val="right" w:leader="dot" w:pos="9038"/>
            </w:tabs>
            <w:rPr>
              <w:noProof/>
              <w:lang w:eastAsia="en-AU"/>
            </w:rPr>
          </w:pPr>
          <w:hyperlink w:anchor="_Toc95225114" w:history="1">
            <w:r w:rsidRPr="00A37852">
              <w:rPr>
                <w:rStyle w:val="Hyperlink"/>
                <w:noProof/>
              </w:rPr>
              <w:t>Local stakeholders and opportunities</w:t>
            </w:r>
            <w:r>
              <w:rPr>
                <w:noProof/>
                <w:webHidden/>
              </w:rPr>
              <w:tab/>
            </w:r>
            <w:r>
              <w:rPr>
                <w:noProof/>
                <w:webHidden/>
              </w:rPr>
              <w:fldChar w:fldCharType="begin"/>
            </w:r>
            <w:r>
              <w:rPr>
                <w:noProof/>
                <w:webHidden/>
              </w:rPr>
              <w:instrText xml:space="preserve"> PAGEREF _Toc95225114 \h </w:instrText>
            </w:r>
            <w:r>
              <w:rPr>
                <w:noProof/>
                <w:webHidden/>
              </w:rPr>
            </w:r>
            <w:r>
              <w:rPr>
                <w:noProof/>
                <w:webHidden/>
              </w:rPr>
              <w:fldChar w:fldCharType="separate"/>
            </w:r>
            <w:r w:rsidR="006F7328">
              <w:rPr>
                <w:noProof/>
                <w:webHidden/>
              </w:rPr>
              <w:t>6</w:t>
            </w:r>
            <w:r>
              <w:rPr>
                <w:noProof/>
                <w:webHidden/>
              </w:rPr>
              <w:fldChar w:fldCharType="end"/>
            </w:r>
          </w:hyperlink>
        </w:p>
        <w:p w14:paraId="03780CE5" w14:textId="1F67C582" w:rsidR="003150C7" w:rsidRDefault="003150C7">
          <w:pPr>
            <w:pStyle w:val="TOC1"/>
            <w:tabs>
              <w:tab w:val="right" w:leader="dot" w:pos="9038"/>
            </w:tabs>
            <w:rPr>
              <w:noProof/>
              <w:lang w:eastAsia="en-AU"/>
            </w:rPr>
          </w:pPr>
          <w:hyperlink w:anchor="_Toc95225115" w:history="1">
            <w:r w:rsidRPr="00A37852">
              <w:rPr>
                <w:rStyle w:val="Hyperlink"/>
                <w:noProof/>
              </w:rPr>
              <w:t>Large employing industries and employers</w:t>
            </w:r>
            <w:r>
              <w:rPr>
                <w:noProof/>
                <w:webHidden/>
              </w:rPr>
              <w:tab/>
            </w:r>
            <w:r>
              <w:rPr>
                <w:noProof/>
                <w:webHidden/>
              </w:rPr>
              <w:fldChar w:fldCharType="begin"/>
            </w:r>
            <w:r>
              <w:rPr>
                <w:noProof/>
                <w:webHidden/>
              </w:rPr>
              <w:instrText xml:space="preserve"> PAGEREF _Toc95225115 \h </w:instrText>
            </w:r>
            <w:r>
              <w:rPr>
                <w:noProof/>
                <w:webHidden/>
              </w:rPr>
            </w:r>
            <w:r>
              <w:rPr>
                <w:noProof/>
                <w:webHidden/>
              </w:rPr>
              <w:fldChar w:fldCharType="separate"/>
            </w:r>
            <w:r w:rsidR="006F7328">
              <w:rPr>
                <w:noProof/>
                <w:webHidden/>
              </w:rPr>
              <w:t>8</w:t>
            </w:r>
            <w:r>
              <w:rPr>
                <w:noProof/>
                <w:webHidden/>
              </w:rPr>
              <w:fldChar w:fldCharType="end"/>
            </w:r>
          </w:hyperlink>
        </w:p>
        <w:p w14:paraId="2F935D86" w14:textId="7DC5007B" w:rsidR="003150C7" w:rsidRDefault="003150C7">
          <w:pPr>
            <w:pStyle w:val="TOC1"/>
            <w:tabs>
              <w:tab w:val="right" w:leader="dot" w:pos="9038"/>
            </w:tabs>
            <w:rPr>
              <w:noProof/>
              <w:lang w:eastAsia="en-AU"/>
            </w:rPr>
          </w:pPr>
          <w:hyperlink w:anchor="_Toc95225116" w:history="1">
            <w:r w:rsidRPr="00A37852">
              <w:rPr>
                <w:rStyle w:val="Hyperlink"/>
                <w:noProof/>
              </w:rPr>
              <w:t>Selected Major Projects</w:t>
            </w:r>
            <w:r>
              <w:rPr>
                <w:noProof/>
                <w:webHidden/>
              </w:rPr>
              <w:tab/>
            </w:r>
            <w:r>
              <w:rPr>
                <w:noProof/>
                <w:webHidden/>
              </w:rPr>
              <w:fldChar w:fldCharType="begin"/>
            </w:r>
            <w:r>
              <w:rPr>
                <w:noProof/>
                <w:webHidden/>
              </w:rPr>
              <w:instrText xml:space="preserve"> PAGEREF _Toc95225116 \h </w:instrText>
            </w:r>
            <w:r>
              <w:rPr>
                <w:noProof/>
                <w:webHidden/>
              </w:rPr>
            </w:r>
            <w:r>
              <w:rPr>
                <w:noProof/>
                <w:webHidden/>
              </w:rPr>
              <w:fldChar w:fldCharType="separate"/>
            </w:r>
            <w:r w:rsidR="006F7328">
              <w:rPr>
                <w:noProof/>
                <w:webHidden/>
              </w:rPr>
              <w:t>9</w:t>
            </w:r>
            <w:r>
              <w:rPr>
                <w:noProof/>
                <w:webHidden/>
              </w:rPr>
              <w:fldChar w:fldCharType="end"/>
            </w:r>
          </w:hyperlink>
        </w:p>
        <w:p w14:paraId="4377973A" w14:textId="4EF15F5A" w:rsidR="003150C7" w:rsidRDefault="003150C7">
          <w:pPr>
            <w:pStyle w:val="TOC1"/>
            <w:tabs>
              <w:tab w:val="right" w:leader="dot" w:pos="9038"/>
            </w:tabs>
            <w:rPr>
              <w:noProof/>
              <w:lang w:eastAsia="en-AU"/>
            </w:rPr>
          </w:pPr>
          <w:hyperlink w:anchor="_Toc95225117" w:history="1">
            <w:r w:rsidRPr="00A37852">
              <w:rPr>
                <w:rStyle w:val="Hyperlink"/>
                <w:noProof/>
              </w:rPr>
              <w:t>Labour Market Data</w:t>
            </w:r>
            <w:r>
              <w:rPr>
                <w:noProof/>
                <w:webHidden/>
              </w:rPr>
              <w:tab/>
            </w:r>
            <w:r>
              <w:rPr>
                <w:noProof/>
                <w:webHidden/>
              </w:rPr>
              <w:fldChar w:fldCharType="begin"/>
            </w:r>
            <w:r>
              <w:rPr>
                <w:noProof/>
                <w:webHidden/>
              </w:rPr>
              <w:instrText xml:space="preserve"> PAGEREF _Toc95225117 \h </w:instrText>
            </w:r>
            <w:r>
              <w:rPr>
                <w:noProof/>
                <w:webHidden/>
              </w:rPr>
            </w:r>
            <w:r>
              <w:rPr>
                <w:noProof/>
                <w:webHidden/>
              </w:rPr>
              <w:fldChar w:fldCharType="separate"/>
            </w:r>
            <w:r w:rsidR="006F7328">
              <w:rPr>
                <w:noProof/>
                <w:webHidden/>
              </w:rPr>
              <w:t>9</w:t>
            </w:r>
            <w:r>
              <w:rPr>
                <w:noProof/>
                <w:webHidden/>
              </w:rPr>
              <w:fldChar w:fldCharType="end"/>
            </w:r>
          </w:hyperlink>
        </w:p>
        <w:p w14:paraId="5DF152BA" w14:textId="6C81C9EA" w:rsidR="003150C7" w:rsidRDefault="003150C7">
          <w:pPr>
            <w:pStyle w:val="TOC1"/>
            <w:tabs>
              <w:tab w:val="right" w:leader="dot" w:pos="9038"/>
            </w:tabs>
            <w:rPr>
              <w:noProof/>
              <w:lang w:eastAsia="en-AU"/>
            </w:rPr>
          </w:pPr>
          <w:hyperlink w:anchor="_Toc95225118" w:history="1">
            <w:r w:rsidRPr="00A37852">
              <w:rPr>
                <w:rStyle w:val="Hyperlink"/>
                <w:noProof/>
              </w:rPr>
              <w:t>Attachment A – Labour Market Data Dashboard (November 2021)</w:t>
            </w:r>
            <w:r>
              <w:rPr>
                <w:noProof/>
                <w:webHidden/>
              </w:rPr>
              <w:tab/>
            </w:r>
            <w:r>
              <w:rPr>
                <w:noProof/>
                <w:webHidden/>
              </w:rPr>
              <w:fldChar w:fldCharType="begin"/>
            </w:r>
            <w:r>
              <w:rPr>
                <w:noProof/>
                <w:webHidden/>
              </w:rPr>
              <w:instrText xml:space="preserve"> PAGEREF _Toc95225118 \h </w:instrText>
            </w:r>
            <w:r>
              <w:rPr>
                <w:noProof/>
                <w:webHidden/>
              </w:rPr>
            </w:r>
            <w:r>
              <w:rPr>
                <w:noProof/>
                <w:webHidden/>
              </w:rPr>
              <w:fldChar w:fldCharType="separate"/>
            </w:r>
            <w:r w:rsidR="006F7328">
              <w:rPr>
                <w:noProof/>
                <w:webHidden/>
              </w:rPr>
              <w:t>10</w:t>
            </w:r>
            <w:r>
              <w:rPr>
                <w:noProof/>
                <w:webHidden/>
              </w:rPr>
              <w:fldChar w:fldCharType="end"/>
            </w:r>
          </w:hyperlink>
        </w:p>
        <w:p w14:paraId="1CA2142F" w14:textId="0DFF8E6D" w:rsidR="006D4042" w:rsidRPr="007D1210" w:rsidRDefault="006D4042">
          <w:r w:rsidRPr="007D1210">
            <w:rPr>
              <w:b/>
              <w:bCs/>
            </w:rPr>
            <w:fldChar w:fldCharType="end"/>
          </w:r>
        </w:p>
      </w:sdtContent>
    </w:sdt>
    <w:p w14:paraId="10ED016E" w14:textId="77777777" w:rsidR="00BC25FD" w:rsidRDefault="00BC25FD">
      <w:r>
        <w:br w:type="page"/>
      </w:r>
    </w:p>
    <w:p w14:paraId="6F5C8ED5" w14:textId="79904B24" w:rsidR="006D4042" w:rsidRPr="007D1210" w:rsidRDefault="00C15FCF" w:rsidP="00D83BAB">
      <w:pPr>
        <w:spacing w:after="120" w:line="240" w:lineRule="auto"/>
        <w:jc w:val="center"/>
      </w:pPr>
      <w:r w:rsidRPr="00581BC4">
        <w:rPr>
          <w:color w:val="002060"/>
        </w:rPr>
        <w:lastRenderedPageBreak/>
        <w:t xml:space="preserve">The Department of Education, Skills and Employment acknowledges the traditional owners and custodians of country throughout Australia and acknowledges their continuing connection to land, </w:t>
      </w:r>
      <w:r w:rsidR="00265557" w:rsidRPr="00581BC4">
        <w:rPr>
          <w:color w:val="002060"/>
        </w:rPr>
        <w:t>water,</w:t>
      </w:r>
      <w:r w:rsidRPr="00581BC4">
        <w:rPr>
          <w:color w:val="002060"/>
        </w:rPr>
        <w:t xml:space="preserve"> and community. We pay our respects to the people, the </w:t>
      </w:r>
      <w:proofErr w:type="gramStart"/>
      <w:r w:rsidRPr="00581BC4">
        <w:rPr>
          <w:color w:val="002060"/>
        </w:rPr>
        <w:t>cultures</w:t>
      </w:r>
      <w:proofErr w:type="gramEnd"/>
      <w:r w:rsidRPr="00581BC4">
        <w:rPr>
          <w:color w:val="002060"/>
        </w:rPr>
        <w:t xml:space="preserve"> and the elders past, present and emerging.</w:t>
      </w:r>
    </w:p>
    <w:p w14:paraId="4CE07238" w14:textId="447F9CDA" w:rsidR="009E6C1D" w:rsidRPr="007D1210" w:rsidRDefault="00007E17" w:rsidP="00597283">
      <w:pPr>
        <w:pStyle w:val="Heading1"/>
        <w:rPr>
          <w:noProof w:val="0"/>
        </w:rPr>
      </w:pPr>
      <w:bookmarkStart w:id="2" w:name="_Toc95225110"/>
      <w:r>
        <w:rPr>
          <w:noProof w:val="0"/>
        </w:rPr>
        <w:t>Preface</w:t>
      </w:r>
      <w:bookmarkEnd w:id="2"/>
    </w:p>
    <w:p w14:paraId="598ABD76" w14:textId="77777777" w:rsidR="00B7683D" w:rsidRPr="007D1210" w:rsidRDefault="00B7683D" w:rsidP="00025CA4">
      <w:pPr>
        <w:spacing w:before="120" w:after="120"/>
        <w:rPr>
          <w:rFonts w:ascii="Calibri" w:eastAsia="Calibri" w:hAnsi="Calibri" w:cs="Calibri"/>
          <w:lang w:val="en-US"/>
        </w:rPr>
      </w:pPr>
      <w:bookmarkStart w:id="3" w:name="_Toc24447236"/>
      <w:r w:rsidRPr="007D1210">
        <w:rPr>
          <w:rFonts w:ascii="Calibri" w:eastAsia="Calibri" w:hAnsi="Calibri" w:cs="Calibri"/>
        </w:rPr>
        <w:t xml:space="preserve">As part of supporting Australia’s economic recovery from the COVID-19 pandemic, the Australian </w:t>
      </w:r>
      <w:r w:rsidRPr="007D1210">
        <w:rPr>
          <w:rFonts w:ascii="Calibri" w:eastAsia="Calibri" w:hAnsi="Calibri" w:cs="Calibri"/>
          <w:lang w:val="en-US"/>
        </w:rPr>
        <w:t xml:space="preserve">Government’s Local Jobs Program (LJP) brings together expertise, </w:t>
      </w:r>
      <w:proofErr w:type="gramStart"/>
      <w:r w:rsidRPr="007D1210">
        <w:rPr>
          <w:rFonts w:ascii="Calibri" w:eastAsia="Calibri" w:hAnsi="Calibri" w:cs="Calibri"/>
          <w:lang w:val="en-US"/>
        </w:rPr>
        <w:t>resources</w:t>
      </w:r>
      <w:proofErr w:type="gramEnd"/>
      <w:r w:rsidRPr="007D1210">
        <w:rPr>
          <w:rFonts w:ascii="Calibri" w:eastAsia="Calibri" w:hAnsi="Calibri" w:cs="Calibri"/>
          <w:lang w:val="en-US"/>
        </w:rPr>
        <w:t xml:space="preserve"> and access to funding at the local level to </w:t>
      </w:r>
      <w:r w:rsidR="007D1210">
        <w:rPr>
          <w:rFonts w:ascii="Calibri" w:eastAsia="Calibri" w:hAnsi="Calibri" w:cs="Calibri"/>
          <w:lang w:val="en-US"/>
        </w:rPr>
        <w:t>accelerate</w:t>
      </w:r>
      <w:r w:rsidR="007D1210" w:rsidRPr="007D1210">
        <w:rPr>
          <w:rFonts w:ascii="Calibri" w:eastAsia="Calibri" w:hAnsi="Calibri" w:cs="Calibri"/>
          <w:lang w:val="en-US"/>
        </w:rPr>
        <w:t xml:space="preserve"> </w:t>
      </w:r>
      <w:r w:rsidRPr="007D1210">
        <w:rPr>
          <w:rFonts w:ascii="Calibri" w:eastAsia="Calibri" w:hAnsi="Calibri" w:cs="Calibri"/>
          <w:lang w:val="en-US"/>
        </w:rPr>
        <w:t>reskilling, upskilling and employment pathways in 51 Employment Regions.</w:t>
      </w:r>
    </w:p>
    <w:p w14:paraId="3A934005" w14:textId="77777777" w:rsidR="00AC35BB" w:rsidRPr="007D1210" w:rsidRDefault="00AC35BB" w:rsidP="00025CA4">
      <w:pPr>
        <w:spacing w:after="120"/>
        <w:rPr>
          <w:rFonts w:ascii="Calibri" w:hAnsi="Calibri" w:cs="Calibri"/>
        </w:rPr>
      </w:pPr>
      <w:r w:rsidRPr="007D1210">
        <w:rPr>
          <w:rFonts w:ascii="Calibri" w:hAnsi="Calibri" w:cs="Calibri"/>
        </w:rPr>
        <w:t xml:space="preserve">Recognising the importance of local knowledge in getting people back into jobs quickly, the </w:t>
      </w:r>
      <w:r w:rsidR="008A02FE" w:rsidRPr="007D1210">
        <w:rPr>
          <w:rFonts w:ascii="Calibri" w:hAnsi="Calibri" w:cs="Calibri"/>
        </w:rPr>
        <w:t>LJP</w:t>
      </w:r>
      <w:r w:rsidRPr="007D1210">
        <w:rPr>
          <w:rFonts w:ascii="Calibri" w:hAnsi="Calibri" w:cs="Calibri"/>
        </w:rPr>
        <w:t xml:space="preserve"> includes the following key elements in each region:</w:t>
      </w:r>
    </w:p>
    <w:p w14:paraId="3E0BC5BA" w14:textId="77777777" w:rsidR="00AC35BB" w:rsidRPr="007D1210" w:rsidRDefault="00AC35BB" w:rsidP="00025CA4">
      <w:pPr>
        <w:pStyle w:val="ListParagraph"/>
        <w:numPr>
          <w:ilvl w:val="0"/>
          <w:numId w:val="33"/>
        </w:numPr>
        <w:spacing w:after="0"/>
        <w:rPr>
          <w:rFonts w:eastAsiaTheme="minorHAnsi"/>
        </w:rPr>
      </w:pPr>
      <w:r w:rsidRPr="007D1210">
        <w:t xml:space="preserve">a local </w:t>
      </w:r>
      <w:r w:rsidRPr="007D1210">
        <w:rPr>
          <w:rFonts w:eastAsiaTheme="minorHAnsi"/>
        </w:rPr>
        <w:t>Employment Facilitator</w:t>
      </w:r>
    </w:p>
    <w:p w14:paraId="64AD361A" w14:textId="77777777" w:rsidR="00AC35BB" w:rsidRPr="007D1210" w:rsidRDefault="00AC35BB" w:rsidP="00025CA4">
      <w:pPr>
        <w:pStyle w:val="ListParagraph"/>
        <w:numPr>
          <w:ilvl w:val="0"/>
          <w:numId w:val="33"/>
        </w:numPr>
        <w:spacing w:after="0"/>
        <w:rPr>
          <w:rFonts w:eastAsiaTheme="minorHAnsi"/>
        </w:rPr>
      </w:pPr>
      <w:r w:rsidRPr="007D1210">
        <w:t xml:space="preserve">a </w:t>
      </w:r>
      <w:r w:rsidRPr="007D1210">
        <w:rPr>
          <w:rFonts w:eastAsiaTheme="minorHAnsi"/>
        </w:rPr>
        <w:t xml:space="preserve">Local Jobs and Skills Taskforce </w:t>
      </w:r>
    </w:p>
    <w:p w14:paraId="640172DD" w14:textId="77777777" w:rsidR="00AC35BB" w:rsidRPr="007D1210" w:rsidRDefault="00AC35BB" w:rsidP="00025CA4">
      <w:pPr>
        <w:pStyle w:val="ListParagraph"/>
        <w:numPr>
          <w:ilvl w:val="0"/>
          <w:numId w:val="33"/>
        </w:numPr>
        <w:spacing w:after="0"/>
        <w:rPr>
          <w:rFonts w:eastAsiaTheme="minorHAnsi"/>
        </w:rPr>
      </w:pPr>
      <w:r w:rsidRPr="007D1210">
        <w:t xml:space="preserve">a </w:t>
      </w:r>
      <w:r w:rsidRPr="007D1210">
        <w:rPr>
          <w:rFonts w:eastAsiaTheme="minorHAnsi"/>
        </w:rPr>
        <w:t>Local Jobs Plan</w:t>
      </w:r>
    </w:p>
    <w:p w14:paraId="26A065F3" w14:textId="77777777" w:rsidR="00AC35BB" w:rsidRPr="007D1210" w:rsidRDefault="00AC35BB" w:rsidP="00025CA4">
      <w:pPr>
        <w:pStyle w:val="ListParagraph"/>
        <w:numPr>
          <w:ilvl w:val="0"/>
          <w:numId w:val="33"/>
        </w:numPr>
        <w:spacing w:after="0"/>
        <w:rPr>
          <w:rFonts w:eastAsiaTheme="minorHAnsi"/>
        </w:rPr>
      </w:pPr>
      <w:r w:rsidRPr="007D1210">
        <w:rPr>
          <w:rFonts w:eastAsiaTheme="minorHAnsi"/>
        </w:rPr>
        <w:t xml:space="preserve">a Local Recovery Fund to support small scale activities </w:t>
      </w:r>
    </w:p>
    <w:p w14:paraId="7273D0B3" w14:textId="77777777" w:rsidR="00AC35BB" w:rsidRPr="007D1210" w:rsidRDefault="00AC35BB" w:rsidP="00025CA4">
      <w:pPr>
        <w:pStyle w:val="ListParagraph"/>
        <w:numPr>
          <w:ilvl w:val="0"/>
          <w:numId w:val="33"/>
        </w:numPr>
        <w:spacing w:after="120"/>
        <w:rPr>
          <w:rFonts w:eastAsiaTheme="minorHAnsi"/>
        </w:rPr>
      </w:pPr>
      <w:r w:rsidRPr="007D1210">
        <w:rPr>
          <w:rFonts w:eastAsiaTheme="minorHAnsi"/>
        </w:rPr>
        <w:t>access to the National Priority Funding Pool.</w:t>
      </w:r>
    </w:p>
    <w:p w14:paraId="601A506C" w14:textId="23761F42" w:rsidR="00AC35BB" w:rsidRPr="007D1210" w:rsidRDefault="00007E17" w:rsidP="00025CA4">
      <w:pPr>
        <w:spacing w:after="120"/>
      </w:pPr>
      <w:r>
        <w:t>Each</w:t>
      </w:r>
      <w:r w:rsidRPr="007D1210">
        <w:t xml:space="preserve"> </w:t>
      </w:r>
      <w:r w:rsidR="00ED605F" w:rsidRPr="007D1210">
        <w:t>T</w:t>
      </w:r>
      <w:r w:rsidR="00AC35BB" w:rsidRPr="007D1210">
        <w:t xml:space="preserve">askforce, chaired by </w:t>
      </w:r>
      <w:r w:rsidR="00AC6CEE" w:rsidRPr="007D1210">
        <w:t>the</w:t>
      </w:r>
      <w:r w:rsidR="00313873" w:rsidRPr="007D1210">
        <w:t xml:space="preserve"> respective</w:t>
      </w:r>
      <w:r w:rsidR="00AC35BB" w:rsidRPr="007D1210">
        <w:t xml:space="preserve"> region’s Employment Facilitator, </w:t>
      </w:r>
      <w:proofErr w:type="gramStart"/>
      <w:r w:rsidR="00AC35BB" w:rsidRPr="007D1210">
        <w:t>develop</w:t>
      </w:r>
      <w:proofErr w:type="gramEnd"/>
      <w:r w:rsidR="00AC35BB" w:rsidRPr="007D1210">
        <w:t xml:space="preserve"> and update a Local Jobs Plan for their region that identifies key employment and training priorities and provides a framework for driving employment outcomes in the context of the local labour market.</w:t>
      </w:r>
    </w:p>
    <w:p w14:paraId="70AF1C25" w14:textId="42AFE971" w:rsidR="009704A9" w:rsidRDefault="000E2F64" w:rsidP="00025CA4">
      <w:pPr>
        <w:spacing w:after="240"/>
        <w:rPr>
          <w:rFonts w:eastAsiaTheme="minorHAnsi"/>
        </w:rPr>
      </w:pPr>
      <w:r>
        <w:rPr>
          <w:rFonts w:eastAsiaTheme="minorHAnsi"/>
        </w:rPr>
        <w:t>This</w:t>
      </w:r>
      <w:r w:rsidR="00711398" w:rsidRPr="007D1210">
        <w:rPr>
          <w:rFonts w:eastAsiaTheme="minorHAnsi"/>
        </w:rPr>
        <w:t xml:space="preserve"> Local Jobs Plan</w:t>
      </w:r>
      <w:r w:rsidR="00FE0DBD">
        <w:rPr>
          <w:rFonts w:eastAsiaTheme="minorHAnsi"/>
        </w:rPr>
        <w:t xml:space="preserve"> </w:t>
      </w:r>
      <w:r w:rsidR="00711398" w:rsidRPr="007D1210">
        <w:rPr>
          <w:rFonts w:eastAsiaTheme="minorHAnsi"/>
        </w:rPr>
        <w:t>for th</w:t>
      </w:r>
      <w:r w:rsidR="00711398" w:rsidRPr="000E2F64">
        <w:rPr>
          <w:rFonts w:eastAsiaTheme="minorHAnsi"/>
        </w:rPr>
        <w:t xml:space="preserve">e </w:t>
      </w:r>
      <w:r w:rsidRPr="00C931D8">
        <w:rPr>
          <w:rFonts w:eastAsiaTheme="minorHAnsi"/>
        </w:rPr>
        <w:t xml:space="preserve">South Eastern Melbourne and Peninsula </w:t>
      </w:r>
      <w:r w:rsidR="00D83BAB" w:rsidRPr="00D83BAB">
        <w:rPr>
          <w:rFonts w:eastAsiaTheme="minorHAnsi"/>
          <w:szCs w:val="24"/>
        </w:rPr>
        <w:t>Employment</w:t>
      </w:r>
      <w:r w:rsidR="00D83BAB" w:rsidRPr="007D1210">
        <w:rPr>
          <w:rFonts w:eastAsiaTheme="minorHAnsi"/>
        </w:rPr>
        <w:t xml:space="preserve"> Region</w:t>
      </w:r>
      <w:r w:rsidR="00007E17">
        <w:rPr>
          <w:rFonts w:eastAsiaTheme="minorHAnsi"/>
        </w:rPr>
        <w:t xml:space="preserve"> (the </w:t>
      </w:r>
      <w:r w:rsidR="009704A9">
        <w:rPr>
          <w:rFonts w:eastAsiaTheme="minorHAnsi"/>
        </w:rPr>
        <w:t>SEMP region</w:t>
      </w:r>
      <w:r w:rsidR="00007E17">
        <w:rPr>
          <w:rFonts w:eastAsiaTheme="minorHAnsi"/>
        </w:rPr>
        <w:t>)</w:t>
      </w:r>
      <w:r w:rsidR="00711398" w:rsidRPr="007D1210">
        <w:rPr>
          <w:rFonts w:eastAsiaTheme="minorHAnsi"/>
        </w:rPr>
        <w:t xml:space="preserve"> identifies key priorities with a focus on creating employment opportunities</w:t>
      </w:r>
      <w:r w:rsidR="00E8481D" w:rsidRPr="007D1210">
        <w:rPr>
          <w:rFonts w:eastAsiaTheme="minorHAnsi"/>
        </w:rPr>
        <w:t xml:space="preserve">, </w:t>
      </w:r>
      <w:r w:rsidR="00711398" w:rsidRPr="007D1210">
        <w:rPr>
          <w:rFonts w:eastAsiaTheme="minorHAnsi"/>
        </w:rPr>
        <w:t xml:space="preserve">actively </w:t>
      </w:r>
      <w:proofErr w:type="gramStart"/>
      <w:r w:rsidR="00711398" w:rsidRPr="007D1210">
        <w:rPr>
          <w:rFonts w:eastAsiaTheme="minorHAnsi"/>
        </w:rPr>
        <w:t>upskilling</w:t>
      </w:r>
      <w:proofErr w:type="gramEnd"/>
      <w:r w:rsidR="00711398" w:rsidRPr="007D1210">
        <w:rPr>
          <w:rFonts w:eastAsiaTheme="minorHAnsi"/>
        </w:rPr>
        <w:t xml:space="preserve"> or reskilling local job </w:t>
      </w:r>
      <w:r w:rsidR="004D5E43" w:rsidRPr="007D1210">
        <w:rPr>
          <w:rFonts w:eastAsiaTheme="minorHAnsi"/>
        </w:rPr>
        <w:t xml:space="preserve">seekers </w:t>
      </w:r>
      <w:r w:rsidR="00E8481D" w:rsidRPr="007D1210">
        <w:rPr>
          <w:rFonts w:eastAsiaTheme="minorHAnsi"/>
        </w:rPr>
        <w:t>and meeting</w:t>
      </w:r>
      <w:r w:rsidR="00711398" w:rsidRPr="007D1210">
        <w:rPr>
          <w:rFonts w:eastAsiaTheme="minorHAnsi"/>
        </w:rPr>
        <w:t xml:space="preserve"> local employer demands.  </w:t>
      </w:r>
    </w:p>
    <w:p w14:paraId="6C8C2090" w14:textId="7AF46BB7" w:rsidR="00711398" w:rsidRPr="007D1210" w:rsidRDefault="009704A9" w:rsidP="00025CA4">
      <w:pPr>
        <w:spacing w:after="240"/>
        <w:rPr>
          <w:rFonts w:eastAsiaTheme="minorHAnsi"/>
        </w:rPr>
      </w:pPr>
      <w:r>
        <w:rPr>
          <w:rFonts w:eastAsiaTheme="minorHAnsi"/>
        </w:rPr>
        <w:t>The</w:t>
      </w:r>
      <w:r w:rsidR="00FE0DBD">
        <w:rPr>
          <w:rFonts w:eastAsiaTheme="minorHAnsi"/>
        </w:rPr>
        <w:t xml:space="preserve"> L</w:t>
      </w:r>
      <w:r w:rsidR="002B7441">
        <w:rPr>
          <w:rFonts w:eastAsiaTheme="minorHAnsi"/>
        </w:rPr>
        <w:t xml:space="preserve">ocal </w:t>
      </w:r>
      <w:r w:rsidR="00FE0DBD">
        <w:rPr>
          <w:rFonts w:eastAsiaTheme="minorHAnsi"/>
        </w:rPr>
        <w:t>J</w:t>
      </w:r>
      <w:r w:rsidR="002B7441">
        <w:rPr>
          <w:rFonts w:eastAsiaTheme="minorHAnsi"/>
        </w:rPr>
        <w:t xml:space="preserve">obs </w:t>
      </w:r>
      <w:r w:rsidR="00FE0DBD">
        <w:rPr>
          <w:rFonts w:eastAsiaTheme="minorHAnsi"/>
        </w:rPr>
        <w:t>P</w:t>
      </w:r>
      <w:r w:rsidR="002B7441">
        <w:rPr>
          <w:rFonts w:eastAsiaTheme="minorHAnsi"/>
        </w:rPr>
        <w:t>lan</w:t>
      </w:r>
      <w:r>
        <w:rPr>
          <w:rFonts w:eastAsiaTheme="minorHAnsi"/>
        </w:rPr>
        <w:t xml:space="preserve"> </w:t>
      </w:r>
      <w:r w:rsidR="00A4713F">
        <w:rPr>
          <w:rFonts w:eastAsiaTheme="minorHAnsi"/>
        </w:rPr>
        <w:t xml:space="preserve">also </w:t>
      </w:r>
      <w:r>
        <w:rPr>
          <w:rFonts w:eastAsiaTheme="minorHAnsi"/>
        </w:rPr>
        <w:t xml:space="preserve">identifies the direction, </w:t>
      </w:r>
      <w:proofErr w:type="gramStart"/>
      <w:r>
        <w:rPr>
          <w:rFonts w:eastAsiaTheme="minorHAnsi"/>
        </w:rPr>
        <w:t>strategies</w:t>
      </w:r>
      <w:proofErr w:type="gramEnd"/>
      <w:r>
        <w:rPr>
          <w:rFonts w:eastAsiaTheme="minorHAnsi"/>
        </w:rPr>
        <w:t xml:space="preserve"> and actions of the </w:t>
      </w:r>
      <w:r w:rsidR="00A4713F">
        <w:rPr>
          <w:rFonts w:eastAsiaTheme="minorHAnsi"/>
        </w:rPr>
        <w:t xml:space="preserve">LJP </w:t>
      </w:r>
      <w:r>
        <w:rPr>
          <w:rFonts w:eastAsiaTheme="minorHAnsi"/>
        </w:rPr>
        <w:t>Employment Facilitator, Support Officer and Taskforce and will be reviewed approximately every 6 months.</w:t>
      </w:r>
    </w:p>
    <w:p w14:paraId="56CA32A4" w14:textId="2356BA71" w:rsidR="00E8481D" w:rsidRPr="00C15FCF" w:rsidRDefault="007026F7" w:rsidP="00E8481D">
      <w:pPr>
        <w:pStyle w:val="Heading1"/>
        <w:rPr>
          <w:noProof w:val="0"/>
        </w:rPr>
      </w:pPr>
      <w:bookmarkStart w:id="4" w:name="_Toc95225111"/>
      <w:r>
        <w:rPr>
          <w:noProof w:val="0"/>
        </w:rPr>
        <w:t xml:space="preserve">Local Jobs Program </w:t>
      </w:r>
      <w:r w:rsidR="00E8481D" w:rsidRPr="007D1210">
        <w:rPr>
          <w:noProof w:val="0"/>
        </w:rPr>
        <w:t xml:space="preserve">Key </w:t>
      </w:r>
      <w:r w:rsidR="00FE0DBD">
        <w:rPr>
          <w:noProof w:val="0"/>
        </w:rPr>
        <w:t>P</w:t>
      </w:r>
      <w:r w:rsidR="00E8481D" w:rsidRPr="00C15FCF">
        <w:rPr>
          <w:noProof w:val="0"/>
        </w:rPr>
        <w:t>riorities</w:t>
      </w:r>
      <w:r w:rsidR="003150C7">
        <w:rPr>
          <w:noProof w:val="0"/>
        </w:rPr>
        <w:t xml:space="preserve"> for the</w:t>
      </w:r>
      <w:r>
        <w:rPr>
          <w:noProof w:val="0"/>
        </w:rPr>
        <w:t xml:space="preserve"> SEMP Region</w:t>
      </w:r>
      <w:bookmarkEnd w:id="4"/>
    </w:p>
    <w:p w14:paraId="40FEA4FD" w14:textId="08BD2551" w:rsidR="009511F8" w:rsidRPr="00025CA4" w:rsidRDefault="009511F8" w:rsidP="00025CA4">
      <w:pPr>
        <w:pStyle w:val="ListParagraph"/>
        <w:widowControl w:val="0"/>
        <w:numPr>
          <w:ilvl w:val="0"/>
          <w:numId w:val="40"/>
        </w:numPr>
        <w:tabs>
          <w:tab w:val="left" w:pos="461"/>
        </w:tabs>
        <w:autoSpaceDE w:val="0"/>
        <w:autoSpaceDN w:val="0"/>
        <w:spacing w:before="119" w:after="120"/>
        <w:ind w:right="239"/>
        <w:contextualSpacing w:val="0"/>
      </w:pPr>
      <w:r>
        <w:t xml:space="preserve">Maximising the benefits of existing Australian Government, Victorian Government, local council and community driven employment and skills initiatives and funding to create pathways into major and growth industries within the </w:t>
      </w:r>
      <w:r w:rsidR="00E55A22">
        <w:t>R</w:t>
      </w:r>
      <w:r>
        <w:t>egion.</w:t>
      </w:r>
    </w:p>
    <w:p w14:paraId="69EDE2A4" w14:textId="34735EAD" w:rsidR="009511F8" w:rsidRPr="00025CA4" w:rsidRDefault="009511F8" w:rsidP="00025CA4">
      <w:pPr>
        <w:pStyle w:val="ListParagraph"/>
        <w:widowControl w:val="0"/>
        <w:numPr>
          <w:ilvl w:val="0"/>
          <w:numId w:val="40"/>
        </w:numPr>
        <w:tabs>
          <w:tab w:val="left" w:pos="461"/>
        </w:tabs>
        <w:autoSpaceDE w:val="0"/>
        <w:autoSpaceDN w:val="0"/>
        <w:spacing w:after="120"/>
        <w:ind w:right="411"/>
        <w:contextualSpacing w:val="0"/>
        <w:jc w:val="both"/>
      </w:pPr>
      <w:r>
        <w:t>Work</w:t>
      </w:r>
      <w:r w:rsidR="00E55A22">
        <w:t>ing</w:t>
      </w:r>
      <w:r>
        <w:t xml:space="preserve"> with industry and employers to understand their workforce needs and develop industry</w:t>
      </w:r>
      <w:r w:rsidR="00E55A22">
        <w:t>-</w:t>
      </w:r>
      <w:r>
        <w:t>led training and employment initiatives to maximise opportunities and outcomes for local Job Seekers.</w:t>
      </w:r>
    </w:p>
    <w:p w14:paraId="74972B16" w14:textId="6A2098A8" w:rsidR="009511F8" w:rsidRPr="00025CA4" w:rsidRDefault="009511F8" w:rsidP="00025CA4">
      <w:pPr>
        <w:pStyle w:val="ListParagraph"/>
        <w:widowControl w:val="0"/>
        <w:numPr>
          <w:ilvl w:val="0"/>
          <w:numId w:val="40"/>
        </w:numPr>
        <w:tabs>
          <w:tab w:val="left" w:pos="461"/>
        </w:tabs>
        <w:autoSpaceDE w:val="0"/>
        <w:autoSpaceDN w:val="0"/>
        <w:spacing w:after="120"/>
        <w:ind w:right="386"/>
        <w:contextualSpacing w:val="0"/>
      </w:pPr>
      <w:r>
        <w:t xml:space="preserve">Generating opportunities for youth skill development aligned to local employer and industry needs, including through training, apprenticeships, traineeships, </w:t>
      </w:r>
      <w:proofErr w:type="gramStart"/>
      <w:r w:rsidR="00C00214">
        <w:t>mentorship</w:t>
      </w:r>
      <w:proofErr w:type="gramEnd"/>
      <w:r w:rsidR="00C00214">
        <w:t xml:space="preserve"> </w:t>
      </w:r>
      <w:r>
        <w:t xml:space="preserve">and improved </w:t>
      </w:r>
      <w:r w:rsidR="00C00214">
        <w:t>soft skills development</w:t>
      </w:r>
      <w:r>
        <w:t>.</w:t>
      </w:r>
    </w:p>
    <w:p w14:paraId="1276146B" w14:textId="4E5CA273" w:rsidR="009511F8" w:rsidRPr="00025CA4" w:rsidRDefault="009511F8" w:rsidP="00025CA4">
      <w:pPr>
        <w:pStyle w:val="ListParagraph"/>
        <w:widowControl w:val="0"/>
        <w:numPr>
          <w:ilvl w:val="0"/>
          <w:numId w:val="40"/>
        </w:numPr>
        <w:tabs>
          <w:tab w:val="left" w:pos="461"/>
        </w:tabs>
        <w:autoSpaceDE w:val="0"/>
        <w:autoSpaceDN w:val="0"/>
        <w:spacing w:after="120"/>
        <w:ind w:right="116"/>
        <w:contextualSpacing w:val="0"/>
      </w:pPr>
      <w:r>
        <w:t>Maximising the extent to which local positions are filled by local job seekers in collaboration with employers, industry bodies and employment services</w:t>
      </w:r>
      <w:r>
        <w:rPr>
          <w:spacing w:val="-22"/>
        </w:rPr>
        <w:t xml:space="preserve"> </w:t>
      </w:r>
      <w:r>
        <w:t>providers.</w:t>
      </w:r>
    </w:p>
    <w:p w14:paraId="51C672AA" w14:textId="7F8D64B5" w:rsidR="009511F8" w:rsidRPr="00025CA4" w:rsidRDefault="009511F8" w:rsidP="00025CA4">
      <w:pPr>
        <w:pStyle w:val="ListParagraph"/>
        <w:widowControl w:val="0"/>
        <w:numPr>
          <w:ilvl w:val="0"/>
          <w:numId w:val="40"/>
        </w:numPr>
        <w:tabs>
          <w:tab w:val="left" w:pos="461"/>
        </w:tabs>
        <w:autoSpaceDE w:val="0"/>
        <w:autoSpaceDN w:val="0"/>
        <w:spacing w:after="120"/>
        <w:ind w:right="632"/>
        <w:contextualSpacing w:val="0"/>
      </w:pPr>
      <w:r>
        <w:t xml:space="preserve">Brokering employment and education opportunities for socially disadvantaged and </w:t>
      </w:r>
      <w:r>
        <w:lastRenderedPageBreak/>
        <w:t xml:space="preserve">priority groups including </w:t>
      </w:r>
      <w:r w:rsidR="00E55A22">
        <w:t>C</w:t>
      </w:r>
      <w:r>
        <w:t xml:space="preserve">ulturally and </w:t>
      </w:r>
      <w:r w:rsidR="00E55A22">
        <w:t>L</w:t>
      </w:r>
      <w:r>
        <w:t xml:space="preserve">inguistically </w:t>
      </w:r>
      <w:r w:rsidR="00E55A22">
        <w:t>D</w:t>
      </w:r>
      <w:r>
        <w:t xml:space="preserve">iverse </w:t>
      </w:r>
      <w:r w:rsidR="00E55A22">
        <w:t xml:space="preserve">(CALD) </w:t>
      </w:r>
      <w:r>
        <w:t>job seekers, mature age, young people, females, and Aboriginal and Torres Strait Islander people</w:t>
      </w:r>
      <w:r w:rsidR="00E55A22">
        <w:t>s</w:t>
      </w:r>
      <w:r>
        <w:t xml:space="preserve"> through collaboration with local community support services, employers, and training</w:t>
      </w:r>
      <w:r>
        <w:rPr>
          <w:spacing w:val="-21"/>
        </w:rPr>
        <w:t xml:space="preserve"> </w:t>
      </w:r>
      <w:r>
        <w:t>organisations.</w:t>
      </w:r>
    </w:p>
    <w:p w14:paraId="6EDF76CB" w14:textId="16422EB8" w:rsidR="00E8481D" w:rsidRPr="00025CA4" w:rsidRDefault="009511F8" w:rsidP="00025CA4">
      <w:pPr>
        <w:pStyle w:val="ListParagraph"/>
        <w:widowControl w:val="0"/>
        <w:numPr>
          <w:ilvl w:val="0"/>
          <w:numId w:val="40"/>
        </w:numPr>
        <w:tabs>
          <w:tab w:val="left" w:pos="461"/>
        </w:tabs>
        <w:autoSpaceDE w:val="0"/>
        <w:autoSpaceDN w:val="0"/>
        <w:spacing w:after="0"/>
        <w:ind w:right="308"/>
        <w:contextualSpacing w:val="0"/>
      </w:pPr>
      <w:r>
        <w:t>Facilitating and supporting the transition of workers via reskilling and upskilling aligned to local skill needs and by promoting</w:t>
      </w:r>
      <w:r>
        <w:rPr>
          <w:spacing w:val="-12"/>
        </w:rPr>
        <w:t xml:space="preserve"> </w:t>
      </w:r>
      <w:r>
        <w:t>entrepreneurship.</w:t>
      </w:r>
    </w:p>
    <w:p w14:paraId="0DDD363F" w14:textId="6E5D615F" w:rsidR="00E7363F" w:rsidRPr="00C15FCF" w:rsidRDefault="009704A9" w:rsidP="00E7363F">
      <w:pPr>
        <w:pStyle w:val="Heading1"/>
        <w:rPr>
          <w:noProof w:val="0"/>
        </w:rPr>
      </w:pPr>
      <w:bookmarkStart w:id="5" w:name="_Toc95225112"/>
      <w:r>
        <w:rPr>
          <w:noProof w:val="0"/>
        </w:rPr>
        <w:t>SEMP</w:t>
      </w:r>
      <w:r w:rsidR="00E7363F" w:rsidRPr="007D1210">
        <w:rPr>
          <w:noProof w:val="0"/>
        </w:rPr>
        <w:t xml:space="preserve"> Region </w:t>
      </w:r>
      <w:r w:rsidR="007D1210">
        <w:rPr>
          <w:noProof w:val="0"/>
        </w:rPr>
        <w:t>o</w:t>
      </w:r>
      <w:r w:rsidR="00E7363F" w:rsidRPr="00C15FCF">
        <w:rPr>
          <w:noProof w:val="0"/>
        </w:rPr>
        <w:t>verview</w:t>
      </w:r>
      <w:bookmarkEnd w:id="5"/>
    </w:p>
    <w:p w14:paraId="7CA440D9" w14:textId="77777777" w:rsidR="003150C7" w:rsidRDefault="003150C7" w:rsidP="00025CA4">
      <w:pPr>
        <w:spacing w:before="120" w:after="120"/>
        <w:rPr>
          <w:rFonts w:ascii="Calibri" w:eastAsia="Calibri" w:hAnsi="Calibri" w:cs="Calibri"/>
        </w:rPr>
      </w:pPr>
      <w:r w:rsidRPr="009511F8">
        <w:rPr>
          <w:rFonts w:ascii="Calibri" w:eastAsia="Calibri" w:hAnsi="Calibri" w:cs="Calibri"/>
          <w:noProof/>
          <w:lang w:eastAsia="en-AU"/>
        </w:rPr>
        <w:drawing>
          <wp:inline distT="0" distB="0" distL="0" distR="0" wp14:anchorId="69296574" wp14:editId="7425F55E">
            <wp:extent cx="3012353" cy="2285428"/>
            <wp:effectExtent l="0" t="0" r="0" b="635"/>
            <wp:docPr id="1" name="image3.jpeg" descr="This is a map of the South Eastern Melbourne and Peninsula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This is a map of the South Eastern Melbourne and Peninsula Employment Reg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2353" cy="2285428"/>
                    </a:xfrm>
                    <a:prstGeom prst="rect">
                      <a:avLst/>
                    </a:prstGeom>
                  </pic:spPr>
                </pic:pic>
              </a:graphicData>
            </a:graphic>
          </wp:inline>
        </w:drawing>
      </w:r>
    </w:p>
    <w:p w14:paraId="39223A6C" w14:textId="6F431C5E" w:rsidR="009511F8" w:rsidRPr="00025CA4" w:rsidRDefault="009511F8" w:rsidP="00025CA4">
      <w:pPr>
        <w:spacing w:before="120" w:after="120"/>
        <w:rPr>
          <w:rFonts w:ascii="Calibri" w:eastAsia="Calibri" w:hAnsi="Calibri" w:cs="Calibri"/>
        </w:rPr>
      </w:pPr>
      <w:r w:rsidRPr="00025CA4">
        <w:rPr>
          <w:rFonts w:ascii="Calibri" w:eastAsia="Calibri" w:hAnsi="Calibri" w:cs="Calibri"/>
        </w:rPr>
        <w:t xml:space="preserve">The </w:t>
      </w:r>
      <w:r w:rsidR="009704A9">
        <w:rPr>
          <w:rFonts w:ascii="Calibri" w:eastAsia="Calibri" w:hAnsi="Calibri" w:cs="Calibri"/>
        </w:rPr>
        <w:t>SEMP</w:t>
      </w:r>
      <w:r w:rsidRPr="00025CA4">
        <w:rPr>
          <w:rFonts w:ascii="Calibri" w:eastAsia="Calibri" w:hAnsi="Calibri" w:cs="Calibri"/>
        </w:rPr>
        <w:t xml:space="preserve"> </w:t>
      </w:r>
      <w:r w:rsidR="00A4713F">
        <w:rPr>
          <w:rFonts w:ascii="Calibri" w:eastAsia="Calibri" w:hAnsi="Calibri" w:cs="Calibri"/>
        </w:rPr>
        <w:t>r</w:t>
      </w:r>
      <w:r w:rsidRPr="00025CA4">
        <w:rPr>
          <w:rFonts w:ascii="Calibri" w:eastAsia="Calibri" w:hAnsi="Calibri" w:cs="Calibri"/>
        </w:rPr>
        <w:t xml:space="preserve">egion covers an area of 2,775 square kilometres, commencing 14 kilometres from the city centre and extending across the Mornington Peninsula and rural areas to the outer south east. The </w:t>
      </w:r>
      <w:r w:rsidR="009704A9">
        <w:rPr>
          <w:rFonts w:ascii="Calibri" w:eastAsia="Calibri" w:hAnsi="Calibri" w:cs="Calibri"/>
        </w:rPr>
        <w:t xml:space="preserve">SEMP </w:t>
      </w:r>
      <w:r w:rsidRPr="00025CA4">
        <w:rPr>
          <w:rFonts w:ascii="Calibri" w:eastAsia="Calibri" w:hAnsi="Calibri" w:cs="Calibri"/>
        </w:rPr>
        <w:t>region incorporates two separate Australian Bureau of Statistics (ABS) Statistical Area 4 level (SA4) locations of Melbourne - South East, and Mornington Peninsula.</w:t>
      </w:r>
    </w:p>
    <w:p w14:paraId="2B66F0C8" w14:textId="6FFF3616" w:rsidR="009511F8" w:rsidRPr="00025CA4" w:rsidRDefault="009511F8" w:rsidP="00025CA4">
      <w:pPr>
        <w:spacing w:before="120" w:after="120"/>
        <w:rPr>
          <w:rFonts w:ascii="Calibri" w:eastAsia="Calibri" w:hAnsi="Calibri" w:cs="Calibri"/>
        </w:rPr>
      </w:pPr>
      <w:r w:rsidRPr="00025CA4">
        <w:rPr>
          <w:rFonts w:ascii="Calibri" w:eastAsia="Calibri" w:hAnsi="Calibri" w:cs="Calibri"/>
        </w:rPr>
        <w:t xml:space="preserve">The region includes </w:t>
      </w:r>
      <w:r w:rsidR="006D7270">
        <w:rPr>
          <w:rFonts w:ascii="Calibri" w:eastAsia="Calibri" w:hAnsi="Calibri" w:cs="Calibri"/>
        </w:rPr>
        <w:t>7</w:t>
      </w:r>
      <w:r w:rsidR="006D7270" w:rsidRPr="00025CA4">
        <w:rPr>
          <w:rFonts w:ascii="Calibri" w:eastAsia="Calibri" w:hAnsi="Calibri" w:cs="Calibri"/>
        </w:rPr>
        <w:t xml:space="preserve"> </w:t>
      </w:r>
      <w:r w:rsidRPr="00025CA4">
        <w:rPr>
          <w:rFonts w:ascii="Calibri" w:eastAsia="Calibri" w:hAnsi="Calibri" w:cs="Calibri"/>
        </w:rPr>
        <w:t xml:space="preserve">local government areas (LGAs) comprising the Cities of Kingston, Monash, Greater Dandenong, </w:t>
      </w:r>
      <w:proofErr w:type="gramStart"/>
      <w:r w:rsidRPr="00025CA4">
        <w:rPr>
          <w:rFonts w:ascii="Calibri" w:eastAsia="Calibri" w:hAnsi="Calibri" w:cs="Calibri"/>
        </w:rPr>
        <w:t>Casey</w:t>
      </w:r>
      <w:proofErr w:type="gramEnd"/>
      <w:r w:rsidRPr="00025CA4">
        <w:rPr>
          <w:rFonts w:ascii="Calibri" w:eastAsia="Calibri" w:hAnsi="Calibri" w:cs="Calibri"/>
        </w:rPr>
        <w:t xml:space="preserve"> and Frankston as well as the Cardinia and Mornington Peninsula Shires. The Kingston and Monash LGAs are not wholly confined by the boundary for the </w:t>
      </w:r>
      <w:r w:rsidR="009704A9">
        <w:rPr>
          <w:rFonts w:ascii="Calibri" w:eastAsia="Calibri" w:hAnsi="Calibri" w:cs="Calibri"/>
        </w:rPr>
        <w:t>SEMP</w:t>
      </w:r>
      <w:r w:rsidR="00D83BAB">
        <w:rPr>
          <w:rFonts w:ascii="Calibri" w:eastAsia="Calibri" w:hAnsi="Calibri" w:cs="Calibri"/>
        </w:rPr>
        <w:t xml:space="preserve"> </w:t>
      </w:r>
      <w:r w:rsidR="009704A9">
        <w:rPr>
          <w:rFonts w:ascii="Calibri" w:eastAsia="Calibri" w:hAnsi="Calibri" w:cs="Calibri"/>
        </w:rPr>
        <w:t>r</w:t>
      </w:r>
      <w:r w:rsidRPr="00025CA4">
        <w:rPr>
          <w:rFonts w:ascii="Calibri" w:eastAsia="Calibri" w:hAnsi="Calibri" w:cs="Calibri"/>
        </w:rPr>
        <w:t xml:space="preserve">egion, with the Kingston LGA largely falling in the neighbouring Inner Metropolitan </w:t>
      </w:r>
      <w:r w:rsidR="006D7270">
        <w:rPr>
          <w:rFonts w:ascii="Calibri" w:eastAsia="Calibri" w:hAnsi="Calibri" w:cs="Calibri"/>
        </w:rPr>
        <w:t xml:space="preserve">Melbourne </w:t>
      </w:r>
      <w:r w:rsidRPr="00025CA4">
        <w:rPr>
          <w:rFonts w:ascii="Calibri" w:eastAsia="Calibri" w:hAnsi="Calibri" w:cs="Calibri"/>
        </w:rPr>
        <w:t xml:space="preserve">Employment Region, while </w:t>
      </w:r>
      <w:proofErr w:type="gramStart"/>
      <w:r w:rsidRPr="00025CA4">
        <w:rPr>
          <w:rFonts w:ascii="Calibri" w:eastAsia="Calibri" w:hAnsi="Calibri" w:cs="Calibri"/>
        </w:rPr>
        <w:t>the majority of</w:t>
      </w:r>
      <w:proofErr w:type="gramEnd"/>
      <w:r w:rsidRPr="00025CA4">
        <w:rPr>
          <w:rFonts w:ascii="Calibri" w:eastAsia="Calibri" w:hAnsi="Calibri" w:cs="Calibri"/>
        </w:rPr>
        <w:t xml:space="preserve"> the Monash LGA lies within the </w:t>
      </w:r>
      <w:r w:rsidR="009704A9">
        <w:rPr>
          <w:rFonts w:ascii="Calibri" w:eastAsia="Calibri" w:hAnsi="Calibri" w:cs="Calibri"/>
        </w:rPr>
        <w:t>SEMP</w:t>
      </w:r>
      <w:r w:rsidR="006D7270">
        <w:rPr>
          <w:rFonts w:ascii="Calibri" w:eastAsia="Calibri" w:hAnsi="Calibri" w:cs="Calibri"/>
        </w:rPr>
        <w:t xml:space="preserve"> </w:t>
      </w:r>
      <w:r w:rsidR="00A4713F">
        <w:rPr>
          <w:rFonts w:ascii="Calibri" w:eastAsia="Calibri" w:hAnsi="Calibri" w:cs="Calibri"/>
        </w:rPr>
        <w:t>r</w:t>
      </w:r>
      <w:r w:rsidRPr="00025CA4">
        <w:rPr>
          <w:rFonts w:ascii="Calibri" w:eastAsia="Calibri" w:hAnsi="Calibri" w:cs="Calibri"/>
        </w:rPr>
        <w:t>egion.</w:t>
      </w:r>
    </w:p>
    <w:p w14:paraId="7610A87F" w14:textId="417EB48F" w:rsidR="009511F8" w:rsidRPr="00025CA4" w:rsidRDefault="009511F8" w:rsidP="00025CA4">
      <w:pPr>
        <w:spacing w:before="120" w:after="120"/>
        <w:rPr>
          <w:rFonts w:ascii="Calibri" w:eastAsia="Calibri" w:hAnsi="Calibri" w:cs="Calibri"/>
        </w:rPr>
      </w:pPr>
      <w:r w:rsidRPr="00025CA4">
        <w:rPr>
          <w:rFonts w:ascii="Calibri" w:eastAsia="Calibri" w:hAnsi="Calibri" w:cs="Calibri"/>
        </w:rPr>
        <w:t xml:space="preserve">Main urban centres include Oakleigh, Glen Waverley, Springvale, Dandenong, Narre Warren, Cranbourne, Pakenham, Frankston, Mornington, Rosebud and Hastings. The region has experienced significant population growth, particularly in the </w:t>
      </w:r>
      <w:r w:rsidR="009704A9">
        <w:rPr>
          <w:rFonts w:ascii="Calibri" w:eastAsia="Calibri" w:hAnsi="Calibri" w:cs="Calibri"/>
        </w:rPr>
        <w:t xml:space="preserve">Cranbourne, Pakenham, </w:t>
      </w:r>
      <w:r w:rsidR="00D83BAB">
        <w:rPr>
          <w:rFonts w:ascii="Calibri" w:eastAsia="Calibri" w:hAnsi="Calibri" w:cs="Calibri"/>
        </w:rPr>
        <w:t>and Mornington</w:t>
      </w:r>
      <w:r w:rsidR="009704A9">
        <w:rPr>
          <w:rFonts w:ascii="Calibri" w:eastAsia="Calibri" w:hAnsi="Calibri" w:cs="Calibri"/>
        </w:rPr>
        <w:t xml:space="preserve"> and Rosebud areas</w:t>
      </w:r>
      <w:r w:rsidRPr="00025CA4">
        <w:rPr>
          <w:rFonts w:ascii="Calibri" w:eastAsia="Calibri" w:hAnsi="Calibri" w:cs="Calibri"/>
        </w:rPr>
        <w:t>.</w:t>
      </w:r>
    </w:p>
    <w:p w14:paraId="781D1714" w14:textId="77777777" w:rsidR="009511F8" w:rsidRPr="00025CA4" w:rsidRDefault="009511F8" w:rsidP="00025CA4">
      <w:pPr>
        <w:spacing w:before="120" w:after="120"/>
        <w:rPr>
          <w:rFonts w:ascii="Calibri" w:eastAsia="Calibri" w:hAnsi="Calibri" w:cs="Calibri"/>
        </w:rPr>
      </w:pPr>
      <w:r w:rsidRPr="00025CA4">
        <w:rPr>
          <w:rFonts w:ascii="Calibri" w:eastAsia="Calibri" w:hAnsi="Calibri" w:cs="Calibri"/>
        </w:rPr>
        <w:t xml:space="preserve">Key metropolitan train lines servicing this area include the Pakenham, </w:t>
      </w:r>
      <w:proofErr w:type="gramStart"/>
      <w:r w:rsidRPr="00025CA4">
        <w:rPr>
          <w:rFonts w:ascii="Calibri" w:eastAsia="Calibri" w:hAnsi="Calibri" w:cs="Calibri"/>
        </w:rPr>
        <w:t>Cranbourne</w:t>
      </w:r>
      <w:proofErr w:type="gramEnd"/>
      <w:r w:rsidRPr="00025CA4">
        <w:rPr>
          <w:rFonts w:ascii="Calibri" w:eastAsia="Calibri" w:hAnsi="Calibri" w:cs="Calibri"/>
        </w:rPr>
        <w:t xml:space="preserve"> and Frankston lines from the Melbourne CBD. The Stony Point Line starts in Frankston and runs through Hastings to the western side of Western Port. The Gippsland country rail service runs along the Pakenham line. Bus services are more frequent around the South East and Frankston areas. In the Mornington Peninsula, public buses connect Frankston to Portsea along the Nepean Highway, however services are less frequent and do not provide access to the Peninsula hinterland.</w:t>
      </w:r>
    </w:p>
    <w:p w14:paraId="0F0B5FB7" w14:textId="7781A2F7" w:rsidR="009511F8" w:rsidRPr="009511F8" w:rsidRDefault="009511F8" w:rsidP="009511F8">
      <w:pPr>
        <w:widowControl w:val="0"/>
        <w:autoSpaceDE w:val="0"/>
        <w:autoSpaceDN w:val="0"/>
        <w:spacing w:before="1" w:after="0" w:line="240" w:lineRule="auto"/>
        <w:rPr>
          <w:rFonts w:ascii="Calibri" w:eastAsia="Calibri" w:hAnsi="Calibri" w:cs="Calibri"/>
          <w:sz w:val="13"/>
          <w:lang w:val="en-US"/>
        </w:rPr>
      </w:pPr>
    </w:p>
    <w:p w14:paraId="6647D659" w14:textId="257342C2" w:rsidR="00A4713F" w:rsidRDefault="00A4713F" w:rsidP="00025CA4">
      <w:pPr>
        <w:pStyle w:val="Heading1"/>
        <w:spacing w:before="360" w:after="240"/>
        <w:rPr>
          <w:noProof w:val="0"/>
        </w:rPr>
      </w:pPr>
    </w:p>
    <w:p w14:paraId="06550150" w14:textId="49D0B1F5" w:rsidR="00417DF0" w:rsidRPr="007D1210" w:rsidRDefault="00417DF0" w:rsidP="00025CA4">
      <w:pPr>
        <w:pStyle w:val="Heading1"/>
        <w:spacing w:before="360" w:after="240"/>
        <w:rPr>
          <w:noProof w:val="0"/>
        </w:rPr>
      </w:pPr>
      <w:bookmarkStart w:id="6" w:name="_Toc95225113"/>
      <w:r w:rsidRPr="007D1210">
        <w:rPr>
          <w:noProof w:val="0"/>
        </w:rPr>
        <w:lastRenderedPageBreak/>
        <w:t xml:space="preserve">Key </w:t>
      </w:r>
      <w:r w:rsidR="009511F8">
        <w:rPr>
          <w:noProof w:val="0"/>
        </w:rPr>
        <w:t xml:space="preserve">challenges in </w:t>
      </w:r>
      <w:r w:rsidR="003A4E8D">
        <w:rPr>
          <w:noProof w:val="0"/>
        </w:rPr>
        <w:t>the</w:t>
      </w:r>
      <w:r w:rsidR="00D83BAB">
        <w:rPr>
          <w:noProof w:val="0"/>
        </w:rPr>
        <w:t xml:space="preserve"> </w:t>
      </w:r>
      <w:r w:rsidR="00BE7695">
        <w:rPr>
          <w:noProof w:val="0"/>
        </w:rPr>
        <w:t>SEMP</w:t>
      </w:r>
      <w:r w:rsidR="004E1E0C">
        <w:rPr>
          <w:noProof w:val="0"/>
        </w:rPr>
        <w:t xml:space="preserve"> Region</w:t>
      </w:r>
      <w:bookmarkEnd w:id="6"/>
    </w:p>
    <w:p w14:paraId="0BC03566" w14:textId="6D7DDB26" w:rsidR="00BE7695" w:rsidRDefault="00567F9F" w:rsidP="00025CA4">
      <w:pPr>
        <w:spacing w:before="120" w:after="120"/>
        <w:rPr>
          <w:rFonts w:ascii="Calibri" w:eastAsia="Calibri" w:hAnsi="Calibri" w:cs="Calibri"/>
        </w:rPr>
      </w:pPr>
      <w:r w:rsidRPr="00025CA4">
        <w:rPr>
          <w:rFonts w:ascii="Calibri" w:eastAsia="Calibri" w:hAnsi="Calibri" w:cs="Calibri"/>
        </w:rPr>
        <w:t xml:space="preserve">There is considerable labour market diversity within the </w:t>
      </w:r>
      <w:r w:rsidR="00BE7695">
        <w:rPr>
          <w:rFonts w:ascii="Calibri" w:eastAsia="Calibri" w:hAnsi="Calibri" w:cs="Calibri"/>
        </w:rPr>
        <w:t>SEMP</w:t>
      </w:r>
      <w:r w:rsidRPr="00025CA4">
        <w:rPr>
          <w:rFonts w:ascii="Calibri" w:eastAsia="Calibri" w:hAnsi="Calibri" w:cs="Calibri"/>
        </w:rPr>
        <w:t xml:space="preserve"> </w:t>
      </w:r>
      <w:r w:rsidR="00A4713F">
        <w:rPr>
          <w:rFonts w:ascii="Calibri" w:eastAsia="Calibri" w:hAnsi="Calibri" w:cs="Calibri"/>
        </w:rPr>
        <w:t>r</w:t>
      </w:r>
      <w:r w:rsidRPr="00025CA4">
        <w:rPr>
          <w:rFonts w:ascii="Calibri" w:eastAsia="Calibri" w:hAnsi="Calibri" w:cs="Calibri"/>
        </w:rPr>
        <w:t xml:space="preserve">egion. </w:t>
      </w:r>
    </w:p>
    <w:p w14:paraId="6975F8EB" w14:textId="0FD2DFC7" w:rsidR="00567F9F" w:rsidRPr="00F511D8" w:rsidRDefault="00567F9F" w:rsidP="00D83BAB">
      <w:pPr>
        <w:spacing w:before="120" w:after="120"/>
        <w:rPr>
          <w:rFonts w:ascii="Calibri" w:eastAsia="Calibri" w:hAnsi="Calibri" w:cs="Calibri"/>
        </w:rPr>
      </w:pPr>
      <w:r w:rsidRPr="00025CA4">
        <w:rPr>
          <w:rFonts w:ascii="Calibri" w:eastAsia="Calibri" w:hAnsi="Calibri" w:cs="Calibri"/>
        </w:rPr>
        <w:t xml:space="preserve">While there is some commonality of challenges across the entire region, each of the SA4 areas also face specific locational challenges, highlighting the need to tailor local solutions to </w:t>
      </w:r>
      <w:proofErr w:type="gramStart"/>
      <w:r w:rsidRPr="00025CA4">
        <w:rPr>
          <w:rFonts w:ascii="Calibri" w:eastAsia="Calibri" w:hAnsi="Calibri" w:cs="Calibri"/>
        </w:rPr>
        <w:t xml:space="preserve">particular </w:t>
      </w:r>
      <w:r w:rsidRPr="00F511D8">
        <w:rPr>
          <w:rFonts w:ascii="Calibri" w:eastAsia="Calibri" w:hAnsi="Calibri" w:cs="Calibri"/>
        </w:rPr>
        <w:t>geographic</w:t>
      </w:r>
      <w:proofErr w:type="gramEnd"/>
      <w:r w:rsidRPr="00F511D8">
        <w:rPr>
          <w:rFonts w:ascii="Calibri" w:eastAsia="Calibri" w:hAnsi="Calibri" w:cs="Calibri"/>
        </w:rPr>
        <w:t xml:space="preserve"> areas and natural labour markets.</w:t>
      </w:r>
    </w:p>
    <w:p w14:paraId="0C27AA06" w14:textId="1E98D627" w:rsidR="00567F9F" w:rsidRPr="00F511D8" w:rsidRDefault="00567F9F" w:rsidP="00E25193">
      <w:pPr>
        <w:widowControl w:val="0"/>
        <w:autoSpaceDE w:val="0"/>
        <w:autoSpaceDN w:val="0"/>
        <w:spacing w:after="120"/>
        <w:ind w:right="157"/>
        <w:rPr>
          <w:rFonts w:ascii="Calibri" w:eastAsia="Calibri" w:hAnsi="Calibri" w:cs="Calibri"/>
          <w:lang w:val="en-US"/>
        </w:rPr>
      </w:pPr>
      <w:r w:rsidRPr="00F511D8">
        <w:rPr>
          <w:rFonts w:ascii="Calibri" w:eastAsia="Calibri" w:hAnsi="Calibri" w:cs="Calibri"/>
          <w:lang w:val="en-US"/>
        </w:rPr>
        <w:t xml:space="preserve">There are significant pockets of disadvantage within the region. According to the 2016 Socio- Economic Indexes for Areas (SEIFA) Index of Relative Socio-Economic Disadvantage, 12 of the 61 SA2 areas in the region experience significant levels of disadvantage. Suburbs with higher levels of disadvantage include </w:t>
      </w:r>
      <w:proofErr w:type="spellStart"/>
      <w:r w:rsidRPr="00F511D8">
        <w:rPr>
          <w:rFonts w:ascii="Calibri" w:eastAsia="Calibri" w:hAnsi="Calibri" w:cs="Calibri"/>
          <w:lang w:val="en-US"/>
        </w:rPr>
        <w:t>Doveton</w:t>
      </w:r>
      <w:proofErr w:type="spellEnd"/>
      <w:r w:rsidRPr="00F511D8">
        <w:rPr>
          <w:rFonts w:ascii="Calibri" w:eastAsia="Calibri" w:hAnsi="Calibri" w:cs="Calibri"/>
          <w:lang w:val="en-US"/>
        </w:rPr>
        <w:t xml:space="preserve">, Frankston North, Hampton Park, Hallam, Cranbourne, Cranbourne West, Hastings, Springvale, Springvale South, Noble Park West, Rosebud </w:t>
      </w:r>
      <w:proofErr w:type="gramStart"/>
      <w:r w:rsidRPr="00F511D8">
        <w:rPr>
          <w:rFonts w:ascii="Calibri" w:eastAsia="Calibri" w:hAnsi="Calibri" w:cs="Calibri"/>
          <w:lang w:val="en-US"/>
        </w:rPr>
        <w:t>West</w:t>
      </w:r>
      <w:proofErr w:type="gramEnd"/>
      <w:r w:rsidRPr="00F511D8">
        <w:rPr>
          <w:rFonts w:ascii="Calibri" w:eastAsia="Calibri" w:hAnsi="Calibri" w:cs="Calibri"/>
          <w:lang w:val="en-US"/>
        </w:rPr>
        <w:t xml:space="preserve"> and Koo Wee Rup.</w:t>
      </w:r>
    </w:p>
    <w:p w14:paraId="68B26CBD" w14:textId="25D09E1D" w:rsidR="00567F9F" w:rsidRPr="00F511D8" w:rsidRDefault="00567F9F" w:rsidP="00E25193">
      <w:pPr>
        <w:widowControl w:val="0"/>
        <w:autoSpaceDE w:val="0"/>
        <w:autoSpaceDN w:val="0"/>
        <w:spacing w:after="120"/>
        <w:ind w:right="139"/>
        <w:rPr>
          <w:rFonts w:ascii="Calibri" w:eastAsia="Calibri" w:hAnsi="Calibri" w:cs="Calibri"/>
          <w:sz w:val="14"/>
          <w:lang w:val="en-US"/>
        </w:rPr>
      </w:pPr>
      <w:r w:rsidRPr="00F511D8">
        <w:rPr>
          <w:rFonts w:ascii="Calibri" w:eastAsia="Calibri" w:hAnsi="Calibri" w:cs="Calibri"/>
          <w:lang w:val="en-US"/>
        </w:rPr>
        <w:t xml:space="preserve">Pockets of disadvantage are also reflected in higher rates of unemployment. </w:t>
      </w:r>
      <w:r w:rsidR="00D30FBE" w:rsidRPr="00F511D8">
        <w:rPr>
          <w:rFonts w:ascii="Calibri" w:eastAsia="Calibri" w:hAnsi="Calibri" w:cs="Calibri"/>
          <w:lang w:val="en-US"/>
        </w:rPr>
        <w:t xml:space="preserve">The most recent </w:t>
      </w:r>
      <w:r w:rsidRPr="00F511D8">
        <w:rPr>
          <w:rFonts w:ascii="Calibri" w:eastAsia="Calibri" w:hAnsi="Calibri" w:cs="Calibri"/>
          <w:lang w:val="en-US"/>
        </w:rPr>
        <w:t xml:space="preserve">Small Area </w:t>
      </w:r>
      <w:proofErr w:type="spellStart"/>
      <w:r w:rsidRPr="00F511D8">
        <w:rPr>
          <w:rFonts w:ascii="Calibri" w:eastAsia="Calibri" w:hAnsi="Calibri" w:cs="Calibri"/>
          <w:lang w:val="en-US"/>
        </w:rPr>
        <w:t>Labour</w:t>
      </w:r>
      <w:proofErr w:type="spellEnd"/>
      <w:r w:rsidRPr="00F511D8">
        <w:rPr>
          <w:rFonts w:ascii="Calibri" w:eastAsia="Calibri" w:hAnsi="Calibri" w:cs="Calibri"/>
          <w:lang w:val="en-US"/>
        </w:rPr>
        <w:t xml:space="preserve"> Market data for </w:t>
      </w:r>
      <w:r w:rsidR="00E25193" w:rsidRPr="00F511D8">
        <w:rPr>
          <w:rFonts w:ascii="Calibri" w:eastAsia="Calibri" w:hAnsi="Calibri" w:cs="Calibri"/>
          <w:lang w:val="en-US"/>
        </w:rPr>
        <w:t xml:space="preserve">the </w:t>
      </w:r>
      <w:r w:rsidR="002F0B64" w:rsidRPr="00F511D8">
        <w:rPr>
          <w:rFonts w:ascii="Calibri" w:eastAsia="Calibri" w:hAnsi="Calibri" w:cs="Calibri"/>
          <w:lang w:val="en-US"/>
        </w:rPr>
        <w:t xml:space="preserve">September </w:t>
      </w:r>
      <w:r w:rsidR="00E25193" w:rsidRPr="00F511D8">
        <w:rPr>
          <w:rFonts w:ascii="Calibri" w:eastAsia="Calibri" w:hAnsi="Calibri" w:cs="Calibri"/>
          <w:lang w:val="en-US"/>
        </w:rPr>
        <w:t xml:space="preserve">Quarter </w:t>
      </w:r>
      <w:r w:rsidRPr="00F511D8">
        <w:rPr>
          <w:rFonts w:ascii="Calibri" w:eastAsia="Calibri" w:hAnsi="Calibri" w:cs="Calibri"/>
          <w:lang w:val="en-US"/>
        </w:rPr>
        <w:t>202</w:t>
      </w:r>
      <w:r w:rsidR="008E7FA3" w:rsidRPr="00F511D8">
        <w:rPr>
          <w:rFonts w:ascii="Calibri" w:eastAsia="Calibri" w:hAnsi="Calibri" w:cs="Calibri"/>
          <w:lang w:val="en-US"/>
        </w:rPr>
        <w:t>1</w:t>
      </w:r>
      <w:r w:rsidRPr="00F511D8">
        <w:rPr>
          <w:rFonts w:ascii="Calibri" w:eastAsia="Calibri" w:hAnsi="Calibri" w:cs="Calibri"/>
          <w:lang w:val="en-US"/>
        </w:rPr>
        <w:t xml:space="preserve"> showe</w:t>
      </w:r>
      <w:r w:rsidR="00E25193" w:rsidRPr="00F511D8">
        <w:rPr>
          <w:rFonts w:ascii="Calibri" w:eastAsia="Calibri" w:hAnsi="Calibri" w:cs="Calibri"/>
          <w:lang w:val="en-US"/>
        </w:rPr>
        <w:t>d</w:t>
      </w:r>
      <w:r w:rsidRPr="00F511D8">
        <w:rPr>
          <w:rFonts w:ascii="Calibri" w:eastAsia="Calibri" w:hAnsi="Calibri" w:cs="Calibri"/>
          <w:lang w:val="en-US"/>
        </w:rPr>
        <w:t xml:space="preserve"> </w:t>
      </w:r>
      <w:r w:rsidR="00E25193" w:rsidRPr="00F511D8">
        <w:rPr>
          <w:rFonts w:ascii="Calibri" w:eastAsia="Calibri" w:hAnsi="Calibri" w:cs="Calibri"/>
          <w:lang w:val="en-US"/>
        </w:rPr>
        <w:t xml:space="preserve">that </w:t>
      </w:r>
      <w:proofErr w:type="gramStart"/>
      <w:r w:rsidRPr="00F511D8">
        <w:rPr>
          <w:rFonts w:ascii="Calibri" w:eastAsia="Calibri" w:hAnsi="Calibri" w:cs="Calibri"/>
          <w:lang w:val="en-US"/>
        </w:rPr>
        <w:t>a number of</w:t>
      </w:r>
      <w:proofErr w:type="gramEnd"/>
      <w:r w:rsidRPr="00F511D8">
        <w:rPr>
          <w:rFonts w:ascii="Calibri" w:eastAsia="Calibri" w:hAnsi="Calibri" w:cs="Calibri"/>
          <w:lang w:val="en-US"/>
        </w:rPr>
        <w:t xml:space="preserve"> </w:t>
      </w:r>
      <w:r w:rsidR="008E7FA3" w:rsidRPr="00F511D8">
        <w:rPr>
          <w:rFonts w:ascii="Calibri" w:eastAsia="Calibri" w:hAnsi="Calibri" w:cs="Calibri"/>
          <w:lang w:val="en-US"/>
        </w:rPr>
        <w:t>Local Government Areas (LGAs)</w:t>
      </w:r>
      <w:r w:rsidR="002F0B64" w:rsidRPr="00F511D8">
        <w:rPr>
          <w:rFonts w:ascii="Calibri" w:eastAsia="Calibri" w:hAnsi="Calibri" w:cs="Calibri"/>
          <w:lang w:val="en-US"/>
        </w:rPr>
        <w:t xml:space="preserve">; Greater Dandenong (8.5 per cent), Casey (6.8 per cent), Cardinia </w:t>
      </w:r>
      <w:r w:rsidR="00764634" w:rsidRPr="00F511D8">
        <w:rPr>
          <w:rFonts w:ascii="Calibri" w:eastAsia="Calibri" w:hAnsi="Calibri" w:cs="Calibri"/>
          <w:lang w:val="en-US"/>
        </w:rPr>
        <w:br/>
      </w:r>
      <w:r w:rsidR="002F0B64" w:rsidRPr="00F511D8">
        <w:rPr>
          <w:rFonts w:ascii="Calibri" w:eastAsia="Calibri" w:hAnsi="Calibri" w:cs="Calibri"/>
          <w:lang w:val="en-US"/>
        </w:rPr>
        <w:t>(6.0 per cent), and Frankston (6.2 per cent)</w:t>
      </w:r>
      <w:r w:rsidR="002F0B64" w:rsidRPr="00F511D8">
        <w:rPr>
          <w:rStyle w:val="FootnoteReference"/>
          <w:rFonts w:ascii="Calibri" w:eastAsia="Calibri" w:hAnsi="Calibri" w:cs="Calibri"/>
          <w:lang w:val="en-US"/>
        </w:rPr>
        <w:footnoteReference w:id="1"/>
      </w:r>
      <w:r w:rsidR="002F0B64" w:rsidRPr="00F511D8">
        <w:rPr>
          <w:rFonts w:ascii="Calibri" w:eastAsia="Calibri" w:hAnsi="Calibri" w:cs="Calibri"/>
          <w:lang w:val="en-US"/>
        </w:rPr>
        <w:t>;</w:t>
      </w:r>
      <w:r w:rsidRPr="00F511D8">
        <w:rPr>
          <w:rFonts w:ascii="Calibri" w:eastAsia="Calibri" w:hAnsi="Calibri" w:cs="Calibri"/>
          <w:lang w:val="en-US"/>
        </w:rPr>
        <w:t xml:space="preserve"> recorded significantly higher unemployment rates compared to </w:t>
      </w:r>
      <w:r w:rsidR="00D83BAB" w:rsidRPr="00F511D8">
        <w:rPr>
          <w:rFonts w:ascii="Calibri" w:eastAsia="Calibri" w:hAnsi="Calibri" w:cs="Calibri"/>
          <w:lang w:val="en-US"/>
        </w:rPr>
        <w:t>the entire</w:t>
      </w:r>
      <w:r w:rsidRPr="00F511D8">
        <w:rPr>
          <w:rFonts w:ascii="Calibri" w:eastAsia="Calibri" w:hAnsi="Calibri" w:cs="Calibri"/>
          <w:lang w:val="en-US"/>
        </w:rPr>
        <w:t xml:space="preserve"> </w:t>
      </w:r>
      <w:r w:rsidR="000C5205" w:rsidRPr="00F511D8">
        <w:rPr>
          <w:rFonts w:ascii="Calibri" w:eastAsia="Calibri" w:hAnsi="Calibri" w:cs="Calibri"/>
          <w:lang w:val="en-US"/>
        </w:rPr>
        <w:t>SEMP region</w:t>
      </w:r>
      <w:r w:rsidR="002F0B64" w:rsidRPr="00F511D8">
        <w:rPr>
          <w:rFonts w:ascii="Calibri" w:eastAsia="Calibri" w:hAnsi="Calibri" w:cs="Calibri"/>
          <w:lang w:val="en-US"/>
        </w:rPr>
        <w:t xml:space="preserve"> (5.7 per cent</w:t>
      </w:r>
      <w:r w:rsidR="00397FD3" w:rsidRPr="00F511D8">
        <w:rPr>
          <w:rStyle w:val="FootnoteReference"/>
          <w:rFonts w:ascii="Calibri" w:eastAsia="Calibri" w:hAnsi="Calibri" w:cs="Calibri"/>
          <w:lang w:val="en-US"/>
        </w:rPr>
        <w:footnoteReference w:id="2"/>
      </w:r>
      <w:r w:rsidR="002F0B64" w:rsidRPr="00F511D8">
        <w:rPr>
          <w:rFonts w:ascii="Calibri" w:eastAsia="Calibri" w:hAnsi="Calibri" w:cs="Calibri"/>
          <w:lang w:val="en-US"/>
        </w:rPr>
        <w:t>)</w:t>
      </w:r>
      <w:r w:rsidRPr="00F511D8">
        <w:rPr>
          <w:rFonts w:ascii="Calibri" w:eastAsia="Calibri" w:hAnsi="Calibri" w:cs="Calibri"/>
          <w:lang w:val="en-US"/>
        </w:rPr>
        <w:t xml:space="preserve">. </w:t>
      </w:r>
    </w:p>
    <w:p w14:paraId="1897DADB" w14:textId="337DB1AF" w:rsidR="00567F9F" w:rsidRPr="00F511D8" w:rsidRDefault="00567F9F" w:rsidP="00E25193">
      <w:pPr>
        <w:widowControl w:val="0"/>
        <w:autoSpaceDE w:val="0"/>
        <w:autoSpaceDN w:val="0"/>
        <w:spacing w:after="120"/>
        <w:ind w:right="108"/>
        <w:rPr>
          <w:rFonts w:ascii="Calibri" w:eastAsia="Calibri" w:hAnsi="Calibri" w:cs="Calibri"/>
          <w:lang w:val="en-US"/>
        </w:rPr>
      </w:pPr>
      <w:r w:rsidRPr="00F511D8">
        <w:rPr>
          <w:rFonts w:ascii="Calibri" w:eastAsia="Calibri" w:hAnsi="Calibri" w:cs="Calibri"/>
          <w:lang w:val="en-US"/>
        </w:rPr>
        <w:t xml:space="preserve">The levels of higher education attainment vary across the region. In the Mornington Peninsula </w:t>
      </w:r>
      <w:r w:rsidR="0040283F" w:rsidRPr="00F511D8">
        <w:rPr>
          <w:rFonts w:ascii="Calibri" w:eastAsia="Calibri" w:hAnsi="Calibri" w:cs="Calibri"/>
          <w:lang w:val="en-US"/>
        </w:rPr>
        <w:t xml:space="preserve">LGA </w:t>
      </w:r>
      <w:r w:rsidRPr="00F511D8">
        <w:rPr>
          <w:rFonts w:ascii="Calibri" w:eastAsia="Calibri" w:hAnsi="Calibri" w:cs="Calibri"/>
          <w:lang w:val="en-US"/>
        </w:rPr>
        <w:t xml:space="preserve">there are lower rates of Year 12 completion </w:t>
      </w:r>
      <w:r w:rsidR="0040283F" w:rsidRPr="00F511D8">
        <w:rPr>
          <w:rFonts w:ascii="Calibri" w:eastAsia="Calibri" w:hAnsi="Calibri" w:cs="Calibri"/>
          <w:lang w:val="en-US"/>
        </w:rPr>
        <w:t xml:space="preserve">(13.8 per cent) </w:t>
      </w:r>
      <w:r w:rsidRPr="00F511D8">
        <w:rPr>
          <w:rFonts w:ascii="Calibri" w:eastAsia="Calibri" w:hAnsi="Calibri" w:cs="Calibri"/>
          <w:lang w:val="en-US"/>
        </w:rPr>
        <w:t xml:space="preserve">and higher levels of Certificate </w:t>
      </w:r>
      <w:r w:rsidR="0040283F" w:rsidRPr="00F511D8">
        <w:rPr>
          <w:rFonts w:ascii="Calibri" w:eastAsia="Calibri" w:hAnsi="Calibri" w:cs="Calibri"/>
          <w:lang w:val="en-US"/>
        </w:rPr>
        <w:t>III c</w:t>
      </w:r>
      <w:r w:rsidRPr="00F511D8">
        <w:rPr>
          <w:rFonts w:ascii="Calibri" w:eastAsia="Calibri" w:hAnsi="Calibri" w:cs="Calibri"/>
          <w:lang w:val="en-US"/>
        </w:rPr>
        <w:t xml:space="preserve">ompletions </w:t>
      </w:r>
      <w:r w:rsidR="0040283F" w:rsidRPr="00F511D8">
        <w:rPr>
          <w:rFonts w:ascii="Calibri" w:eastAsia="Calibri" w:hAnsi="Calibri" w:cs="Calibri"/>
          <w:lang w:val="en-US"/>
        </w:rPr>
        <w:t xml:space="preserve">(15.5 per cent) </w:t>
      </w:r>
      <w:r w:rsidRPr="00F511D8">
        <w:rPr>
          <w:rFonts w:ascii="Calibri" w:eastAsia="Calibri" w:hAnsi="Calibri" w:cs="Calibri"/>
          <w:lang w:val="en-US"/>
        </w:rPr>
        <w:t xml:space="preserve">compared to </w:t>
      </w:r>
      <w:r w:rsidR="0040283F" w:rsidRPr="00F511D8">
        <w:rPr>
          <w:rFonts w:ascii="Calibri" w:eastAsia="Calibri" w:hAnsi="Calibri" w:cs="Calibri"/>
          <w:lang w:val="en-US"/>
        </w:rPr>
        <w:t>the 6 other LGA’s</w:t>
      </w:r>
      <w:r w:rsidRPr="00F511D8">
        <w:rPr>
          <w:rFonts w:ascii="Calibri" w:eastAsia="Calibri" w:hAnsi="Calibri" w:cs="Calibri"/>
          <w:lang w:val="en-US"/>
        </w:rPr>
        <w:t xml:space="preserve"> and Victorian averages.</w:t>
      </w:r>
      <w:r w:rsidR="0040283F" w:rsidRPr="00F511D8">
        <w:rPr>
          <w:rFonts w:ascii="Calibri" w:eastAsia="Calibri" w:hAnsi="Calibri" w:cs="Calibri"/>
          <w:lang w:val="en-US"/>
        </w:rPr>
        <w:t xml:space="preserve"> Greater Dandenong LGA has a high Year 12 completion rate (20.7 per cent) but lower level of certificates or Diploma or above completion rates (9.0 per cent Certificate level III and 8.6 per cent Diploma and Advanced Diploma level), while Kingston and Monash have a higher than Victorian average completion rate for </w:t>
      </w:r>
      <w:proofErr w:type="gramStart"/>
      <w:r w:rsidR="0040283F" w:rsidRPr="00F511D8">
        <w:rPr>
          <w:rFonts w:ascii="Calibri" w:eastAsia="Calibri" w:hAnsi="Calibri" w:cs="Calibri"/>
          <w:lang w:val="en-US"/>
        </w:rPr>
        <w:t>Bachelor Degree</w:t>
      </w:r>
      <w:proofErr w:type="gramEnd"/>
      <w:r w:rsidR="0040283F" w:rsidRPr="00F511D8">
        <w:rPr>
          <w:rFonts w:ascii="Calibri" w:eastAsia="Calibri" w:hAnsi="Calibri" w:cs="Calibri"/>
          <w:lang w:val="en-US"/>
        </w:rPr>
        <w:t xml:space="preserve"> or above level (25.3 per cent and 34.8 per cent respectively)</w:t>
      </w:r>
      <w:r w:rsidR="007026F7" w:rsidRPr="00F511D8">
        <w:rPr>
          <w:rStyle w:val="FootnoteReference"/>
          <w:rFonts w:ascii="Calibri" w:eastAsia="Calibri" w:hAnsi="Calibri" w:cs="Calibri"/>
          <w:lang w:val="en-US"/>
        </w:rPr>
        <w:footnoteReference w:id="3"/>
      </w:r>
    </w:p>
    <w:p w14:paraId="4D118AFC" w14:textId="78164549" w:rsidR="00567F9F" w:rsidRPr="00025CA4" w:rsidRDefault="00567F9F" w:rsidP="00E25193">
      <w:pPr>
        <w:widowControl w:val="0"/>
        <w:autoSpaceDE w:val="0"/>
        <w:autoSpaceDN w:val="0"/>
        <w:spacing w:after="120"/>
        <w:ind w:right="126"/>
        <w:rPr>
          <w:rFonts w:ascii="Calibri" w:eastAsia="Calibri" w:hAnsi="Calibri" w:cs="Calibri"/>
          <w:lang w:val="en-US"/>
        </w:rPr>
      </w:pPr>
      <w:r w:rsidRPr="00F511D8">
        <w:rPr>
          <w:rFonts w:ascii="Calibri" w:eastAsia="Calibri" w:hAnsi="Calibri" w:cs="Calibri"/>
          <w:lang w:val="en-US"/>
        </w:rPr>
        <w:t xml:space="preserve">People from CALD backgrounds represent </w:t>
      </w:r>
      <w:r w:rsidR="00B50665" w:rsidRPr="00F511D8">
        <w:rPr>
          <w:rFonts w:ascii="Calibri" w:eastAsia="Calibri" w:hAnsi="Calibri" w:cs="Calibri"/>
          <w:lang w:val="en-US"/>
        </w:rPr>
        <w:t>35.4</w:t>
      </w:r>
      <w:r w:rsidRPr="00F511D8">
        <w:rPr>
          <w:rFonts w:ascii="Calibri" w:eastAsia="Calibri" w:hAnsi="Calibri" w:cs="Calibri"/>
          <w:lang w:val="en-US"/>
        </w:rPr>
        <w:t xml:space="preserve"> per cent of the employment services caseload</w:t>
      </w:r>
      <w:r w:rsidR="00E03F62" w:rsidRPr="00F511D8">
        <w:rPr>
          <w:rStyle w:val="FootnoteReference"/>
          <w:rFonts w:ascii="Calibri" w:eastAsia="Calibri" w:hAnsi="Calibri" w:cs="Calibri"/>
          <w:lang w:val="en-US"/>
        </w:rPr>
        <w:footnoteReference w:id="4"/>
      </w:r>
      <w:r w:rsidRPr="00F511D8">
        <w:rPr>
          <w:rFonts w:ascii="Calibri" w:eastAsia="Calibri" w:hAnsi="Calibri" w:cs="Calibri"/>
          <w:lang w:val="en-US"/>
        </w:rPr>
        <w:t>. The CALD population is higher in the South East Melbourne SA4 area and is particularly notable in Dandenong</w:t>
      </w:r>
      <w:r w:rsidRPr="00567F9F">
        <w:rPr>
          <w:rFonts w:ascii="Calibri" w:eastAsia="Calibri" w:hAnsi="Calibri" w:cs="Calibri"/>
          <w:lang w:val="en-US"/>
        </w:rPr>
        <w:t xml:space="preserve"> where 65 per cent of the population speaks a language other than English at home. Key employment challenges for this cohort include lack of recognition of previous skills and qualifications, language barriers, cultural differences, trauma among refugees, lower rates of car ownership limiting opportunities for jobs that are inaccessible by public transport, and a lack of confidence in approaching the employment market.</w:t>
      </w:r>
    </w:p>
    <w:p w14:paraId="6C799EDE" w14:textId="66CF8DF3" w:rsidR="005D50E0" w:rsidRPr="00F511D8" w:rsidRDefault="006F10A5" w:rsidP="00E25193">
      <w:pPr>
        <w:widowControl w:val="0"/>
        <w:autoSpaceDE w:val="0"/>
        <w:autoSpaceDN w:val="0"/>
        <w:spacing w:after="120"/>
        <w:ind w:right="145"/>
        <w:rPr>
          <w:rFonts w:ascii="Calibri" w:eastAsia="Calibri" w:hAnsi="Calibri" w:cs="Calibri"/>
          <w:lang w:val="en-US"/>
        </w:rPr>
      </w:pPr>
      <w:r w:rsidRPr="00F511D8">
        <w:rPr>
          <w:rFonts w:ascii="Calibri" w:eastAsia="Calibri" w:hAnsi="Calibri" w:cs="Calibri"/>
          <w:bCs/>
          <w:lang w:val="en-US"/>
        </w:rPr>
        <w:t xml:space="preserve">As </w:t>
      </w:r>
      <w:proofErr w:type="gramStart"/>
      <w:r w:rsidRPr="00F511D8">
        <w:rPr>
          <w:rFonts w:ascii="Calibri" w:eastAsia="Calibri" w:hAnsi="Calibri" w:cs="Calibri"/>
          <w:bCs/>
          <w:lang w:val="en-US"/>
        </w:rPr>
        <w:t>at</w:t>
      </w:r>
      <w:proofErr w:type="gramEnd"/>
      <w:r w:rsidRPr="00F511D8">
        <w:rPr>
          <w:rFonts w:ascii="Calibri" w:eastAsia="Calibri" w:hAnsi="Calibri" w:cs="Calibri"/>
          <w:bCs/>
          <w:lang w:val="en-US"/>
        </w:rPr>
        <w:t xml:space="preserve"> </w:t>
      </w:r>
      <w:r w:rsidR="00E03F62" w:rsidRPr="00F511D8">
        <w:rPr>
          <w:rFonts w:ascii="Calibri" w:eastAsia="Calibri" w:hAnsi="Calibri" w:cs="Calibri"/>
          <w:bCs/>
          <w:lang w:val="en-US"/>
        </w:rPr>
        <w:t>November</w:t>
      </w:r>
      <w:r w:rsidRPr="00F511D8">
        <w:rPr>
          <w:rFonts w:ascii="Calibri" w:eastAsia="Calibri" w:hAnsi="Calibri" w:cs="Calibri"/>
          <w:bCs/>
          <w:lang w:val="en-US"/>
        </w:rPr>
        <w:t xml:space="preserve"> 2021, y</w:t>
      </w:r>
      <w:r w:rsidR="00567F9F" w:rsidRPr="00F511D8">
        <w:rPr>
          <w:rFonts w:ascii="Calibri" w:eastAsia="Calibri" w:hAnsi="Calibri" w:cs="Calibri"/>
          <w:bCs/>
          <w:lang w:val="en-US"/>
        </w:rPr>
        <w:t xml:space="preserve">outh unemployment in the </w:t>
      </w:r>
      <w:r w:rsidR="00764634" w:rsidRPr="00F511D8">
        <w:rPr>
          <w:rFonts w:ascii="Calibri" w:eastAsia="Calibri" w:hAnsi="Calibri" w:cs="Calibri"/>
          <w:bCs/>
          <w:lang w:val="en-US"/>
        </w:rPr>
        <w:t xml:space="preserve">SEMP </w:t>
      </w:r>
      <w:r w:rsidR="00567F9F" w:rsidRPr="00F511D8">
        <w:rPr>
          <w:rFonts w:ascii="Calibri" w:eastAsia="Calibri" w:hAnsi="Calibri" w:cs="Calibri"/>
          <w:bCs/>
          <w:lang w:val="en-US"/>
        </w:rPr>
        <w:t xml:space="preserve">region </w:t>
      </w:r>
      <w:r w:rsidR="008E7FA3" w:rsidRPr="00F511D8">
        <w:rPr>
          <w:rFonts w:ascii="Calibri" w:eastAsia="Calibri" w:hAnsi="Calibri" w:cs="Calibri"/>
          <w:bCs/>
          <w:lang w:val="en-US"/>
        </w:rPr>
        <w:t>was</w:t>
      </w:r>
      <w:r w:rsidR="00E25193" w:rsidRPr="00F511D8">
        <w:rPr>
          <w:rFonts w:ascii="Calibri" w:eastAsia="Calibri" w:hAnsi="Calibri" w:cs="Calibri"/>
          <w:bCs/>
          <w:lang w:val="en-US"/>
        </w:rPr>
        <w:t xml:space="preserve"> </w:t>
      </w:r>
      <w:r w:rsidR="00E03F62" w:rsidRPr="00F511D8">
        <w:rPr>
          <w:rFonts w:ascii="Calibri" w:eastAsia="Calibri" w:hAnsi="Calibri" w:cs="Calibri"/>
          <w:bCs/>
          <w:lang w:val="en-US"/>
        </w:rPr>
        <w:t>17.8</w:t>
      </w:r>
      <w:r w:rsidR="00D30FBE" w:rsidRPr="00F511D8">
        <w:rPr>
          <w:rFonts w:ascii="Calibri" w:eastAsia="Calibri" w:hAnsi="Calibri" w:cs="Calibri"/>
          <w:bCs/>
          <w:lang w:val="en-US"/>
        </w:rPr>
        <w:t xml:space="preserve"> </w:t>
      </w:r>
      <w:r w:rsidR="00567F9F" w:rsidRPr="00F511D8">
        <w:rPr>
          <w:rFonts w:ascii="Calibri" w:eastAsia="Calibri" w:hAnsi="Calibri" w:cs="Calibri"/>
          <w:bCs/>
          <w:lang w:val="en-US"/>
        </w:rPr>
        <w:t>per cent</w:t>
      </w:r>
      <w:r w:rsidR="00E03F62" w:rsidRPr="00F511D8">
        <w:rPr>
          <w:rStyle w:val="FootnoteReference"/>
          <w:rFonts w:ascii="Calibri" w:eastAsia="Calibri" w:hAnsi="Calibri" w:cs="Calibri"/>
          <w:bCs/>
          <w:lang w:val="en-US"/>
        </w:rPr>
        <w:footnoteReference w:id="5"/>
      </w:r>
      <w:r w:rsidR="00567F9F" w:rsidRPr="00F511D8">
        <w:rPr>
          <w:rFonts w:ascii="Calibri" w:eastAsia="Calibri" w:hAnsi="Calibri" w:cs="Calibri"/>
          <w:bCs/>
          <w:lang w:val="en-US"/>
        </w:rPr>
        <w:t>, which</w:t>
      </w:r>
      <w:r w:rsidR="00567F9F" w:rsidRPr="00275069">
        <w:rPr>
          <w:rFonts w:ascii="Calibri" w:eastAsia="Calibri" w:hAnsi="Calibri" w:cs="Calibri"/>
          <w:lang w:val="en-US"/>
        </w:rPr>
        <w:t xml:space="preserve"> is higher than the national average and </w:t>
      </w:r>
      <w:r w:rsidR="00E25193" w:rsidRPr="00275069">
        <w:rPr>
          <w:rFonts w:ascii="Calibri" w:eastAsia="Calibri" w:hAnsi="Calibri" w:cs="Calibri"/>
          <w:lang w:val="en-US"/>
        </w:rPr>
        <w:t xml:space="preserve">more than double </w:t>
      </w:r>
      <w:r w:rsidR="00567F9F" w:rsidRPr="00275069">
        <w:rPr>
          <w:rFonts w:ascii="Calibri" w:eastAsia="Calibri" w:hAnsi="Calibri" w:cs="Calibri"/>
          <w:lang w:val="en-US"/>
        </w:rPr>
        <w:t>the rate of unemployment for the general population in the region</w:t>
      </w:r>
      <w:r w:rsidR="005C71A7" w:rsidRPr="00275069">
        <w:rPr>
          <w:rFonts w:ascii="Calibri" w:eastAsia="Calibri" w:hAnsi="Calibri" w:cs="Calibri"/>
          <w:lang w:val="en-US"/>
        </w:rPr>
        <w:t xml:space="preserve">, at </w:t>
      </w:r>
      <w:r w:rsidR="00E03F62" w:rsidRPr="00D83BAB">
        <w:rPr>
          <w:rFonts w:ascii="Calibri" w:eastAsia="Calibri" w:hAnsi="Calibri" w:cs="Calibri"/>
          <w:lang w:val="en-US"/>
        </w:rPr>
        <w:t>5.7</w:t>
      </w:r>
      <w:r w:rsidR="005C71A7" w:rsidRPr="00275069">
        <w:rPr>
          <w:rFonts w:ascii="Calibri" w:eastAsia="Calibri" w:hAnsi="Calibri" w:cs="Calibri"/>
          <w:lang w:val="en-US"/>
        </w:rPr>
        <w:t xml:space="preserve"> per cent</w:t>
      </w:r>
      <w:r w:rsidR="00567F9F" w:rsidRPr="00275069">
        <w:rPr>
          <w:rFonts w:ascii="Calibri" w:eastAsia="Calibri" w:hAnsi="Calibri" w:cs="Calibri"/>
          <w:lang w:val="en-US"/>
        </w:rPr>
        <w:t>.</w:t>
      </w:r>
      <w:r w:rsidR="00567F9F" w:rsidRPr="00567F9F">
        <w:rPr>
          <w:rFonts w:ascii="Calibri" w:eastAsia="Calibri" w:hAnsi="Calibri" w:cs="Calibri"/>
          <w:lang w:val="en-US"/>
        </w:rPr>
        <w:t xml:space="preserve"> </w:t>
      </w:r>
      <w:r w:rsidR="00E03F62">
        <w:rPr>
          <w:rFonts w:ascii="Calibri" w:eastAsia="Calibri" w:hAnsi="Calibri" w:cs="Calibri"/>
          <w:lang w:val="en-US"/>
        </w:rPr>
        <w:t>Historically, y</w:t>
      </w:r>
      <w:r w:rsidR="00567F9F" w:rsidRPr="00567F9F">
        <w:rPr>
          <w:rFonts w:ascii="Calibri" w:eastAsia="Calibri" w:hAnsi="Calibri" w:cs="Calibri"/>
          <w:lang w:val="en-US"/>
        </w:rPr>
        <w:t xml:space="preserve">oung people experience more difficulty transitioning from education to employment, which impacts on their aspiration, confidence, mental </w:t>
      </w:r>
      <w:proofErr w:type="gramStart"/>
      <w:r w:rsidR="00567F9F" w:rsidRPr="00567F9F">
        <w:rPr>
          <w:rFonts w:ascii="Calibri" w:eastAsia="Calibri" w:hAnsi="Calibri" w:cs="Calibri"/>
          <w:lang w:val="en-US"/>
        </w:rPr>
        <w:t>health</w:t>
      </w:r>
      <w:proofErr w:type="gramEnd"/>
      <w:r w:rsidR="00567F9F" w:rsidRPr="00567F9F">
        <w:rPr>
          <w:rFonts w:ascii="Calibri" w:eastAsia="Calibri" w:hAnsi="Calibri" w:cs="Calibri"/>
          <w:lang w:val="en-US"/>
        </w:rPr>
        <w:t xml:space="preserve"> and motivation to engage in further education or look for work. Young people are more likely to be engaged in temporary and insecure work. There is also a skills gap between the </w:t>
      </w:r>
      <w:r w:rsidR="00567F9F" w:rsidRPr="00F511D8">
        <w:rPr>
          <w:rFonts w:ascii="Calibri" w:eastAsia="Calibri" w:hAnsi="Calibri" w:cs="Calibri"/>
          <w:lang w:val="en-US"/>
        </w:rPr>
        <w:lastRenderedPageBreak/>
        <w:t xml:space="preserve">jobs available in the local </w:t>
      </w:r>
      <w:proofErr w:type="spellStart"/>
      <w:r w:rsidR="00567F9F" w:rsidRPr="00F511D8">
        <w:rPr>
          <w:rFonts w:ascii="Calibri" w:eastAsia="Calibri" w:hAnsi="Calibri" w:cs="Calibri"/>
          <w:lang w:val="en-US"/>
        </w:rPr>
        <w:t>labour</w:t>
      </w:r>
      <w:proofErr w:type="spellEnd"/>
      <w:r w:rsidR="00567F9F" w:rsidRPr="00F511D8">
        <w:rPr>
          <w:rFonts w:ascii="Calibri" w:eastAsia="Calibri" w:hAnsi="Calibri" w:cs="Calibri"/>
          <w:lang w:val="en-US"/>
        </w:rPr>
        <w:t xml:space="preserve"> market and the skills and experience young people have to offer.</w:t>
      </w:r>
    </w:p>
    <w:p w14:paraId="2BB0D2FD" w14:textId="104D3FD0" w:rsidR="005D50E0" w:rsidRPr="00F511D8" w:rsidRDefault="005D50E0" w:rsidP="00E25193">
      <w:pPr>
        <w:pStyle w:val="BodyText"/>
        <w:spacing w:before="37" w:line="276" w:lineRule="auto"/>
        <w:ind w:right="320"/>
      </w:pPr>
      <w:r w:rsidRPr="00F511D8">
        <w:t>There is a high</w:t>
      </w:r>
      <w:r w:rsidR="00E03F62" w:rsidRPr="00F511D8">
        <w:t>er</w:t>
      </w:r>
      <w:r w:rsidRPr="00F511D8">
        <w:t xml:space="preserve"> representation of Aboriginal and Torres Strait Islander people</w:t>
      </w:r>
      <w:r w:rsidR="006D7270" w:rsidRPr="00F511D8">
        <w:t>s</w:t>
      </w:r>
      <w:r w:rsidRPr="00F511D8">
        <w:t xml:space="preserve"> in the </w:t>
      </w:r>
      <w:r w:rsidR="00764634" w:rsidRPr="00F511D8">
        <w:t>SEMP</w:t>
      </w:r>
      <w:r w:rsidRPr="00F511D8">
        <w:t xml:space="preserve"> region, in particular the Westernport pocket. Engagement with local Indigenous community groups </w:t>
      </w:r>
      <w:r w:rsidR="00ED36ED" w:rsidRPr="00F511D8">
        <w:t xml:space="preserve">remains </w:t>
      </w:r>
      <w:r w:rsidRPr="00F511D8">
        <w:t>key to developing strategies that increase engagement in training and employment aligned to local opportunities.</w:t>
      </w:r>
    </w:p>
    <w:p w14:paraId="0846A026" w14:textId="7E4642BE" w:rsidR="005D50E0" w:rsidRPr="00F511D8" w:rsidRDefault="005D50E0" w:rsidP="00E25193">
      <w:pPr>
        <w:pStyle w:val="BodyText"/>
        <w:spacing w:before="1" w:line="276" w:lineRule="auto"/>
        <w:ind w:right="304"/>
      </w:pPr>
      <w:r w:rsidRPr="00F511D8">
        <w:t>A skills mismatch is contributing to recruitment difficulties and skills shortages for employers in various sectors, including the Manufacturing, Construction, Food and Fibre and Health Care and Social Assistance industries</w:t>
      </w:r>
      <w:r w:rsidR="00025CA4" w:rsidRPr="00F511D8">
        <w:t>.</w:t>
      </w:r>
      <w:r w:rsidR="00025CA4" w:rsidRPr="00F511D8">
        <w:rPr>
          <w:rStyle w:val="FootnoteReference"/>
        </w:rPr>
        <w:footnoteReference w:id="6"/>
      </w:r>
      <w:r w:rsidRPr="00F511D8">
        <w:rPr>
          <w:position w:val="8"/>
          <w:sz w:val="14"/>
        </w:rPr>
        <w:t xml:space="preserve"> </w:t>
      </w:r>
      <w:r w:rsidRPr="00F511D8">
        <w:t xml:space="preserve">Some of the challenges identified include high employer expectations of candidates’ skills and experience, increasing entry-level skill requirements due to new technologies, and a lack of general employability skills among job seekers. It </w:t>
      </w:r>
      <w:r w:rsidR="00ED36ED" w:rsidRPr="00F511D8">
        <w:t xml:space="preserve">remains </w:t>
      </w:r>
      <w:r w:rsidRPr="00F511D8">
        <w:t xml:space="preserve">important to collaborate with employers and industry to address the skills mismatch, including through training, upskilling, reskilling, </w:t>
      </w:r>
      <w:proofErr w:type="gramStart"/>
      <w:r w:rsidRPr="00F511D8">
        <w:t>apprenticeships</w:t>
      </w:r>
      <w:proofErr w:type="gramEnd"/>
      <w:r w:rsidRPr="00F511D8">
        <w:t xml:space="preserve"> and traineeships.</w:t>
      </w:r>
    </w:p>
    <w:p w14:paraId="355BAAE1" w14:textId="51955310" w:rsidR="002375E0" w:rsidRPr="00F511D8" w:rsidRDefault="005D50E0" w:rsidP="002375E0">
      <w:pPr>
        <w:pStyle w:val="BodyText"/>
        <w:spacing w:line="276" w:lineRule="auto"/>
        <w:ind w:right="121"/>
      </w:pPr>
      <w:r w:rsidRPr="00F511D8">
        <w:t xml:space="preserve">An ageing population is affecting demand in the health care and social assistance sector, particularly in aged care, </w:t>
      </w:r>
      <w:proofErr w:type="gramStart"/>
      <w:r w:rsidRPr="00F511D8">
        <w:t>disability</w:t>
      </w:r>
      <w:proofErr w:type="gramEnd"/>
      <w:r w:rsidRPr="00F511D8">
        <w:t xml:space="preserve"> and community services. According to Census data, the </w:t>
      </w:r>
      <w:r w:rsidR="004E4942" w:rsidRPr="00F511D8">
        <w:t xml:space="preserve">SEMP </w:t>
      </w:r>
      <w:r w:rsidRPr="00F511D8">
        <w:t xml:space="preserve">region has an ageing population profile, particularly notable in the Mornington Peninsula with </w:t>
      </w:r>
      <w:r w:rsidR="004E4942" w:rsidRPr="00F511D8">
        <w:br/>
      </w:r>
      <w:r w:rsidRPr="00F511D8">
        <w:t>20.3 per cent</w:t>
      </w:r>
      <w:r w:rsidR="00E03F62" w:rsidRPr="00F511D8">
        <w:rPr>
          <w:rStyle w:val="FootnoteReference"/>
        </w:rPr>
        <w:footnoteReference w:id="7"/>
      </w:r>
      <w:r w:rsidRPr="00F511D8">
        <w:t xml:space="preserve"> of the population aged 65+ years, compared to 13.3 per cent </w:t>
      </w:r>
      <w:r w:rsidR="004E4942" w:rsidRPr="00F511D8">
        <w:t xml:space="preserve">for the </w:t>
      </w:r>
      <w:r w:rsidR="00A0379C" w:rsidRPr="00F511D8">
        <w:t>SEMP</w:t>
      </w:r>
      <w:r w:rsidR="004E4942" w:rsidRPr="00F511D8">
        <w:t xml:space="preserve"> region</w:t>
      </w:r>
      <w:r w:rsidRPr="00F511D8">
        <w:t>.</w:t>
      </w:r>
      <w:r w:rsidR="002375E0" w:rsidRPr="00F511D8">
        <w:t xml:space="preserve">  Upskilling and reskilling local job seekers for opportunities in this sector will help connect </w:t>
      </w:r>
      <w:r w:rsidR="00A0379C" w:rsidRPr="00F511D8">
        <w:t xml:space="preserve">local </w:t>
      </w:r>
      <w:r w:rsidR="002375E0" w:rsidRPr="00F511D8">
        <w:t>labour supply with employer demand as growth in the sector continues.</w:t>
      </w:r>
    </w:p>
    <w:p w14:paraId="043C6B34" w14:textId="6F12C95E" w:rsidR="00AB5DF9" w:rsidRPr="00F511D8" w:rsidRDefault="002375E0" w:rsidP="00E25193">
      <w:pPr>
        <w:pStyle w:val="BodyText"/>
        <w:spacing w:line="276" w:lineRule="auto"/>
        <w:ind w:right="121"/>
      </w:pPr>
      <w:r w:rsidRPr="00F511D8">
        <w:t xml:space="preserve">Transport in the Peninsula </w:t>
      </w:r>
      <w:r w:rsidR="004E4942" w:rsidRPr="00F511D8">
        <w:t>area</w:t>
      </w:r>
      <w:r w:rsidRPr="00F511D8">
        <w:t xml:space="preserve"> is an ongoing challenge with on</w:t>
      </w:r>
      <w:r w:rsidR="00A0379C" w:rsidRPr="00F511D8">
        <w:t>ly on</w:t>
      </w:r>
      <w:r w:rsidRPr="00F511D8">
        <w:t xml:space="preserve">e train line running from Stony Point to Frankston Station, however this is only accessible on the east side of the Peninsula </w:t>
      </w:r>
      <w:r w:rsidR="004E4942" w:rsidRPr="00F511D8">
        <w:t>area</w:t>
      </w:r>
      <w:r w:rsidRPr="00F511D8">
        <w:t xml:space="preserve"> and has no access to the west.  Buses service the west area of the Peninsula along 2 main lines but run less frequently than other major growth areas across the SEMP region.</w:t>
      </w:r>
      <w:r w:rsidR="00A0379C" w:rsidRPr="00F511D8">
        <w:t xml:space="preserve"> With no access to public transport in the hinterland, movement between east and west of the </w:t>
      </w:r>
      <w:r w:rsidR="00D83BAB" w:rsidRPr="00F511D8">
        <w:t>P</w:t>
      </w:r>
      <w:r w:rsidR="00A0379C" w:rsidRPr="00F511D8">
        <w:t>eninsular involves length</w:t>
      </w:r>
      <w:r w:rsidR="00D83BAB" w:rsidRPr="00F511D8">
        <w:t>y</w:t>
      </w:r>
      <w:r w:rsidR="00A0379C" w:rsidRPr="00F511D8">
        <w:t xml:space="preserve"> indirect connections via the Frankston transport hub. </w:t>
      </w:r>
      <w:r w:rsidR="00AB5DF9" w:rsidRPr="00F511D8">
        <w:t xml:space="preserve">Planned infrastructure from now until 2025 for continued road works, removal of level crossings and road upgrades across Frankston, Cranbourne and Pakenham suburbs also bring major disruption to the public transport service in these areas. </w:t>
      </w:r>
    </w:p>
    <w:p w14:paraId="19461E9E" w14:textId="03ECE25C" w:rsidR="00EA176C" w:rsidRPr="00F511D8" w:rsidRDefault="00EA176C" w:rsidP="00E25193">
      <w:pPr>
        <w:pStyle w:val="BodyText"/>
        <w:spacing w:line="276" w:lineRule="auto"/>
        <w:ind w:right="121"/>
      </w:pPr>
      <w:r w:rsidRPr="00F511D8">
        <w:t xml:space="preserve">The SEMP </w:t>
      </w:r>
      <w:r w:rsidR="004E4942" w:rsidRPr="00F511D8">
        <w:t>r</w:t>
      </w:r>
      <w:r w:rsidRPr="00F511D8">
        <w:t xml:space="preserve">egion continues to be heavily impacted by COVID-19 on </w:t>
      </w:r>
      <w:proofErr w:type="gramStart"/>
      <w:r w:rsidRPr="00F511D8">
        <w:t>a number of</w:t>
      </w:r>
      <w:proofErr w:type="gramEnd"/>
      <w:r w:rsidRPr="00F511D8">
        <w:t xml:space="preserve"> levels. Employers continue to be challenged by the disruption to supply chains however more specifically the impact on labour supply. With the requirement for employers to comply with Victorian Health regulations, many are dealing with increased staff shortages and challenges without the ability to access alternate labour pools.  </w:t>
      </w:r>
    </w:p>
    <w:p w14:paraId="1A193CEF" w14:textId="25AB5258" w:rsidR="00206A50" w:rsidRDefault="00206A50" w:rsidP="00206A50">
      <w:pPr>
        <w:pStyle w:val="Heading1"/>
        <w:rPr>
          <w:noProof w:val="0"/>
        </w:rPr>
      </w:pPr>
      <w:bookmarkStart w:id="7" w:name="_Toc95225114"/>
      <w:r w:rsidRPr="007D1210">
        <w:rPr>
          <w:noProof w:val="0"/>
        </w:rPr>
        <w:t xml:space="preserve">Local </w:t>
      </w:r>
      <w:r>
        <w:rPr>
          <w:noProof w:val="0"/>
        </w:rPr>
        <w:t>s</w:t>
      </w:r>
      <w:r w:rsidRPr="004E1E0C">
        <w:rPr>
          <w:noProof w:val="0"/>
        </w:rPr>
        <w:t xml:space="preserve">takeholders and </w:t>
      </w:r>
      <w:r>
        <w:rPr>
          <w:noProof w:val="0"/>
        </w:rPr>
        <w:t>o</w:t>
      </w:r>
      <w:r w:rsidRPr="004E1E0C">
        <w:rPr>
          <w:noProof w:val="0"/>
        </w:rPr>
        <w:t>pportunities</w:t>
      </w:r>
      <w:bookmarkEnd w:id="7"/>
    </w:p>
    <w:p w14:paraId="7C607F53" w14:textId="477B9D91" w:rsidR="00206A50" w:rsidRDefault="005D50E0" w:rsidP="00206A50">
      <w:pPr>
        <w:widowControl w:val="0"/>
        <w:tabs>
          <w:tab w:val="left" w:pos="820"/>
          <w:tab w:val="left" w:pos="821"/>
        </w:tabs>
        <w:autoSpaceDE w:val="0"/>
        <w:autoSpaceDN w:val="0"/>
        <w:spacing w:after="120" w:line="240" w:lineRule="auto"/>
      </w:pPr>
      <w:r>
        <w:t xml:space="preserve">The </w:t>
      </w:r>
      <w:r w:rsidR="00AB5DF9">
        <w:t xml:space="preserve">SEMP </w:t>
      </w:r>
      <w:r>
        <w:t xml:space="preserve">region is home to various stakeholder networks that work with employers, </w:t>
      </w:r>
      <w:proofErr w:type="gramStart"/>
      <w:r>
        <w:t>industry</w:t>
      </w:r>
      <w:proofErr w:type="gramEnd"/>
      <w:r>
        <w:t xml:space="preserve"> and community stakeholders to promote business and economic development and to implement employment and education related initiatives. These include:</w:t>
      </w:r>
    </w:p>
    <w:p w14:paraId="2ED6C367" w14:textId="7382CF88" w:rsidR="005D50E0" w:rsidRDefault="005D50E0" w:rsidP="00206A50">
      <w:pPr>
        <w:pStyle w:val="ListParagraph"/>
        <w:widowControl w:val="0"/>
        <w:numPr>
          <w:ilvl w:val="2"/>
          <w:numId w:val="40"/>
        </w:numPr>
        <w:tabs>
          <w:tab w:val="left" w:pos="820"/>
          <w:tab w:val="left" w:pos="821"/>
        </w:tabs>
        <w:autoSpaceDE w:val="0"/>
        <w:autoSpaceDN w:val="0"/>
        <w:spacing w:after="0"/>
        <w:ind w:right="259" w:firstLine="360"/>
        <w:contextualSpacing w:val="0"/>
      </w:pPr>
      <w:r>
        <w:t>South East Business Networks</w:t>
      </w:r>
      <w:r w:rsidRPr="00206A50">
        <w:rPr>
          <w:spacing w:val="-10"/>
        </w:rPr>
        <w:t xml:space="preserve"> </w:t>
      </w:r>
      <w:r>
        <w:t>(SEBN)</w:t>
      </w:r>
    </w:p>
    <w:p w14:paraId="001307AF" w14:textId="77777777" w:rsidR="005D50E0" w:rsidRDefault="005D50E0" w:rsidP="00206A50">
      <w:pPr>
        <w:pStyle w:val="ListParagraph"/>
        <w:widowControl w:val="0"/>
        <w:numPr>
          <w:ilvl w:val="2"/>
          <w:numId w:val="40"/>
        </w:numPr>
        <w:tabs>
          <w:tab w:val="left" w:pos="820"/>
          <w:tab w:val="left" w:pos="821"/>
        </w:tabs>
        <w:autoSpaceDE w:val="0"/>
        <w:autoSpaceDN w:val="0"/>
        <w:spacing w:after="0"/>
        <w:ind w:left="820"/>
        <w:contextualSpacing w:val="0"/>
      </w:pPr>
      <w:r>
        <w:t>South East Melbourne Manufacturers Alliance</w:t>
      </w:r>
      <w:r>
        <w:rPr>
          <w:spacing w:val="-20"/>
        </w:rPr>
        <w:t xml:space="preserve"> </w:t>
      </w:r>
      <w:r>
        <w:t>(SEMMA)</w:t>
      </w:r>
    </w:p>
    <w:p w14:paraId="751A8010" w14:textId="77777777" w:rsidR="005D50E0" w:rsidRDefault="005D50E0" w:rsidP="00206A50">
      <w:pPr>
        <w:pStyle w:val="ListParagraph"/>
        <w:widowControl w:val="0"/>
        <w:numPr>
          <w:ilvl w:val="2"/>
          <w:numId w:val="40"/>
        </w:numPr>
        <w:tabs>
          <w:tab w:val="left" w:pos="820"/>
          <w:tab w:val="left" w:pos="821"/>
        </w:tabs>
        <w:autoSpaceDE w:val="0"/>
        <w:autoSpaceDN w:val="0"/>
        <w:spacing w:after="0"/>
        <w:ind w:left="820"/>
        <w:contextualSpacing w:val="0"/>
      </w:pPr>
      <w:r>
        <w:t>Greater Dandenong Regional Employment</w:t>
      </w:r>
      <w:r>
        <w:rPr>
          <w:spacing w:val="-13"/>
        </w:rPr>
        <w:t xml:space="preserve"> </w:t>
      </w:r>
      <w:r>
        <w:t>Taskforce</w:t>
      </w:r>
    </w:p>
    <w:p w14:paraId="14AFEE90" w14:textId="7FBF51C6" w:rsidR="005D50E0" w:rsidRDefault="005D50E0" w:rsidP="00206A50">
      <w:pPr>
        <w:pStyle w:val="ListParagraph"/>
        <w:widowControl w:val="0"/>
        <w:numPr>
          <w:ilvl w:val="2"/>
          <w:numId w:val="40"/>
        </w:numPr>
        <w:tabs>
          <w:tab w:val="left" w:pos="820"/>
          <w:tab w:val="left" w:pos="821"/>
        </w:tabs>
        <w:autoSpaceDE w:val="0"/>
        <w:autoSpaceDN w:val="0"/>
        <w:spacing w:after="0"/>
        <w:ind w:left="820"/>
        <w:contextualSpacing w:val="0"/>
      </w:pPr>
      <w:r>
        <w:lastRenderedPageBreak/>
        <w:t>South East Local Learning and Employment</w:t>
      </w:r>
      <w:r>
        <w:rPr>
          <w:spacing w:val="-12"/>
        </w:rPr>
        <w:t xml:space="preserve"> </w:t>
      </w:r>
      <w:r>
        <w:t>Network</w:t>
      </w:r>
      <w:r w:rsidR="00A0379C">
        <w:t xml:space="preserve"> (SELLEN)</w:t>
      </w:r>
    </w:p>
    <w:p w14:paraId="69B117EE" w14:textId="2AB25360" w:rsidR="00A0379C" w:rsidRDefault="00A0379C" w:rsidP="00206A50">
      <w:pPr>
        <w:pStyle w:val="ListParagraph"/>
        <w:widowControl w:val="0"/>
        <w:numPr>
          <w:ilvl w:val="2"/>
          <w:numId w:val="40"/>
        </w:numPr>
        <w:tabs>
          <w:tab w:val="left" w:pos="820"/>
          <w:tab w:val="left" w:pos="821"/>
        </w:tabs>
        <w:autoSpaceDE w:val="0"/>
        <w:autoSpaceDN w:val="0"/>
        <w:spacing w:after="0"/>
        <w:ind w:left="820"/>
        <w:contextualSpacing w:val="0"/>
      </w:pPr>
      <w:r>
        <w:t>Frankston Mornington Peninsula Learning and Employment Network (FMPLLEN)</w:t>
      </w:r>
    </w:p>
    <w:p w14:paraId="3C5FB818" w14:textId="77777777" w:rsidR="005D50E0" w:rsidRDefault="005D50E0" w:rsidP="00206A50">
      <w:pPr>
        <w:pStyle w:val="ListParagraph"/>
        <w:widowControl w:val="0"/>
        <w:numPr>
          <w:ilvl w:val="2"/>
          <w:numId w:val="40"/>
        </w:numPr>
        <w:tabs>
          <w:tab w:val="left" w:pos="820"/>
          <w:tab w:val="left" w:pos="821"/>
        </w:tabs>
        <w:autoSpaceDE w:val="0"/>
        <w:autoSpaceDN w:val="0"/>
        <w:spacing w:after="0"/>
        <w:ind w:left="820"/>
        <w:contextualSpacing w:val="0"/>
      </w:pPr>
      <w:r>
        <w:t>South East Melbourne Integrated Transport Group</w:t>
      </w:r>
      <w:r>
        <w:rPr>
          <w:spacing w:val="-14"/>
        </w:rPr>
        <w:t xml:space="preserve"> </w:t>
      </w:r>
      <w:r>
        <w:t>(SEMITG)</w:t>
      </w:r>
    </w:p>
    <w:p w14:paraId="198B30D2" w14:textId="77777777" w:rsidR="00025CA4" w:rsidRDefault="005D50E0" w:rsidP="00206A50">
      <w:pPr>
        <w:pStyle w:val="ListParagraph"/>
        <w:widowControl w:val="0"/>
        <w:numPr>
          <w:ilvl w:val="2"/>
          <w:numId w:val="40"/>
        </w:numPr>
        <w:tabs>
          <w:tab w:val="left" w:pos="820"/>
          <w:tab w:val="left" w:pos="821"/>
        </w:tabs>
        <w:autoSpaceDE w:val="0"/>
        <w:autoSpaceDN w:val="0"/>
        <w:spacing w:after="0"/>
        <w:ind w:right="259" w:firstLine="360"/>
        <w:contextualSpacing w:val="0"/>
      </w:pPr>
      <w:r>
        <w:t xml:space="preserve">Frankston and Mornington Peninsula Community Investment </w:t>
      </w:r>
      <w:r w:rsidR="00ED36ED">
        <w:t>Committee</w:t>
      </w:r>
    </w:p>
    <w:p w14:paraId="759E9C39" w14:textId="4C5FFD74" w:rsidR="00ED36ED" w:rsidRDefault="00ED36ED" w:rsidP="00206A50">
      <w:pPr>
        <w:pStyle w:val="ListParagraph"/>
        <w:widowControl w:val="0"/>
        <w:numPr>
          <w:ilvl w:val="2"/>
          <w:numId w:val="40"/>
        </w:numPr>
        <w:tabs>
          <w:tab w:val="left" w:pos="820"/>
          <w:tab w:val="left" w:pos="821"/>
        </w:tabs>
        <w:autoSpaceDE w:val="0"/>
        <w:autoSpaceDN w:val="0"/>
        <w:spacing w:after="120"/>
        <w:ind w:right="259" w:firstLine="360"/>
        <w:contextualSpacing w:val="0"/>
      </w:pPr>
      <w:r>
        <w:t>Frankston Job Seeker Alliance</w:t>
      </w:r>
    </w:p>
    <w:p w14:paraId="7C251321" w14:textId="77777777" w:rsidR="00A0379C" w:rsidRDefault="005D50E0" w:rsidP="00E25193">
      <w:pPr>
        <w:pStyle w:val="BodyText"/>
        <w:spacing w:line="276" w:lineRule="auto"/>
        <w:ind w:right="545"/>
      </w:pPr>
      <w:r>
        <w:t xml:space="preserve">Given the </w:t>
      </w:r>
      <w:r w:rsidR="00206A50">
        <w:t xml:space="preserve">range of </w:t>
      </w:r>
      <w:r>
        <w:t>existing local partnerships</w:t>
      </w:r>
      <w:r w:rsidR="00206A50">
        <w:t xml:space="preserve"> in place</w:t>
      </w:r>
      <w:r>
        <w:t xml:space="preserve">, leveraging these networks </w:t>
      </w:r>
      <w:r w:rsidR="00ED36ED">
        <w:t>continues to be</w:t>
      </w:r>
      <w:r w:rsidR="004D5243">
        <w:t xml:space="preserve"> </w:t>
      </w:r>
      <w:r>
        <w:t>a</w:t>
      </w:r>
      <w:r w:rsidRPr="00E25193">
        <w:t xml:space="preserve"> </w:t>
      </w:r>
      <w:r>
        <w:t>priority.</w:t>
      </w:r>
      <w:r w:rsidR="00E25193">
        <w:t xml:space="preserve"> </w:t>
      </w:r>
    </w:p>
    <w:p w14:paraId="3B27F123" w14:textId="31B4A091" w:rsidR="005D50E0" w:rsidRPr="00E01CDC" w:rsidRDefault="005D50E0" w:rsidP="00E25193">
      <w:pPr>
        <w:pStyle w:val="BodyText"/>
        <w:spacing w:line="276" w:lineRule="auto"/>
        <w:ind w:right="545"/>
      </w:pPr>
      <w:r>
        <w:t xml:space="preserve">Metropolitan </w:t>
      </w:r>
      <w:r w:rsidR="007C03F1">
        <w:t>p</w:t>
      </w:r>
      <w:r>
        <w:t xml:space="preserve">artnerships are a mechanism for local communities to engage with the Victorian government through a range of key stakeholders and LGAs. The </w:t>
      </w:r>
      <w:r w:rsidR="007F3993">
        <w:t xml:space="preserve">Greater </w:t>
      </w:r>
      <w:r>
        <w:t>South</w:t>
      </w:r>
      <w:r w:rsidR="007F3993">
        <w:t xml:space="preserve"> East Melbourne (GSEM) </w:t>
      </w:r>
      <w:r>
        <w:t>Metropolitan Partnership includes Kingston City Council, Frankston City Council, Mornington Peninsula Shire Council, Greater Dandenong City Council, Cardinia Shire Council</w:t>
      </w:r>
      <w:r w:rsidR="007F3993">
        <w:t>, Monash City Council</w:t>
      </w:r>
      <w:r>
        <w:t xml:space="preserve"> and </w:t>
      </w:r>
      <w:r w:rsidR="00AB5DF9">
        <w:t>City of Casey</w:t>
      </w:r>
      <w:r>
        <w:t xml:space="preserve"> Council</w:t>
      </w:r>
      <w:r w:rsidR="007C03F1">
        <w:t>.</w:t>
      </w:r>
    </w:p>
    <w:p w14:paraId="5C4F241F" w14:textId="359E4866" w:rsidR="005D50E0" w:rsidRPr="00E01CDC" w:rsidRDefault="005D50E0" w:rsidP="00E25193">
      <w:pPr>
        <w:pStyle w:val="BodyText"/>
        <w:spacing w:line="276" w:lineRule="auto"/>
        <w:ind w:right="545"/>
      </w:pPr>
      <w:r>
        <w:t xml:space="preserve">There are a range of Australian Government employment programs within the Department of Education, Skills and Employment (DESE) portfolio that are delivered by </w:t>
      </w:r>
      <w:r w:rsidR="007C03F1">
        <w:t>e</w:t>
      </w:r>
      <w:r>
        <w:t xml:space="preserve">mployment </w:t>
      </w:r>
      <w:r w:rsidR="007C03F1">
        <w:t>s</w:t>
      </w:r>
      <w:r>
        <w:t xml:space="preserve">ervices </w:t>
      </w:r>
      <w:r w:rsidR="007C03F1">
        <w:t>p</w:t>
      </w:r>
      <w:r>
        <w:t xml:space="preserve">roviders in the </w:t>
      </w:r>
      <w:r w:rsidR="007C03F1">
        <w:t xml:space="preserve">SEMP </w:t>
      </w:r>
      <w:r>
        <w:t xml:space="preserve">region. </w:t>
      </w:r>
      <w:r w:rsidR="00AB5DF9">
        <w:t xml:space="preserve">Eight </w:t>
      </w:r>
      <w:r>
        <w:t xml:space="preserve">providers deliver jobactive services: AMES, </w:t>
      </w:r>
      <w:proofErr w:type="spellStart"/>
      <w:r>
        <w:t>Jobfind</w:t>
      </w:r>
      <w:proofErr w:type="spellEnd"/>
      <w:r>
        <w:t xml:space="preserve">, Job Prospects, </w:t>
      </w:r>
      <w:proofErr w:type="spellStart"/>
      <w:r>
        <w:t>MatchWorks</w:t>
      </w:r>
      <w:proofErr w:type="spellEnd"/>
      <w:r>
        <w:t>, MAX Employment, Sarina Russo Job Access</w:t>
      </w:r>
      <w:r w:rsidR="00AB5DF9">
        <w:t>, Skills Plus</w:t>
      </w:r>
      <w:r>
        <w:t xml:space="preserve"> and WISE Employment.</w:t>
      </w:r>
    </w:p>
    <w:p w14:paraId="6329A53B" w14:textId="37820CE2" w:rsidR="005D50E0" w:rsidRDefault="005D50E0" w:rsidP="00E25193">
      <w:pPr>
        <w:pStyle w:val="BodyText"/>
        <w:spacing w:line="276" w:lineRule="auto"/>
        <w:ind w:right="545"/>
      </w:pPr>
      <w:r>
        <w:t xml:space="preserve">Other DESE employment services in the region include </w:t>
      </w:r>
      <w:proofErr w:type="spellStart"/>
      <w:r>
        <w:t>ParentsNext</w:t>
      </w:r>
      <w:proofErr w:type="spellEnd"/>
      <w:r>
        <w:t xml:space="preserve">, Transition to </w:t>
      </w:r>
      <w:proofErr w:type="gramStart"/>
      <w:r>
        <w:t>Work ,</w:t>
      </w:r>
      <w:proofErr w:type="gramEnd"/>
      <w:r>
        <w:t xml:space="preserve"> New Enterprise Incentive Scheme, Career Transition Assistance, Employability Skills Training, Entrepreneurship Facilitator Services and Australian Apprenticeship Support Network.</w:t>
      </w:r>
    </w:p>
    <w:p w14:paraId="137E2940" w14:textId="72C71EB3" w:rsidR="00ED36ED" w:rsidRDefault="00ED36ED" w:rsidP="00E25193">
      <w:pPr>
        <w:pStyle w:val="BodyText"/>
        <w:spacing w:line="276" w:lineRule="auto"/>
        <w:ind w:right="545"/>
      </w:pPr>
      <w:r>
        <w:t xml:space="preserve">The operation of the Employment Service Providers </w:t>
      </w:r>
      <w:r w:rsidR="00AB5DF9">
        <w:t>Stakeholder</w:t>
      </w:r>
      <w:r>
        <w:t xml:space="preserve"> Group, which is chaired by the Employment Facilitator</w:t>
      </w:r>
      <w:r w:rsidR="00025CA4">
        <w:t>,</w:t>
      </w:r>
      <w:r>
        <w:t xml:space="preserve"> seeks to bring these </w:t>
      </w:r>
      <w:r w:rsidR="007C03F1">
        <w:t>p</w:t>
      </w:r>
      <w:r>
        <w:t xml:space="preserve">roviders together to encourage a united approach to service provision and coordinated response to regional opportunities.   </w:t>
      </w:r>
    </w:p>
    <w:p w14:paraId="32CFE556" w14:textId="3E0DDBE1" w:rsidR="00E01CDC" w:rsidRDefault="005D50E0" w:rsidP="00E25193">
      <w:pPr>
        <w:pStyle w:val="BodyText"/>
        <w:spacing w:line="276" w:lineRule="auto"/>
        <w:ind w:right="545"/>
      </w:pPr>
      <w:r>
        <w:t>Additional Australian Government programs delivered by other Commonwealth agencies include Vocational Training and Employment Centre, DES - Disability Management Service, DES - Employment Support Service, National Disability Insurance Scheme and more</w:t>
      </w:r>
      <w:r w:rsidR="00E01CDC">
        <w:t>.</w:t>
      </w:r>
    </w:p>
    <w:p w14:paraId="3379F427" w14:textId="728FA594" w:rsidR="00E01CDC" w:rsidRDefault="005D50E0" w:rsidP="00E25193">
      <w:pPr>
        <w:pStyle w:val="BodyText"/>
        <w:spacing w:line="276" w:lineRule="auto"/>
        <w:ind w:right="545"/>
      </w:pPr>
      <w:r>
        <w:t>The region is serviced by</w:t>
      </w:r>
      <w:r w:rsidR="00990BAE">
        <w:t xml:space="preserve"> 4</w:t>
      </w:r>
      <w:r>
        <w:t xml:space="preserve"> Australian Apprenticeship Support Network providers including</w:t>
      </w:r>
      <w:r w:rsidR="00990BAE">
        <w:t xml:space="preserve"> </w:t>
      </w:r>
      <w:r>
        <w:t>Apprenticeships Support Australia, MAS National, MEGT and Sarina Russo</w:t>
      </w:r>
      <w:r w:rsidR="00E01CDC">
        <w:t xml:space="preserve"> </w:t>
      </w:r>
      <w:r>
        <w:t xml:space="preserve">Apprenticeship Services. Group </w:t>
      </w:r>
      <w:r w:rsidR="00746CCA">
        <w:t>t</w:t>
      </w:r>
      <w:r>
        <w:t xml:space="preserve">raining </w:t>
      </w:r>
      <w:r w:rsidR="00746CCA">
        <w:t>o</w:t>
      </w:r>
      <w:r>
        <w:t>rganisations provide traineeship and apprenticeship employment and support across the region</w:t>
      </w:r>
    </w:p>
    <w:p w14:paraId="1E27E37F" w14:textId="4E419DEF" w:rsidR="005D50E0" w:rsidRDefault="00ED36ED" w:rsidP="00E25193">
      <w:pPr>
        <w:pStyle w:val="BodyText"/>
        <w:spacing w:before="46" w:line="276" w:lineRule="auto"/>
        <w:ind w:right="199"/>
      </w:pPr>
      <w:r>
        <w:t xml:space="preserve">Working in alignment </w:t>
      </w:r>
      <w:r w:rsidR="00E01CDC">
        <w:t>with</w:t>
      </w:r>
      <w:r>
        <w:t xml:space="preserve"> the </w:t>
      </w:r>
      <w:r w:rsidR="00025CA4">
        <w:t>Australian</w:t>
      </w:r>
      <w:r>
        <w:t xml:space="preserve"> </w:t>
      </w:r>
      <w:r w:rsidR="00746CCA">
        <w:t>g</w:t>
      </w:r>
      <w:r>
        <w:t xml:space="preserve">overnment </w:t>
      </w:r>
      <w:r w:rsidR="00746CCA">
        <w:t>e</w:t>
      </w:r>
      <w:r w:rsidR="00025CA4">
        <w:t xml:space="preserve">mployment </w:t>
      </w:r>
      <w:r w:rsidR="00746CCA">
        <w:t>s</w:t>
      </w:r>
      <w:r>
        <w:t>ervices, t</w:t>
      </w:r>
      <w:r w:rsidR="005D50E0">
        <w:t xml:space="preserve">he Victorian </w:t>
      </w:r>
      <w:r w:rsidR="00746CCA">
        <w:t>g</w:t>
      </w:r>
      <w:r w:rsidR="005D50E0">
        <w:t>overnment employment programs include:</w:t>
      </w:r>
    </w:p>
    <w:p w14:paraId="7B4F51DB" w14:textId="77777777" w:rsidR="005D50E0" w:rsidRDefault="005D50E0" w:rsidP="005D50E0">
      <w:pPr>
        <w:pStyle w:val="ListParagraph"/>
        <w:widowControl w:val="0"/>
        <w:numPr>
          <w:ilvl w:val="2"/>
          <w:numId w:val="40"/>
        </w:numPr>
        <w:tabs>
          <w:tab w:val="left" w:pos="820"/>
          <w:tab w:val="left" w:pos="821"/>
        </w:tabs>
        <w:autoSpaceDE w:val="0"/>
        <w:autoSpaceDN w:val="0"/>
        <w:spacing w:after="0"/>
        <w:ind w:left="820" w:right="337"/>
        <w:contextualSpacing w:val="0"/>
      </w:pPr>
      <w:r>
        <w:t>Jobs Victoria Employment Services (replaced JVEN)</w:t>
      </w:r>
    </w:p>
    <w:p w14:paraId="2D042CC8" w14:textId="77777777" w:rsidR="005D50E0" w:rsidRDefault="005D50E0" w:rsidP="005D50E0">
      <w:pPr>
        <w:pStyle w:val="ListParagraph"/>
        <w:widowControl w:val="0"/>
        <w:numPr>
          <w:ilvl w:val="2"/>
          <w:numId w:val="40"/>
        </w:numPr>
        <w:tabs>
          <w:tab w:val="left" w:pos="820"/>
          <w:tab w:val="left" w:pos="821"/>
        </w:tabs>
        <w:autoSpaceDE w:val="0"/>
        <w:autoSpaceDN w:val="0"/>
        <w:spacing w:after="0" w:line="240" w:lineRule="auto"/>
        <w:ind w:left="820"/>
        <w:contextualSpacing w:val="0"/>
      </w:pPr>
      <w:r>
        <w:t>Skills and Jobs Centre, Chisholm Institute</w:t>
      </w:r>
      <w:r>
        <w:rPr>
          <w:spacing w:val="-11"/>
        </w:rPr>
        <w:t xml:space="preserve"> </w:t>
      </w:r>
      <w:r>
        <w:t>Dandenong</w:t>
      </w:r>
    </w:p>
    <w:p w14:paraId="1436AFA1" w14:textId="77777777" w:rsidR="005D50E0" w:rsidRDefault="005D50E0" w:rsidP="005D50E0">
      <w:pPr>
        <w:pStyle w:val="ListParagraph"/>
        <w:widowControl w:val="0"/>
        <w:numPr>
          <w:ilvl w:val="2"/>
          <w:numId w:val="40"/>
        </w:numPr>
        <w:tabs>
          <w:tab w:val="left" w:pos="820"/>
          <w:tab w:val="left" w:pos="821"/>
        </w:tabs>
        <w:autoSpaceDE w:val="0"/>
        <w:autoSpaceDN w:val="0"/>
        <w:spacing w:before="40" w:after="0" w:line="240" w:lineRule="auto"/>
        <w:ind w:left="820"/>
        <w:contextualSpacing w:val="0"/>
      </w:pPr>
      <w:r>
        <w:t>Working for</w:t>
      </w:r>
      <w:r>
        <w:rPr>
          <w:spacing w:val="-3"/>
        </w:rPr>
        <w:t xml:space="preserve"> </w:t>
      </w:r>
      <w:r>
        <w:t>Victoria</w:t>
      </w:r>
    </w:p>
    <w:p w14:paraId="10FC6518" w14:textId="77777777" w:rsidR="005D50E0" w:rsidRDefault="005D50E0" w:rsidP="005D50E0">
      <w:pPr>
        <w:pStyle w:val="ListParagraph"/>
        <w:widowControl w:val="0"/>
        <w:numPr>
          <w:ilvl w:val="2"/>
          <w:numId w:val="40"/>
        </w:numPr>
        <w:tabs>
          <w:tab w:val="left" w:pos="820"/>
          <w:tab w:val="left" w:pos="821"/>
        </w:tabs>
        <w:autoSpaceDE w:val="0"/>
        <w:autoSpaceDN w:val="0"/>
        <w:spacing w:before="38" w:after="0" w:line="240" w:lineRule="auto"/>
        <w:ind w:left="820"/>
        <w:contextualSpacing w:val="0"/>
      </w:pPr>
      <w:r>
        <w:t>Jobs Victoria On-line Digital</w:t>
      </w:r>
      <w:r>
        <w:rPr>
          <w:spacing w:val="-9"/>
        </w:rPr>
        <w:t xml:space="preserve"> </w:t>
      </w:r>
      <w:r>
        <w:t>Platform</w:t>
      </w:r>
    </w:p>
    <w:p w14:paraId="3DBF06A3" w14:textId="29370286" w:rsidR="005D50E0" w:rsidRDefault="005D50E0" w:rsidP="005D50E0">
      <w:pPr>
        <w:pStyle w:val="ListParagraph"/>
        <w:widowControl w:val="0"/>
        <w:numPr>
          <w:ilvl w:val="2"/>
          <w:numId w:val="40"/>
        </w:numPr>
        <w:tabs>
          <w:tab w:val="left" w:pos="820"/>
          <w:tab w:val="left" w:pos="821"/>
        </w:tabs>
        <w:autoSpaceDE w:val="0"/>
        <w:autoSpaceDN w:val="0"/>
        <w:spacing w:before="41" w:after="0" w:line="240" w:lineRule="auto"/>
        <w:ind w:left="820"/>
        <w:contextualSpacing w:val="0"/>
      </w:pPr>
      <w:r>
        <w:t xml:space="preserve">Jobs Victoria Career Counselling Service </w:t>
      </w:r>
    </w:p>
    <w:p w14:paraId="646E688A" w14:textId="77777777" w:rsidR="005D50E0" w:rsidRDefault="005D50E0" w:rsidP="005D50E0">
      <w:pPr>
        <w:pStyle w:val="ListParagraph"/>
        <w:widowControl w:val="0"/>
        <w:numPr>
          <w:ilvl w:val="2"/>
          <w:numId w:val="40"/>
        </w:numPr>
        <w:tabs>
          <w:tab w:val="left" w:pos="820"/>
          <w:tab w:val="left" w:pos="821"/>
        </w:tabs>
        <w:autoSpaceDE w:val="0"/>
        <w:autoSpaceDN w:val="0"/>
        <w:spacing w:before="39" w:after="0" w:line="240" w:lineRule="auto"/>
        <w:ind w:left="820"/>
        <w:contextualSpacing w:val="0"/>
      </w:pPr>
      <w:r>
        <w:t>Jobs</w:t>
      </w:r>
      <w:r>
        <w:rPr>
          <w:spacing w:val="-1"/>
        </w:rPr>
        <w:t xml:space="preserve"> </w:t>
      </w:r>
      <w:r>
        <w:t>Advocates</w:t>
      </w:r>
    </w:p>
    <w:p w14:paraId="7AAD615A" w14:textId="77777777" w:rsidR="005D50E0" w:rsidRDefault="005D50E0" w:rsidP="005D50E0">
      <w:pPr>
        <w:pStyle w:val="ListParagraph"/>
        <w:widowControl w:val="0"/>
        <w:numPr>
          <w:ilvl w:val="2"/>
          <w:numId w:val="40"/>
        </w:numPr>
        <w:tabs>
          <w:tab w:val="left" w:pos="820"/>
          <w:tab w:val="left" w:pos="821"/>
        </w:tabs>
        <w:autoSpaceDE w:val="0"/>
        <w:autoSpaceDN w:val="0"/>
        <w:spacing w:before="41" w:after="0" w:line="240" w:lineRule="auto"/>
        <w:ind w:left="820"/>
        <w:contextualSpacing w:val="0"/>
      </w:pPr>
      <w:r>
        <w:t>Community Traineeship</w:t>
      </w:r>
      <w:r>
        <w:rPr>
          <w:spacing w:val="-13"/>
        </w:rPr>
        <w:t xml:space="preserve"> </w:t>
      </w:r>
      <w:r>
        <w:t>Program</w:t>
      </w:r>
    </w:p>
    <w:p w14:paraId="687CB720" w14:textId="77777777" w:rsidR="005D50E0" w:rsidRDefault="005D50E0" w:rsidP="005D50E0">
      <w:pPr>
        <w:pStyle w:val="ListParagraph"/>
        <w:widowControl w:val="0"/>
        <w:numPr>
          <w:ilvl w:val="2"/>
          <w:numId w:val="40"/>
        </w:numPr>
        <w:tabs>
          <w:tab w:val="left" w:pos="820"/>
          <w:tab w:val="left" w:pos="821"/>
        </w:tabs>
        <w:autoSpaceDE w:val="0"/>
        <w:autoSpaceDN w:val="0"/>
        <w:spacing w:before="39" w:after="0" w:line="240" w:lineRule="auto"/>
        <w:ind w:left="820"/>
        <w:contextualSpacing w:val="0"/>
      </w:pPr>
      <w:r>
        <w:t>Working for Victoria Youth Employment</w:t>
      </w:r>
      <w:r>
        <w:rPr>
          <w:spacing w:val="-13"/>
        </w:rPr>
        <w:t xml:space="preserve"> </w:t>
      </w:r>
      <w:r>
        <w:t>Program</w:t>
      </w:r>
    </w:p>
    <w:p w14:paraId="138A232A" w14:textId="18C46C6D" w:rsidR="005D50E0" w:rsidRDefault="005D50E0" w:rsidP="005D50E0">
      <w:pPr>
        <w:pStyle w:val="ListParagraph"/>
        <w:widowControl w:val="0"/>
        <w:numPr>
          <w:ilvl w:val="2"/>
          <w:numId w:val="40"/>
        </w:numPr>
        <w:tabs>
          <w:tab w:val="left" w:pos="820"/>
          <w:tab w:val="left" w:pos="821"/>
        </w:tabs>
        <w:autoSpaceDE w:val="0"/>
        <w:autoSpaceDN w:val="0"/>
        <w:spacing w:before="41" w:after="0" w:line="240" w:lineRule="auto"/>
        <w:ind w:left="820"/>
        <w:contextualSpacing w:val="0"/>
      </w:pPr>
      <w:r>
        <w:t>Youth Employment</w:t>
      </w:r>
      <w:r>
        <w:rPr>
          <w:spacing w:val="-12"/>
        </w:rPr>
        <w:t xml:space="preserve"> </w:t>
      </w:r>
      <w:r>
        <w:t>Scheme</w:t>
      </w:r>
      <w:r w:rsidR="00990BAE">
        <w:t>; and</w:t>
      </w:r>
    </w:p>
    <w:p w14:paraId="3573C23F" w14:textId="42804B4B" w:rsidR="005D50E0" w:rsidRDefault="005D50E0" w:rsidP="00206A50">
      <w:pPr>
        <w:pStyle w:val="ListParagraph"/>
        <w:widowControl w:val="0"/>
        <w:numPr>
          <w:ilvl w:val="2"/>
          <w:numId w:val="40"/>
        </w:numPr>
        <w:tabs>
          <w:tab w:val="left" w:pos="820"/>
          <w:tab w:val="left" w:pos="821"/>
        </w:tabs>
        <w:autoSpaceDE w:val="0"/>
        <w:autoSpaceDN w:val="0"/>
        <w:spacing w:after="240" w:line="240" w:lineRule="auto"/>
        <w:ind w:left="820"/>
        <w:contextualSpacing w:val="0"/>
      </w:pPr>
      <w:r>
        <w:t>Victorian Social Enterprise</w:t>
      </w:r>
      <w:r>
        <w:rPr>
          <w:spacing w:val="-18"/>
        </w:rPr>
        <w:t xml:space="preserve"> </w:t>
      </w:r>
      <w:r>
        <w:t>Strategy</w:t>
      </w:r>
      <w:r w:rsidR="00990BAE">
        <w:t>.</w:t>
      </w:r>
    </w:p>
    <w:p w14:paraId="7C27FE31" w14:textId="4FC0145F" w:rsidR="00206A50" w:rsidRDefault="00206A50" w:rsidP="00206A50">
      <w:pPr>
        <w:pStyle w:val="BodyText"/>
        <w:spacing w:line="276" w:lineRule="auto"/>
        <w:ind w:right="545"/>
      </w:pPr>
      <w:r>
        <w:lastRenderedPageBreak/>
        <w:t>Education providers include Chisholm TAFE, Deakin University, Monash University, Federation University,</w:t>
      </w:r>
      <w:r w:rsidR="007F3993">
        <w:t xml:space="preserve"> over 50 </w:t>
      </w:r>
      <w:r>
        <w:t xml:space="preserve">Learn Local providers, </w:t>
      </w:r>
      <w:r w:rsidR="00746CCA">
        <w:t>3</w:t>
      </w:r>
      <w:r>
        <w:t xml:space="preserve"> Local Learning and Employment Networks and numerous</w:t>
      </w:r>
      <w:r w:rsidR="007F3993">
        <w:t xml:space="preserve"> </w:t>
      </w:r>
      <w:r w:rsidR="00746CCA">
        <w:t>r</w:t>
      </w:r>
      <w:r w:rsidR="007F3993">
        <w:t xml:space="preserve">egistered </w:t>
      </w:r>
      <w:r w:rsidR="00746CCA">
        <w:t>t</w:t>
      </w:r>
      <w:r w:rsidR="007F3993">
        <w:t xml:space="preserve">raining </w:t>
      </w:r>
      <w:r w:rsidR="00746CCA">
        <w:t>o</w:t>
      </w:r>
      <w:r w:rsidR="007F3993">
        <w:t>rganisation</w:t>
      </w:r>
      <w:r w:rsidR="00746CCA">
        <w:t>s</w:t>
      </w:r>
      <w:r w:rsidR="007F3993">
        <w:t xml:space="preserve"> with</w:t>
      </w:r>
      <w:r>
        <w:t xml:space="preserve"> industry specific vocational training </w:t>
      </w:r>
      <w:r w:rsidR="007F3993">
        <w:t>focuses</w:t>
      </w:r>
      <w:r>
        <w:t>. Mental health services are delivered by various organisations in the region, such as Monash Health, Peninsula Health and Headspace.</w:t>
      </w:r>
    </w:p>
    <w:p w14:paraId="4BF998A1" w14:textId="16DA61FF" w:rsidR="00206A50" w:rsidRDefault="00206A50" w:rsidP="00206A50">
      <w:pPr>
        <w:pStyle w:val="BodyText"/>
        <w:spacing w:before="199" w:line="276" w:lineRule="auto"/>
        <w:ind w:right="1056"/>
      </w:pPr>
      <w:r>
        <w:t xml:space="preserve">The Victorian Chamber of Commerce is an important stakeholder in the </w:t>
      </w:r>
      <w:r w:rsidR="00AB5DF9">
        <w:t>SEMP</w:t>
      </w:r>
      <w:r>
        <w:t xml:space="preserve"> </w:t>
      </w:r>
      <w:r w:rsidR="008A1156">
        <w:t>r</w:t>
      </w:r>
      <w:r>
        <w:t xml:space="preserve">egion with </w:t>
      </w:r>
      <w:r w:rsidR="00746CCA">
        <w:t>5</w:t>
      </w:r>
      <w:r>
        <w:t xml:space="preserve"> major industry sectors represented by members.</w:t>
      </w:r>
    </w:p>
    <w:p w14:paraId="658D79DE" w14:textId="172E2063" w:rsidR="00206A50" w:rsidRPr="00206A50" w:rsidRDefault="005D50E0" w:rsidP="00206A50">
      <w:pPr>
        <w:pStyle w:val="BodyText"/>
        <w:spacing w:after="240" w:line="276" w:lineRule="auto"/>
        <w:ind w:right="408"/>
      </w:pPr>
      <w:r>
        <w:t xml:space="preserve">A number of labour hire and private recruitment companies also operate in the region, with employment opportunities in the construction, manufacturing, warehousing, logistics, </w:t>
      </w:r>
      <w:r w:rsidR="007F3993">
        <w:t xml:space="preserve">retail, hospitality, </w:t>
      </w:r>
      <w:proofErr w:type="spellStart"/>
      <w:proofErr w:type="gramStart"/>
      <w:r w:rsidR="007F3993">
        <w:t>health</w:t>
      </w:r>
      <w:r w:rsidR="00746CCA">
        <w:t>,</w:t>
      </w:r>
      <w:r>
        <w:t>freight</w:t>
      </w:r>
      <w:proofErr w:type="spellEnd"/>
      <w:proofErr w:type="gramEnd"/>
      <w:r>
        <w:t xml:space="preserve"> and transport sectors.</w:t>
      </w:r>
    </w:p>
    <w:p w14:paraId="0826FA23" w14:textId="01383D1F" w:rsidR="006D70CC" w:rsidRPr="00206A50" w:rsidRDefault="006D70CC" w:rsidP="00206A50">
      <w:pPr>
        <w:pStyle w:val="Heading1"/>
        <w:rPr>
          <w:noProof w:val="0"/>
        </w:rPr>
      </w:pPr>
      <w:bookmarkStart w:id="8" w:name="_Toc95225115"/>
      <w:r w:rsidRPr="00206A50">
        <w:rPr>
          <w:noProof w:val="0"/>
        </w:rPr>
        <w:t>Large employing industries and employers</w:t>
      </w:r>
      <w:bookmarkEnd w:id="8"/>
    </w:p>
    <w:p w14:paraId="5A56CFE1" w14:textId="33A252DE" w:rsidR="006D70CC" w:rsidRDefault="006D70CC" w:rsidP="00E25193">
      <w:pPr>
        <w:pStyle w:val="BodyText"/>
        <w:spacing w:line="276" w:lineRule="auto"/>
        <w:ind w:right="545"/>
      </w:pPr>
      <w:r>
        <w:t xml:space="preserve">The </w:t>
      </w:r>
      <w:r w:rsidR="00AB5DF9">
        <w:t>SEMP</w:t>
      </w:r>
      <w:r>
        <w:t xml:space="preserve"> region has a diverse labour market profile, spanning professional and knowledge industry precincts, manufacturing and transport hubs, heavy industry, tourism and recreational services, and regional horticulture and rural grazing areas.</w:t>
      </w:r>
      <w:r w:rsidR="007F3993">
        <w:t xml:space="preserve"> There remains considerable difference in employer profile size with the </w:t>
      </w:r>
      <w:r w:rsidR="00D83BAB">
        <w:t>P</w:t>
      </w:r>
      <w:r w:rsidR="007F3993">
        <w:t xml:space="preserve">eninsular largely made up of small employers whereby the </w:t>
      </w:r>
      <w:r w:rsidR="00D83BAB">
        <w:t>S</w:t>
      </w:r>
      <w:r w:rsidR="007F3993">
        <w:t xml:space="preserve">outh </w:t>
      </w:r>
      <w:r w:rsidR="00D83BAB">
        <w:t>E</w:t>
      </w:r>
      <w:r w:rsidR="007F3993">
        <w:t>ast has a higher concentration of medium to large employers.</w:t>
      </w:r>
    </w:p>
    <w:p w14:paraId="4F71C94C" w14:textId="7BC65AC7" w:rsidR="006D70CC" w:rsidRDefault="006D70CC" w:rsidP="00E25193">
      <w:pPr>
        <w:pStyle w:val="BodyText"/>
        <w:spacing w:line="276" w:lineRule="auto"/>
        <w:ind w:right="545"/>
      </w:pPr>
      <w:r>
        <w:t xml:space="preserve">The Health Care and Social Assistance </w:t>
      </w:r>
      <w:r w:rsidR="00DC33D3">
        <w:t>industry</w:t>
      </w:r>
      <w:r>
        <w:t xml:space="preserve"> continues to grow strongly, adding 27,000 jobs in the </w:t>
      </w:r>
      <w:r w:rsidR="00DC33D3">
        <w:t xml:space="preserve">SEMP </w:t>
      </w:r>
      <w:r>
        <w:t>region over the last 5 years.</w:t>
      </w:r>
      <w:r w:rsidR="00206A50">
        <w:rPr>
          <w:rStyle w:val="FootnoteReference"/>
        </w:rPr>
        <w:footnoteReference w:id="8"/>
      </w:r>
      <w:r w:rsidRPr="00E25193">
        <w:t xml:space="preserve"> </w:t>
      </w:r>
      <w:r>
        <w:t xml:space="preserve">Some large employers in this </w:t>
      </w:r>
      <w:r w:rsidR="00DC33D3">
        <w:t>industry</w:t>
      </w:r>
      <w:r>
        <w:t xml:space="preserve"> include Peninsula Health, Monash </w:t>
      </w:r>
      <w:proofErr w:type="gramStart"/>
      <w:r>
        <w:t>Health</w:t>
      </w:r>
      <w:proofErr w:type="gramEnd"/>
      <w:r>
        <w:t xml:space="preserve"> and a wide variety of aged and disability care providers</w:t>
      </w:r>
      <w:r w:rsidR="00DC33D3">
        <w:t>.</w:t>
      </w:r>
    </w:p>
    <w:p w14:paraId="5B444B4A" w14:textId="10973CB0" w:rsidR="006D70CC" w:rsidRDefault="006D70CC" w:rsidP="00E25193">
      <w:pPr>
        <w:pStyle w:val="BodyText"/>
        <w:spacing w:line="276" w:lineRule="auto"/>
        <w:ind w:right="545"/>
      </w:pPr>
      <w:r>
        <w:t xml:space="preserve">Some of the employers delivering major construction projects in the </w:t>
      </w:r>
      <w:r w:rsidR="00DC33D3">
        <w:t xml:space="preserve">SEMP </w:t>
      </w:r>
      <w:r>
        <w:t>region include John Holland,</w:t>
      </w:r>
      <w:r w:rsidR="00ED36ED">
        <w:t xml:space="preserve"> Multiple, Downer,</w:t>
      </w:r>
      <w:r>
        <w:t xml:space="preserve"> CPB Contractors, Fulton Hogan, ADCO Constructions and Johns </w:t>
      </w:r>
      <w:proofErr w:type="spellStart"/>
      <w:r>
        <w:t>Lyng</w:t>
      </w:r>
      <w:proofErr w:type="spellEnd"/>
      <w:r>
        <w:t xml:space="preserve"> Group. This sector provides a variety of skill development opportunities, including upskilling and reskilling through training, </w:t>
      </w:r>
      <w:proofErr w:type="gramStart"/>
      <w:r>
        <w:t>apprenticeship</w:t>
      </w:r>
      <w:proofErr w:type="gramEnd"/>
      <w:r>
        <w:t xml:space="preserve"> and traineeships.</w:t>
      </w:r>
    </w:p>
    <w:p w14:paraId="66093830" w14:textId="627ED303" w:rsidR="006D70CC" w:rsidRDefault="006D70CC" w:rsidP="00E25193">
      <w:pPr>
        <w:pStyle w:val="BodyText"/>
        <w:spacing w:line="276" w:lineRule="auto"/>
        <w:ind w:right="545"/>
      </w:pPr>
      <w:r>
        <w:t>Selected Food and Fibre industry businesses include Yakult, Gippsland Da</w:t>
      </w:r>
      <w:r w:rsidR="00AB5DF9">
        <w:t>i</w:t>
      </w:r>
      <w:r>
        <w:t xml:space="preserve">ry, Tip Top, Spuds ‘R’ Us, Prestige </w:t>
      </w:r>
      <w:proofErr w:type="gramStart"/>
      <w:r>
        <w:t>Foods</w:t>
      </w:r>
      <w:proofErr w:type="gramEnd"/>
      <w:r>
        <w:t xml:space="preserve"> and </w:t>
      </w:r>
      <w:proofErr w:type="spellStart"/>
      <w:r>
        <w:t>Sicluna’s</w:t>
      </w:r>
      <w:proofErr w:type="spellEnd"/>
      <w:r>
        <w:t xml:space="preserve"> Wholesale.</w:t>
      </w:r>
    </w:p>
    <w:p w14:paraId="6B78F017" w14:textId="2977B170" w:rsidR="00ED36ED" w:rsidRDefault="00ED36ED" w:rsidP="00E25193">
      <w:pPr>
        <w:pStyle w:val="BodyText"/>
        <w:spacing w:line="276" w:lineRule="auto"/>
        <w:ind w:right="545"/>
      </w:pPr>
      <w:r>
        <w:t xml:space="preserve">The </w:t>
      </w:r>
      <w:r w:rsidR="000F327B">
        <w:t xml:space="preserve">SEMP </w:t>
      </w:r>
      <w:r>
        <w:t xml:space="preserve">region is home to a large manufacturing employer base which includes both large (Jayco, Bombardier, </w:t>
      </w:r>
      <w:proofErr w:type="spellStart"/>
      <w:r>
        <w:t>Bluescope</w:t>
      </w:r>
      <w:proofErr w:type="spellEnd"/>
      <w:r>
        <w:t>), medium and small manufacture</w:t>
      </w:r>
      <w:r w:rsidR="00451D31">
        <w:t>r</w:t>
      </w:r>
      <w:r>
        <w:t xml:space="preserve">s covering a wide range of products. The </w:t>
      </w:r>
      <w:r w:rsidR="00451D31">
        <w:t>t</w:t>
      </w:r>
      <w:r>
        <w:t xml:space="preserve">ransport and </w:t>
      </w:r>
      <w:r w:rsidR="00451D31">
        <w:t>l</w:t>
      </w:r>
      <w:r>
        <w:t xml:space="preserve">ogistics </w:t>
      </w:r>
      <w:r w:rsidR="00451D31">
        <w:t xml:space="preserve">sector </w:t>
      </w:r>
      <w:r>
        <w:t xml:space="preserve">remains a large and increasing employer with major organisations including Bunnings Warehouse, Australia Post, Coles, </w:t>
      </w:r>
      <w:proofErr w:type="gramStart"/>
      <w:r>
        <w:t>Woolworths</w:t>
      </w:r>
      <w:proofErr w:type="gramEnd"/>
      <w:r>
        <w:t xml:space="preserve"> </w:t>
      </w:r>
      <w:r w:rsidR="00451D31">
        <w:t xml:space="preserve">and </w:t>
      </w:r>
      <w:r>
        <w:t>Amazon</w:t>
      </w:r>
      <w:r w:rsidR="00451D31">
        <w:t>.</w:t>
      </w:r>
    </w:p>
    <w:p w14:paraId="35392DDE" w14:textId="4E6296E3" w:rsidR="00DC33D3" w:rsidRDefault="006D70CC" w:rsidP="003150C7">
      <w:pPr>
        <w:pStyle w:val="BodyText"/>
        <w:spacing w:after="240" w:line="276" w:lineRule="auto"/>
        <w:ind w:right="545"/>
      </w:pPr>
      <w:r>
        <w:t xml:space="preserve">Other major employers in the </w:t>
      </w:r>
      <w:r w:rsidR="00DC33D3">
        <w:t xml:space="preserve">SEMP </w:t>
      </w:r>
      <w:r>
        <w:t>region include local councils, Monash University, Deakin University, Federation University</w:t>
      </w:r>
      <w:r w:rsidR="00ED36ED">
        <w:t xml:space="preserve"> and</w:t>
      </w:r>
      <w:r>
        <w:t xml:space="preserve"> Chisholm TAFE</w:t>
      </w:r>
      <w:r w:rsidR="00451D31">
        <w:t>.</w:t>
      </w:r>
      <w:r>
        <w:t xml:space="preserve"> </w:t>
      </w:r>
    </w:p>
    <w:p w14:paraId="374367C5" w14:textId="2FF0BA39" w:rsidR="003150C7" w:rsidRDefault="003150C7" w:rsidP="003150C7">
      <w:pPr>
        <w:pStyle w:val="BodyText"/>
        <w:spacing w:after="240" w:line="276" w:lineRule="auto"/>
        <w:ind w:right="545"/>
      </w:pPr>
    </w:p>
    <w:p w14:paraId="4124E563" w14:textId="77777777" w:rsidR="003150C7" w:rsidRDefault="003150C7" w:rsidP="003150C7">
      <w:pPr>
        <w:pStyle w:val="BodyText"/>
        <w:spacing w:after="240" w:line="276" w:lineRule="auto"/>
        <w:ind w:right="545"/>
      </w:pPr>
    </w:p>
    <w:p w14:paraId="1D71B1AC" w14:textId="77777777" w:rsidR="003150C7" w:rsidRPr="003150C7" w:rsidRDefault="003150C7" w:rsidP="003150C7"/>
    <w:p w14:paraId="206257C6" w14:textId="1473B025" w:rsidR="00DB41C2" w:rsidRPr="00206A50" w:rsidRDefault="00DB41C2" w:rsidP="00206A50">
      <w:pPr>
        <w:pStyle w:val="Heading1"/>
        <w:rPr>
          <w:noProof w:val="0"/>
        </w:rPr>
      </w:pPr>
      <w:bookmarkStart w:id="9" w:name="_Toc95225116"/>
      <w:r w:rsidRPr="00206A50">
        <w:rPr>
          <w:noProof w:val="0"/>
        </w:rPr>
        <w:lastRenderedPageBreak/>
        <w:t>Selected Major Projects</w:t>
      </w:r>
      <w:bookmarkEnd w:id="9"/>
    </w:p>
    <w:p w14:paraId="68EBE3DF" w14:textId="5136FDA9" w:rsidR="00206A50" w:rsidRDefault="00DB41C2" w:rsidP="00206A50">
      <w:pPr>
        <w:pStyle w:val="BodyText"/>
        <w:spacing w:line="276" w:lineRule="auto"/>
      </w:pPr>
      <w:r>
        <w:t xml:space="preserve">The </w:t>
      </w:r>
      <w:r w:rsidR="00AB5DF9">
        <w:t>SEMP</w:t>
      </w:r>
      <w:r>
        <w:t xml:space="preserve"> region has a large pipeline of major projects which present employment and skill-building opportunities for local job seekers.</w:t>
      </w:r>
      <w:r w:rsidR="008A1156">
        <w:t xml:space="preserve"> </w:t>
      </w:r>
      <w:r>
        <w:t>Major projects currently being undertaken include track duplication and level crossing removals for the Cranbourne Line upgrade, the Monash Freeway and South Gippsland Highway upgrades and new school building and upgrade projects.</w:t>
      </w:r>
    </w:p>
    <w:p w14:paraId="39D598C5" w14:textId="3C5A320F" w:rsidR="00206A50" w:rsidRDefault="00DB41C2" w:rsidP="00206A50">
      <w:pPr>
        <w:pStyle w:val="BodyText"/>
        <w:spacing w:line="276" w:lineRule="auto"/>
      </w:pPr>
      <w:r>
        <w:t>Other projects in the pipeline include the</w:t>
      </w:r>
      <w:r w:rsidR="00ED36ED">
        <w:t xml:space="preserve"> upgrade of the Frankston Hospital, the</w:t>
      </w:r>
      <w:r>
        <w:t xml:space="preserve"> electrification of Frankston line to Baxter, the construction of the Officer Town Centre Precinct in Cardinia Shire, the upgrade of Hall Rd and Western Port Highway roundabouts, the Dandenong Central Business District revitalisation, redevelopment of Cardinia Cultural Centre and the duplication of rail tracks between Dandenong and Cranbourne.</w:t>
      </w:r>
      <w:bookmarkStart w:id="10" w:name="_Toc25859225"/>
      <w:bookmarkStart w:id="11" w:name="_Toc25859302"/>
      <w:bookmarkStart w:id="12" w:name="_Toc25860024"/>
      <w:bookmarkStart w:id="13" w:name="_Toc25859229"/>
      <w:bookmarkStart w:id="14" w:name="_Toc25859306"/>
      <w:bookmarkStart w:id="15" w:name="_Toc25860028"/>
      <w:bookmarkStart w:id="16" w:name="_Toc25859230"/>
      <w:bookmarkStart w:id="17" w:name="_Toc25859307"/>
      <w:bookmarkStart w:id="18" w:name="_Toc25860029"/>
      <w:bookmarkStart w:id="19" w:name="_Toc25859233"/>
      <w:bookmarkStart w:id="20" w:name="_Toc25859310"/>
      <w:bookmarkStart w:id="21" w:name="_Toc25860032"/>
      <w:bookmarkEnd w:id="1"/>
      <w:bookmarkEnd w:id="3"/>
      <w:bookmarkEnd w:id="10"/>
      <w:bookmarkEnd w:id="11"/>
      <w:bookmarkEnd w:id="12"/>
      <w:bookmarkEnd w:id="13"/>
      <w:bookmarkEnd w:id="14"/>
      <w:bookmarkEnd w:id="15"/>
      <w:bookmarkEnd w:id="16"/>
      <w:bookmarkEnd w:id="17"/>
      <w:bookmarkEnd w:id="18"/>
      <w:bookmarkEnd w:id="19"/>
      <w:bookmarkEnd w:id="20"/>
      <w:bookmarkEnd w:id="21"/>
    </w:p>
    <w:p w14:paraId="34DA78D4" w14:textId="23489650" w:rsidR="006F3262" w:rsidRPr="006F3262" w:rsidRDefault="006F3262" w:rsidP="005C11DD">
      <w:pPr>
        <w:pStyle w:val="Heading1"/>
        <w:spacing w:line="276" w:lineRule="auto"/>
      </w:pPr>
      <w:bookmarkStart w:id="22" w:name="_Toc95225117"/>
      <w:r>
        <w:t>Labour Market Data</w:t>
      </w:r>
      <w:bookmarkEnd w:id="22"/>
    </w:p>
    <w:p w14:paraId="25036C8A" w14:textId="03958ACB" w:rsidR="006F3262" w:rsidRPr="00025CA4" w:rsidRDefault="006F3262" w:rsidP="00206A50">
      <w:pPr>
        <w:pStyle w:val="BodyText"/>
        <w:spacing w:line="276" w:lineRule="auto"/>
        <w:sectPr w:rsidR="006F3262" w:rsidRPr="00025CA4" w:rsidSect="009A0D3F">
          <w:headerReference w:type="default" r:id="rId14"/>
          <w:footerReference w:type="default" r:id="rId15"/>
          <w:type w:val="continuous"/>
          <w:pgSz w:w="11906" w:h="16838"/>
          <w:pgMar w:top="1276" w:right="1418" w:bottom="1135" w:left="1440" w:header="709" w:footer="567" w:gutter="0"/>
          <w:cols w:space="708"/>
          <w:docGrid w:linePitch="360"/>
        </w:sectPr>
      </w:pPr>
      <w:r>
        <w:t xml:space="preserve">The most recently available Labour Market Data </w:t>
      </w:r>
      <w:r w:rsidR="005C11DD">
        <w:t>D</w:t>
      </w:r>
      <w:r>
        <w:t>ashboard in Attachment A below</w:t>
      </w:r>
      <w:r w:rsidR="00625566">
        <w:t xml:space="preserve"> </w:t>
      </w:r>
      <w:r w:rsidR="005C11DD">
        <w:t>provide</w:t>
      </w:r>
      <w:r w:rsidR="00625566">
        <w:t>s a range of</w:t>
      </w:r>
      <w:r w:rsidR="005C11DD">
        <w:t xml:space="preserve"> insights into local labour market conditions for the </w:t>
      </w:r>
      <w:r w:rsidR="00DC33D3">
        <w:t>SEMP</w:t>
      </w:r>
      <w:r w:rsidR="005C11DD">
        <w:t xml:space="preserve"> Region. Additional labour market information at the Employment Region level can also be found on the </w:t>
      </w:r>
      <w:hyperlink r:id="rId16" w:history="1">
        <w:r w:rsidR="005C11DD" w:rsidRPr="005C11DD">
          <w:rPr>
            <w:rStyle w:val="Hyperlink"/>
          </w:rPr>
          <w:t>Labour Market Information Portal</w:t>
        </w:r>
      </w:hyperlink>
      <w:r w:rsidR="005C11DD">
        <w:t xml:space="preserve"> and the </w:t>
      </w:r>
      <w:hyperlink r:id="rId17" w:history="1">
        <w:r w:rsidR="005C11DD" w:rsidRPr="005C11DD">
          <w:rPr>
            <w:rStyle w:val="Hyperlink"/>
          </w:rPr>
          <w:t>National Skills Commission</w:t>
        </w:r>
      </w:hyperlink>
      <w:r w:rsidR="005C11DD">
        <w:t xml:space="preserve"> website.</w:t>
      </w:r>
    </w:p>
    <w:p w14:paraId="192D8548" w14:textId="05A786D5" w:rsidR="00F511D8" w:rsidRPr="00D83BAB" w:rsidRDefault="00304F96" w:rsidP="00F511D8">
      <w:pPr>
        <w:pStyle w:val="Heading1"/>
      </w:pPr>
      <w:bookmarkStart w:id="23" w:name="_Toc95225118"/>
      <w:r w:rsidRPr="007D1210">
        <w:lastRenderedPageBreak/>
        <w:t xml:space="preserve">Attachment </w:t>
      </w:r>
      <w:r w:rsidR="0092732D">
        <w:t>A</w:t>
      </w:r>
      <w:r w:rsidRPr="007D1210">
        <w:t xml:space="preserve"> – Labour Market Data Dashboard </w:t>
      </w:r>
      <w:r w:rsidR="005C11DD">
        <w:t>(</w:t>
      </w:r>
      <w:r w:rsidR="00360C58">
        <w:t xml:space="preserve">November </w:t>
      </w:r>
      <w:r w:rsidRPr="007D1210">
        <w:t>2021</w:t>
      </w:r>
      <w:r w:rsidR="005C11DD">
        <w:t>)</w:t>
      </w:r>
      <w:r w:rsidR="00F511D8">
        <w:drawing>
          <wp:inline distT="0" distB="0" distL="0" distR="0" wp14:anchorId="311C77DE" wp14:editId="32A15A6E">
            <wp:extent cx="8755248" cy="6192455"/>
            <wp:effectExtent l="0" t="0" r="8255" b="0"/>
            <wp:docPr id="3" name="Picture 3" descr="This Labour Market Data Dashboard was published on 23 December 2021 and provides a summary of the key indicators for the South Eastern Melbourne and Peninsula labour market. &#10;The dashboards combine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Labour Market Data Dashboard was published on 23 December 2021 and provides a summary of the key indicators for the South Eastern Melbourne and Peninsula labour market. &#10;The dashboards combine a range of data for each of the 51 Employment Regions, to provide an overview of local labour market conditions. 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61187" cy="6196655"/>
                    </a:xfrm>
                    <a:prstGeom prst="rect">
                      <a:avLst/>
                    </a:prstGeom>
                  </pic:spPr>
                </pic:pic>
              </a:graphicData>
            </a:graphic>
          </wp:inline>
        </w:drawing>
      </w:r>
      <w:bookmarkEnd w:id="23"/>
    </w:p>
    <w:sectPr w:rsidR="00F511D8" w:rsidRPr="00D83BAB" w:rsidSect="00E01CDC">
      <w:headerReference w:type="default" r:id="rId19"/>
      <w:footerReference w:type="default" r:id="rId20"/>
      <w:pgSz w:w="16838" w:h="11906" w:orient="landscape"/>
      <w:pgMar w:top="443" w:right="1276" w:bottom="709" w:left="1135"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64AE9" w14:textId="77777777" w:rsidR="00680085" w:rsidRDefault="00680085" w:rsidP="009B031C">
      <w:r>
        <w:separator/>
      </w:r>
    </w:p>
  </w:endnote>
  <w:endnote w:type="continuationSeparator" w:id="0">
    <w:p w14:paraId="79CFA720" w14:textId="77777777" w:rsidR="00680085" w:rsidRDefault="00680085" w:rsidP="009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510346"/>
      <w:docPartObj>
        <w:docPartGallery w:val="Page Numbers (Bottom of Page)"/>
        <w:docPartUnique/>
      </w:docPartObj>
    </w:sdtPr>
    <w:sdtEndPr>
      <w:rPr>
        <w:noProof/>
        <w:color w:val="E7E6E6"/>
      </w:rPr>
    </w:sdtEndPr>
    <w:sdtContent>
      <w:p w14:paraId="360A92D8" w14:textId="5E948227" w:rsidR="006266AF" w:rsidRPr="00025CA4" w:rsidRDefault="009B7CDA" w:rsidP="00025CA4">
        <w:pPr>
          <w:pStyle w:val="Footer"/>
          <w:jc w:val="right"/>
          <w:rPr>
            <w:color w:val="E7E6E6"/>
          </w:rPr>
        </w:pPr>
        <w:r>
          <w:rPr>
            <w:noProof/>
            <w:lang w:eastAsia="en-AU"/>
          </w:rPr>
          <w:drawing>
            <wp:anchor distT="0" distB="0" distL="114300" distR="114300" simplePos="0" relativeHeight="251660288" behindDoc="1" locked="0" layoutInCell="1" allowOverlap="1" wp14:anchorId="73E2569C" wp14:editId="4D2187CC">
              <wp:simplePos x="0" y="0"/>
              <wp:positionH relativeFrom="page">
                <wp:align>right</wp:align>
              </wp:positionH>
              <wp:positionV relativeFrom="paragraph">
                <wp:posOffset>-1098550</wp:posOffset>
              </wp:positionV>
              <wp:extent cx="2517866" cy="1792379"/>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graphic.png"/>
                      <pic:cNvPicPr/>
                    </pic:nvPicPr>
                    <pic:blipFill>
                      <a:blip r:embed="rId1">
                        <a:extLst>
                          <a:ext uri="{28A0092B-C50C-407E-A947-70E740481C1C}">
                            <a14:useLocalDpi xmlns:a14="http://schemas.microsoft.com/office/drawing/2010/main" val="0"/>
                          </a:ext>
                        </a:extLst>
                      </a:blip>
                      <a:stretch>
                        <a:fillRect/>
                      </a:stretch>
                    </pic:blipFill>
                    <pic:spPr>
                      <a:xfrm>
                        <a:off x="0" y="0"/>
                        <a:ext cx="2517866" cy="1792379"/>
                      </a:xfrm>
                      <a:prstGeom prst="rect">
                        <a:avLst/>
                      </a:prstGeom>
                    </pic:spPr>
                  </pic:pic>
                </a:graphicData>
              </a:graphic>
            </wp:anchor>
          </w:drawing>
        </w:r>
        <w:r w:rsidRPr="003273FB">
          <w:rPr>
            <w:color w:val="E7E6E6"/>
          </w:rPr>
          <w:fldChar w:fldCharType="begin"/>
        </w:r>
        <w:r w:rsidRPr="003273FB">
          <w:rPr>
            <w:color w:val="E7E6E6"/>
          </w:rPr>
          <w:instrText xml:space="preserve"> PAGE   \* MERGEFORMAT </w:instrText>
        </w:r>
        <w:r w:rsidRPr="003273FB">
          <w:rPr>
            <w:color w:val="E7E6E6"/>
          </w:rPr>
          <w:fldChar w:fldCharType="separate"/>
        </w:r>
        <w:r w:rsidR="00D83BAB">
          <w:rPr>
            <w:noProof/>
            <w:color w:val="E7E6E6"/>
          </w:rPr>
          <w:t>9</w:t>
        </w:r>
        <w:r w:rsidRPr="003273FB">
          <w:rPr>
            <w:noProof/>
            <w:color w:val="E7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FD43A" w14:textId="17BF5CD3" w:rsidR="00E01CDC" w:rsidRPr="00E01CDC" w:rsidRDefault="00E01CDC" w:rsidP="00E01CDC">
    <w:pPr>
      <w:pStyle w:val="Footer"/>
      <w:rPr>
        <w:color w:val="E7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0433" w14:textId="77777777" w:rsidR="00680085" w:rsidRDefault="00680085" w:rsidP="009B031C">
      <w:r>
        <w:separator/>
      </w:r>
    </w:p>
  </w:footnote>
  <w:footnote w:type="continuationSeparator" w:id="0">
    <w:p w14:paraId="33A3842D" w14:textId="77777777" w:rsidR="00680085" w:rsidRDefault="00680085" w:rsidP="009B031C">
      <w:r>
        <w:continuationSeparator/>
      </w:r>
    </w:p>
  </w:footnote>
  <w:footnote w:id="1">
    <w:p w14:paraId="476FC922" w14:textId="28F72C45" w:rsidR="002F0B64" w:rsidRDefault="002F0B64">
      <w:pPr>
        <w:pStyle w:val="FootnoteText"/>
      </w:pPr>
      <w:r>
        <w:rPr>
          <w:rStyle w:val="FootnoteReference"/>
        </w:rPr>
        <w:footnoteRef/>
      </w:r>
      <w:r>
        <w:t xml:space="preserve"> SALM Smoothed LGA Data</w:t>
      </w:r>
      <w:r w:rsidR="00D83BAB">
        <w:t xml:space="preserve"> </w:t>
      </w:r>
      <w:r>
        <w:t>files (ASGS 2021)_ September quarter 2021</w:t>
      </w:r>
    </w:p>
  </w:footnote>
  <w:footnote w:id="2">
    <w:p w14:paraId="097EA65D" w14:textId="391F6377" w:rsidR="00397FD3" w:rsidRDefault="00397FD3">
      <w:pPr>
        <w:pStyle w:val="FootnoteText"/>
      </w:pPr>
      <w:r>
        <w:rPr>
          <w:rStyle w:val="FootnoteReference"/>
        </w:rPr>
        <w:footnoteRef/>
      </w:r>
      <w:r>
        <w:t xml:space="preserve"> ABS Labour Force Survey November 2021</w:t>
      </w:r>
    </w:p>
  </w:footnote>
  <w:footnote w:id="3">
    <w:p w14:paraId="794639BA" w14:textId="71C122A8" w:rsidR="007026F7" w:rsidRDefault="007026F7">
      <w:pPr>
        <w:pStyle w:val="FootnoteText"/>
      </w:pPr>
      <w:r>
        <w:rPr>
          <w:rStyle w:val="FootnoteReference"/>
        </w:rPr>
        <w:footnoteRef/>
      </w:r>
      <w:r>
        <w:t xml:space="preserve"> ABS Census data Quick stats 2016</w:t>
      </w:r>
    </w:p>
  </w:footnote>
  <w:footnote w:id="4">
    <w:p w14:paraId="1834412B" w14:textId="4C1381E0" w:rsidR="00E03F62" w:rsidRDefault="00E03F62">
      <w:pPr>
        <w:pStyle w:val="FootnoteText"/>
      </w:pPr>
      <w:r>
        <w:rPr>
          <w:rStyle w:val="FootnoteReference"/>
        </w:rPr>
        <w:footnoteRef/>
      </w:r>
      <w:r>
        <w:t xml:space="preserve"> South Eastern Melbourne and Peninsula Employment Services Caseload data 30 November 2021</w:t>
      </w:r>
    </w:p>
  </w:footnote>
  <w:footnote w:id="5">
    <w:p w14:paraId="007003DC" w14:textId="37250F54" w:rsidR="00E03F62" w:rsidRDefault="00E03F62">
      <w:pPr>
        <w:pStyle w:val="FootnoteText"/>
      </w:pPr>
      <w:r>
        <w:rPr>
          <w:rStyle w:val="FootnoteReference"/>
        </w:rPr>
        <w:footnoteRef/>
      </w:r>
      <w:r>
        <w:t xml:space="preserve"> South Eastern Melbourne and Peninsula Employment Services Caseload data 30 November 2021</w:t>
      </w:r>
    </w:p>
  </w:footnote>
  <w:footnote w:id="6">
    <w:p w14:paraId="5B13A867" w14:textId="72FFD9EF" w:rsidR="00025CA4" w:rsidRDefault="00025CA4">
      <w:pPr>
        <w:pStyle w:val="FootnoteText"/>
      </w:pPr>
      <w:r>
        <w:rPr>
          <w:rStyle w:val="FootnoteReference"/>
        </w:rPr>
        <w:footnoteRef/>
      </w:r>
      <w:r>
        <w:t xml:space="preserve"> </w:t>
      </w:r>
      <w:r w:rsidRPr="00025CA4">
        <w:t>Victorian Skills Commissioner, Regional Skills Demand Snapshot – South East Melbourne, July 2019</w:t>
      </w:r>
    </w:p>
  </w:footnote>
  <w:footnote w:id="7">
    <w:p w14:paraId="6AC846C2" w14:textId="4A8D75EA" w:rsidR="00E03F62" w:rsidRDefault="00E03F62">
      <w:pPr>
        <w:pStyle w:val="FootnoteText"/>
      </w:pPr>
      <w:r>
        <w:rPr>
          <w:rStyle w:val="FootnoteReference"/>
        </w:rPr>
        <w:footnoteRef/>
      </w:r>
      <w:r>
        <w:t xml:space="preserve"> ABS Census data Quick stats 2016</w:t>
      </w:r>
    </w:p>
  </w:footnote>
  <w:footnote w:id="8">
    <w:p w14:paraId="2994F435" w14:textId="52A694F6" w:rsidR="00206A50" w:rsidRDefault="00206A50">
      <w:pPr>
        <w:pStyle w:val="FootnoteText"/>
      </w:pPr>
      <w:r>
        <w:rPr>
          <w:rStyle w:val="FootnoteReference"/>
        </w:rPr>
        <w:footnoteRef/>
      </w:r>
      <w:r>
        <w:t xml:space="preserve"> </w:t>
      </w:r>
      <w:r w:rsidRPr="00025CA4">
        <w:t xml:space="preserve">National Skills Commission, </w:t>
      </w:r>
      <w:r w:rsidRPr="00206A50">
        <w:t>Employment Region Industry profile</w:t>
      </w:r>
      <w:r>
        <w:t xml:space="preserve">, </w:t>
      </w:r>
      <w:r w:rsidR="00360C58">
        <w:t xml:space="preserve">November </w:t>
      </w:r>
      <w: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8C17" w14:textId="77777777" w:rsidR="006266AF" w:rsidRDefault="006266AF" w:rsidP="009B031C">
    <w:pPr>
      <w:pStyle w:val="Header"/>
    </w:pPr>
    <w:r>
      <w:rPr>
        <w:noProof/>
        <w:lang w:eastAsia="en-AU"/>
      </w:rPr>
      <w:drawing>
        <wp:anchor distT="0" distB="0" distL="114300" distR="114300" simplePos="0" relativeHeight="251659264" behindDoc="1" locked="0" layoutInCell="1" allowOverlap="1" wp14:anchorId="3F310AAB" wp14:editId="57730DB9">
          <wp:simplePos x="0" y="0"/>
          <wp:positionH relativeFrom="page">
            <wp:posOffset>118110</wp:posOffset>
          </wp:positionH>
          <wp:positionV relativeFrom="paragraph">
            <wp:posOffset>-442595</wp:posOffset>
          </wp:positionV>
          <wp:extent cx="7437528" cy="3610800"/>
          <wp:effectExtent l="0" t="0" r="0" b="0"/>
          <wp:wrapNone/>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2DC4" w14:textId="77777777" w:rsidR="006266AF" w:rsidRDefault="006266AF" w:rsidP="009B0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E2CE" w14:textId="77777777" w:rsidR="00E01CDC" w:rsidRDefault="00E01CDC" w:rsidP="009B0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BE19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0A2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C1510"/>
    <w:multiLevelType w:val="hybridMultilevel"/>
    <w:tmpl w:val="ECECC2B0"/>
    <w:lvl w:ilvl="0" w:tplc="3A1E006E">
      <w:start w:val="20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E176C9"/>
    <w:multiLevelType w:val="multilevel"/>
    <w:tmpl w:val="C6A41CA0"/>
    <w:lvl w:ilvl="0">
      <w:start w:val="1"/>
      <w:numFmt w:val="decimal"/>
      <w:suff w:val="space"/>
      <w:lvlText w:val="Part %1:"/>
      <w:lvlJc w:val="left"/>
      <w:pPr>
        <w:ind w:left="2359" w:hanging="2359"/>
      </w:pPr>
      <w:rPr>
        <w:rFonts w:hint="default"/>
      </w:rPr>
    </w:lvl>
    <w:lvl w:ilvl="1">
      <w:start w:val="1"/>
      <w:numFmt w:val="decimal"/>
      <w:lvlText w:val="%1.%2"/>
      <w:lvlJc w:val="left"/>
      <w:pPr>
        <w:tabs>
          <w:tab w:val="num" w:pos="680"/>
        </w:tabs>
        <w:ind w:left="595" w:hanging="59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E8224E2"/>
    <w:multiLevelType w:val="multilevel"/>
    <w:tmpl w:val="6C348E7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1DE7A9A"/>
    <w:multiLevelType w:val="hybridMultilevel"/>
    <w:tmpl w:val="AD229E0A"/>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60D673A"/>
    <w:multiLevelType w:val="hybridMultilevel"/>
    <w:tmpl w:val="BF34A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BE69F6"/>
    <w:multiLevelType w:val="multilevel"/>
    <w:tmpl w:val="FD80DDC8"/>
    <w:lvl w:ilvl="0">
      <w:start w:val="1"/>
      <w:numFmt w:val="bullet"/>
      <w:lvlText w:val=""/>
      <w:lvlJc w:val="left"/>
      <w:pPr>
        <w:ind w:left="567" w:hanging="283"/>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2B6877A7"/>
    <w:multiLevelType w:val="hybridMultilevel"/>
    <w:tmpl w:val="33F46F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FA1FD9"/>
    <w:multiLevelType w:val="hybridMultilevel"/>
    <w:tmpl w:val="EC94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17DA2"/>
    <w:multiLevelType w:val="hybridMultilevel"/>
    <w:tmpl w:val="6AA6E0C8"/>
    <w:lvl w:ilvl="0" w:tplc="6A084A8C">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4B34BF8"/>
    <w:multiLevelType w:val="hybridMultilevel"/>
    <w:tmpl w:val="30DA8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2961653"/>
    <w:multiLevelType w:val="hybridMultilevel"/>
    <w:tmpl w:val="43AEDB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386109B"/>
    <w:multiLevelType w:val="multilevel"/>
    <w:tmpl w:val="39C0C77C"/>
    <w:lvl w:ilvl="0">
      <w:start w:val="1"/>
      <w:numFmt w:val="decimal"/>
      <w:pStyle w:val="BoxHeading-Recommendation"/>
      <w:suff w:val="nothing"/>
      <w:lvlText w:val="Recommendation %1."/>
      <w:lvlJc w:val="left"/>
      <w:pPr>
        <w:ind w:left="357" w:hanging="35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EF7206"/>
    <w:multiLevelType w:val="hybridMultilevel"/>
    <w:tmpl w:val="7200E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1A95247"/>
    <w:multiLevelType w:val="hybridMultilevel"/>
    <w:tmpl w:val="51185DBA"/>
    <w:lvl w:ilvl="0" w:tplc="3A1E006E">
      <w:start w:val="20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702BB6"/>
    <w:multiLevelType w:val="hybridMultilevel"/>
    <w:tmpl w:val="49E43C02"/>
    <w:lvl w:ilvl="0" w:tplc="9FCC0034">
      <w:start w:val="1"/>
      <w:numFmt w:val="decimal"/>
      <w:lvlText w:val="%1."/>
      <w:lvlJc w:val="left"/>
      <w:pPr>
        <w:ind w:left="460" w:hanging="360"/>
      </w:pPr>
      <w:rPr>
        <w:rFonts w:ascii="Calibri" w:eastAsia="Calibri" w:hAnsi="Calibri" w:cs="Calibri" w:hint="default"/>
        <w:w w:val="100"/>
        <w:sz w:val="22"/>
        <w:szCs w:val="22"/>
      </w:rPr>
    </w:lvl>
    <w:lvl w:ilvl="1" w:tplc="0BC834AE">
      <w:numFmt w:val="bullet"/>
      <w:lvlText w:val="*"/>
      <w:lvlJc w:val="left"/>
      <w:pPr>
        <w:ind w:left="330" w:hanging="130"/>
      </w:pPr>
      <w:rPr>
        <w:rFonts w:ascii="Calibri" w:eastAsia="Calibri" w:hAnsi="Calibri" w:cs="Calibri" w:hint="default"/>
        <w:i/>
        <w:w w:val="100"/>
        <w:sz w:val="18"/>
        <w:szCs w:val="18"/>
      </w:rPr>
    </w:lvl>
    <w:lvl w:ilvl="2" w:tplc="78B07A1A">
      <w:numFmt w:val="bullet"/>
      <w:lvlText w:val=""/>
      <w:lvlJc w:val="left"/>
      <w:pPr>
        <w:ind w:left="100" w:hanging="360"/>
      </w:pPr>
      <w:rPr>
        <w:rFonts w:ascii="Symbol" w:eastAsia="Symbol" w:hAnsi="Symbol" w:cs="Symbol" w:hint="default"/>
        <w:w w:val="100"/>
        <w:sz w:val="22"/>
        <w:szCs w:val="22"/>
      </w:rPr>
    </w:lvl>
    <w:lvl w:ilvl="3" w:tplc="AD9601FA">
      <w:numFmt w:val="bullet"/>
      <w:lvlText w:val="•"/>
      <w:lvlJc w:val="left"/>
      <w:pPr>
        <w:ind w:left="1558" w:hanging="360"/>
      </w:pPr>
      <w:rPr>
        <w:rFonts w:hint="default"/>
      </w:rPr>
    </w:lvl>
    <w:lvl w:ilvl="4" w:tplc="0D76E4A6">
      <w:numFmt w:val="bullet"/>
      <w:lvlText w:val="•"/>
      <w:lvlJc w:val="left"/>
      <w:pPr>
        <w:ind w:left="2656" w:hanging="360"/>
      </w:pPr>
      <w:rPr>
        <w:rFonts w:hint="default"/>
      </w:rPr>
    </w:lvl>
    <w:lvl w:ilvl="5" w:tplc="38CEAB6C">
      <w:numFmt w:val="bullet"/>
      <w:lvlText w:val="•"/>
      <w:lvlJc w:val="left"/>
      <w:pPr>
        <w:ind w:left="3754" w:hanging="360"/>
      </w:pPr>
      <w:rPr>
        <w:rFonts w:hint="default"/>
      </w:rPr>
    </w:lvl>
    <w:lvl w:ilvl="6" w:tplc="C050401E">
      <w:numFmt w:val="bullet"/>
      <w:lvlText w:val="•"/>
      <w:lvlJc w:val="left"/>
      <w:pPr>
        <w:ind w:left="4853" w:hanging="360"/>
      </w:pPr>
      <w:rPr>
        <w:rFonts w:hint="default"/>
      </w:rPr>
    </w:lvl>
    <w:lvl w:ilvl="7" w:tplc="0B4EE9D2">
      <w:numFmt w:val="bullet"/>
      <w:lvlText w:val="•"/>
      <w:lvlJc w:val="left"/>
      <w:pPr>
        <w:ind w:left="5951" w:hanging="360"/>
      </w:pPr>
      <w:rPr>
        <w:rFonts w:hint="default"/>
      </w:rPr>
    </w:lvl>
    <w:lvl w:ilvl="8" w:tplc="C0843AB0">
      <w:numFmt w:val="bullet"/>
      <w:lvlText w:val="•"/>
      <w:lvlJc w:val="left"/>
      <w:pPr>
        <w:ind w:left="7049" w:hanging="360"/>
      </w:pPr>
      <w:rPr>
        <w:rFonts w:hint="default"/>
      </w:rPr>
    </w:lvl>
  </w:abstractNum>
  <w:abstractNum w:abstractNumId="3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76C4051"/>
    <w:multiLevelType w:val="hybridMultilevel"/>
    <w:tmpl w:val="ADBEE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070A2D"/>
    <w:multiLevelType w:val="hybridMultilevel"/>
    <w:tmpl w:val="68DAE31C"/>
    <w:lvl w:ilvl="0" w:tplc="3A1E006E">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084601"/>
    <w:multiLevelType w:val="hybridMultilevel"/>
    <w:tmpl w:val="A6D25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994098"/>
    <w:multiLevelType w:val="hybridMultilevel"/>
    <w:tmpl w:val="AF3659D0"/>
    <w:lvl w:ilvl="0" w:tplc="3A1E006E">
      <w:start w:val="20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19727A"/>
    <w:multiLevelType w:val="hybridMultilevel"/>
    <w:tmpl w:val="F8B4A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310879"/>
    <w:multiLevelType w:val="hybridMultilevel"/>
    <w:tmpl w:val="56AC8054"/>
    <w:lvl w:ilvl="0" w:tplc="BA6EA85A">
      <w:start w:val="1"/>
      <w:numFmt w:val="bullet"/>
      <w:lvlText w:val=""/>
      <w:lvlJc w:val="left"/>
      <w:pPr>
        <w:ind w:left="720" w:hanging="360"/>
      </w:pPr>
      <w:rPr>
        <w:rFonts w:ascii="Symbol" w:hAnsi="Symbol" w:hint="default"/>
      </w:rPr>
    </w:lvl>
    <w:lvl w:ilvl="1" w:tplc="08CA6D92">
      <w:start w:val="1"/>
      <w:numFmt w:val="bullet"/>
      <w:lvlText w:val="o"/>
      <w:lvlJc w:val="left"/>
      <w:pPr>
        <w:ind w:left="1440" w:hanging="360"/>
      </w:pPr>
      <w:rPr>
        <w:rFonts w:ascii="Courier New" w:hAnsi="Courier New" w:cs="Times New Roman" w:hint="default"/>
      </w:rPr>
    </w:lvl>
    <w:lvl w:ilvl="2" w:tplc="EB90A74E">
      <w:start w:val="1"/>
      <w:numFmt w:val="bullet"/>
      <w:lvlText w:val=""/>
      <w:lvlJc w:val="left"/>
      <w:pPr>
        <w:ind w:left="2160" w:hanging="360"/>
      </w:pPr>
      <w:rPr>
        <w:rFonts w:ascii="Wingdings" w:hAnsi="Wingdings" w:hint="default"/>
      </w:rPr>
    </w:lvl>
    <w:lvl w:ilvl="3" w:tplc="0CFC7D8A">
      <w:start w:val="1"/>
      <w:numFmt w:val="bullet"/>
      <w:lvlText w:val=""/>
      <w:lvlJc w:val="left"/>
      <w:pPr>
        <w:ind w:left="2880" w:hanging="360"/>
      </w:pPr>
      <w:rPr>
        <w:rFonts w:ascii="Symbol" w:hAnsi="Symbol" w:hint="default"/>
      </w:rPr>
    </w:lvl>
    <w:lvl w:ilvl="4" w:tplc="B2EA6598">
      <w:start w:val="1"/>
      <w:numFmt w:val="bullet"/>
      <w:lvlText w:val="o"/>
      <w:lvlJc w:val="left"/>
      <w:pPr>
        <w:ind w:left="3600" w:hanging="360"/>
      </w:pPr>
      <w:rPr>
        <w:rFonts w:ascii="Courier New" w:hAnsi="Courier New" w:cs="Times New Roman" w:hint="default"/>
      </w:rPr>
    </w:lvl>
    <w:lvl w:ilvl="5" w:tplc="CE0899DC">
      <w:start w:val="1"/>
      <w:numFmt w:val="bullet"/>
      <w:lvlText w:val=""/>
      <w:lvlJc w:val="left"/>
      <w:pPr>
        <w:ind w:left="4320" w:hanging="360"/>
      </w:pPr>
      <w:rPr>
        <w:rFonts w:ascii="Wingdings" w:hAnsi="Wingdings" w:hint="default"/>
      </w:rPr>
    </w:lvl>
    <w:lvl w:ilvl="6" w:tplc="FCDE6D52">
      <w:start w:val="1"/>
      <w:numFmt w:val="bullet"/>
      <w:lvlText w:val=""/>
      <w:lvlJc w:val="left"/>
      <w:pPr>
        <w:ind w:left="5040" w:hanging="360"/>
      </w:pPr>
      <w:rPr>
        <w:rFonts w:ascii="Symbol" w:hAnsi="Symbol" w:hint="default"/>
      </w:rPr>
    </w:lvl>
    <w:lvl w:ilvl="7" w:tplc="5532E4F2">
      <w:start w:val="1"/>
      <w:numFmt w:val="bullet"/>
      <w:lvlText w:val="o"/>
      <w:lvlJc w:val="left"/>
      <w:pPr>
        <w:ind w:left="5760" w:hanging="360"/>
      </w:pPr>
      <w:rPr>
        <w:rFonts w:ascii="Courier New" w:hAnsi="Courier New" w:cs="Times New Roman" w:hint="default"/>
      </w:rPr>
    </w:lvl>
    <w:lvl w:ilvl="8" w:tplc="B68A4BE6">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0"/>
  </w:num>
  <w:num w:numId="15">
    <w:abstractNumId w:val="12"/>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3"/>
  </w:num>
  <w:num w:numId="21">
    <w:abstractNumId w:val="17"/>
  </w:num>
  <w:num w:numId="22">
    <w:abstractNumId w:val="35"/>
  </w:num>
  <w:num w:numId="23">
    <w:abstractNumId w:val="20"/>
  </w:num>
  <w:num w:numId="24">
    <w:abstractNumId w:val="10"/>
  </w:num>
  <w:num w:numId="25">
    <w:abstractNumId w:val="28"/>
  </w:num>
  <w:num w:numId="26">
    <w:abstractNumId w:val="34"/>
  </w:num>
  <w:num w:numId="27">
    <w:abstractNumId w:val="32"/>
  </w:num>
  <w:num w:numId="28">
    <w:abstractNumId w:val="14"/>
  </w:num>
  <w:num w:numId="29">
    <w:abstractNumId w:val="18"/>
  </w:num>
  <w:num w:numId="30">
    <w:abstractNumId w:val="11"/>
  </w:num>
  <w:num w:numId="31">
    <w:abstractNumId w:val="25"/>
  </w:num>
  <w:num w:numId="32">
    <w:abstractNumId w:val="19"/>
  </w:num>
  <w:num w:numId="33">
    <w:abstractNumId w:val="24"/>
  </w:num>
  <w:num w:numId="34">
    <w:abstractNumId w:val="22"/>
  </w:num>
  <w:num w:numId="35">
    <w:abstractNumId w:val="31"/>
  </w:num>
  <w:num w:numId="36">
    <w:abstractNumId w:val="26"/>
  </w:num>
  <w:num w:numId="37">
    <w:abstractNumId w:val="16"/>
  </w:num>
  <w:num w:numId="38">
    <w:abstractNumId w:val="36"/>
  </w:num>
  <w:num w:numId="39">
    <w:abstractNumId w:val="2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5625D"/>
    <w:rsid w:val="00000B20"/>
    <w:rsid w:val="00001EEF"/>
    <w:rsid w:val="00002721"/>
    <w:rsid w:val="00006138"/>
    <w:rsid w:val="00007E17"/>
    <w:rsid w:val="000121DC"/>
    <w:rsid w:val="00024E24"/>
    <w:rsid w:val="00025CA4"/>
    <w:rsid w:val="0002700E"/>
    <w:rsid w:val="00034EAA"/>
    <w:rsid w:val="00053A09"/>
    <w:rsid w:val="00056CF0"/>
    <w:rsid w:val="00057878"/>
    <w:rsid w:val="000653F7"/>
    <w:rsid w:val="00081C31"/>
    <w:rsid w:val="00085410"/>
    <w:rsid w:val="000861A6"/>
    <w:rsid w:val="00092420"/>
    <w:rsid w:val="000A6FBB"/>
    <w:rsid w:val="000B02C7"/>
    <w:rsid w:val="000B0EEF"/>
    <w:rsid w:val="000B682E"/>
    <w:rsid w:val="000C5205"/>
    <w:rsid w:val="000C74ED"/>
    <w:rsid w:val="000E2F64"/>
    <w:rsid w:val="000E6FBB"/>
    <w:rsid w:val="000F03DC"/>
    <w:rsid w:val="000F3111"/>
    <w:rsid w:val="000F327B"/>
    <w:rsid w:val="000F3BA2"/>
    <w:rsid w:val="00100680"/>
    <w:rsid w:val="00105968"/>
    <w:rsid w:val="001175BF"/>
    <w:rsid w:val="00126C4D"/>
    <w:rsid w:val="00130923"/>
    <w:rsid w:val="001414F3"/>
    <w:rsid w:val="00143FCD"/>
    <w:rsid w:val="001543C9"/>
    <w:rsid w:val="001637DF"/>
    <w:rsid w:val="001764AB"/>
    <w:rsid w:val="00183990"/>
    <w:rsid w:val="00190523"/>
    <w:rsid w:val="001A08EE"/>
    <w:rsid w:val="001A21F9"/>
    <w:rsid w:val="001B6467"/>
    <w:rsid w:val="001E6B89"/>
    <w:rsid w:val="00200441"/>
    <w:rsid w:val="002016B2"/>
    <w:rsid w:val="002035B1"/>
    <w:rsid w:val="00206A50"/>
    <w:rsid w:val="00223219"/>
    <w:rsid w:val="00223EB1"/>
    <w:rsid w:val="00236194"/>
    <w:rsid w:val="00236344"/>
    <w:rsid w:val="00236917"/>
    <w:rsid w:val="002375E0"/>
    <w:rsid w:val="002439F1"/>
    <w:rsid w:val="002508C9"/>
    <w:rsid w:val="00251790"/>
    <w:rsid w:val="00253A0E"/>
    <w:rsid w:val="00261C66"/>
    <w:rsid w:val="00265557"/>
    <w:rsid w:val="002703A5"/>
    <w:rsid w:val="00275069"/>
    <w:rsid w:val="00276230"/>
    <w:rsid w:val="0029144C"/>
    <w:rsid w:val="00293094"/>
    <w:rsid w:val="002963AB"/>
    <w:rsid w:val="002A3F96"/>
    <w:rsid w:val="002B06E6"/>
    <w:rsid w:val="002B2447"/>
    <w:rsid w:val="002B3304"/>
    <w:rsid w:val="002B4E2A"/>
    <w:rsid w:val="002B7441"/>
    <w:rsid w:val="002D01B4"/>
    <w:rsid w:val="002D271F"/>
    <w:rsid w:val="002D40C8"/>
    <w:rsid w:val="002D5705"/>
    <w:rsid w:val="002D6386"/>
    <w:rsid w:val="002E0666"/>
    <w:rsid w:val="002F0B64"/>
    <w:rsid w:val="002F1C10"/>
    <w:rsid w:val="002F2A39"/>
    <w:rsid w:val="002F2BAE"/>
    <w:rsid w:val="00301B4C"/>
    <w:rsid w:val="00304F96"/>
    <w:rsid w:val="00305794"/>
    <w:rsid w:val="00305B35"/>
    <w:rsid w:val="00313873"/>
    <w:rsid w:val="0031427D"/>
    <w:rsid w:val="003150C7"/>
    <w:rsid w:val="003242B9"/>
    <w:rsid w:val="003253A0"/>
    <w:rsid w:val="003273FB"/>
    <w:rsid w:val="003418C0"/>
    <w:rsid w:val="00341AC9"/>
    <w:rsid w:val="00346F3C"/>
    <w:rsid w:val="003555F5"/>
    <w:rsid w:val="003560F5"/>
    <w:rsid w:val="00360C58"/>
    <w:rsid w:val="003616B4"/>
    <w:rsid w:val="00366DE5"/>
    <w:rsid w:val="003837A1"/>
    <w:rsid w:val="00392106"/>
    <w:rsid w:val="003926DB"/>
    <w:rsid w:val="00395C58"/>
    <w:rsid w:val="00397FD3"/>
    <w:rsid w:val="003A4E8D"/>
    <w:rsid w:val="003B664E"/>
    <w:rsid w:val="003D67FC"/>
    <w:rsid w:val="003F5BBA"/>
    <w:rsid w:val="003F7272"/>
    <w:rsid w:val="0040283F"/>
    <w:rsid w:val="00405581"/>
    <w:rsid w:val="00406E5A"/>
    <w:rsid w:val="00417DF0"/>
    <w:rsid w:val="004264F2"/>
    <w:rsid w:val="00431AE1"/>
    <w:rsid w:val="00441119"/>
    <w:rsid w:val="00444B29"/>
    <w:rsid w:val="00444D9A"/>
    <w:rsid w:val="00451D31"/>
    <w:rsid w:val="00455760"/>
    <w:rsid w:val="00455B34"/>
    <w:rsid w:val="00461B56"/>
    <w:rsid w:val="00470592"/>
    <w:rsid w:val="004747D9"/>
    <w:rsid w:val="00474EB9"/>
    <w:rsid w:val="00480942"/>
    <w:rsid w:val="00481745"/>
    <w:rsid w:val="004819C0"/>
    <w:rsid w:val="0048762C"/>
    <w:rsid w:val="00497DE3"/>
    <w:rsid w:val="004A06B4"/>
    <w:rsid w:val="004A719A"/>
    <w:rsid w:val="004B05F8"/>
    <w:rsid w:val="004B256F"/>
    <w:rsid w:val="004D09D7"/>
    <w:rsid w:val="004D3C3C"/>
    <w:rsid w:val="004D5243"/>
    <w:rsid w:val="004D5E43"/>
    <w:rsid w:val="004E1E0C"/>
    <w:rsid w:val="004E2B1A"/>
    <w:rsid w:val="004E4942"/>
    <w:rsid w:val="004E53AA"/>
    <w:rsid w:val="004F30F8"/>
    <w:rsid w:val="004F5669"/>
    <w:rsid w:val="005007D8"/>
    <w:rsid w:val="005113B6"/>
    <w:rsid w:val="005146EF"/>
    <w:rsid w:val="00525C00"/>
    <w:rsid w:val="00530E9A"/>
    <w:rsid w:val="00531817"/>
    <w:rsid w:val="0054253B"/>
    <w:rsid w:val="00543D82"/>
    <w:rsid w:val="00546915"/>
    <w:rsid w:val="00554050"/>
    <w:rsid w:val="00556F06"/>
    <w:rsid w:val="00560CA0"/>
    <w:rsid w:val="005624F3"/>
    <w:rsid w:val="005632AD"/>
    <w:rsid w:val="00567F9F"/>
    <w:rsid w:val="00570E4A"/>
    <w:rsid w:val="00575845"/>
    <w:rsid w:val="005811EF"/>
    <w:rsid w:val="00581BC4"/>
    <w:rsid w:val="00595A71"/>
    <w:rsid w:val="00597283"/>
    <w:rsid w:val="005A6AA3"/>
    <w:rsid w:val="005A74CB"/>
    <w:rsid w:val="005B0878"/>
    <w:rsid w:val="005B6043"/>
    <w:rsid w:val="005C11DD"/>
    <w:rsid w:val="005C15C0"/>
    <w:rsid w:val="005C71A7"/>
    <w:rsid w:val="005C7C59"/>
    <w:rsid w:val="005D50E0"/>
    <w:rsid w:val="005D61CC"/>
    <w:rsid w:val="005D6406"/>
    <w:rsid w:val="0061028E"/>
    <w:rsid w:val="00610654"/>
    <w:rsid w:val="006208FC"/>
    <w:rsid w:val="00625566"/>
    <w:rsid w:val="006266AF"/>
    <w:rsid w:val="00631ECB"/>
    <w:rsid w:val="00636A85"/>
    <w:rsid w:val="00640614"/>
    <w:rsid w:val="00643BF4"/>
    <w:rsid w:val="006512B4"/>
    <w:rsid w:val="00655DAC"/>
    <w:rsid w:val="0067026C"/>
    <w:rsid w:val="00680085"/>
    <w:rsid w:val="00690A1C"/>
    <w:rsid w:val="006963A1"/>
    <w:rsid w:val="006A6ABD"/>
    <w:rsid w:val="006A76C2"/>
    <w:rsid w:val="006C499E"/>
    <w:rsid w:val="006D4042"/>
    <w:rsid w:val="006D70CC"/>
    <w:rsid w:val="006D7270"/>
    <w:rsid w:val="006E16F9"/>
    <w:rsid w:val="006E2D49"/>
    <w:rsid w:val="006E6C38"/>
    <w:rsid w:val="006E730D"/>
    <w:rsid w:val="006F10A5"/>
    <w:rsid w:val="006F227C"/>
    <w:rsid w:val="006F3262"/>
    <w:rsid w:val="006F346A"/>
    <w:rsid w:val="006F3CCC"/>
    <w:rsid w:val="006F7328"/>
    <w:rsid w:val="00700F56"/>
    <w:rsid w:val="007016E3"/>
    <w:rsid w:val="007026F7"/>
    <w:rsid w:val="00702CA5"/>
    <w:rsid w:val="00704E28"/>
    <w:rsid w:val="00711398"/>
    <w:rsid w:val="00715B5D"/>
    <w:rsid w:val="00716CDB"/>
    <w:rsid w:val="00730C40"/>
    <w:rsid w:val="00733095"/>
    <w:rsid w:val="00740C8B"/>
    <w:rsid w:val="007468C2"/>
    <w:rsid w:val="007468FC"/>
    <w:rsid w:val="00746CCA"/>
    <w:rsid w:val="00761560"/>
    <w:rsid w:val="00762607"/>
    <w:rsid w:val="00764625"/>
    <w:rsid w:val="00764634"/>
    <w:rsid w:val="007650F8"/>
    <w:rsid w:val="00773AA3"/>
    <w:rsid w:val="00775992"/>
    <w:rsid w:val="00777DE9"/>
    <w:rsid w:val="00780F00"/>
    <w:rsid w:val="00792CA3"/>
    <w:rsid w:val="007A5DB4"/>
    <w:rsid w:val="007B0390"/>
    <w:rsid w:val="007B2FDD"/>
    <w:rsid w:val="007B310E"/>
    <w:rsid w:val="007C03F1"/>
    <w:rsid w:val="007C67B0"/>
    <w:rsid w:val="007D1210"/>
    <w:rsid w:val="007F22F2"/>
    <w:rsid w:val="007F3993"/>
    <w:rsid w:val="007F712A"/>
    <w:rsid w:val="008069BA"/>
    <w:rsid w:val="00811BB5"/>
    <w:rsid w:val="008141D6"/>
    <w:rsid w:val="0081715D"/>
    <w:rsid w:val="00823C08"/>
    <w:rsid w:val="0082434E"/>
    <w:rsid w:val="0083468A"/>
    <w:rsid w:val="00842D43"/>
    <w:rsid w:val="00852C26"/>
    <w:rsid w:val="00852D5C"/>
    <w:rsid w:val="00854878"/>
    <w:rsid w:val="00855CB9"/>
    <w:rsid w:val="00856D1C"/>
    <w:rsid w:val="00865568"/>
    <w:rsid w:val="008664FA"/>
    <w:rsid w:val="00876AC0"/>
    <w:rsid w:val="00877EA6"/>
    <w:rsid w:val="00882398"/>
    <w:rsid w:val="00882662"/>
    <w:rsid w:val="00894F19"/>
    <w:rsid w:val="008A02FE"/>
    <w:rsid w:val="008A1156"/>
    <w:rsid w:val="008A2376"/>
    <w:rsid w:val="008A382D"/>
    <w:rsid w:val="008C3832"/>
    <w:rsid w:val="008C3BCF"/>
    <w:rsid w:val="008D0BB9"/>
    <w:rsid w:val="008D2703"/>
    <w:rsid w:val="008E7FA3"/>
    <w:rsid w:val="008F3483"/>
    <w:rsid w:val="00905665"/>
    <w:rsid w:val="009116EA"/>
    <w:rsid w:val="00914D91"/>
    <w:rsid w:val="009164B1"/>
    <w:rsid w:val="00921ADC"/>
    <w:rsid w:val="0092732D"/>
    <w:rsid w:val="00933671"/>
    <w:rsid w:val="00935DA6"/>
    <w:rsid w:val="00942A55"/>
    <w:rsid w:val="0094720E"/>
    <w:rsid w:val="00947E2F"/>
    <w:rsid w:val="009507D5"/>
    <w:rsid w:val="009511F8"/>
    <w:rsid w:val="00961F8F"/>
    <w:rsid w:val="00963FC1"/>
    <w:rsid w:val="00966166"/>
    <w:rsid w:val="009704A9"/>
    <w:rsid w:val="0097057C"/>
    <w:rsid w:val="00972DD5"/>
    <w:rsid w:val="00976443"/>
    <w:rsid w:val="00980839"/>
    <w:rsid w:val="00984879"/>
    <w:rsid w:val="00985632"/>
    <w:rsid w:val="00990BAE"/>
    <w:rsid w:val="00991B63"/>
    <w:rsid w:val="009A0643"/>
    <w:rsid w:val="009A0D3F"/>
    <w:rsid w:val="009B031C"/>
    <w:rsid w:val="009B2428"/>
    <w:rsid w:val="009B376A"/>
    <w:rsid w:val="009B5CB7"/>
    <w:rsid w:val="009B7CDA"/>
    <w:rsid w:val="009D1605"/>
    <w:rsid w:val="009D454F"/>
    <w:rsid w:val="009D57F5"/>
    <w:rsid w:val="009E6C1D"/>
    <w:rsid w:val="009F00E0"/>
    <w:rsid w:val="009F7437"/>
    <w:rsid w:val="00A02487"/>
    <w:rsid w:val="00A0379C"/>
    <w:rsid w:val="00A140E1"/>
    <w:rsid w:val="00A16DC9"/>
    <w:rsid w:val="00A31242"/>
    <w:rsid w:val="00A34DFF"/>
    <w:rsid w:val="00A35EA3"/>
    <w:rsid w:val="00A4713F"/>
    <w:rsid w:val="00A52530"/>
    <w:rsid w:val="00A54AB2"/>
    <w:rsid w:val="00A551BF"/>
    <w:rsid w:val="00A61653"/>
    <w:rsid w:val="00A70524"/>
    <w:rsid w:val="00A73406"/>
    <w:rsid w:val="00A8086F"/>
    <w:rsid w:val="00AA423A"/>
    <w:rsid w:val="00AB0AF4"/>
    <w:rsid w:val="00AB51B5"/>
    <w:rsid w:val="00AB5DF9"/>
    <w:rsid w:val="00AC282F"/>
    <w:rsid w:val="00AC35BB"/>
    <w:rsid w:val="00AC4B34"/>
    <w:rsid w:val="00AC65DA"/>
    <w:rsid w:val="00AC6CEE"/>
    <w:rsid w:val="00AD43FC"/>
    <w:rsid w:val="00AE7E2C"/>
    <w:rsid w:val="00AF374D"/>
    <w:rsid w:val="00B004DD"/>
    <w:rsid w:val="00B15CA5"/>
    <w:rsid w:val="00B23EFF"/>
    <w:rsid w:val="00B2722A"/>
    <w:rsid w:val="00B325E0"/>
    <w:rsid w:val="00B34E5F"/>
    <w:rsid w:val="00B35FF7"/>
    <w:rsid w:val="00B410AF"/>
    <w:rsid w:val="00B50665"/>
    <w:rsid w:val="00B55B01"/>
    <w:rsid w:val="00B55D81"/>
    <w:rsid w:val="00B618BA"/>
    <w:rsid w:val="00B66C3E"/>
    <w:rsid w:val="00B6733E"/>
    <w:rsid w:val="00B74F7E"/>
    <w:rsid w:val="00B7683D"/>
    <w:rsid w:val="00B76FA3"/>
    <w:rsid w:val="00B808BF"/>
    <w:rsid w:val="00B83EC0"/>
    <w:rsid w:val="00B86CDE"/>
    <w:rsid w:val="00BB5E91"/>
    <w:rsid w:val="00BC030D"/>
    <w:rsid w:val="00BC16CC"/>
    <w:rsid w:val="00BC25FD"/>
    <w:rsid w:val="00BC29DD"/>
    <w:rsid w:val="00BD277E"/>
    <w:rsid w:val="00BD609C"/>
    <w:rsid w:val="00BE1B51"/>
    <w:rsid w:val="00BE2B14"/>
    <w:rsid w:val="00BE7695"/>
    <w:rsid w:val="00C00214"/>
    <w:rsid w:val="00C00A8B"/>
    <w:rsid w:val="00C05E74"/>
    <w:rsid w:val="00C10C19"/>
    <w:rsid w:val="00C15FCF"/>
    <w:rsid w:val="00C30968"/>
    <w:rsid w:val="00C33586"/>
    <w:rsid w:val="00C44E00"/>
    <w:rsid w:val="00C47E48"/>
    <w:rsid w:val="00C54E11"/>
    <w:rsid w:val="00C5649C"/>
    <w:rsid w:val="00C601ED"/>
    <w:rsid w:val="00C6125E"/>
    <w:rsid w:val="00C6192A"/>
    <w:rsid w:val="00C62265"/>
    <w:rsid w:val="00C646FC"/>
    <w:rsid w:val="00C7011C"/>
    <w:rsid w:val="00C75486"/>
    <w:rsid w:val="00C75A3D"/>
    <w:rsid w:val="00C7703A"/>
    <w:rsid w:val="00C81EAF"/>
    <w:rsid w:val="00C8202C"/>
    <w:rsid w:val="00C92A5B"/>
    <w:rsid w:val="00C931D8"/>
    <w:rsid w:val="00CA46EC"/>
    <w:rsid w:val="00CA6C70"/>
    <w:rsid w:val="00CB6894"/>
    <w:rsid w:val="00CC1C42"/>
    <w:rsid w:val="00CE1786"/>
    <w:rsid w:val="00CE3C62"/>
    <w:rsid w:val="00CE77BB"/>
    <w:rsid w:val="00CF4911"/>
    <w:rsid w:val="00D030A7"/>
    <w:rsid w:val="00D1394D"/>
    <w:rsid w:val="00D153AA"/>
    <w:rsid w:val="00D1683D"/>
    <w:rsid w:val="00D25492"/>
    <w:rsid w:val="00D30FBE"/>
    <w:rsid w:val="00D3108D"/>
    <w:rsid w:val="00D34C11"/>
    <w:rsid w:val="00D41B78"/>
    <w:rsid w:val="00D42293"/>
    <w:rsid w:val="00D42AE8"/>
    <w:rsid w:val="00D442AE"/>
    <w:rsid w:val="00D5625D"/>
    <w:rsid w:val="00D564EE"/>
    <w:rsid w:val="00D61449"/>
    <w:rsid w:val="00D623DE"/>
    <w:rsid w:val="00D633CD"/>
    <w:rsid w:val="00D777BB"/>
    <w:rsid w:val="00D83326"/>
    <w:rsid w:val="00D83BAB"/>
    <w:rsid w:val="00D85A53"/>
    <w:rsid w:val="00D903FD"/>
    <w:rsid w:val="00D919D9"/>
    <w:rsid w:val="00D94BC5"/>
    <w:rsid w:val="00D96C08"/>
    <w:rsid w:val="00DA2445"/>
    <w:rsid w:val="00DB41C2"/>
    <w:rsid w:val="00DB5605"/>
    <w:rsid w:val="00DC33D3"/>
    <w:rsid w:val="00DC361F"/>
    <w:rsid w:val="00DD2FB1"/>
    <w:rsid w:val="00DD6169"/>
    <w:rsid w:val="00DF2FA8"/>
    <w:rsid w:val="00E01CDC"/>
    <w:rsid w:val="00E03F62"/>
    <w:rsid w:val="00E06016"/>
    <w:rsid w:val="00E06617"/>
    <w:rsid w:val="00E077F9"/>
    <w:rsid w:val="00E11FBF"/>
    <w:rsid w:val="00E15058"/>
    <w:rsid w:val="00E24DBD"/>
    <w:rsid w:val="00E25193"/>
    <w:rsid w:val="00E32B6D"/>
    <w:rsid w:val="00E366B3"/>
    <w:rsid w:val="00E44672"/>
    <w:rsid w:val="00E55A22"/>
    <w:rsid w:val="00E5753D"/>
    <w:rsid w:val="00E57856"/>
    <w:rsid w:val="00E62B11"/>
    <w:rsid w:val="00E65AE3"/>
    <w:rsid w:val="00E70D17"/>
    <w:rsid w:val="00E71DC3"/>
    <w:rsid w:val="00E7363F"/>
    <w:rsid w:val="00E76289"/>
    <w:rsid w:val="00E8481D"/>
    <w:rsid w:val="00E962B3"/>
    <w:rsid w:val="00EA176C"/>
    <w:rsid w:val="00EB33DD"/>
    <w:rsid w:val="00EB508B"/>
    <w:rsid w:val="00EB682E"/>
    <w:rsid w:val="00ED36ED"/>
    <w:rsid w:val="00ED43D2"/>
    <w:rsid w:val="00ED605F"/>
    <w:rsid w:val="00EE3B8C"/>
    <w:rsid w:val="00EE54E7"/>
    <w:rsid w:val="00EF4A38"/>
    <w:rsid w:val="00EF4DE9"/>
    <w:rsid w:val="00EF5E90"/>
    <w:rsid w:val="00F05869"/>
    <w:rsid w:val="00F16519"/>
    <w:rsid w:val="00F36796"/>
    <w:rsid w:val="00F4045B"/>
    <w:rsid w:val="00F511D8"/>
    <w:rsid w:val="00F5719C"/>
    <w:rsid w:val="00F61352"/>
    <w:rsid w:val="00F651CB"/>
    <w:rsid w:val="00F74080"/>
    <w:rsid w:val="00F82BBC"/>
    <w:rsid w:val="00F83721"/>
    <w:rsid w:val="00F90867"/>
    <w:rsid w:val="00F94417"/>
    <w:rsid w:val="00FA1D74"/>
    <w:rsid w:val="00FA2667"/>
    <w:rsid w:val="00FA2C85"/>
    <w:rsid w:val="00FB10CB"/>
    <w:rsid w:val="00FB36D4"/>
    <w:rsid w:val="00FC1548"/>
    <w:rsid w:val="00FC182F"/>
    <w:rsid w:val="00FC1B3F"/>
    <w:rsid w:val="00FC55DB"/>
    <w:rsid w:val="00FD2030"/>
    <w:rsid w:val="00FD2171"/>
    <w:rsid w:val="00FD2715"/>
    <w:rsid w:val="00FD50E4"/>
    <w:rsid w:val="00FE09B3"/>
    <w:rsid w:val="00FE0DBD"/>
    <w:rsid w:val="00FE2B1B"/>
    <w:rsid w:val="00FE4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F1244B"/>
  <w15:docId w15:val="{A26F5840-4440-4D8F-BBE6-D8121D11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FB"/>
  </w:style>
  <w:style w:type="paragraph" w:styleId="Heading1">
    <w:name w:val="heading 1"/>
    <w:basedOn w:val="Normal"/>
    <w:next w:val="Normal"/>
    <w:link w:val="Heading1Char"/>
    <w:uiPriority w:val="9"/>
    <w:qFormat/>
    <w:rsid w:val="00597283"/>
    <w:pPr>
      <w:spacing w:before="120" w:after="120" w:line="240" w:lineRule="auto"/>
      <w:contextualSpacing/>
      <w:outlineLvl w:val="0"/>
    </w:pPr>
    <w:rPr>
      <w:rFonts w:ascii="Calibri" w:eastAsia="Times New Roman" w:hAnsi="Calibri" w:cstheme="majorBidi"/>
      <w:noProof/>
      <w:color w:val="1D4289"/>
      <w:sz w:val="48"/>
      <w:szCs w:val="48"/>
    </w:rPr>
  </w:style>
  <w:style w:type="paragraph" w:styleId="Heading2">
    <w:name w:val="heading 2"/>
    <w:basedOn w:val="Normal"/>
    <w:next w:val="Normal"/>
    <w:link w:val="Heading2Char"/>
    <w:uiPriority w:val="9"/>
    <w:unhideWhenUsed/>
    <w:qFormat/>
    <w:rsid w:val="007B0390"/>
    <w:pPr>
      <w:spacing w:before="200" w:after="0"/>
      <w:outlineLvl w:val="1"/>
    </w:pPr>
    <w:rPr>
      <w:rFonts w:ascii="Calibri" w:eastAsiaTheme="majorEastAsia" w:hAnsi="Calibri" w:cstheme="majorBidi"/>
      <w:b/>
      <w:bCs/>
      <w:color w:val="646363"/>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97283"/>
    <w:rPr>
      <w:rFonts w:ascii="Calibri" w:eastAsia="Times New Roman" w:hAnsi="Calibri" w:cstheme="majorBidi"/>
      <w:noProof/>
      <w:color w:val="1D4289"/>
      <w:sz w:val="48"/>
      <w:szCs w:val="48"/>
    </w:rPr>
  </w:style>
  <w:style w:type="character" w:customStyle="1" w:styleId="Heading2Char">
    <w:name w:val="Heading 2 Char"/>
    <w:basedOn w:val="DefaultParagraphFont"/>
    <w:link w:val="Heading2"/>
    <w:uiPriority w:val="9"/>
    <w:rsid w:val="007B0390"/>
    <w:rPr>
      <w:rFonts w:ascii="Calibri" w:eastAsiaTheme="majorEastAsia" w:hAnsi="Calibri" w:cstheme="majorBidi"/>
      <w:b/>
      <w:bCs/>
      <w:color w:val="646363"/>
      <w:sz w:val="28"/>
      <w:szCs w:val="26"/>
      <w:lang w:val="en"/>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1"/>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qFormat/>
    <w:rsid w:val="00CA46EC"/>
    <w:pPr>
      <w:numPr>
        <w:numId w:val="16"/>
      </w:numPr>
      <w:spacing w:after="120"/>
      <w:ind w:left="369" w:hanging="369"/>
      <w:contextualSpacing/>
    </w:pPr>
  </w:style>
  <w:style w:type="paragraph" w:styleId="ListBullet2">
    <w:name w:val="List Bullet 2"/>
    <w:basedOn w:val="Normal"/>
    <w:uiPriority w:val="99"/>
    <w:unhideWhenUsed/>
    <w:qFormat/>
    <w:rsid w:val="00CA46EC"/>
    <w:pPr>
      <w:numPr>
        <w:ilvl w:val="1"/>
        <w:numId w:val="16"/>
      </w:numPr>
      <w:spacing w:after="120"/>
      <w:ind w:left="766" w:hanging="369"/>
      <w:contextualSpacing/>
    </w:pPr>
  </w:style>
  <w:style w:type="paragraph" w:styleId="ListBullet3">
    <w:name w:val="List Bullet 3"/>
    <w:basedOn w:val="Normal"/>
    <w:uiPriority w:val="99"/>
    <w:unhideWhenUsed/>
    <w:qFormat/>
    <w:rsid w:val="00CA46EC"/>
    <w:pPr>
      <w:numPr>
        <w:ilvl w:val="2"/>
        <w:numId w:val="16"/>
      </w:numPr>
      <w:spacing w:after="120"/>
      <w:ind w:left="1163" w:hanging="369"/>
      <w:contextualSpacing/>
    </w:pPr>
  </w:style>
  <w:style w:type="paragraph" w:styleId="ListBullet4">
    <w:name w:val="List Bullet 4"/>
    <w:basedOn w:val="Normal"/>
    <w:uiPriority w:val="99"/>
    <w:unhideWhenUsed/>
    <w:qFormat/>
    <w:rsid w:val="00CA46EC"/>
    <w:pPr>
      <w:numPr>
        <w:ilvl w:val="3"/>
        <w:numId w:val="16"/>
      </w:numPr>
      <w:spacing w:after="120"/>
      <w:ind w:left="1503" w:hanging="369"/>
      <w:contextualSpacing/>
    </w:pPr>
  </w:style>
  <w:style w:type="table" w:styleId="TableGrid">
    <w:name w:val="Table Grid"/>
    <w:aliases w:val="NRSB Table"/>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D67FC"/>
    <w:pPr>
      <w:spacing w:after="0" w:line="240" w:lineRule="auto"/>
    </w:pPr>
    <w:rPr>
      <w:color w:val="000000" w:themeColor="text1"/>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852D5C"/>
    <w:pPr>
      <w:tabs>
        <w:tab w:val="right" w:leader="dot" w:pos="9038"/>
      </w:tabs>
      <w:spacing w:after="100"/>
    </w:pPr>
  </w:style>
  <w:style w:type="paragraph" w:styleId="Caption">
    <w:name w:val="caption"/>
    <w:basedOn w:val="Heading4"/>
    <w:next w:val="Normal"/>
    <w:uiPriority w:val="35"/>
    <w:unhideWhenUsed/>
    <w:qFormat/>
    <w:rsid w:val="00B2722A"/>
    <w:rPr>
      <w:i w:val="0"/>
    </w:rPr>
  </w:style>
  <w:style w:type="paragraph" w:customStyle="1" w:styleId="Source">
    <w:name w:val="Source"/>
    <w:basedOn w:val="Normal"/>
    <w:qFormat/>
    <w:rsid w:val="007B0390"/>
    <w:rPr>
      <w:rFonts w:cstheme="minorHAnsi"/>
      <w:bCs/>
      <w:sz w:val="16"/>
      <w:szCs w:val="16"/>
    </w:rPr>
  </w:style>
  <w:style w:type="paragraph" w:customStyle="1" w:styleId="IntroText">
    <w:name w:val="Intro Text"/>
    <w:basedOn w:val="Normal"/>
    <w:qFormat/>
    <w:rsid w:val="00E62B11"/>
    <w:rPr>
      <w:sz w:val="28"/>
    </w:rPr>
  </w:style>
  <w:style w:type="character" w:styleId="CommentReference">
    <w:name w:val="annotation reference"/>
    <w:basedOn w:val="DefaultParagraphFont"/>
    <w:uiPriority w:val="99"/>
    <w:semiHidden/>
    <w:unhideWhenUsed/>
    <w:rsid w:val="00F94417"/>
    <w:rPr>
      <w:sz w:val="16"/>
      <w:szCs w:val="16"/>
    </w:rPr>
  </w:style>
  <w:style w:type="paragraph" w:styleId="CommentText">
    <w:name w:val="annotation text"/>
    <w:basedOn w:val="Normal"/>
    <w:link w:val="CommentTextChar"/>
    <w:uiPriority w:val="99"/>
    <w:semiHidden/>
    <w:unhideWhenUsed/>
    <w:rsid w:val="00F94417"/>
    <w:pPr>
      <w:spacing w:line="240" w:lineRule="auto"/>
    </w:pPr>
    <w:rPr>
      <w:sz w:val="20"/>
      <w:szCs w:val="20"/>
    </w:rPr>
  </w:style>
  <w:style w:type="character" w:customStyle="1" w:styleId="CommentTextChar">
    <w:name w:val="Comment Text Char"/>
    <w:basedOn w:val="DefaultParagraphFont"/>
    <w:link w:val="CommentText"/>
    <w:uiPriority w:val="99"/>
    <w:semiHidden/>
    <w:rsid w:val="00F94417"/>
    <w:rPr>
      <w:sz w:val="20"/>
      <w:szCs w:val="20"/>
    </w:rPr>
  </w:style>
  <w:style w:type="paragraph" w:styleId="CommentSubject">
    <w:name w:val="annotation subject"/>
    <w:basedOn w:val="CommentText"/>
    <w:next w:val="CommentText"/>
    <w:link w:val="CommentSubjectChar"/>
    <w:uiPriority w:val="99"/>
    <w:semiHidden/>
    <w:unhideWhenUsed/>
    <w:rsid w:val="00F94417"/>
    <w:rPr>
      <w:b/>
      <w:bCs/>
    </w:rPr>
  </w:style>
  <w:style w:type="character" w:customStyle="1" w:styleId="CommentSubjectChar">
    <w:name w:val="Comment Subject Char"/>
    <w:basedOn w:val="CommentTextChar"/>
    <w:link w:val="CommentSubject"/>
    <w:uiPriority w:val="99"/>
    <w:semiHidden/>
    <w:rsid w:val="00F94417"/>
    <w:rPr>
      <w:b/>
      <w:bCs/>
      <w:sz w:val="20"/>
      <w:szCs w:val="20"/>
    </w:rPr>
  </w:style>
  <w:style w:type="character" w:styleId="FollowedHyperlink">
    <w:name w:val="FollowedHyperlink"/>
    <w:basedOn w:val="DefaultParagraphFont"/>
    <w:uiPriority w:val="99"/>
    <w:semiHidden/>
    <w:unhideWhenUsed/>
    <w:rsid w:val="00942A55"/>
    <w:rPr>
      <w:color w:val="000000" w:themeColor="followedHyperlink"/>
      <w:u w:val="single"/>
    </w:rPr>
  </w:style>
  <w:style w:type="character" w:customStyle="1" w:styleId="UnresolvedMention1">
    <w:name w:val="Unresolved Mention1"/>
    <w:basedOn w:val="DefaultParagraphFont"/>
    <w:uiPriority w:val="99"/>
    <w:semiHidden/>
    <w:unhideWhenUsed/>
    <w:rsid w:val="00811BB5"/>
    <w:rPr>
      <w:color w:val="605E5C"/>
      <w:shd w:val="clear" w:color="auto" w:fill="E1DFDD"/>
    </w:rPr>
  </w:style>
  <w:style w:type="paragraph" w:styleId="Index1">
    <w:name w:val="index 1"/>
    <w:basedOn w:val="Normal"/>
    <w:next w:val="Normal"/>
    <w:autoRedefine/>
    <w:uiPriority w:val="99"/>
    <w:unhideWhenUsed/>
    <w:rsid w:val="00715B5D"/>
    <w:pPr>
      <w:spacing w:after="0" w:line="240" w:lineRule="auto"/>
      <w:ind w:left="220" w:hanging="220"/>
    </w:pPr>
  </w:style>
  <w:style w:type="paragraph" w:styleId="PlainText">
    <w:name w:val="Plain Text"/>
    <w:basedOn w:val="Normal"/>
    <w:link w:val="PlainTextChar"/>
    <w:uiPriority w:val="99"/>
    <w:unhideWhenUsed/>
    <w:rsid w:val="00715B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15B5D"/>
    <w:rPr>
      <w:rFonts w:ascii="Consolas" w:hAnsi="Consolas"/>
      <w:sz w:val="21"/>
      <w:szCs w:val="21"/>
    </w:rPr>
  </w:style>
  <w:style w:type="paragraph" w:styleId="FootnoteText">
    <w:name w:val="footnote text"/>
    <w:basedOn w:val="Normal"/>
    <w:link w:val="FootnoteTextChar"/>
    <w:uiPriority w:val="99"/>
    <w:qFormat/>
    <w:rsid w:val="009B7CDA"/>
    <w:pPr>
      <w:spacing w:before="120" w:after="120" w:line="240" w:lineRule="auto"/>
    </w:pPr>
    <w:rPr>
      <w:rFonts w:ascii="Calibri" w:eastAsiaTheme="minorHAnsi" w:hAnsi="Calibri"/>
      <w:sz w:val="18"/>
      <w:szCs w:val="20"/>
    </w:rPr>
  </w:style>
  <w:style w:type="character" w:customStyle="1" w:styleId="FootnoteTextChar">
    <w:name w:val="Footnote Text Char"/>
    <w:basedOn w:val="DefaultParagraphFont"/>
    <w:link w:val="FootnoteText"/>
    <w:uiPriority w:val="99"/>
    <w:rsid w:val="009B7CDA"/>
    <w:rPr>
      <w:rFonts w:ascii="Calibri" w:eastAsiaTheme="minorHAnsi" w:hAnsi="Calibri"/>
      <w:sz w:val="18"/>
      <w:szCs w:val="20"/>
    </w:rPr>
  </w:style>
  <w:style w:type="character" w:styleId="FootnoteReference">
    <w:name w:val="footnote reference"/>
    <w:basedOn w:val="DefaultParagraphFont"/>
    <w:uiPriority w:val="99"/>
    <w:unhideWhenUsed/>
    <w:rsid w:val="009B7CDA"/>
    <w:rPr>
      <w:vertAlign w:val="superscript"/>
    </w:rPr>
  </w:style>
  <w:style w:type="paragraph" w:customStyle="1" w:styleId="Normal-Centred">
    <w:name w:val="Normal - Centred"/>
    <w:basedOn w:val="Normal"/>
    <w:qFormat/>
    <w:rsid w:val="009B7CDA"/>
    <w:pPr>
      <w:spacing w:before="120" w:after="120" w:line="240" w:lineRule="auto"/>
      <w:jc w:val="center"/>
    </w:pPr>
    <w:rPr>
      <w:rFonts w:ascii="Calibri" w:eastAsiaTheme="minorHAnsi" w:hAnsi="Calibri"/>
    </w:rPr>
  </w:style>
  <w:style w:type="paragraph" w:customStyle="1" w:styleId="Normal-AfterTableFigure">
    <w:name w:val="Normal - After Table/Figure"/>
    <w:basedOn w:val="Normal"/>
    <w:qFormat/>
    <w:rsid w:val="009B7CDA"/>
    <w:pPr>
      <w:spacing w:before="240" w:after="120" w:line="259" w:lineRule="auto"/>
    </w:pPr>
    <w:rPr>
      <w:rFonts w:ascii="Calibri" w:eastAsiaTheme="minorHAnsi" w:hAnsi="Calibri"/>
    </w:rPr>
  </w:style>
  <w:style w:type="table" w:customStyle="1" w:styleId="NRSBTable1">
    <w:name w:val="NRSB Table1"/>
    <w:basedOn w:val="TableNormal"/>
    <w:next w:val="TableGrid"/>
    <w:rsid w:val="003273FB"/>
    <w:pPr>
      <w:spacing w:after="40" w:line="240" w:lineRule="auto"/>
    </w:pPr>
    <w:rPr>
      <w:rFonts w:ascii="Calibri" w:eastAsia="Calibri" w:hAnsi="Calibri" w:cs="Times New Roman"/>
    </w:rPr>
    <w:tblPr>
      <w:tblStyleRowBandSize w:val="1"/>
      <w:tblInd w:w="0" w:type="nil"/>
      <w:tblCellMar>
        <w:top w:w="45" w:type="dxa"/>
      </w:tblCellMar>
    </w:tblPr>
    <w:tcPr>
      <w:vAlign w:val="center"/>
    </w:tcPr>
    <w:tblStylePr w:type="firstRow">
      <w:pPr>
        <w:jc w:val="left"/>
      </w:pPr>
      <w:rPr>
        <w:rFonts w:ascii="Calibri" w:hAnsi="Calibri" w:cs="Calibri" w:hint="default"/>
        <w:b/>
        <w:color w:val="FFFFFF"/>
        <w:sz w:val="24"/>
        <w:szCs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table" w:customStyle="1" w:styleId="PullOutBox11">
    <w:name w:val="Pull Out Box 11"/>
    <w:basedOn w:val="TableNormal"/>
    <w:uiPriority w:val="99"/>
    <w:rsid w:val="003273FB"/>
    <w:pPr>
      <w:spacing w:before="120" w:after="0" w:line="240" w:lineRule="auto"/>
    </w:pPr>
    <w:rPr>
      <w:rFonts w:ascii="Calibri" w:eastAsia="Calibri" w:hAnsi="Calibri" w:cs="Times New Roman"/>
    </w:rPr>
    <w:tblPr>
      <w:tblInd w:w="0" w:type="nil"/>
    </w:tblPr>
    <w:tcPr>
      <w:shd w:val="clear" w:color="auto" w:fill="E3E8F4"/>
    </w:tcPr>
  </w:style>
  <w:style w:type="table" w:customStyle="1" w:styleId="PullOutBox1">
    <w:name w:val="Pull Out Box 1"/>
    <w:basedOn w:val="TableNormal"/>
    <w:uiPriority w:val="99"/>
    <w:rsid w:val="009B7CDA"/>
    <w:pPr>
      <w:spacing w:before="120" w:after="0" w:line="240" w:lineRule="auto"/>
    </w:pPr>
    <w:rPr>
      <w:rFonts w:eastAsiaTheme="minorHAnsi"/>
    </w:rPr>
    <w:tblPr/>
    <w:tcPr>
      <w:shd w:val="clear" w:color="auto" w:fill="E3E8F4"/>
    </w:tcPr>
  </w:style>
  <w:style w:type="paragraph" w:customStyle="1" w:styleId="BoxHeading-Finding">
    <w:name w:val="Box Heading - Finding"/>
    <w:basedOn w:val="Normal"/>
    <w:autoRedefine/>
    <w:rsid w:val="009B7CDA"/>
    <w:pPr>
      <w:keepNext/>
      <w:keepLines/>
      <w:spacing w:before="120" w:after="40" w:line="240" w:lineRule="auto"/>
    </w:pPr>
    <w:rPr>
      <w:rFonts w:ascii="Calibri" w:eastAsiaTheme="majorEastAsia" w:hAnsi="Calibri" w:cstheme="majorBidi"/>
      <w:b/>
      <w:color w:val="000000" w:themeColor="text1"/>
      <w:sz w:val="26"/>
      <w:szCs w:val="26"/>
    </w:rPr>
  </w:style>
  <w:style w:type="paragraph" w:customStyle="1" w:styleId="BoxHeading-Recommendation">
    <w:name w:val="Box Heading - Recommendation"/>
    <w:qFormat/>
    <w:rsid w:val="009B7CDA"/>
    <w:pPr>
      <w:numPr>
        <w:numId w:val="31"/>
      </w:numPr>
      <w:spacing w:before="120" w:after="0" w:line="240" w:lineRule="auto"/>
    </w:pPr>
    <w:rPr>
      <w:rFonts w:ascii="Calibri" w:eastAsiaTheme="majorEastAsia" w:hAnsi="Calibri" w:cstheme="majorBidi"/>
      <w:b/>
      <w:color w:val="000000" w:themeColor="text1"/>
      <w:sz w:val="26"/>
      <w:szCs w:val="26"/>
    </w:rPr>
  </w:style>
  <w:style w:type="paragraph" w:customStyle="1" w:styleId="Notes">
    <w:name w:val="Notes"/>
    <w:basedOn w:val="Source"/>
    <w:qFormat/>
    <w:rsid w:val="009B7CDA"/>
    <w:pPr>
      <w:pBdr>
        <w:bottom w:val="single" w:sz="4" w:space="6" w:color="auto"/>
      </w:pBdr>
      <w:tabs>
        <w:tab w:val="left" w:pos="590"/>
      </w:tabs>
      <w:spacing w:before="120" w:after="120" w:line="259" w:lineRule="auto"/>
      <w:ind w:left="590" w:hanging="590"/>
    </w:pPr>
    <w:rPr>
      <w:rFonts w:ascii="Calibri" w:eastAsiaTheme="minorHAnsi" w:hAnsi="Calibri" w:cstheme="minorBidi"/>
      <w:b/>
      <w:sz w:val="18"/>
      <w:szCs w:val="22"/>
    </w:rPr>
  </w:style>
  <w:style w:type="table" w:customStyle="1" w:styleId="PullOutBox32">
    <w:name w:val="Pull Out Box 32"/>
    <w:basedOn w:val="TableNormal"/>
    <w:uiPriority w:val="99"/>
    <w:rsid w:val="009B7CDA"/>
    <w:pPr>
      <w:spacing w:after="0" w:line="240" w:lineRule="auto"/>
    </w:pPr>
    <w:rPr>
      <w:rFonts w:eastAsiaTheme="minorHAnsi"/>
    </w:rPr>
    <w:tblPr/>
    <w:tcPr>
      <w:shd w:val="clear" w:color="auto" w:fill="ECECEC"/>
    </w:tcPr>
  </w:style>
  <w:style w:type="table" w:customStyle="1" w:styleId="PullOutBox22">
    <w:name w:val="Pull Out Box 22"/>
    <w:basedOn w:val="TableNormal"/>
    <w:uiPriority w:val="99"/>
    <w:rsid w:val="009B7CDA"/>
    <w:pPr>
      <w:spacing w:after="0" w:line="240" w:lineRule="auto"/>
    </w:pPr>
    <w:rPr>
      <w:rFonts w:eastAsiaTheme="minorHAnsi"/>
    </w:rPr>
    <w:tblPr/>
    <w:tcPr>
      <w:shd w:val="clear" w:color="auto" w:fill="F8E7DC"/>
    </w:tcPr>
  </w:style>
  <w:style w:type="paragraph" w:customStyle="1" w:styleId="ListBullet2-Pulloutbox">
    <w:name w:val="List Bullet 2 - Pullout box"/>
    <w:basedOn w:val="ListBullet2"/>
    <w:qFormat/>
    <w:rsid w:val="009B7CDA"/>
    <w:pPr>
      <w:numPr>
        <w:ilvl w:val="0"/>
        <w:numId w:val="0"/>
      </w:numPr>
      <w:tabs>
        <w:tab w:val="left" w:pos="567"/>
      </w:tabs>
      <w:spacing w:after="160" w:line="240" w:lineRule="auto"/>
      <w:ind w:left="568" w:hanging="284"/>
    </w:pPr>
    <w:rPr>
      <w:rFonts w:ascii="Calibri" w:eastAsiaTheme="minorHAnsi" w:hAnsi="Calibri"/>
    </w:rPr>
  </w:style>
  <w:style w:type="paragraph" w:customStyle="1" w:styleId="BoxHeading-Box">
    <w:name w:val="Box Heading - Box"/>
    <w:basedOn w:val="BoxHeading-Finding"/>
    <w:qFormat/>
    <w:rsid w:val="009B7CDA"/>
  </w:style>
  <w:style w:type="paragraph" w:customStyle="1" w:styleId="Normal-Pulloutboxlast">
    <w:name w:val="Normal - Pullout box last"/>
    <w:basedOn w:val="Normal"/>
    <w:qFormat/>
    <w:rsid w:val="009B7CDA"/>
    <w:pPr>
      <w:spacing w:before="120" w:after="160" w:line="240" w:lineRule="auto"/>
    </w:pPr>
    <w:rPr>
      <w:rFonts w:ascii="Calibri" w:eastAsiaTheme="minorHAnsi" w:hAnsi="Calibri"/>
    </w:rPr>
  </w:style>
  <w:style w:type="paragraph" w:customStyle="1" w:styleId="ListBullet-Pulloutbox">
    <w:name w:val="List Bullet - Pullout box"/>
    <w:basedOn w:val="ListBullet"/>
    <w:qFormat/>
    <w:rsid w:val="009B7CDA"/>
    <w:pPr>
      <w:tabs>
        <w:tab w:val="num" w:pos="284"/>
      </w:tabs>
      <w:spacing w:before="120" w:after="160" w:line="240" w:lineRule="auto"/>
      <w:ind w:left="284" w:hanging="284"/>
    </w:pPr>
    <w:rPr>
      <w:rFonts w:ascii="Calibri" w:eastAsiaTheme="minorHAnsi" w:hAnsi="Calibri"/>
      <w:noProof/>
    </w:rPr>
  </w:style>
  <w:style w:type="table" w:customStyle="1" w:styleId="PullOutBox321">
    <w:name w:val="Pull Out Box 321"/>
    <w:basedOn w:val="TableNormal"/>
    <w:uiPriority w:val="99"/>
    <w:rsid w:val="003273FB"/>
    <w:pPr>
      <w:spacing w:after="0" w:line="240" w:lineRule="auto"/>
    </w:pPr>
    <w:rPr>
      <w:rFonts w:ascii="Calibri" w:eastAsia="Calibri" w:hAnsi="Calibri" w:cs="Times New Roman"/>
    </w:rPr>
    <w:tblPr>
      <w:tblInd w:w="0" w:type="nil"/>
    </w:tblPr>
    <w:tcPr>
      <w:shd w:val="clear" w:color="auto" w:fill="ECECEC"/>
    </w:tcPr>
  </w:style>
  <w:style w:type="table" w:customStyle="1" w:styleId="PullOutBox221">
    <w:name w:val="Pull Out Box 221"/>
    <w:basedOn w:val="TableNormal"/>
    <w:uiPriority w:val="99"/>
    <w:rsid w:val="003273FB"/>
    <w:pPr>
      <w:spacing w:after="0" w:line="240" w:lineRule="auto"/>
    </w:pPr>
    <w:rPr>
      <w:rFonts w:ascii="Calibri" w:eastAsia="Calibri" w:hAnsi="Calibri" w:cs="Times New Roman"/>
    </w:rPr>
    <w:tblPr>
      <w:tblInd w:w="0" w:type="nil"/>
    </w:tblPr>
    <w:tcPr>
      <w:shd w:val="clear" w:color="auto" w:fill="F8E7DC"/>
    </w:tcPr>
  </w:style>
  <w:style w:type="paragraph" w:customStyle="1" w:styleId="Tableheader">
    <w:name w:val="Table header"/>
    <w:basedOn w:val="Normal"/>
    <w:qFormat/>
    <w:rsid w:val="003273FB"/>
    <w:pPr>
      <w:spacing w:before="120" w:after="40" w:line="240" w:lineRule="auto"/>
    </w:pPr>
    <w:rPr>
      <w:rFonts w:ascii="Calibri" w:eastAsia="Calibri" w:hAnsi="Calibri" w:cs="Times New Roman"/>
      <w:b/>
      <w:color w:val="FFFFFF"/>
      <w:sz w:val="24"/>
      <w:szCs w:val="24"/>
    </w:rPr>
  </w:style>
  <w:style w:type="paragraph" w:customStyle="1" w:styleId="TableBody">
    <w:name w:val="Table Body"/>
    <w:basedOn w:val="Normal"/>
    <w:qFormat/>
    <w:rsid w:val="003273FB"/>
    <w:pPr>
      <w:spacing w:before="120" w:after="40" w:line="240" w:lineRule="auto"/>
    </w:pPr>
    <w:rPr>
      <w:rFonts w:ascii="Calibri" w:eastAsia="Calibri" w:hAnsi="Calibri" w:cs="Times New Roman"/>
    </w:rPr>
  </w:style>
  <w:style w:type="table" w:customStyle="1" w:styleId="TableGrid1">
    <w:name w:val="Table Grid1"/>
    <w:basedOn w:val="TableNormal"/>
    <w:uiPriority w:val="59"/>
    <w:rsid w:val="00D61449"/>
    <w:pPr>
      <w:spacing w:after="0" w:line="240" w:lineRule="auto"/>
    </w:pPr>
    <w:rPr>
      <w:rFonts w:eastAsiaTheme="minorHAnsi"/>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E01CDC"/>
    <w:rPr>
      <w:color w:val="605E5C"/>
      <w:shd w:val="clear" w:color="auto" w:fill="E1DFDD"/>
    </w:rPr>
  </w:style>
  <w:style w:type="paragraph" w:styleId="Revision">
    <w:name w:val="Revision"/>
    <w:hidden/>
    <w:uiPriority w:val="99"/>
    <w:semiHidden/>
    <w:rsid w:val="00314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7762607">
      <w:bodyDiv w:val="1"/>
      <w:marLeft w:val="0"/>
      <w:marRight w:val="0"/>
      <w:marTop w:val="0"/>
      <w:marBottom w:val="0"/>
      <w:divBdr>
        <w:top w:val="none" w:sz="0" w:space="0" w:color="auto"/>
        <w:left w:val="none" w:sz="0" w:space="0" w:color="auto"/>
        <w:bottom w:val="none" w:sz="0" w:space="0" w:color="auto"/>
        <w:right w:val="none" w:sz="0" w:space="0" w:color="auto"/>
      </w:divBdr>
    </w:div>
    <w:div w:id="416292422">
      <w:bodyDiv w:val="1"/>
      <w:marLeft w:val="0"/>
      <w:marRight w:val="0"/>
      <w:marTop w:val="0"/>
      <w:marBottom w:val="0"/>
      <w:divBdr>
        <w:top w:val="none" w:sz="0" w:space="0" w:color="auto"/>
        <w:left w:val="none" w:sz="0" w:space="0" w:color="auto"/>
        <w:bottom w:val="none" w:sz="0" w:space="0" w:color="auto"/>
        <w:right w:val="none" w:sz="0" w:space="0" w:color="auto"/>
      </w:divBdr>
    </w:div>
    <w:div w:id="533228127">
      <w:bodyDiv w:val="1"/>
      <w:marLeft w:val="0"/>
      <w:marRight w:val="0"/>
      <w:marTop w:val="0"/>
      <w:marBottom w:val="0"/>
      <w:divBdr>
        <w:top w:val="none" w:sz="0" w:space="0" w:color="auto"/>
        <w:left w:val="none" w:sz="0" w:space="0" w:color="auto"/>
        <w:bottom w:val="none" w:sz="0" w:space="0" w:color="auto"/>
        <w:right w:val="none" w:sz="0" w:space="0" w:color="auto"/>
      </w:divBdr>
    </w:div>
    <w:div w:id="537740695">
      <w:bodyDiv w:val="1"/>
      <w:marLeft w:val="0"/>
      <w:marRight w:val="0"/>
      <w:marTop w:val="0"/>
      <w:marBottom w:val="0"/>
      <w:divBdr>
        <w:top w:val="none" w:sz="0" w:space="0" w:color="auto"/>
        <w:left w:val="none" w:sz="0" w:space="0" w:color="auto"/>
        <w:bottom w:val="none" w:sz="0" w:space="0" w:color="auto"/>
        <w:right w:val="none" w:sz="0" w:space="0" w:color="auto"/>
      </w:divBdr>
      <w:divsChild>
        <w:div w:id="1823622720">
          <w:marLeft w:val="0"/>
          <w:marRight w:val="0"/>
          <w:marTop w:val="0"/>
          <w:marBottom w:val="0"/>
          <w:divBdr>
            <w:top w:val="none" w:sz="0" w:space="0" w:color="auto"/>
            <w:left w:val="none" w:sz="0" w:space="0" w:color="auto"/>
            <w:bottom w:val="none" w:sz="0" w:space="0" w:color="auto"/>
            <w:right w:val="none" w:sz="0" w:space="0" w:color="auto"/>
          </w:divBdr>
          <w:divsChild>
            <w:div w:id="1199856769">
              <w:marLeft w:val="0"/>
              <w:marRight w:val="0"/>
              <w:marTop w:val="0"/>
              <w:marBottom w:val="0"/>
              <w:divBdr>
                <w:top w:val="none" w:sz="0" w:space="0" w:color="auto"/>
                <w:left w:val="none" w:sz="0" w:space="0" w:color="auto"/>
                <w:bottom w:val="none" w:sz="0" w:space="0" w:color="auto"/>
                <w:right w:val="none" w:sz="0" w:space="0" w:color="auto"/>
              </w:divBdr>
              <w:divsChild>
                <w:div w:id="402024756">
                  <w:marLeft w:val="0"/>
                  <w:marRight w:val="0"/>
                  <w:marTop w:val="0"/>
                  <w:marBottom w:val="0"/>
                  <w:divBdr>
                    <w:top w:val="none" w:sz="0" w:space="0" w:color="auto"/>
                    <w:left w:val="none" w:sz="0" w:space="0" w:color="auto"/>
                    <w:bottom w:val="none" w:sz="0" w:space="0" w:color="auto"/>
                    <w:right w:val="none" w:sz="0" w:space="0" w:color="auto"/>
                  </w:divBdr>
                  <w:divsChild>
                    <w:div w:id="1062220661">
                      <w:marLeft w:val="0"/>
                      <w:marRight w:val="0"/>
                      <w:marTop w:val="0"/>
                      <w:marBottom w:val="0"/>
                      <w:divBdr>
                        <w:top w:val="none" w:sz="0" w:space="0" w:color="auto"/>
                        <w:left w:val="none" w:sz="0" w:space="0" w:color="auto"/>
                        <w:bottom w:val="none" w:sz="0" w:space="0" w:color="auto"/>
                        <w:right w:val="none" w:sz="0" w:space="0" w:color="auto"/>
                      </w:divBdr>
                      <w:divsChild>
                        <w:div w:id="2623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5972">
                  <w:marLeft w:val="0"/>
                  <w:marRight w:val="0"/>
                  <w:marTop w:val="0"/>
                  <w:marBottom w:val="0"/>
                  <w:divBdr>
                    <w:top w:val="none" w:sz="0" w:space="0" w:color="auto"/>
                    <w:left w:val="none" w:sz="0" w:space="0" w:color="auto"/>
                    <w:bottom w:val="none" w:sz="0" w:space="0" w:color="auto"/>
                    <w:right w:val="none" w:sz="0" w:space="0" w:color="auto"/>
                  </w:divBdr>
                  <w:divsChild>
                    <w:div w:id="699937031">
                      <w:marLeft w:val="0"/>
                      <w:marRight w:val="0"/>
                      <w:marTop w:val="0"/>
                      <w:marBottom w:val="0"/>
                      <w:divBdr>
                        <w:top w:val="none" w:sz="0" w:space="0" w:color="auto"/>
                        <w:left w:val="none" w:sz="0" w:space="0" w:color="auto"/>
                        <w:bottom w:val="none" w:sz="0" w:space="0" w:color="auto"/>
                        <w:right w:val="none" w:sz="0" w:space="0" w:color="auto"/>
                      </w:divBdr>
                      <w:divsChild>
                        <w:div w:id="1993413714">
                          <w:marLeft w:val="0"/>
                          <w:marRight w:val="0"/>
                          <w:marTop w:val="0"/>
                          <w:marBottom w:val="0"/>
                          <w:divBdr>
                            <w:top w:val="none" w:sz="0" w:space="0" w:color="auto"/>
                            <w:left w:val="none" w:sz="0" w:space="0" w:color="auto"/>
                            <w:bottom w:val="none" w:sz="0" w:space="0" w:color="auto"/>
                            <w:right w:val="none" w:sz="0" w:space="0" w:color="auto"/>
                          </w:divBdr>
                          <w:divsChild>
                            <w:div w:id="10032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52313">
      <w:bodyDiv w:val="1"/>
      <w:marLeft w:val="0"/>
      <w:marRight w:val="0"/>
      <w:marTop w:val="0"/>
      <w:marBottom w:val="0"/>
      <w:divBdr>
        <w:top w:val="none" w:sz="0" w:space="0" w:color="auto"/>
        <w:left w:val="none" w:sz="0" w:space="0" w:color="auto"/>
        <w:bottom w:val="none" w:sz="0" w:space="0" w:color="auto"/>
        <w:right w:val="none" w:sz="0" w:space="0" w:color="auto"/>
      </w:divBdr>
    </w:div>
    <w:div w:id="798764917">
      <w:bodyDiv w:val="1"/>
      <w:marLeft w:val="0"/>
      <w:marRight w:val="0"/>
      <w:marTop w:val="0"/>
      <w:marBottom w:val="0"/>
      <w:divBdr>
        <w:top w:val="none" w:sz="0" w:space="0" w:color="auto"/>
        <w:left w:val="none" w:sz="0" w:space="0" w:color="auto"/>
        <w:bottom w:val="none" w:sz="0" w:space="0" w:color="auto"/>
        <w:right w:val="none" w:sz="0" w:space="0" w:color="auto"/>
      </w:divBdr>
    </w:div>
    <w:div w:id="845873621">
      <w:bodyDiv w:val="1"/>
      <w:marLeft w:val="0"/>
      <w:marRight w:val="0"/>
      <w:marTop w:val="0"/>
      <w:marBottom w:val="0"/>
      <w:divBdr>
        <w:top w:val="none" w:sz="0" w:space="0" w:color="auto"/>
        <w:left w:val="none" w:sz="0" w:space="0" w:color="auto"/>
        <w:bottom w:val="none" w:sz="0" w:space="0" w:color="auto"/>
        <w:right w:val="none" w:sz="0" w:space="0" w:color="auto"/>
      </w:divBdr>
      <w:divsChild>
        <w:div w:id="870410816">
          <w:marLeft w:val="0"/>
          <w:marRight w:val="0"/>
          <w:marTop w:val="0"/>
          <w:marBottom w:val="0"/>
          <w:divBdr>
            <w:top w:val="none" w:sz="0" w:space="0" w:color="auto"/>
            <w:left w:val="none" w:sz="0" w:space="0" w:color="auto"/>
            <w:bottom w:val="none" w:sz="0" w:space="0" w:color="auto"/>
            <w:right w:val="none" w:sz="0" w:space="0" w:color="auto"/>
          </w:divBdr>
          <w:divsChild>
            <w:div w:id="709184168">
              <w:marLeft w:val="0"/>
              <w:marRight w:val="0"/>
              <w:marTop w:val="0"/>
              <w:marBottom w:val="0"/>
              <w:divBdr>
                <w:top w:val="none" w:sz="0" w:space="0" w:color="auto"/>
                <w:left w:val="none" w:sz="0" w:space="0" w:color="auto"/>
                <w:bottom w:val="none" w:sz="0" w:space="0" w:color="auto"/>
                <w:right w:val="none" w:sz="0" w:space="0" w:color="auto"/>
              </w:divBdr>
              <w:divsChild>
                <w:div w:id="817965515">
                  <w:marLeft w:val="0"/>
                  <w:marRight w:val="0"/>
                  <w:marTop w:val="0"/>
                  <w:marBottom w:val="0"/>
                  <w:divBdr>
                    <w:top w:val="none" w:sz="0" w:space="0" w:color="auto"/>
                    <w:left w:val="none" w:sz="0" w:space="0" w:color="auto"/>
                    <w:bottom w:val="none" w:sz="0" w:space="0" w:color="auto"/>
                    <w:right w:val="none" w:sz="0" w:space="0" w:color="auto"/>
                  </w:divBdr>
                  <w:divsChild>
                    <w:div w:id="825517081">
                      <w:marLeft w:val="0"/>
                      <w:marRight w:val="0"/>
                      <w:marTop w:val="0"/>
                      <w:marBottom w:val="0"/>
                      <w:divBdr>
                        <w:top w:val="none" w:sz="0" w:space="0" w:color="auto"/>
                        <w:left w:val="none" w:sz="0" w:space="0" w:color="auto"/>
                        <w:bottom w:val="none" w:sz="0" w:space="0" w:color="auto"/>
                        <w:right w:val="none" w:sz="0" w:space="0" w:color="auto"/>
                      </w:divBdr>
                      <w:divsChild>
                        <w:div w:id="16648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539">
                  <w:marLeft w:val="0"/>
                  <w:marRight w:val="0"/>
                  <w:marTop w:val="0"/>
                  <w:marBottom w:val="0"/>
                  <w:divBdr>
                    <w:top w:val="none" w:sz="0" w:space="0" w:color="auto"/>
                    <w:left w:val="none" w:sz="0" w:space="0" w:color="auto"/>
                    <w:bottom w:val="none" w:sz="0" w:space="0" w:color="auto"/>
                    <w:right w:val="none" w:sz="0" w:space="0" w:color="auto"/>
                  </w:divBdr>
                  <w:divsChild>
                    <w:div w:id="1844396247">
                      <w:marLeft w:val="0"/>
                      <w:marRight w:val="0"/>
                      <w:marTop w:val="0"/>
                      <w:marBottom w:val="0"/>
                      <w:divBdr>
                        <w:top w:val="none" w:sz="0" w:space="0" w:color="auto"/>
                        <w:left w:val="none" w:sz="0" w:space="0" w:color="auto"/>
                        <w:bottom w:val="none" w:sz="0" w:space="0" w:color="auto"/>
                        <w:right w:val="none" w:sz="0" w:space="0" w:color="auto"/>
                      </w:divBdr>
                      <w:divsChild>
                        <w:div w:id="2028944768">
                          <w:marLeft w:val="0"/>
                          <w:marRight w:val="0"/>
                          <w:marTop w:val="0"/>
                          <w:marBottom w:val="0"/>
                          <w:divBdr>
                            <w:top w:val="none" w:sz="0" w:space="0" w:color="auto"/>
                            <w:left w:val="none" w:sz="0" w:space="0" w:color="auto"/>
                            <w:bottom w:val="none" w:sz="0" w:space="0" w:color="auto"/>
                            <w:right w:val="none" w:sz="0" w:space="0" w:color="auto"/>
                          </w:divBdr>
                          <w:divsChild>
                            <w:div w:id="21306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56370">
      <w:bodyDiv w:val="1"/>
      <w:marLeft w:val="0"/>
      <w:marRight w:val="0"/>
      <w:marTop w:val="0"/>
      <w:marBottom w:val="0"/>
      <w:divBdr>
        <w:top w:val="none" w:sz="0" w:space="0" w:color="auto"/>
        <w:left w:val="none" w:sz="0" w:space="0" w:color="auto"/>
        <w:bottom w:val="none" w:sz="0" w:space="0" w:color="auto"/>
        <w:right w:val="none" w:sz="0" w:space="0" w:color="auto"/>
      </w:divBdr>
    </w:div>
    <w:div w:id="941184663">
      <w:bodyDiv w:val="1"/>
      <w:marLeft w:val="0"/>
      <w:marRight w:val="0"/>
      <w:marTop w:val="0"/>
      <w:marBottom w:val="0"/>
      <w:divBdr>
        <w:top w:val="none" w:sz="0" w:space="0" w:color="auto"/>
        <w:left w:val="none" w:sz="0" w:space="0" w:color="auto"/>
        <w:bottom w:val="none" w:sz="0" w:space="0" w:color="auto"/>
        <w:right w:val="none" w:sz="0" w:space="0" w:color="auto"/>
      </w:divBdr>
      <w:divsChild>
        <w:div w:id="1638073329">
          <w:marLeft w:val="0"/>
          <w:marRight w:val="0"/>
          <w:marTop w:val="0"/>
          <w:marBottom w:val="0"/>
          <w:divBdr>
            <w:top w:val="none" w:sz="0" w:space="0" w:color="auto"/>
            <w:left w:val="none" w:sz="0" w:space="0" w:color="auto"/>
            <w:bottom w:val="none" w:sz="0" w:space="0" w:color="auto"/>
            <w:right w:val="none" w:sz="0" w:space="0" w:color="auto"/>
          </w:divBdr>
          <w:divsChild>
            <w:div w:id="2052530010">
              <w:marLeft w:val="0"/>
              <w:marRight w:val="0"/>
              <w:marTop w:val="0"/>
              <w:marBottom w:val="0"/>
              <w:divBdr>
                <w:top w:val="none" w:sz="0" w:space="0" w:color="auto"/>
                <w:left w:val="none" w:sz="0" w:space="0" w:color="auto"/>
                <w:bottom w:val="none" w:sz="0" w:space="0" w:color="auto"/>
                <w:right w:val="none" w:sz="0" w:space="0" w:color="auto"/>
              </w:divBdr>
              <w:divsChild>
                <w:div w:id="682896001">
                  <w:marLeft w:val="0"/>
                  <w:marRight w:val="0"/>
                  <w:marTop w:val="0"/>
                  <w:marBottom w:val="0"/>
                  <w:divBdr>
                    <w:top w:val="none" w:sz="0" w:space="0" w:color="auto"/>
                    <w:left w:val="none" w:sz="0" w:space="0" w:color="auto"/>
                    <w:bottom w:val="none" w:sz="0" w:space="0" w:color="auto"/>
                    <w:right w:val="none" w:sz="0" w:space="0" w:color="auto"/>
                  </w:divBdr>
                  <w:divsChild>
                    <w:div w:id="474761255">
                      <w:marLeft w:val="0"/>
                      <w:marRight w:val="0"/>
                      <w:marTop w:val="0"/>
                      <w:marBottom w:val="0"/>
                      <w:divBdr>
                        <w:top w:val="none" w:sz="0" w:space="0" w:color="auto"/>
                        <w:left w:val="none" w:sz="0" w:space="0" w:color="auto"/>
                        <w:bottom w:val="none" w:sz="0" w:space="0" w:color="auto"/>
                        <w:right w:val="none" w:sz="0" w:space="0" w:color="auto"/>
                      </w:divBdr>
                      <w:divsChild>
                        <w:div w:id="192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6919">
                  <w:marLeft w:val="0"/>
                  <w:marRight w:val="0"/>
                  <w:marTop w:val="0"/>
                  <w:marBottom w:val="0"/>
                  <w:divBdr>
                    <w:top w:val="none" w:sz="0" w:space="0" w:color="auto"/>
                    <w:left w:val="none" w:sz="0" w:space="0" w:color="auto"/>
                    <w:bottom w:val="none" w:sz="0" w:space="0" w:color="auto"/>
                    <w:right w:val="none" w:sz="0" w:space="0" w:color="auto"/>
                  </w:divBdr>
                  <w:divsChild>
                    <w:div w:id="585967946">
                      <w:marLeft w:val="0"/>
                      <w:marRight w:val="0"/>
                      <w:marTop w:val="0"/>
                      <w:marBottom w:val="0"/>
                      <w:divBdr>
                        <w:top w:val="none" w:sz="0" w:space="0" w:color="auto"/>
                        <w:left w:val="none" w:sz="0" w:space="0" w:color="auto"/>
                        <w:bottom w:val="none" w:sz="0" w:space="0" w:color="auto"/>
                        <w:right w:val="none" w:sz="0" w:space="0" w:color="auto"/>
                      </w:divBdr>
                      <w:divsChild>
                        <w:div w:id="360907423">
                          <w:marLeft w:val="0"/>
                          <w:marRight w:val="0"/>
                          <w:marTop w:val="0"/>
                          <w:marBottom w:val="0"/>
                          <w:divBdr>
                            <w:top w:val="none" w:sz="0" w:space="0" w:color="auto"/>
                            <w:left w:val="none" w:sz="0" w:space="0" w:color="auto"/>
                            <w:bottom w:val="none" w:sz="0" w:space="0" w:color="auto"/>
                            <w:right w:val="none" w:sz="0" w:space="0" w:color="auto"/>
                          </w:divBdr>
                          <w:divsChild>
                            <w:div w:id="503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85795">
      <w:bodyDiv w:val="1"/>
      <w:marLeft w:val="0"/>
      <w:marRight w:val="0"/>
      <w:marTop w:val="0"/>
      <w:marBottom w:val="0"/>
      <w:divBdr>
        <w:top w:val="none" w:sz="0" w:space="0" w:color="auto"/>
        <w:left w:val="none" w:sz="0" w:space="0" w:color="auto"/>
        <w:bottom w:val="none" w:sz="0" w:space="0" w:color="auto"/>
        <w:right w:val="none" w:sz="0" w:space="0" w:color="auto"/>
      </w:divBdr>
    </w:div>
    <w:div w:id="1473906102">
      <w:bodyDiv w:val="1"/>
      <w:marLeft w:val="0"/>
      <w:marRight w:val="0"/>
      <w:marTop w:val="0"/>
      <w:marBottom w:val="0"/>
      <w:divBdr>
        <w:top w:val="none" w:sz="0" w:space="0" w:color="auto"/>
        <w:left w:val="none" w:sz="0" w:space="0" w:color="auto"/>
        <w:bottom w:val="none" w:sz="0" w:space="0" w:color="auto"/>
        <w:right w:val="none" w:sz="0" w:space="0" w:color="auto"/>
      </w:divBdr>
    </w:div>
    <w:div w:id="1913850943">
      <w:bodyDiv w:val="1"/>
      <w:marLeft w:val="0"/>
      <w:marRight w:val="0"/>
      <w:marTop w:val="0"/>
      <w:marBottom w:val="0"/>
      <w:divBdr>
        <w:top w:val="none" w:sz="0" w:space="0" w:color="auto"/>
        <w:left w:val="none" w:sz="0" w:space="0" w:color="auto"/>
        <w:bottom w:val="none" w:sz="0" w:space="0" w:color="auto"/>
        <w:right w:val="none" w:sz="0" w:space="0" w:color="auto"/>
      </w:divBdr>
    </w:div>
    <w:div w:id="20056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ationalskillscommission.gov.au/" TargetMode="External"/><Relationship Id="rId2" Type="http://schemas.openxmlformats.org/officeDocument/2006/relationships/customXml" Target="../customXml/item2.xml"/><Relationship Id="rId16" Type="http://schemas.openxmlformats.org/officeDocument/2006/relationships/hyperlink" Target="https://lmip.gov.au/default.aspx?LMIP/Downloads/EmploymentReg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1_xy2 xmlns="e65dc78a-081f-42c1-acdb-e3260877761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7B3C1674685145921A871DD6A378D3" ma:contentTypeVersion="1" ma:contentTypeDescription="Create a new document." ma:contentTypeScope="" ma:versionID="f7d01cfe3a2a25597c25f7d1a6ae1281">
  <xsd:schema xmlns:xsd="http://www.w3.org/2001/XMLSchema" xmlns:xs="http://www.w3.org/2001/XMLSchema" xmlns:p="http://schemas.microsoft.com/office/2006/metadata/properties" xmlns:ns2="e65dc78a-081f-42c1-acdb-e32608777612" targetNamespace="http://schemas.microsoft.com/office/2006/metadata/properties" ma:root="true" ma:fieldsID="51a073ef5deeae9ab5e1e5643b67cad5" ns2:_="">
    <xsd:import namespace="e65dc78a-081f-42c1-acdb-e32608777612"/>
    <xsd:element name="properties">
      <xsd:complexType>
        <xsd:sequence>
          <xsd:element name="documentManagement">
            <xsd:complexType>
              <xsd:all>
                <xsd:element ref="ns2:_x0071_x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c78a-081f-42c1-acdb-e32608777612" elementFormDefault="qualified">
    <xsd:import namespace="http://schemas.microsoft.com/office/2006/documentManagement/types"/>
    <xsd:import namespace="http://schemas.microsoft.com/office/infopath/2007/PartnerControls"/>
    <xsd:element name="_x0071_xy2" ma:index="8" nillable="true" ma:displayName="Number" ma:internalName="_x0071_xy2">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8984E-8555-4BA4-AC00-790F52B8B571}">
  <ds:schemaRefs>
    <ds:schemaRef ds:uri="http://www.w3.org/XML/1998/namespace"/>
    <ds:schemaRef ds:uri="e65dc78a-081f-42c1-acdb-e32608777612"/>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8C60A8A-3302-4F4B-8FCC-C6BE6253D9A5}">
  <ds:schemaRefs>
    <ds:schemaRef ds:uri="http://schemas.openxmlformats.org/officeDocument/2006/bibliography"/>
  </ds:schemaRefs>
</ds:datastoreItem>
</file>

<file path=customXml/itemProps3.xml><?xml version="1.0" encoding="utf-8"?>
<ds:datastoreItem xmlns:ds="http://schemas.openxmlformats.org/officeDocument/2006/customXml" ds:itemID="{75B82BD6-5A4D-4530-915B-03523CDC7219}">
  <ds:schemaRefs>
    <ds:schemaRef ds:uri="http://schemas.microsoft.com/sharepoint/v3/contenttype/forms"/>
  </ds:schemaRefs>
</ds:datastoreItem>
</file>

<file path=customXml/itemProps4.xml><?xml version="1.0" encoding="utf-8"?>
<ds:datastoreItem xmlns:ds="http://schemas.openxmlformats.org/officeDocument/2006/customXml" ds:itemID="{DCB1F9B6-C396-4965-ACE8-455EC8E58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c78a-081f-42c1-acdb-e32608777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South Eastern Melbourne and Peninsula - December 2021</dc:title>
  <dc:creator>MCDONALD,Janice</dc:creator>
  <cp:lastModifiedBy>HEWLETT,Alanna</cp:lastModifiedBy>
  <cp:revision>3</cp:revision>
  <cp:lastPrinted>2022-02-08T04:07:00Z</cp:lastPrinted>
  <dcterms:created xsi:type="dcterms:W3CDTF">2022-02-08T04:07:00Z</dcterms:created>
  <dcterms:modified xsi:type="dcterms:W3CDTF">2022-02-08T04:08:00Z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0x010100DC7B3C1674685145921A871DD6A378D3</vt:lpwstr>
  </property>
</Properties>
</file>